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22"/>
        <w:gridCol w:w="4802"/>
        <w:gridCol w:w="2889"/>
      </w:tblGrid>
      <w:tr w:rsidR="00000000">
        <w:tblPrEx>
          <w:tblCellMar>
            <w:top w:w="0" w:type="dxa"/>
            <w:bottom w:w="0" w:type="dxa"/>
          </w:tblCellMar>
        </w:tblPrEx>
        <w:trPr>
          <w:jc w:val="center"/>
        </w:trPr>
        <w:tc>
          <w:tcPr>
            <w:tcW w:w="1722"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UNITED</w:t>
            </w:r>
            <w:r>
              <w:rPr>
                <w:rFonts w:ascii="Arial" w:hAnsi="Arial" w:cs="Arial"/>
                <w:b/>
                <w:sz w:val="28"/>
              </w:rPr>
              <w:br/>
              <w:t>NATIONS</w:t>
            </w:r>
          </w:p>
        </w:tc>
        <w:tc>
          <w:tcPr>
            <w:tcW w:w="4802" w:type="dxa"/>
            <w:tcBorders>
              <w:top w:val="nil"/>
              <w:left w:val="nil"/>
              <w:bottom w:val="single" w:sz="6" w:space="0" w:color="auto"/>
              <w:right w:val="nil"/>
            </w:tcBorders>
          </w:tcPr>
          <w:p w:rsidR="00000000" w:rsidRDefault="00000000"/>
        </w:tc>
        <w:tc>
          <w:tcPr>
            <w:tcW w:w="2889" w:type="dxa"/>
            <w:tcBorders>
              <w:top w:val="nil"/>
              <w:left w:val="nil"/>
              <w:bottom w:val="single" w:sz="6" w:space="0" w:color="auto"/>
              <w:right w:val="nil"/>
            </w:tcBorders>
            <w:vAlign w:val="bottom"/>
          </w:tcPr>
          <w:p w:rsidR="00000000" w:rsidRDefault="00000000">
            <w:pPr>
              <w:pStyle w:val="Heading3"/>
              <w:spacing w:after="0"/>
              <w:jc w:val="right"/>
            </w:pPr>
            <w:r>
              <w:t>E</w:t>
            </w:r>
          </w:p>
        </w:tc>
      </w:tr>
      <w:tr w:rsidR="00000000">
        <w:tblPrEx>
          <w:tblCellMar>
            <w:top w:w="0" w:type="dxa"/>
            <w:bottom w:w="0" w:type="dxa"/>
          </w:tblCellMar>
        </w:tblPrEx>
        <w:trPr>
          <w:jc w:val="center"/>
        </w:trPr>
        <w:tc>
          <w:tcPr>
            <w:tcW w:w="1722" w:type="dxa"/>
            <w:tcBorders>
              <w:top w:val="single" w:sz="6" w:space="0" w:color="auto"/>
              <w:left w:val="nil"/>
              <w:bottom w:val="single" w:sz="36" w:space="0" w:color="auto"/>
              <w:right w:val="nil"/>
            </w:tcBorders>
          </w:tcPr>
          <w:p w:rsidR="00000000" w:rsidRDefault="00000000">
            <w:pPr>
              <w:spacing w:after="240"/>
              <w:ind w:left="11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8.5pt" fillcolor="window">
                  <v:imagedata r:id="rId7" o:title="" croptop="8317f"/>
                </v:shape>
              </w:pict>
            </w:r>
          </w:p>
        </w:tc>
        <w:tc>
          <w:tcPr>
            <w:tcW w:w="4802" w:type="dxa"/>
            <w:tcBorders>
              <w:top w:val="single" w:sz="6" w:space="0" w:color="auto"/>
              <w:left w:val="nil"/>
              <w:bottom w:val="single" w:sz="36" w:space="0" w:color="auto"/>
              <w:right w:val="nil"/>
            </w:tcBorders>
          </w:tcPr>
          <w:p w:rsidR="00000000" w:rsidRDefault="00000000">
            <w:pPr>
              <w:spacing w:before="240" w:after="240"/>
              <w:rPr>
                <w:rFonts w:ascii="Arial" w:hAnsi="Arial" w:cs="Arial"/>
                <w:b/>
                <w:sz w:val="36"/>
              </w:rPr>
            </w:pPr>
            <w:r>
              <w:rPr>
                <w:rFonts w:ascii="Arial" w:hAnsi="Arial" w:cs="Arial"/>
                <w:b/>
                <w:sz w:val="36"/>
              </w:rPr>
              <w:t>Economic and Social</w:t>
            </w:r>
            <w:r>
              <w:rPr>
                <w:rFonts w:ascii="Arial" w:hAnsi="Arial" w:cs="Arial"/>
                <w:b/>
                <w:sz w:val="36"/>
              </w:rPr>
              <w:br/>
              <w:t>Council</w:t>
            </w:r>
          </w:p>
          <w:p w:rsidR="00000000" w:rsidRDefault="00000000">
            <w:pPr>
              <w:spacing w:after="240"/>
              <w:rPr>
                <w:b/>
                <w:sz w:val="36"/>
              </w:rPr>
            </w:pPr>
          </w:p>
        </w:tc>
        <w:tc>
          <w:tcPr>
            <w:tcW w:w="2889" w:type="dxa"/>
            <w:tcBorders>
              <w:top w:val="single" w:sz="6" w:space="0" w:color="auto"/>
              <w:left w:val="nil"/>
              <w:bottom w:val="single" w:sz="36" w:space="0" w:color="auto"/>
              <w:right w:val="nil"/>
            </w:tcBorders>
          </w:tcPr>
          <w:p w:rsidR="00000000" w:rsidRDefault="00000000">
            <w:pPr>
              <w:spacing w:before="240" w:after="240"/>
              <w:rPr>
                <w:lang w:val="pt-BR"/>
              </w:rPr>
            </w:pPr>
            <w:r>
              <w:rPr>
                <w:lang w:val="pt-BR"/>
              </w:rPr>
              <w:t>Distr.</w:t>
            </w:r>
            <w:r>
              <w:rPr>
                <w:lang w:val="pt-BR"/>
              </w:rPr>
              <w:br/>
              <w:t>GENERAL</w:t>
            </w:r>
          </w:p>
          <w:p w:rsidR="00000000" w:rsidRDefault="00000000">
            <w:pPr>
              <w:pStyle w:val="Header"/>
              <w:tabs>
                <w:tab w:val="clear" w:pos="4320"/>
                <w:tab w:val="clear" w:pos="8640"/>
              </w:tabs>
              <w:rPr>
                <w:lang w:val="pt-BR"/>
              </w:rPr>
            </w:pPr>
            <w:r>
              <w:rPr>
                <w:lang w:val="pt-BR"/>
              </w:rPr>
              <w:t>E/C.12/PRY/3</w:t>
            </w:r>
          </w:p>
          <w:p w:rsidR="00000000" w:rsidRDefault="00000000">
            <w:pPr>
              <w:spacing w:after="240"/>
            </w:pPr>
            <w:r>
              <w:t>26th February 2007</w:t>
            </w:r>
          </w:p>
          <w:p w:rsidR="00000000" w:rsidRDefault="00000000">
            <w:pPr>
              <w:pStyle w:val="Header"/>
              <w:tabs>
                <w:tab w:val="clear" w:pos="4320"/>
                <w:tab w:val="clear" w:pos="8640"/>
              </w:tabs>
            </w:pPr>
            <w:r>
              <w:t>ENGLISH</w:t>
            </w:r>
          </w:p>
          <w:p w:rsidR="00000000" w:rsidRDefault="00000000">
            <w:pPr>
              <w:spacing w:after="240"/>
            </w:pPr>
            <w:r>
              <w:t>Original: SPANISH</w:t>
            </w:r>
          </w:p>
        </w:tc>
      </w:tr>
    </w:tbl>
    <w:p w:rsidR="00000000" w:rsidRDefault="00000000">
      <w:pPr>
        <w:spacing w:beforeLines="40" w:before="96" w:afterLines="40" w:after="96"/>
        <w:rPr>
          <w:lang w:val="en-US"/>
        </w:rPr>
      </w:pPr>
      <w:r>
        <w:rPr>
          <w:lang w:val="en-US"/>
        </w:rPr>
        <w:t>Substantive session of 2007</w:t>
      </w:r>
    </w:p>
    <w:p w:rsidR="00000000" w:rsidRDefault="00000000">
      <w:pPr>
        <w:spacing w:beforeLines="40" w:before="96" w:afterLines="40" w:after="96"/>
        <w:rPr>
          <w:b/>
          <w:bCs/>
          <w:lang w:val="en-US"/>
        </w:rPr>
      </w:pPr>
    </w:p>
    <w:p w:rsidR="00000000" w:rsidRDefault="00000000">
      <w:pPr>
        <w:spacing w:beforeLines="40" w:before="96" w:afterLines="40" w:after="96"/>
        <w:rPr>
          <w:b/>
          <w:bCs/>
          <w:lang w:val="en-US"/>
        </w:rPr>
      </w:pPr>
    </w:p>
    <w:p w:rsidR="00000000" w:rsidRDefault="00000000">
      <w:pPr>
        <w:pStyle w:val="xl27"/>
        <w:pBdr>
          <w:left w:val="none" w:sz="0" w:space="0" w:color="auto"/>
          <w:bottom w:val="none" w:sz="0" w:space="0" w:color="auto"/>
          <w:right w:val="none" w:sz="0" w:space="0" w:color="auto"/>
        </w:pBdr>
        <w:spacing w:beforeLines="40" w:before="96" w:beforeAutospacing="0" w:afterLines="40" w:after="96" w:afterAutospacing="0"/>
        <w:rPr>
          <w:rFonts w:ascii="Times New Roman" w:eastAsia="Times New Roman" w:hAnsi="Times New Roman" w:cs="Times New Roman"/>
          <w:lang w:val="en-US" w:eastAsia="en-US"/>
        </w:rPr>
      </w:pPr>
      <w:r>
        <w:rPr>
          <w:rFonts w:ascii="Times New Roman" w:eastAsia="Times New Roman" w:hAnsi="Times New Roman" w:cs="Times New Roman"/>
          <w:lang w:val="en-US" w:eastAsia="en-US"/>
        </w:rPr>
        <w:t>IMPLEMENTATION OF THE INTERNATIONAL COVENANT ON</w:t>
      </w:r>
      <w:r>
        <w:rPr>
          <w:rFonts w:ascii="Times New Roman" w:eastAsia="Times New Roman" w:hAnsi="Times New Roman" w:cs="Times New Roman"/>
          <w:lang w:val="en-US" w:eastAsia="en-US"/>
        </w:rPr>
        <w:br/>
        <w:t>ECONOMIC, SOCIAL AND CULTURAL RIGHTS</w:t>
      </w:r>
    </w:p>
    <w:p w:rsidR="00000000" w:rsidRDefault="00000000">
      <w:pPr>
        <w:spacing w:beforeLines="40" w:before="96" w:afterLines="40" w:after="96"/>
        <w:rPr>
          <w:b/>
          <w:bCs/>
          <w:lang w:val="en-US"/>
        </w:rPr>
      </w:pPr>
    </w:p>
    <w:p w:rsidR="00000000" w:rsidRDefault="00000000">
      <w:pPr>
        <w:pStyle w:val="xl27"/>
        <w:pBdr>
          <w:left w:val="none" w:sz="0" w:space="0" w:color="auto"/>
          <w:bottom w:val="none" w:sz="0" w:space="0" w:color="auto"/>
          <w:right w:val="none" w:sz="0" w:space="0" w:color="auto"/>
        </w:pBdr>
        <w:spacing w:beforeLines="40" w:before="96" w:beforeAutospacing="0" w:afterLines="40" w:after="96" w:afterAutospacing="0"/>
        <w:rPr>
          <w:rFonts w:ascii="Times New Roman" w:hAnsi="Times New Roman" w:cs="Times New Roman"/>
        </w:rPr>
      </w:pPr>
      <w:r>
        <w:rPr>
          <w:rFonts w:ascii="Times New Roman" w:hAnsi="Times New Roman" w:cs="Times New Roman"/>
        </w:rPr>
        <w:t>Second and third periodic reports to be submitted by States parties under</w:t>
      </w:r>
      <w:r>
        <w:rPr>
          <w:rFonts w:ascii="Times New Roman" w:hAnsi="Times New Roman" w:cs="Times New Roman"/>
        </w:rPr>
        <w:br/>
        <w:t>articles 16 and 17 of the Covenant</w:t>
      </w:r>
    </w:p>
    <w:p w:rsidR="00000000" w:rsidRDefault="00000000">
      <w:pPr>
        <w:pStyle w:val="xl27"/>
        <w:pBdr>
          <w:left w:val="none" w:sz="0" w:space="0" w:color="auto"/>
          <w:bottom w:val="none" w:sz="0" w:space="0" w:color="auto"/>
          <w:right w:val="none" w:sz="0" w:space="0" w:color="auto"/>
        </w:pBdr>
        <w:spacing w:beforeLines="40" w:before="96" w:beforeAutospacing="0" w:afterLines="40" w:after="96" w:afterAutospacing="0"/>
        <w:rPr>
          <w:rFonts w:ascii="Times New Roman" w:hAnsi="Times New Roman" w:cs="Times New Roman"/>
        </w:rPr>
      </w:pPr>
    </w:p>
    <w:p w:rsidR="00000000" w:rsidRDefault="00000000">
      <w:pPr>
        <w:spacing w:beforeLines="40" w:before="96" w:afterLines="40" w:after="96"/>
        <w:jc w:val="center"/>
        <w:rPr>
          <w:b/>
          <w:bCs/>
          <w:lang w:val="en-US"/>
        </w:rPr>
      </w:pPr>
      <w:r>
        <w:rPr>
          <w:b/>
          <w:bCs/>
          <w:lang w:val="en-US"/>
        </w:rPr>
        <w:t>PARAGUAY* ** ***</w:t>
      </w:r>
    </w:p>
    <w:p w:rsidR="00000000" w:rsidRDefault="00000000">
      <w:pPr>
        <w:spacing w:beforeLines="40" w:before="96" w:afterLines="40" w:after="96"/>
        <w:jc w:val="center"/>
        <w:rPr>
          <w:b/>
          <w:bCs/>
          <w:lang w:val="en-US"/>
        </w:rPr>
      </w:pPr>
    </w:p>
    <w:p w:rsidR="00000000" w:rsidRDefault="00000000">
      <w:pPr>
        <w:spacing w:beforeLines="40" w:before="96" w:afterLines="40" w:after="96"/>
        <w:jc w:val="right"/>
        <w:rPr>
          <w:bCs/>
          <w:lang w:val="en-US"/>
        </w:rPr>
      </w:pPr>
      <w:r>
        <w:rPr>
          <w:bCs/>
          <w:lang w:val="en-US"/>
        </w:rPr>
        <w:t>[Períod 1994-2006]</w:t>
      </w:r>
    </w:p>
    <w:p w:rsidR="00000000" w:rsidRDefault="00000000">
      <w:pPr>
        <w:spacing w:beforeLines="40" w:before="96" w:afterLines="40" w:after="96"/>
        <w:rPr>
          <w:b/>
          <w:bCs/>
          <w:lang w:val="en-US"/>
        </w:rPr>
      </w:pPr>
    </w:p>
    <w:p w:rsidR="00000000" w:rsidRDefault="00000000">
      <w:pPr>
        <w:spacing w:beforeLines="40" w:before="96" w:afterLines="40" w:after="96"/>
        <w:rPr>
          <w:b/>
          <w:bCs/>
          <w:lang w:val="en-US"/>
        </w:rPr>
      </w:pPr>
    </w:p>
    <w:p w:rsidR="00000000" w:rsidRDefault="00000000">
      <w:pPr>
        <w:spacing w:beforeLines="40" w:before="96" w:afterLines="40" w:after="96"/>
        <w:rPr>
          <w:b/>
          <w:bCs/>
          <w:lang w:val="en-US"/>
        </w:rPr>
      </w:pPr>
    </w:p>
    <w:p w:rsidR="00000000" w:rsidRDefault="00000000">
      <w:pPr>
        <w:spacing w:beforeLines="40" w:before="96" w:afterLines="40" w:after="96"/>
        <w:rPr>
          <w:b/>
          <w:bCs/>
          <w:lang w:val="en-US"/>
        </w:rPr>
      </w:pPr>
    </w:p>
    <w:p w:rsidR="00000000" w:rsidRDefault="00000000">
      <w:pPr>
        <w:spacing w:beforeLines="40" w:before="96" w:afterLines="40" w:after="96"/>
        <w:rPr>
          <w:b/>
          <w:bCs/>
          <w:lang w:val="en-US"/>
        </w:rPr>
      </w:pPr>
    </w:p>
    <w:p w:rsidR="00000000" w:rsidRDefault="00000000">
      <w:pPr>
        <w:spacing w:beforeLines="40" w:before="96" w:afterLines="40" w:after="96"/>
        <w:rPr>
          <w:b/>
          <w:bCs/>
          <w:lang w:val="en-US"/>
        </w:rPr>
      </w:pPr>
    </w:p>
    <w:p w:rsidR="00000000" w:rsidRDefault="00000000">
      <w:pPr>
        <w:spacing w:beforeLines="40" w:before="96" w:afterLines="40" w:after="96"/>
        <w:rPr>
          <w:b/>
          <w:bCs/>
          <w:u w:val="single"/>
          <w:lang w:val="en-US"/>
        </w:rPr>
      </w:pPr>
      <w:r>
        <w:rPr>
          <w:b/>
          <w:bCs/>
          <w:u w:val="single"/>
          <w:lang w:val="en-US"/>
        </w:rPr>
        <w:tab/>
      </w:r>
      <w:r>
        <w:rPr>
          <w:b/>
          <w:bCs/>
          <w:u w:val="single"/>
          <w:lang w:val="en-US"/>
        </w:rPr>
        <w:tab/>
      </w:r>
      <w:r>
        <w:rPr>
          <w:b/>
          <w:bCs/>
          <w:u w:val="single"/>
          <w:lang w:val="en-US"/>
        </w:rPr>
        <w:tab/>
      </w:r>
    </w:p>
    <w:p w:rsidR="00000000" w:rsidRDefault="00000000">
      <w:pPr>
        <w:pStyle w:val="FootnoteText"/>
        <w:ind w:firstLine="567"/>
        <w:rPr>
          <w:sz w:val="24"/>
          <w:lang w:val="en-US"/>
        </w:rPr>
      </w:pPr>
      <w:r>
        <w:rPr>
          <w:rStyle w:val="FootnoteReference"/>
          <w:sz w:val="24"/>
          <w:lang w:val="en-US"/>
        </w:rPr>
        <w:t>*</w:t>
      </w:r>
      <w:r>
        <w:rPr>
          <w:sz w:val="24"/>
          <w:lang w:val="en-US"/>
        </w:rPr>
        <w:t xml:space="preserve">  The initial report submitted by the Government of the Paraguay (E/1990/5/Add.23) concerning the rights covered by articles 1 to 15 of the Covenant was considered by the Committee on Economic, Social and Cultural Rights at its 14</w:t>
      </w:r>
      <w:r>
        <w:rPr>
          <w:sz w:val="24"/>
          <w:vertAlign w:val="superscript"/>
          <w:lang w:val="en-US"/>
        </w:rPr>
        <w:t>th</w:t>
      </w:r>
      <w:r>
        <w:rPr>
          <w:sz w:val="24"/>
          <w:lang w:val="en-US"/>
        </w:rPr>
        <w:t xml:space="preserve"> session in 1996 (see documents E/C.12/1996/SR.1, 2 and 4).</w:t>
      </w:r>
    </w:p>
    <w:p w:rsidR="00000000" w:rsidRDefault="00000000">
      <w:pPr>
        <w:pStyle w:val="FootnoteText"/>
        <w:rPr>
          <w:sz w:val="24"/>
          <w:lang w:val="en-US"/>
        </w:rPr>
      </w:pPr>
    </w:p>
    <w:p w:rsidR="00000000" w:rsidRDefault="00000000">
      <w:pPr>
        <w:pStyle w:val="FootnoteText"/>
        <w:tabs>
          <w:tab w:val="left" w:pos="454"/>
          <w:tab w:val="left" w:pos="1021"/>
        </w:tabs>
        <w:rPr>
          <w:sz w:val="24"/>
          <w:szCs w:val="22"/>
        </w:rPr>
      </w:pPr>
      <w:r>
        <w:rPr>
          <w:sz w:val="24"/>
          <w:szCs w:val="22"/>
        </w:rPr>
        <w:tab/>
      </w:r>
      <w:r>
        <w:rPr>
          <w:rStyle w:val="FootnoteReference"/>
          <w:sz w:val="24"/>
          <w:szCs w:val="22"/>
        </w:rPr>
        <w:t>**</w:t>
      </w:r>
      <w:r>
        <w:rPr>
          <w:sz w:val="24"/>
          <w:szCs w:val="22"/>
        </w:rPr>
        <w:t xml:space="preserve">  The information submitted by Paraguay in accordance with the guidelines concerning the initial part of reports of States parties is contained in the core document (HRI/CORE/1/Add.24).</w:t>
      </w:r>
    </w:p>
    <w:p w:rsidR="00000000" w:rsidRDefault="00000000">
      <w:pPr>
        <w:pStyle w:val="FootnoteText"/>
        <w:rPr>
          <w:sz w:val="24"/>
          <w:szCs w:val="22"/>
        </w:rPr>
      </w:pPr>
    </w:p>
    <w:p w:rsidR="00000000" w:rsidRDefault="00000000">
      <w:pPr>
        <w:pStyle w:val="FootnoteText"/>
        <w:ind w:firstLine="567"/>
        <w:rPr>
          <w:sz w:val="24"/>
          <w:szCs w:val="22"/>
        </w:rPr>
      </w:pPr>
      <w:r>
        <w:rPr>
          <w:rStyle w:val="FootnoteReference"/>
          <w:sz w:val="24"/>
          <w:szCs w:val="22"/>
        </w:rPr>
        <w:t>***</w:t>
      </w:r>
      <w:r>
        <w:rPr>
          <w:sz w:val="24"/>
          <w:szCs w:val="22"/>
        </w:rP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spacing w:after="240"/>
        <w:rPr>
          <w:sz w:val="24"/>
          <w:lang w:val="en-US"/>
        </w:rPr>
      </w:pPr>
    </w:p>
    <w:p w:rsidR="00000000" w:rsidRDefault="00000000">
      <w:pPr>
        <w:spacing w:beforeLines="40" w:before="96" w:afterLines="40" w:after="96"/>
        <w:rPr>
          <w:lang w:val="fr-FR"/>
        </w:rPr>
      </w:pPr>
      <w:r>
        <w:rPr>
          <w:lang w:val="fr-FR"/>
        </w:rPr>
        <w:t>GE.07-40676  (EXT)</w:t>
      </w:r>
    </w:p>
    <w:p w:rsidR="00000000" w:rsidRDefault="00000000">
      <w:pPr>
        <w:tabs>
          <w:tab w:val="left" w:pos="567"/>
          <w:tab w:val="left" w:pos="1021"/>
          <w:tab w:val="left" w:pos="1474"/>
          <w:tab w:val="left" w:leader="dot" w:pos="7144"/>
          <w:tab w:val="center" w:pos="7995"/>
          <w:tab w:val="right" w:pos="9412"/>
        </w:tabs>
        <w:spacing w:beforeLines="40" w:before="96" w:afterLines="40" w:after="96"/>
        <w:jc w:val="center"/>
        <w:rPr>
          <w:b/>
          <w:bCs/>
          <w:lang w:val="fr-FR"/>
        </w:rPr>
      </w:pPr>
      <w:r>
        <w:rPr>
          <w:b/>
          <w:bCs/>
          <w:lang w:val="fr-FR"/>
        </w:rPr>
        <w:t>CONTENTS</w:t>
      </w:r>
    </w:p>
    <w:p w:rsidR="00000000" w:rsidRDefault="00000000">
      <w:pPr>
        <w:tabs>
          <w:tab w:val="center" w:pos="7995"/>
          <w:tab w:val="right" w:pos="9412"/>
        </w:tabs>
        <w:spacing w:beforeLines="40" w:before="96" w:afterLines="40" w:after="96"/>
        <w:rPr>
          <w:i/>
          <w:iCs/>
          <w:color w:val="000000"/>
          <w:szCs w:val="20"/>
          <w:lang w:val="en-US"/>
        </w:rPr>
      </w:pPr>
      <w:r>
        <w:rPr>
          <w:i/>
          <w:iCs/>
          <w:color w:val="000000"/>
          <w:sz w:val="20"/>
          <w:szCs w:val="20"/>
          <w:lang w:val="fr-FR"/>
        </w:rPr>
        <w:tab/>
      </w:r>
      <w:r>
        <w:rPr>
          <w:i/>
          <w:iCs/>
          <w:color w:val="000000"/>
          <w:sz w:val="20"/>
          <w:szCs w:val="20"/>
          <w:lang w:val="en-US"/>
        </w:rPr>
        <w:t>Paragraphs</w:t>
      </w:r>
      <w:r>
        <w:rPr>
          <w:i/>
          <w:iCs/>
          <w:color w:val="000000"/>
          <w:sz w:val="20"/>
          <w:szCs w:val="20"/>
          <w:lang w:val="en-US"/>
        </w:rPr>
        <w:tab/>
        <w:t>Page</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color w:val="000000"/>
          <w:lang w:val="en-US"/>
        </w:rPr>
      </w:pPr>
    </w:p>
    <w:p w:rsidR="00000000" w:rsidRDefault="00000000">
      <w:pPr>
        <w:tabs>
          <w:tab w:val="left" w:pos="567"/>
          <w:tab w:val="left" w:pos="1021"/>
          <w:tab w:val="left" w:pos="1474"/>
          <w:tab w:val="left" w:leader="dot" w:pos="7144"/>
          <w:tab w:val="center" w:pos="7995"/>
          <w:tab w:val="right" w:pos="9412"/>
        </w:tabs>
        <w:spacing w:beforeLines="40" w:before="96" w:afterLines="40" w:after="96"/>
        <w:rPr>
          <w:color w:val="000000"/>
          <w:lang w:val="en-US"/>
        </w:rPr>
      </w:pPr>
      <w:r>
        <w:rPr>
          <w:color w:val="000000"/>
          <w:lang w:val="en-US"/>
        </w:rPr>
        <w:t>I.</w:t>
      </w:r>
      <w:r>
        <w:rPr>
          <w:color w:val="000000"/>
          <w:lang w:val="en-US"/>
        </w:rPr>
        <w:tab/>
        <w:t>TERRITORY AND POPULATION</w:t>
      </w:r>
      <w:r>
        <w:rPr>
          <w:color w:val="000000"/>
          <w:lang w:val="en-US"/>
        </w:rPr>
        <w:tab/>
      </w:r>
      <w:r>
        <w:rPr>
          <w:color w:val="000000"/>
          <w:lang w:val="en-US"/>
        </w:rPr>
        <w:tab/>
        <w:t xml:space="preserve">1 - 50 </w:t>
      </w:r>
      <w:r>
        <w:rPr>
          <w:color w:val="000000"/>
          <w:lang w:val="en-US"/>
        </w:rPr>
        <w:tab/>
        <w:t>4</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color w:val="000000"/>
          <w:lang w:val="en-US"/>
        </w:rPr>
      </w:pPr>
      <w:r>
        <w:rPr>
          <w:color w:val="000000"/>
          <w:lang w:val="en-US"/>
        </w:rPr>
        <w:tab/>
        <w:t>A.</w:t>
      </w:r>
      <w:r>
        <w:rPr>
          <w:color w:val="000000"/>
          <w:lang w:val="en-US"/>
        </w:rPr>
        <w:tab/>
        <w:t xml:space="preserve">General characteristics of the country </w:t>
      </w:r>
      <w:r>
        <w:rPr>
          <w:color w:val="000000"/>
          <w:lang w:val="en-US"/>
        </w:rPr>
        <w:tab/>
      </w:r>
      <w:r>
        <w:rPr>
          <w:color w:val="000000"/>
          <w:lang w:val="en-US"/>
        </w:rPr>
        <w:tab/>
        <w:t>1 - 3</w:t>
      </w:r>
      <w:r>
        <w:rPr>
          <w:color w:val="000000"/>
          <w:lang w:val="en-US"/>
        </w:rPr>
        <w:tab/>
        <w:t>4</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color w:val="000000"/>
          <w:lang w:val="en-US"/>
        </w:rPr>
      </w:pPr>
      <w:r>
        <w:rPr>
          <w:color w:val="000000"/>
          <w:lang w:val="en-US"/>
        </w:rPr>
        <w:tab/>
        <w:t>B.</w:t>
      </w:r>
      <w:r>
        <w:rPr>
          <w:color w:val="000000"/>
          <w:lang w:val="en-US"/>
        </w:rPr>
        <w:tab/>
        <w:t>Ethnic characteristics</w:t>
      </w:r>
      <w:r>
        <w:rPr>
          <w:color w:val="000000"/>
          <w:lang w:val="en-US"/>
        </w:rPr>
        <w:tab/>
      </w:r>
      <w:r>
        <w:rPr>
          <w:color w:val="000000"/>
          <w:lang w:val="en-US"/>
        </w:rPr>
        <w:tab/>
        <w:t>4</w:t>
      </w:r>
      <w:r>
        <w:rPr>
          <w:color w:val="000000"/>
          <w:lang w:val="en-US"/>
        </w:rPr>
        <w:tab/>
        <w:t>4</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color w:val="000000"/>
          <w:lang w:val="en-US"/>
        </w:rPr>
      </w:pPr>
      <w:r>
        <w:rPr>
          <w:color w:val="000000"/>
          <w:lang w:val="en-US"/>
        </w:rPr>
        <w:tab/>
        <w:t>C.</w:t>
      </w:r>
      <w:r>
        <w:rPr>
          <w:color w:val="000000"/>
          <w:lang w:val="en-US"/>
        </w:rPr>
        <w:tab/>
        <w:t>Ethnic characteristics of the indigenous population</w:t>
      </w:r>
      <w:r>
        <w:rPr>
          <w:color w:val="000000"/>
          <w:lang w:val="en-US"/>
        </w:rPr>
        <w:tab/>
      </w:r>
      <w:r>
        <w:rPr>
          <w:color w:val="000000"/>
          <w:lang w:val="en-US"/>
        </w:rPr>
        <w:tab/>
        <w:t>5 - 8</w:t>
      </w:r>
      <w:r>
        <w:rPr>
          <w:color w:val="000000"/>
          <w:lang w:val="en-US"/>
        </w:rPr>
        <w:tab/>
        <w:t>5</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color w:val="000000"/>
          <w:lang w:val="en-US"/>
        </w:rPr>
      </w:pPr>
      <w:r>
        <w:rPr>
          <w:color w:val="000000"/>
          <w:lang w:val="en-US"/>
        </w:rPr>
        <w:tab/>
        <w:t>D.</w:t>
      </w:r>
      <w:r>
        <w:rPr>
          <w:color w:val="000000"/>
          <w:lang w:val="en-US"/>
        </w:rPr>
        <w:tab/>
        <w:t>Demographic characteristics of the country and its population</w:t>
      </w:r>
      <w:r>
        <w:rPr>
          <w:color w:val="000000"/>
          <w:lang w:val="en-US"/>
        </w:rPr>
        <w:tab/>
      </w:r>
      <w:r>
        <w:rPr>
          <w:color w:val="000000"/>
          <w:lang w:val="en-US"/>
        </w:rPr>
        <w:tab/>
        <w:t>9 - 34</w:t>
      </w:r>
      <w:r>
        <w:rPr>
          <w:color w:val="000000"/>
          <w:lang w:val="en-US"/>
        </w:rPr>
        <w:tab/>
        <w:t>6</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color w:val="000000"/>
          <w:lang w:val="en-US"/>
        </w:rPr>
      </w:pPr>
      <w:r>
        <w:rPr>
          <w:color w:val="000000"/>
          <w:lang w:val="en-US"/>
        </w:rPr>
        <w:tab/>
        <w:t>E.</w:t>
      </w:r>
      <w:r>
        <w:rPr>
          <w:color w:val="000000"/>
          <w:lang w:val="en-US"/>
        </w:rPr>
        <w:tab/>
        <w:t xml:space="preserve">Socio-economic indicators </w:t>
      </w:r>
      <w:r>
        <w:rPr>
          <w:color w:val="000000"/>
          <w:lang w:val="en-US"/>
        </w:rPr>
        <w:tab/>
      </w:r>
      <w:r>
        <w:rPr>
          <w:color w:val="000000"/>
          <w:lang w:val="en-US"/>
        </w:rPr>
        <w:tab/>
        <w:t>35 - 42</w:t>
      </w:r>
      <w:r>
        <w:rPr>
          <w:color w:val="000000"/>
          <w:lang w:val="en-US"/>
        </w:rPr>
        <w:tab/>
        <w:t>15</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color w:val="000000"/>
          <w:lang w:val="en-US"/>
        </w:rPr>
      </w:pPr>
      <w:r>
        <w:rPr>
          <w:color w:val="000000"/>
          <w:lang w:val="en-US"/>
        </w:rPr>
        <w:tab/>
        <w:t>F.</w:t>
      </w:r>
      <w:r>
        <w:rPr>
          <w:color w:val="000000"/>
          <w:lang w:val="en-US"/>
        </w:rPr>
        <w:tab/>
        <w:t>Cultural indicators</w:t>
      </w:r>
      <w:r>
        <w:rPr>
          <w:color w:val="000000"/>
          <w:lang w:val="en-US"/>
        </w:rPr>
        <w:tab/>
      </w:r>
      <w:r>
        <w:rPr>
          <w:color w:val="000000"/>
          <w:lang w:val="en-US"/>
        </w:rPr>
        <w:tab/>
        <w:t>43 - 50</w:t>
      </w:r>
      <w:r>
        <w:rPr>
          <w:color w:val="000000"/>
          <w:lang w:val="en-US"/>
        </w:rPr>
        <w:tab/>
        <w:t>21</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color w:val="000000"/>
          <w:lang w:val="en-US"/>
        </w:rPr>
      </w:pPr>
    </w:p>
    <w:p w:rsidR="00000000" w:rsidRDefault="00000000">
      <w:pPr>
        <w:tabs>
          <w:tab w:val="left" w:pos="567"/>
          <w:tab w:val="left" w:pos="1021"/>
          <w:tab w:val="left" w:pos="1474"/>
          <w:tab w:val="left" w:leader="dot" w:pos="7144"/>
          <w:tab w:val="center" w:pos="7995"/>
          <w:tab w:val="right" w:pos="9412"/>
        </w:tabs>
        <w:spacing w:beforeLines="40" w:before="96" w:afterLines="40" w:after="96"/>
        <w:ind w:left="567" w:hanging="567"/>
        <w:rPr>
          <w:color w:val="000000"/>
          <w:lang w:val="en-US"/>
        </w:rPr>
      </w:pPr>
      <w:r>
        <w:rPr>
          <w:color w:val="000000"/>
          <w:lang w:val="en-US"/>
        </w:rPr>
        <w:t>II.</w:t>
      </w:r>
      <w:r>
        <w:rPr>
          <w:color w:val="000000"/>
          <w:lang w:val="en-US"/>
        </w:rPr>
        <w:tab/>
        <w:t xml:space="preserve">SYNOPSIS OF THE POLITICAL AND SOCIAL </w:t>
      </w:r>
      <w:r>
        <w:rPr>
          <w:color w:val="000000"/>
          <w:lang w:val="en-US"/>
        </w:rPr>
        <w:br/>
        <w:t>SITUATION IN PARAGUAY (1994-2006)</w:t>
      </w:r>
      <w:r>
        <w:rPr>
          <w:color w:val="000000"/>
          <w:lang w:val="en-US"/>
        </w:rPr>
        <w:tab/>
      </w:r>
      <w:r>
        <w:rPr>
          <w:color w:val="000000"/>
          <w:lang w:val="en-US"/>
        </w:rPr>
        <w:tab/>
        <w:t>51 - 104</w:t>
      </w:r>
      <w:r>
        <w:rPr>
          <w:color w:val="000000"/>
          <w:lang w:val="en-US"/>
        </w:rPr>
        <w:tab/>
        <w:t>24</w:t>
      </w:r>
    </w:p>
    <w:p w:rsidR="00000000" w:rsidRDefault="00000000">
      <w:pPr>
        <w:numPr>
          <w:ilvl w:val="0"/>
          <w:numId w:val="6"/>
        </w:numPr>
        <w:tabs>
          <w:tab w:val="clear" w:pos="720"/>
          <w:tab w:val="left" w:pos="567"/>
          <w:tab w:val="left" w:pos="1021"/>
          <w:tab w:val="left" w:pos="1474"/>
          <w:tab w:val="left" w:leader="dot" w:pos="7144"/>
          <w:tab w:val="center" w:pos="7995"/>
          <w:tab w:val="right" w:pos="9412"/>
        </w:tabs>
        <w:spacing w:beforeLines="40" w:before="96" w:afterLines="40" w:after="96"/>
        <w:ind w:left="567" w:firstLine="0"/>
        <w:rPr>
          <w:color w:val="000000"/>
          <w:lang w:val="en-US"/>
        </w:rPr>
      </w:pPr>
      <w:r>
        <w:rPr>
          <w:color w:val="000000"/>
          <w:lang w:val="en-US"/>
        </w:rPr>
        <w:t>Evolution of the political situation</w:t>
      </w:r>
      <w:r>
        <w:rPr>
          <w:color w:val="000000"/>
          <w:lang w:val="en-US"/>
        </w:rPr>
        <w:tab/>
      </w:r>
      <w:r>
        <w:rPr>
          <w:color w:val="000000"/>
          <w:lang w:val="en-US"/>
        </w:rPr>
        <w:tab/>
        <w:t>51 - 62</w:t>
      </w:r>
      <w:r>
        <w:rPr>
          <w:color w:val="000000"/>
          <w:lang w:val="en-US"/>
        </w:rPr>
        <w:tab/>
        <w:t>24</w:t>
      </w:r>
    </w:p>
    <w:p w:rsidR="00000000" w:rsidRDefault="00000000">
      <w:pPr>
        <w:numPr>
          <w:ilvl w:val="0"/>
          <w:numId w:val="6"/>
        </w:numPr>
        <w:tabs>
          <w:tab w:val="clear" w:pos="720"/>
          <w:tab w:val="left" w:pos="567"/>
          <w:tab w:val="left" w:pos="1021"/>
          <w:tab w:val="left" w:pos="1474"/>
          <w:tab w:val="left" w:leader="dot" w:pos="7144"/>
          <w:tab w:val="center" w:pos="7995"/>
          <w:tab w:val="right" w:pos="9412"/>
        </w:tabs>
        <w:spacing w:beforeLines="40" w:before="96" w:afterLines="40" w:after="96"/>
        <w:ind w:left="567" w:firstLine="0"/>
        <w:rPr>
          <w:color w:val="000000"/>
        </w:rPr>
      </w:pPr>
      <w:r>
        <w:rPr>
          <w:color w:val="000000"/>
        </w:rPr>
        <w:t>Governance and institutional weaknesses</w:t>
      </w:r>
      <w:r>
        <w:rPr>
          <w:color w:val="000000"/>
        </w:rPr>
        <w:tab/>
      </w:r>
      <w:r>
        <w:rPr>
          <w:color w:val="000000"/>
        </w:rPr>
        <w:tab/>
        <w:t>63 - 66</w:t>
      </w:r>
      <w:r>
        <w:rPr>
          <w:color w:val="000000"/>
        </w:rPr>
        <w:tab/>
        <w:t>26</w:t>
      </w:r>
    </w:p>
    <w:p w:rsidR="00000000" w:rsidRDefault="00000000">
      <w:pPr>
        <w:numPr>
          <w:ilvl w:val="0"/>
          <w:numId w:val="6"/>
        </w:numPr>
        <w:tabs>
          <w:tab w:val="clear" w:pos="720"/>
          <w:tab w:val="left" w:pos="567"/>
          <w:tab w:val="left" w:pos="1021"/>
          <w:tab w:val="left" w:pos="1474"/>
          <w:tab w:val="left" w:leader="dot" w:pos="7144"/>
          <w:tab w:val="center" w:pos="7995"/>
          <w:tab w:val="right" w:pos="9412"/>
        </w:tabs>
        <w:spacing w:beforeLines="40" w:before="96" w:afterLines="40" w:after="96"/>
        <w:ind w:left="567" w:firstLine="0"/>
        <w:rPr>
          <w:color w:val="000000"/>
        </w:rPr>
      </w:pPr>
      <w:r>
        <w:rPr>
          <w:color w:val="000000"/>
        </w:rPr>
        <w:t>Economic performance</w:t>
      </w:r>
      <w:r>
        <w:rPr>
          <w:color w:val="000000"/>
        </w:rPr>
        <w:tab/>
      </w:r>
      <w:r>
        <w:rPr>
          <w:color w:val="000000"/>
        </w:rPr>
        <w:tab/>
        <w:t>67 - 85</w:t>
      </w:r>
      <w:r>
        <w:rPr>
          <w:color w:val="000000"/>
        </w:rPr>
        <w:tab/>
        <w:t>27</w:t>
      </w:r>
    </w:p>
    <w:p w:rsidR="00000000" w:rsidRDefault="00000000">
      <w:pPr>
        <w:numPr>
          <w:ilvl w:val="0"/>
          <w:numId w:val="6"/>
        </w:numPr>
        <w:tabs>
          <w:tab w:val="clear" w:pos="720"/>
          <w:tab w:val="left" w:pos="567"/>
          <w:tab w:val="left" w:pos="1021"/>
          <w:tab w:val="left" w:pos="1474"/>
          <w:tab w:val="left" w:leader="dot" w:pos="7144"/>
          <w:tab w:val="center" w:pos="7995"/>
          <w:tab w:val="right" w:pos="9412"/>
        </w:tabs>
        <w:spacing w:beforeLines="40" w:before="96" w:afterLines="40" w:after="96"/>
        <w:ind w:left="567" w:firstLine="0"/>
        <w:rPr>
          <w:color w:val="000000"/>
        </w:rPr>
      </w:pPr>
      <w:r>
        <w:rPr>
          <w:color w:val="000000"/>
        </w:rPr>
        <w:t>Paraguay’s development challenges</w:t>
      </w:r>
      <w:r>
        <w:rPr>
          <w:color w:val="000000"/>
        </w:rPr>
        <w:tab/>
      </w:r>
      <w:r>
        <w:rPr>
          <w:color w:val="000000"/>
        </w:rPr>
        <w:tab/>
        <w:t>86 - 97</w:t>
      </w:r>
      <w:r>
        <w:rPr>
          <w:color w:val="000000"/>
        </w:rPr>
        <w:tab/>
        <w:t>29</w:t>
      </w:r>
    </w:p>
    <w:p w:rsidR="00000000" w:rsidRDefault="00000000">
      <w:pPr>
        <w:numPr>
          <w:ilvl w:val="0"/>
          <w:numId w:val="6"/>
        </w:numPr>
        <w:tabs>
          <w:tab w:val="clear" w:pos="720"/>
          <w:tab w:val="left" w:pos="567"/>
          <w:tab w:val="left" w:pos="1021"/>
          <w:tab w:val="left" w:pos="1474"/>
          <w:tab w:val="left" w:leader="dot" w:pos="7144"/>
          <w:tab w:val="center" w:pos="7995"/>
          <w:tab w:val="right" w:pos="9412"/>
        </w:tabs>
        <w:spacing w:beforeLines="40" w:before="96" w:afterLines="40" w:after="96"/>
        <w:ind w:left="567" w:firstLine="0"/>
        <w:rPr>
          <w:color w:val="000000"/>
          <w:lang w:val="es-ES_tradnl"/>
        </w:rPr>
      </w:pPr>
      <w:r>
        <w:rPr>
          <w:color w:val="000000"/>
          <w:lang w:val="es-ES_tradnl"/>
        </w:rPr>
        <w:t>Government development strategy</w:t>
      </w:r>
      <w:r>
        <w:rPr>
          <w:color w:val="000000"/>
          <w:lang w:val="es-ES_tradnl"/>
        </w:rPr>
        <w:tab/>
      </w:r>
      <w:r>
        <w:rPr>
          <w:color w:val="000000"/>
          <w:lang w:val="es-ES_tradnl"/>
        </w:rPr>
        <w:tab/>
        <w:t>98 - 104</w:t>
      </w:r>
      <w:r>
        <w:rPr>
          <w:color w:val="000000"/>
          <w:lang w:val="es-ES_tradnl"/>
        </w:rPr>
        <w:tab/>
        <w:t>32</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color w:val="000000"/>
          <w:lang w:val="es-ES_tradnl"/>
        </w:rPr>
      </w:pPr>
    </w:p>
    <w:p w:rsidR="00000000" w:rsidRDefault="00000000">
      <w:pPr>
        <w:tabs>
          <w:tab w:val="left" w:pos="567"/>
          <w:tab w:val="left" w:pos="1021"/>
          <w:tab w:val="left" w:pos="1474"/>
          <w:tab w:val="left" w:leader="dot" w:pos="7144"/>
          <w:tab w:val="center" w:pos="7995"/>
          <w:tab w:val="right" w:pos="9412"/>
        </w:tabs>
        <w:spacing w:beforeLines="40" w:before="96" w:afterLines="40" w:after="96"/>
        <w:rPr>
          <w:color w:val="000000"/>
          <w:lang w:val="en-US"/>
        </w:rPr>
      </w:pPr>
      <w:r>
        <w:rPr>
          <w:color w:val="000000"/>
          <w:lang w:val="en-US"/>
        </w:rPr>
        <w:t>III.</w:t>
      </w:r>
      <w:r>
        <w:rPr>
          <w:color w:val="000000"/>
          <w:lang w:val="en-US"/>
        </w:rPr>
        <w:tab/>
        <w:t>REPORT OF THE OFFICE OF THE OMBUDSMAN</w:t>
      </w:r>
      <w:r>
        <w:rPr>
          <w:color w:val="000000"/>
          <w:lang w:val="en-US"/>
        </w:rPr>
        <w:tab/>
      </w:r>
      <w:r>
        <w:rPr>
          <w:color w:val="000000"/>
          <w:lang w:val="en-US"/>
        </w:rPr>
        <w:tab/>
        <w:t>105 - 115</w:t>
      </w:r>
      <w:r>
        <w:rPr>
          <w:color w:val="000000"/>
          <w:lang w:val="en-US"/>
        </w:rPr>
        <w:tab/>
        <w:t>34</w:t>
      </w:r>
    </w:p>
    <w:p w:rsidR="00000000" w:rsidRDefault="00000000">
      <w:pPr>
        <w:tabs>
          <w:tab w:val="left" w:pos="567"/>
          <w:tab w:val="left" w:pos="1021"/>
          <w:tab w:val="left" w:pos="1474"/>
          <w:tab w:val="left" w:leader="dot" w:pos="7144"/>
          <w:tab w:val="center" w:pos="7995"/>
          <w:tab w:val="right" w:pos="9412"/>
        </w:tabs>
        <w:spacing w:beforeLines="40" w:before="96" w:afterLines="40" w:after="96"/>
        <w:ind w:left="567" w:hanging="567"/>
        <w:rPr>
          <w:color w:val="000000"/>
          <w:lang w:val="en-US"/>
        </w:rPr>
      </w:pPr>
    </w:p>
    <w:p w:rsidR="00000000" w:rsidRDefault="00000000">
      <w:pPr>
        <w:tabs>
          <w:tab w:val="left" w:pos="567"/>
          <w:tab w:val="left" w:pos="1021"/>
          <w:tab w:val="left" w:pos="1474"/>
          <w:tab w:val="left" w:leader="dot" w:pos="7144"/>
          <w:tab w:val="center" w:pos="7995"/>
          <w:tab w:val="right" w:pos="9412"/>
        </w:tabs>
        <w:spacing w:beforeLines="40" w:before="96" w:afterLines="40" w:after="96"/>
        <w:ind w:left="567" w:hanging="567"/>
        <w:rPr>
          <w:color w:val="000000"/>
          <w:lang w:val="en-US"/>
        </w:rPr>
      </w:pPr>
      <w:r>
        <w:rPr>
          <w:color w:val="000000"/>
          <w:lang w:val="en-US"/>
        </w:rPr>
        <w:t>IV.</w:t>
      </w:r>
      <w:r>
        <w:rPr>
          <w:color w:val="000000"/>
          <w:lang w:val="en-US"/>
        </w:rPr>
        <w:tab/>
        <w:t>NORMATIVE FRAMEWORK FOR THE PROTECTION</w:t>
      </w:r>
      <w:r>
        <w:rPr>
          <w:color w:val="000000"/>
          <w:lang w:val="en-US"/>
        </w:rPr>
        <w:br/>
        <w:t>OF HUMAN RIGHTS</w:t>
      </w:r>
      <w:r>
        <w:rPr>
          <w:color w:val="000000"/>
          <w:lang w:val="en-US"/>
        </w:rPr>
        <w:tab/>
      </w:r>
      <w:r>
        <w:rPr>
          <w:color w:val="000000"/>
          <w:lang w:val="en-US"/>
        </w:rPr>
        <w:tab/>
        <w:t>116</w:t>
      </w:r>
      <w:r>
        <w:rPr>
          <w:color w:val="000000"/>
          <w:lang w:val="en-US"/>
        </w:rPr>
        <w:tab/>
        <w:t>37</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color w:val="000000"/>
          <w:lang w:val="en-US"/>
        </w:rPr>
      </w:pPr>
    </w:p>
    <w:p w:rsidR="00000000" w:rsidRDefault="00000000">
      <w:pPr>
        <w:tabs>
          <w:tab w:val="left" w:pos="567"/>
          <w:tab w:val="left" w:pos="1021"/>
          <w:tab w:val="left" w:pos="1474"/>
          <w:tab w:val="left" w:leader="dot" w:pos="7144"/>
          <w:tab w:val="center" w:pos="7995"/>
          <w:tab w:val="right" w:pos="9412"/>
        </w:tabs>
        <w:spacing w:beforeLines="40" w:before="96" w:afterLines="40" w:after="96"/>
        <w:ind w:left="567" w:hanging="567"/>
        <w:rPr>
          <w:color w:val="000000"/>
          <w:lang w:val="en-US"/>
        </w:rPr>
      </w:pPr>
      <w:r>
        <w:rPr>
          <w:color w:val="000000"/>
          <w:lang w:val="en-US"/>
        </w:rPr>
        <w:t>V.</w:t>
      </w:r>
      <w:r>
        <w:rPr>
          <w:color w:val="000000"/>
          <w:lang w:val="en-US"/>
        </w:rPr>
        <w:tab/>
        <w:t xml:space="preserve">SECOND PART: REPLY TO THE LIST OF ISSUES </w:t>
      </w:r>
      <w:r>
        <w:rPr>
          <w:color w:val="000000"/>
          <w:lang w:val="en-US"/>
        </w:rPr>
        <w:br/>
        <w:t>ON ECONOMIC, SOCIAL AND CULTURAL</w:t>
      </w:r>
      <w:r>
        <w:rPr>
          <w:color w:val="000000"/>
          <w:lang w:val="en-US"/>
        </w:rPr>
        <w:br/>
        <w:t>RIGHTS</w:t>
      </w:r>
      <w:r>
        <w:rPr>
          <w:color w:val="000000"/>
          <w:lang w:val="en-US"/>
        </w:rPr>
        <w:tab/>
      </w:r>
      <w:r>
        <w:rPr>
          <w:color w:val="000000"/>
          <w:lang w:val="en-US"/>
        </w:rPr>
        <w:tab/>
      </w:r>
      <w:r>
        <w:rPr>
          <w:color w:val="000000"/>
          <w:lang w:val="en-US"/>
        </w:rPr>
        <w:tab/>
        <w:t>117 - 632</w:t>
      </w:r>
      <w:r>
        <w:rPr>
          <w:color w:val="000000"/>
          <w:lang w:val="en-US"/>
        </w:rPr>
        <w:tab/>
        <w:t>37</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lang w:val="fr-FR"/>
        </w:rPr>
      </w:pPr>
      <w:r>
        <w:rPr>
          <w:lang w:val="en-US"/>
        </w:rPr>
        <w:tab/>
      </w:r>
      <w:r>
        <w:rPr>
          <w:lang w:val="fr-FR"/>
        </w:rPr>
        <w:t>Article 1</w:t>
      </w:r>
      <w:r>
        <w:rPr>
          <w:lang w:val="fr-FR"/>
        </w:rPr>
        <w:tab/>
      </w:r>
      <w:r>
        <w:rPr>
          <w:lang w:val="fr-FR"/>
        </w:rPr>
        <w:tab/>
      </w:r>
      <w:r>
        <w:rPr>
          <w:lang w:val="fr-FR"/>
        </w:rPr>
        <w:tab/>
        <w:t>117 - 128</w:t>
      </w:r>
      <w:r>
        <w:rPr>
          <w:lang w:val="fr-FR"/>
        </w:rPr>
        <w:tab/>
        <w:t>37</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lang w:val="fr-FR"/>
        </w:rPr>
      </w:pPr>
      <w:r>
        <w:rPr>
          <w:lang w:val="fr-FR"/>
        </w:rPr>
        <w:tab/>
        <w:t>Article 2</w:t>
      </w:r>
      <w:r>
        <w:rPr>
          <w:lang w:val="fr-FR"/>
        </w:rPr>
        <w:tab/>
      </w:r>
      <w:r>
        <w:rPr>
          <w:lang w:val="fr-FR"/>
        </w:rPr>
        <w:tab/>
      </w:r>
      <w:r>
        <w:rPr>
          <w:lang w:val="fr-FR"/>
        </w:rPr>
        <w:tab/>
        <w:t>129 - 134</w:t>
      </w:r>
      <w:r>
        <w:rPr>
          <w:lang w:val="fr-FR"/>
        </w:rPr>
        <w:tab/>
        <w:t>40</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lang w:val="fr-FR"/>
        </w:rPr>
      </w:pPr>
      <w:r>
        <w:rPr>
          <w:lang w:val="fr-FR"/>
        </w:rPr>
        <w:tab/>
        <w:t>Article 3</w:t>
      </w:r>
      <w:r>
        <w:rPr>
          <w:lang w:val="fr-FR"/>
        </w:rPr>
        <w:tab/>
      </w:r>
      <w:r>
        <w:rPr>
          <w:lang w:val="fr-FR"/>
        </w:rPr>
        <w:tab/>
      </w:r>
      <w:r>
        <w:rPr>
          <w:lang w:val="fr-FR"/>
        </w:rPr>
        <w:tab/>
        <w:t>135 - 160</w:t>
      </w:r>
      <w:r>
        <w:rPr>
          <w:lang w:val="fr-FR"/>
        </w:rPr>
        <w:tab/>
        <w:t>41</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lang w:val="fr-FR"/>
        </w:rPr>
      </w:pPr>
      <w:r>
        <w:rPr>
          <w:lang w:val="fr-FR"/>
        </w:rPr>
        <w:tab/>
        <w:t>Articles 4 to 6</w:t>
      </w:r>
      <w:r>
        <w:rPr>
          <w:lang w:val="fr-FR"/>
        </w:rPr>
        <w:tab/>
      </w:r>
      <w:r>
        <w:rPr>
          <w:lang w:val="fr-FR"/>
        </w:rPr>
        <w:tab/>
        <w:t>161 - 194</w:t>
      </w:r>
      <w:r>
        <w:rPr>
          <w:lang w:val="fr-FR"/>
        </w:rPr>
        <w:tab/>
        <w:t>47</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lang w:val="es-ES_tradnl"/>
        </w:rPr>
      </w:pPr>
      <w:r>
        <w:rPr>
          <w:lang w:val="es-ES_tradnl"/>
        </w:rPr>
        <w:tab/>
        <w:t>Article 7</w:t>
      </w:r>
      <w:r>
        <w:rPr>
          <w:lang w:val="es-ES_tradnl"/>
        </w:rPr>
        <w:tab/>
      </w:r>
      <w:r>
        <w:rPr>
          <w:lang w:val="es-ES_tradnl"/>
        </w:rPr>
        <w:tab/>
      </w:r>
      <w:r>
        <w:rPr>
          <w:lang w:val="es-ES_tradnl"/>
        </w:rPr>
        <w:tab/>
        <w:t>195 - 241</w:t>
      </w:r>
      <w:r>
        <w:rPr>
          <w:lang w:val="es-ES_tradnl"/>
        </w:rPr>
        <w:tab/>
        <w:t>55</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lang w:val="es-ES_tradnl"/>
        </w:rPr>
      </w:pPr>
      <w:r>
        <w:rPr>
          <w:lang w:val="es-ES_tradnl"/>
        </w:rPr>
        <w:tab/>
        <w:t>Article 8</w:t>
      </w:r>
      <w:r>
        <w:rPr>
          <w:lang w:val="es-ES_tradnl"/>
        </w:rPr>
        <w:tab/>
      </w:r>
      <w:r>
        <w:rPr>
          <w:lang w:val="es-ES_tradnl"/>
        </w:rPr>
        <w:tab/>
      </w:r>
      <w:r>
        <w:rPr>
          <w:lang w:val="es-ES_tradnl"/>
        </w:rPr>
        <w:tab/>
        <w:t>242 - 247</w:t>
      </w:r>
      <w:r>
        <w:rPr>
          <w:lang w:val="es-ES_tradnl"/>
        </w:rPr>
        <w:tab/>
        <w:t>76</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lang w:val="es-ES_tradnl"/>
        </w:rPr>
      </w:pPr>
      <w:r>
        <w:rPr>
          <w:lang w:val="es-ES_tradnl"/>
        </w:rPr>
        <w:tab/>
        <w:t>Article 9</w:t>
      </w:r>
      <w:r>
        <w:rPr>
          <w:lang w:val="es-ES_tradnl"/>
        </w:rPr>
        <w:tab/>
      </w:r>
      <w:r>
        <w:rPr>
          <w:lang w:val="es-ES_tradnl"/>
        </w:rPr>
        <w:tab/>
      </w:r>
      <w:r>
        <w:rPr>
          <w:lang w:val="es-ES_tradnl"/>
        </w:rPr>
        <w:tab/>
        <w:t>248 - 279</w:t>
      </w:r>
      <w:r>
        <w:rPr>
          <w:lang w:val="es-ES_tradnl"/>
        </w:rPr>
        <w:tab/>
        <w:t>81</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lang w:val="es-ES_tradnl"/>
        </w:rPr>
      </w:pPr>
      <w:r>
        <w:rPr>
          <w:lang w:val="es-ES_tradnl"/>
        </w:rPr>
        <w:tab/>
        <w:t>Artículo 10</w:t>
      </w:r>
      <w:r>
        <w:rPr>
          <w:lang w:val="es-ES_tradnl"/>
        </w:rPr>
        <w:tab/>
      </w:r>
      <w:r>
        <w:rPr>
          <w:lang w:val="es-ES_tradnl"/>
        </w:rPr>
        <w:tab/>
        <w:t>280 - 373</w:t>
      </w:r>
      <w:r>
        <w:rPr>
          <w:lang w:val="es-ES_tradnl"/>
        </w:rPr>
        <w:tab/>
        <w:t>91</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lang w:val="es-ES_tradnl"/>
        </w:rPr>
      </w:pPr>
      <w:r>
        <w:rPr>
          <w:lang w:val="es-ES_tradnl"/>
        </w:rPr>
        <w:tab/>
        <w:t>Article 11</w:t>
      </w:r>
      <w:r>
        <w:rPr>
          <w:lang w:val="es-ES_tradnl"/>
        </w:rPr>
        <w:tab/>
      </w:r>
      <w:r>
        <w:rPr>
          <w:lang w:val="es-ES_tradnl"/>
        </w:rPr>
        <w:tab/>
        <w:t>374 - 448</w:t>
      </w:r>
      <w:r>
        <w:rPr>
          <w:lang w:val="es-ES_tradnl"/>
        </w:rPr>
        <w:tab/>
        <w:t>113</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lang w:val="fr-FR"/>
        </w:rPr>
      </w:pPr>
      <w:r>
        <w:rPr>
          <w:lang w:val="fr-FR"/>
        </w:rPr>
        <w:tab/>
        <w:t>Article 12</w:t>
      </w:r>
      <w:r>
        <w:rPr>
          <w:lang w:val="fr-FR"/>
        </w:rPr>
        <w:tab/>
      </w:r>
      <w:r>
        <w:rPr>
          <w:lang w:val="fr-FR"/>
        </w:rPr>
        <w:tab/>
        <w:t>449 - 546</w:t>
      </w:r>
      <w:r>
        <w:rPr>
          <w:lang w:val="fr-FR"/>
        </w:rPr>
        <w:tab/>
        <w:t>143</w:t>
      </w:r>
    </w:p>
    <w:p w:rsidR="00000000" w:rsidRDefault="00000000">
      <w:pPr>
        <w:keepNext/>
        <w:tabs>
          <w:tab w:val="center" w:pos="7995"/>
          <w:tab w:val="right" w:pos="9412"/>
        </w:tabs>
        <w:spacing w:beforeLines="40" w:before="96" w:afterLines="40" w:after="96"/>
        <w:rPr>
          <w:i/>
          <w:iCs/>
          <w:color w:val="000000"/>
          <w:szCs w:val="20"/>
          <w:lang w:val="fr-FR"/>
        </w:rPr>
      </w:pPr>
      <w:r>
        <w:rPr>
          <w:i/>
          <w:iCs/>
          <w:color w:val="000000"/>
          <w:sz w:val="20"/>
          <w:szCs w:val="20"/>
          <w:lang w:val="fr-FR"/>
        </w:rPr>
        <w:tab/>
        <w:t>Paragraphs</w:t>
      </w:r>
      <w:r>
        <w:rPr>
          <w:i/>
          <w:iCs/>
          <w:color w:val="000000"/>
          <w:sz w:val="20"/>
          <w:szCs w:val="20"/>
          <w:lang w:val="fr-FR"/>
        </w:rPr>
        <w:tab/>
        <w:t>Page</w:t>
      </w:r>
    </w:p>
    <w:p w:rsidR="00000000" w:rsidRDefault="00000000">
      <w:pPr>
        <w:keepNext/>
        <w:tabs>
          <w:tab w:val="left" w:pos="567"/>
          <w:tab w:val="left" w:pos="1021"/>
          <w:tab w:val="left" w:pos="1474"/>
          <w:tab w:val="left" w:leader="dot" w:pos="7144"/>
          <w:tab w:val="center" w:pos="7995"/>
          <w:tab w:val="right" w:pos="9412"/>
        </w:tabs>
        <w:spacing w:beforeLines="40" w:before="96" w:afterLines="40" w:after="96"/>
        <w:rPr>
          <w:lang w:val="fr-FR"/>
        </w:rPr>
      </w:pPr>
    </w:p>
    <w:p w:rsidR="00000000" w:rsidRDefault="00000000">
      <w:pPr>
        <w:keepNext/>
        <w:tabs>
          <w:tab w:val="left" w:pos="567"/>
          <w:tab w:val="left" w:pos="1021"/>
          <w:tab w:val="left" w:pos="1474"/>
          <w:tab w:val="left" w:leader="dot" w:pos="7144"/>
          <w:tab w:val="center" w:pos="7995"/>
          <w:tab w:val="right" w:pos="9412"/>
        </w:tabs>
        <w:spacing w:beforeLines="40" w:before="96" w:afterLines="40" w:after="96"/>
        <w:rPr>
          <w:lang w:val="fr-FR"/>
        </w:rPr>
      </w:pPr>
      <w:r>
        <w:rPr>
          <w:lang w:val="fr-FR"/>
        </w:rPr>
        <w:tab/>
        <w:t>Article 13</w:t>
      </w:r>
      <w:r>
        <w:rPr>
          <w:lang w:val="fr-FR"/>
        </w:rPr>
        <w:tab/>
      </w:r>
      <w:r>
        <w:rPr>
          <w:lang w:val="fr-FR"/>
        </w:rPr>
        <w:tab/>
        <w:t>547 - 604</w:t>
      </w:r>
      <w:r>
        <w:rPr>
          <w:lang w:val="fr-FR"/>
        </w:rPr>
        <w:tab/>
        <w:t>170</w:t>
      </w:r>
    </w:p>
    <w:p w:rsidR="00000000" w:rsidRDefault="00000000">
      <w:pPr>
        <w:keepNext/>
        <w:tabs>
          <w:tab w:val="left" w:pos="567"/>
          <w:tab w:val="left" w:pos="1021"/>
          <w:tab w:val="left" w:pos="1474"/>
          <w:tab w:val="left" w:leader="dot" w:pos="7144"/>
          <w:tab w:val="center" w:pos="7995"/>
          <w:tab w:val="right" w:pos="9412"/>
        </w:tabs>
        <w:spacing w:beforeLines="40" w:before="96" w:afterLines="40" w:after="96"/>
        <w:rPr>
          <w:lang w:val="fr-FR"/>
        </w:rPr>
      </w:pPr>
      <w:r>
        <w:rPr>
          <w:lang w:val="fr-FR"/>
        </w:rPr>
        <w:tab/>
        <w:t>Article 14</w:t>
      </w:r>
      <w:r>
        <w:rPr>
          <w:lang w:val="fr-FR"/>
        </w:rPr>
        <w:tab/>
      </w:r>
      <w:r>
        <w:rPr>
          <w:lang w:val="fr-FR"/>
        </w:rPr>
        <w:tab/>
        <w:t>605 - 607</w:t>
      </w:r>
      <w:r>
        <w:rPr>
          <w:lang w:val="fr-FR"/>
        </w:rPr>
        <w:tab/>
        <w:t>185</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lang w:val="fr-FR"/>
        </w:rPr>
      </w:pPr>
      <w:r>
        <w:rPr>
          <w:lang w:val="fr-FR"/>
        </w:rPr>
        <w:tab/>
        <w:t>Article 15</w:t>
      </w:r>
      <w:r>
        <w:rPr>
          <w:lang w:val="fr-FR"/>
        </w:rPr>
        <w:tab/>
      </w:r>
      <w:r>
        <w:rPr>
          <w:lang w:val="fr-FR"/>
        </w:rPr>
        <w:tab/>
        <w:t>608 - 632</w:t>
      </w:r>
      <w:r>
        <w:rPr>
          <w:lang w:val="fr-FR"/>
        </w:rPr>
        <w:tab/>
        <w:t>185</w:t>
      </w:r>
    </w:p>
    <w:p w:rsidR="00000000" w:rsidRDefault="00000000">
      <w:pPr>
        <w:tabs>
          <w:tab w:val="left" w:pos="567"/>
          <w:tab w:val="left" w:pos="1021"/>
          <w:tab w:val="left" w:pos="1474"/>
          <w:tab w:val="left" w:leader="dot" w:pos="7144"/>
          <w:tab w:val="center" w:pos="7995"/>
          <w:tab w:val="right" w:pos="9412"/>
        </w:tabs>
        <w:spacing w:beforeLines="40" w:before="96" w:afterLines="40" w:after="96"/>
        <w:rPr>
          <w:color w:val="000000"/>
          <w:lang w:val="fr-FR"/>
        </w:rPr>
      </w:pPr>
    </w:p>
    <w:p w:rsidR="00000000" w:rsidRDefault="00000000">
      <w:pPr>
        <w:spacing w:after="240"/>
        <w:jc w:val="center"/>
        <w:rPr>
          <w:lang w:val="en-US"/>
        </w:rPr>
      </w:pPr>
      <w:r>
        <w:rPr>
          <w:lang w:val="en-US"/>
        </w:rPr>
        <w:t>ANNEXES</w:t>
      </w:r>
    </w:p>
    <w:p w:rsidR="00000000" w:rsidRDefault="00000000">
      <w:pPr>
        <w:tabs>
          <w:tab w:val="left" w:pos="567"/>
          <w:tab w:val="left" w:pos="1021"/>
          <w:tab w:val="left" w:pos="1474"/>
          <w:tab w:val="left" w:leader="dot" w:pos="7144"/>
          <w:tab w:val="center" w:pos="7995"/>
          <w:tab w:val="right" w:pos="9412"/>
        </w:tabs>
        <w:spacing w:after="240"/>
        <w:rPr>
          <w:lang w:val="en-US"/>
        </w:rPr>
      </w:pPr>
      <w:r>
        <w:rPr>
          <w:lang w:val="en-US"/>
        </w:rPr>
        <w:t>I.</w:t>
      </w:r>
      <w:r>
        <w:rPr>
          <w:lang w:val="en-US"/>
        </w:rPr>
        <w:tab/>
        <w:t>Statistical data on illiteracy</w:t>
      </w:r>
    </w:p>
    <w:p w:rsidR="00000000" w:rsidRDefault="00000000">
      <w:pPr>
        <w:tabs>
          <w:tab w:val="left" w:pos="567"/>
          <w:tab w:val="left" w:pos="1021"/>
          <w:tab w:val="left" w:pos="1474"/>
          <w:tab w:val="left" w:leader="dot" w:pos="7144"/>
          <w:tab w:val="center" w:pos="7995"/>
          <w:tab w:val="right" w:pos="9412"/>
        </w:tabs>
        <w:spacing w:after="240"/>
      </w:pPr>
      <w:r>
        <w:t>II.</w:t>
      </w:r>
      <w:r>
        <w:tab/>
        <w:t>Normative framework for the protection of human rights</w:t>
      </w:r>
    </w:p>
    <w:p w:rsidR="00000000" w:rsidRDefault="00000000">
      <w:pPr>
        <w:numPr>
          <w:ilvl w:val="0"/>
          <w:numId w:val="2"/>
        </w:numPr>
        <w:tabs>
          <w:tab w:val="clear" w:pos="1080"/>
          <w:tab w:val="left" w:pos="567"/>
          <w:tab w:val="left" w:pos="1021"/>
          <w:tab w:val="left" w:pos="1474"/>
          <w:tab w:val="left" w:leader="dot" w:pos="7144"/>
          <w:tab w:val="center" w:pos="7995"/>
          <w:tab w:val="right" w:pos="9412"/>
        </w:tabs>
        <w:spacing w:after="240"/>
        <w:ind w:left="567" w:hanging="567"/>
      </w:pPr>
      <w:r>
        <w:t>Land acquired by the Paraguayan Institute for Indigenous Peoples (INDI) for the settlement of indigenous communities</w:t>
      </w:r>
    </w:p>
    <w:p w:rsidR="00000000" w:rsidRDefault="00000000">
      <w:pPr>
        <w:numPr>
          <w:ilvl w:val="0"/>
          <w:numId w:val="2"/>
        </w:numPr>
        <w:tabs>
          <w:tab w:val="clear" w:pos="1080"/>
          <w:tab w:val="left" w:pos="567"/>
          <w:tab w:val="left" w:pos="1021"/>
          <w:tab w:val="left" w:pos="1474"/>
          <w:tab w:val="left" w:leader="dot" w:pos="7144"/>
          <w:tab w:val="center" w:pos="7995"/>
          <w:tab w:val="right" w:pos="9412"/>
        </w:tabs>
        <w:spacing w:after="240"/>
        <w:ind w:left="0" w:firstLine="0"/>
      </w:pPr>
      <w:r>
        <w:t>Activities carried out by the Paraguayan contingent in United Nations missions</w:t>
      </w:r>
    </w:p>
    <w:p w:rsidR="00000000" w:rsidRDefault="00000000">
      <w:pPr>
        <w:numPr>
          <w:ilvl w:val="0"/>
          <w:numId w:val="2"/>
        </w:numPr>
        <w:tabs>
          <w:tab w:val="clear" w:pos="1080"/>
          <w:tab w:val="left" w:pos="567"/>
          <w:tab w:val="left" w:pos="1021"/>
          <w:tab w:val="left" w:pos="1474"/>
          <w:tab w:val="left" w:leader="dot" w:pos="7144"/>
          <w:tab w:val="center" w:pos="7995"/>
          <w:tab w:val="right" w:pos="9412"/>
        </w:tabs>
        <w:spacing w:after="240"/>
        <w:ind w:left="0" w:firstLine="0"/>
      </w:pPr>
      <w:r>
        <w:t>Synopsis of the National Plan of Action for Children and Adolescents</w:t>
      </w:r>
    </w:p>
    <w:p w:rsidR="00000000" w:rsidRDefault="00000000">
      <w:pPr>
        <w:numPr>
          <w:ilvl w:val="0"/>
          <w:numId w:val="2"/>
        </w:numPr>
        <w:tabs>
          <w:tab w:val="clear" w:pos="1080"/>
          <w:tab w:val="left" w:pos="567"/>
          <w:tab w:val="left" w:pos="1021"/>
          <w:tab w:val="left" w:pos="1474"/>
          <w:tab w:val="left" w:leader="dot" w:pos="7144"/>
          <w:tab w:val="center" w:pos="7995"/>
          <w:tab w:val="right" w:pos="9412"/>
        </w:tabs>
        <w:spacing w:after="240"/>
        <w:ind w:left="0" w:firstLine="0"/>
      </w:pPr>
      <w:r>
        <w:t>Annual reports of the Environment Secretariat (2001-2005)</w:t>
      </w:r>
    </w:p>
    <w:p w:rsidR="00000000" w:rsidRDefault="00000000">
      <w:pPr>
        <w:numPr>
          <w:ilvl w:val="0"/>
          <w:numId w:val="2"/>
        </w:numPr>
        <w:tabs>
          <w:tab w:val="clear" w:pos="1080"/>
          <w:tab w:val="left" w:pos="567"/>
          <w:tab w:val="left" w:pos="1021"/>
          <w:tab w:val="left" w:pos="1474"/>
          <w:tab w:val="left" w:leader="dot" w:pos="7144"/>
          <w:tab w:val="center" w:pos="7995"/>
          <w:tab w:val="right" w:pos="9412"/>
        </w:tabs>
        <w:spacing w:after="240"/>
        <w:ind w:left="0" w:firstLine="0"/>
      </w:pPr>
      <w:r>
        <w:t>Report on the activities of CONACYT in 2005</w:t>
      </w:r>
    </w:p>
    <w:p w:rsidR="00000000" w:rsidRDefault="00000000">
      <w:pPr>
        <w:numPr>
          <w:ilvl w:val="0"/>
          <w:numId w:val="2"/>
        </w:numPr>
        <w:tabs>
          <w:tab w:val="clear" w:pos="1080"/>
          <w:tab w:val="left" w:pos="567"/>
          <w:tab w:val="left" w:pos="1021"/>
          <w:tab w:val="left" w:pos="1474"/>
          <w:tab w:val="left" w:leader="dot" w:pos="7144"/>
          <w:tab w:val="center" w:pos="7995"/>
          <w:tab w:val="right" w:pos="9412"/>
        </w:tabs>
        <w:spacing w:after="240"/>
        <w:ind w:left="0" w:firstLine="0"/>
      </w:pPr>
      <w:r>
        <w:t>Role of international cooperation in the implementation of ESCRs</w:t>
      </w:r>
    </w:p>
    <w:p w:rsidR="00000000" w:rsidRDefault="00000000">
      <w:pPr>
        <w:tabs>
          <w:tab w:val="left" w:pos="4675"/>
        </w:tabs>
        <w:spacing w:after="240"/>
        <w:jc w:val="center"/>
      </w:pPr>
      <w:r>
        <w:br w:type="page"/>
      </w:r>
      <w:r>
        <w:rPr>
          <w:b/>
          <w:szCs w:val="28"/>
        </w:rPr>
        <w:t>I.  TERRITORY AND POPULATION</w:t>
      </w:r>
    </w:p>
    <w:p w:rsidR="00000000" w:rsidRDefault="00000000">
      <w:pPr>
        <w:spacing w:after="240"/>
        <w:jc w:val="center"/>
        <w:rPr>
          <w:b/>
          <w:bCs/>
        </w:rPr>
      </w:pPr>
      <w:r>
        <w:rPr>
          <w:b/>
          <w:bCs/>
        </w:rPr>
        <w:t>A.</w:t>
      </w:r>
      <w:r>
        <w:t xml:space="preserve">  </w:t>
      </w:r>
      <w:r>
        <w:rPr>
          <w:b/>
          <w:bCs/>
        </w:rPr>
        <w:t>General characteristics</w:t>
      </w:r>
    </w:p>
    <w:p w:rsidR="00000000" w:rsidRDefault="00000000">
      <w:pPr>
        <w:spacing w:after="240"/>
        <w:rPr>
          <w:vertAlign w:val="superscript"/>
        </w:rPr>
      </w:pPr>
      <w:r>
        <w:t>1.</w:t>
      </w:r>
      <w:r>
        <w:tab/>
        <w:t>With an estimated population of 5, 701, 675 million in 2005, Paraguay continues to be a country with low population density and sporadically inhabited. Its average population density is 12.7 inhabitants per km</w:t>
      </w:r>
      <w:r>
        <w:rPr>
          <w:vertAlign w:val="superscript"/>
        </w:rPr>
        <w:t>2</w:t>
      </w:r>
      <w:r>
        <w:t>. At the same time, it can be appreciated that the socio-demographic indicators have stabilized. The pace of population growth slowed from 3.2 per cent (1982-1992) to 2.2 per cent in the decade 1992-2002. Likewise, population density has also remained relatively low at the national level (12.7 inhab/km</w:t>
      </w:r>
      <w:r>
        <w:rPr>
          <w:vertAlign w:val="superscript"/>
        </w:rPr>
        <w:t>2</w:t>
      </w:r>
      <w:r>
        <w:t>, standing at 31.5 inhab/km</w:t>
      </w:r>
      <w:r>
        <w:rPr>
          <w:vertAlign w:val="superscript"/>
        </w:rPr>
        <w:t>2</w:t>
      </w:r>
      <w:r>
        <w:t xml:space="preserve"> in the eastern region, where 97.3 per cent of the population is concentrated, and 0.5 per inhab/km</w:t>
      </w:r>
      <w:r>
        <w:rPr>
          <w:vertAlign w:val="superscript"/>
        </w:rPr>
        <w:t>2</w:t>
      </w:r>
      <w:r>
        <w:t xml:space="preserve"> in the western region or the Chaco, which represents 60 per cent of the national territory. Its principal economic activity continues to be extensive livestock farming, although mixed livestock and crop farms have developed in the Mennonite colonies in the central part of the region. The eastern region, comprising 39 per cent of the national territory, has an undulating topography, and most of the country’s economic activities are located there, the most important being livestock farming, forestry and large commercial centres.</w:t>
      </w:r>
    </w:p>
    <w:p w:rsidR="00000000" w:rsidRDefault="00000000">
      <w:pPr>
        <w:pStyle w:val="xl46"/>
        <w:autoSpaceDE w:val="0"/>
        <w:autoSpaceDN w:val="0"/>
        <w:adjustRightInd w:val="0"/>
        <w:spacing w:before="240" w:beforeAutospacing="0" w:after="240" w:afterAutospacing="0"/>
        <w:rPr>
          <w:rFonts w:ascii="Times New Roman" w:eastAsia="Times New Roman" w:hAnsi="Times New Roman" w:cs="Times New Roman"/>
          <w:sz w:val="28"/>
          <w:szCs w:val="20"/>
          <w:lang w:val="en-US" w:eastAsia="en-US"/>
        </w:rPr>
      </w:pPr>
      <w:r>
        <w:rPr>
          <w:rFonts w:ascii="Times New Roman" w:eastAsia="Times New Roman" w:hAnsi="Times New Roman" w:cs="Times New Roman"/>
          <w:szCs w:val="20"/>
          <w:lang w:val="en-US" w:eastAsia="en-US"/>
        </w:rPr>
        <w:t>Paraguay: Population and population density by region (eastern – western). Years 1992 and 2002</w:t>
      </w:r>
    </w:p>
    <w:tbl>
      <w:tblPr>
        <w:tblW w:w="5000" w:type="pct"/>
        <w:tblLayout w:type="fixed"/>
        <w:tblCellMar>
          <w:left w:w="0" w:type="dxa"/>
          <w:right w:w="0" w:type="dxa"/>
        </w:tblCellMar>
        <w:tblLook w:val="0000" w:firstRow="0" w:lastRow="0" w:firstColumn="0" w:lastColumn="0" w:noHBand="0" w:noVBand="0"/>
      </w:tblPr>
      <w:tblGrid>
        <w:gridCol w:w="1335"/>
        <w:gridCol w:w="1883"/>
        <w:gridCol w:w="1317"/>
        <w:gridCol w:w="941"/>
        <w:gridCol w:w="1317"/>
        <w:gridCol w:w="941"/>
        <w:gridCol w:w="941"/>
        <w:gridCol w:w="754"/>
      </w:tblGrid>
      <w:tr w:rsidR="00000000">
        <w:trPr>
          <w:cantSplit/>
        </w:trPr>
        <w:tc>
          <w:tcPr>
            <w:tcW w:w="1335" w:type="dxa"/>
            <w:vMerge w:val="restart"/>
            <w:tcBorders>
              <w:top w:val="single" w:sz="4" w:space="0" w:color="auto"/>
            </w:tcBorders>
            <w:noWrap/>
            <w:vAlign w:val="bottom"/>
          </w:tcPr>
          <w:p w:rsidR="00000000" w:rsidRDefault="00000000">
            <w:pPr>
              <w:spacing w:before="80" w:after="80"/>
              <w:jc w:val="center"/>
              <w:rPr>
                <w:b/>
                <w:bCs/>
                <w:i/>
                <w:iCs/>
                <w:sz w:val="20"/>
                <w:szCs w:val="20"/>
              </w:rPr>
            </w:pPr>
            <w:r>
              <w:rPr>
                <w:b/>
                <w:bCs/>
                <w:i/>
                <w:iCs/>
                <w:sz w:val="20"/>
                <w:szCs w:val="20"/>
              </w:rPr>
              <w:t>Region</w:t>
            </w:r>
          </w:p>
        </w:tc>
        <w:tc>
          <w:tcPr>
            <w:tcW w:w="1883" w:type="dxa"/>
            <w:vMerge w:val="restart"/>
            <w:tcBorders>
              <w:top w:val="single" w:sz="4" w:space="0" w:color="auto"/>
            </w:tcBorders>
            <w:vAlign w:val="bottom"/>
          </w:tcPr>
          <w:p w:rsidR="00000000" w:rsidRDefault="00000000">
            <w:pPr>
              <w:spacing w:before="80" w:after="80"/>
              <w:jc w:val="center"/>
              <w:rPr>
                <w:b/>
                <w:bCs/>
                <w:i/>
                <w:iCs/>
                <w:sz w:val="20"/>
                <w:szCs w:val="20"/>
              </w:rPr>
            </w:pPr>
            <w:r>
              <w:rPr>
                <w:b/>
                <w:bCs/>
                <w:i/>
                <w:iCs/>
                <w:sz w:val="20"/>
                <w:szCs w:val="20"/>
              </w:rPr>
              <w:t>Area km</w:t>
            </w:r>
            <w:r>
              <w:rPr>
                <w:b/>
                <w:bCs/>
                <w:i/>
                <w:iCs/>
                <w:sz w:val="20"/>
                <w:szCs w:val="20"/>
                <w:vertAlign w:val="superscript"/>
              </w:rPr>
              <w:t>2</w:t>
            </w:r>
          </w:p>
        </w:tc>
        <w:tc>
          <w:tcPr>
            <w:tcW w:w="4516" w:type="dxa"/>
            <w:gridSpan w:val="4"/>
            <w:tcBorders>
              <w:top w:val="single" w:sz="4" w:space="0" w:color="auto"/>
              <w:bottom w:val="single" w:sz="4" w:space="0" w:color="auto"/>
            </w:tcBorders>
            <w:noWrap/>
            <w:vAlign w:val="bottom"/>
          </w:tcPr>
          <w:p w:rsidR="00000000" w:rsidRDefault="00000000">
            <w:pPr>
              <w:pStyle w:val="Heading4"/>
            </w:pPr>
            <w:r>
              <w:t>Population</w:t>
            </w:r>
          </w:p>
        </w:tc>
        <w:tc>
          <w:tcPr>
            <w:tcW w:w="1695" w:type="dxa"/>
            <w:gridSpan w:val="2"/>
            <w:vMerge w:val="restart"/>
            <w:tcBorders>
              <w:top w:val="single" w:sz="4" w:space="0" w:color="auto"/>
              <w:bottom w:val="single" w:sz="4" w:space="0" w:color="auto"/>
            </w:tcBorders>
            <w:vAlign w:val="bottom"/>
          </w:tcPr>
          <w:p w:rsidR="00000000" w:rsidRDefault="00000000">
            <w:pPr>
              <w:spacing w:before="80" w:after="80"/>
              <w:jc w:val="center"/>
              <w:rPr>
                <w:b/>
                <w:bCs/>
                <w:i/>
                <w:iCs/>
                <w:sz w:val="20"/>
                <w:szCs w:val="20"/>
              </w:rPr>
            </w:pPr>
            <w:r>
              <w:rPr>
                <w:b/>
                <w:bCs/>
                <w:i/>
                <w:iCs/>
                <w:sz w:val="20"/>
                <w:szCs w:val="20"/>
              </w:rPr>
              <w:t>Density Inhabitant/km</w:t>
            </w:r>
            <w:r>
              <w:rPr>
                <w:b/>
                <w:bCs/>
                <w:i/>
                <w:iCs/>
                <w:sz w:val="20"/>
                <w:szCs w:val="20"/>
                <w:vertAlign w:val="superscript"/>
              </w:rPr>
              <w:t>2</w:t>
            </w:r>
          </w:p>
        </w:tc>
      </w:tr>
      <w:tr w:rsidR="00000000">
        <w:trPr>
          <w:cantSplit/>
        </w:trPr>
        <w:tc>
          <w:tcPr>
            <w:tcW w:w="1335" w:type="dxa"/>
            <w:vMerge/>
            <w:vAlign w:val="center"/>
          </w:tcPr>
          <w:p w:rsidR="00000000" w:rsidRDefault="00000000">
            <w:pPr>
              <w:spacing w:before="80" w:after="80"/>
              <w:jc w:val="center"/>
              <w:rPr>
                <w:b/>
                <w:bCs/>
                <w:i/>
                <w:iCs/>
                <w:sz w:val="20"/>
                <w:szCs w:val="20"/>
              </w:rPr>
            </w:pPr>
          </w:p>
        </w:tc>
        <w:tc>
          <w:tcPr>
            <w:tcW w:w="1883" w:type="dxa"/>
            <w:vMerge/>
            <w:vAlign w:val="center"/>
          </w:tcPr>
          <w:p w:rsidR="00000000" w:rsidRDefault="00000000">
            <w:pPr>
              <w:spacing w:before="80" w:after="80"/>
              <w:jc w:val="center"/>
              <w:rPr>
                <w:b/>
                <w:bCs/>
                <w:i/>
                <w:iCs/>
                <w:sz w:val="20"/>
                <w:szCs w:val="20"/>
              </w:rPr>
            </w:pPr>
          </w:p>
        </w:tc>
        <w:tc>
          <w:tcPr>
            <w:tcW w:w="2258" w:type="dxa"/>
            <w:gridSpan w:val="2"/>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1992</w:t>
            </w:r>
          </w:p>
        </w:tc>
        <w:tc>
          <w:tcPr>
            <w:tcW w:w="2258" w:type="dxa"/>
            <w:gridSpan w:val="2"/>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2002</w:t>
            </w:r>
          </w:p>
        </w:tc>
        <w:tc>
          <w:tcPr>
            <w:tcW w:w="1695" w:type="dxa"/>
            <w:gridSpan w:val="2"/>
            <w:vMerge/>
            <w:tcBorders>
              <w:bottom w:val="single" w:sz="4" w:space="0" w:color="auto"/>
            </w:tcBorders>
            <w:vAlign w:val="center"/>
          </w:tcPr>
          <w:p w:rsidR="00000000" w:rsidRDefault="00000000">
            <w:pPr>
              <w:spacing w:before="80" w:after="80"/>
              <w:jc w:val="center"/>
              <w:rPr>
                <w:b/>
                <w:bCs/>
                <w:i/>
                <w:iCs/>
                <w:sz w:val="20"/>
                <w:szCs w:val="20"/>
              </w:rPr>
            </w:pPr>
          </w:p>
        </w:tc>
      </w:tr>
      <w:tr w:rsidR="00000000">
        <w:trPr>
          <w:cantSplit/>
        </w:trPr>
        <w:tc>
          <w:tcPr>
            <w:tcW w:w="1335" w:type="dxa"/>
            <w:vMerge/>
            <w:tcBorders>
              <w:bottom w:val="single" w:sz="4" w:space="0" w:color="auto"/>
            </w:tcBorders>
            <w:vAlign w:val="center"/>
          </w:tcPr>
          <w:p w:rsidR="00000000" w:rsidRDefault="00000000">
            <w:pPr>
              <w:spacing w:before="80" w:after="80"/>
              <w:jc w:val="center"/>
              <w:rPr>
                <w:b/>
                <w:bCs/>
                <w:i/>
                <w:iCs/>
                <w:sz w:val="20"/>
                <w:szCs w:val="20"/>
              </w:rPr>
            </w:pPr>
          </w:p>
        </w:tc>
        <w:tc>
          <w:tcPr>
            <w:tcW w:w="1883" w:type="dxa"/>
            <w:vMerge/>
            <w:tcBorders>
              <w:bottom w:val="single" w:sz="4" w:space="0" w:color="auto"/>
            </w:tcBorders>
            <w:vAlign w:val="center"/>
          </w:tcPr>
          <w:p w:rsidR="00000000" w:rsidRDefault="00000000">
            <w:pPr>
              <w:spacing w:before="80" w:after="80"/>
              <w:jc w:val="center"/>
              <w:rPr>
                <w:b/>
                <w:bCs/>
                <w:i/>
                <w:iCs/>
                <w:sz w:val="20"/>
                <w:szCs w:val="20"/>
              </w:rPr>
            </w:pPr>
          </w:p>
        </w:tc>
        <w:tc>
          <w:tcPr>
            <w:tcW w:w="1317"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Inhabitants</w:t>
            </w:r>
          </w:p>
        </w:tc>
        <w:tc>
          <w:tcPr>
            <w:tcW w:w="941"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w:t>
            </w:r>
          </w:p>
        </w:tc>
        <w:tc>
          <w:tcPr>
            <w:tcW w:w="1317"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Inhabitants</w:t>
            </w:r>
          </w:p>
        </w:tc>
        <w:tc>
          <w:tcPr>
            <w:tcW w:w="941"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w:t>
            </w:r>
          </w:p>
        </w:tc>
        <w:tc>
          <w:tcPr>
            <w:tcW w:w="941"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1992</w:t>
            </w:r>
          </w:p>
        </w:tc>
        <w:tc>
          <w:tcPr>
            <w:tcW w:w="754"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2002</w:t>
            </w:r>
          </w:p>
        </w:tc>
      </w:tr>
      <w:tr w:rsidR="00000000">
        <w:tc>
          <w:tcPr>
            <w:tcW w:w="1335" w:type="dxa"/>
            <w:tcBorders>
              <w:top w:val="single" w:sz="4" w:space="0" w:color="auto"/>
            </w:tcBorders>
            <w:noWrap/>
            <w:vAlign w:val="bottom"/>
          </w:tcPr>
          <w:p w:rsidR="00000000" w:rsidRDefault="00000000">
            <w:pPr>
              <w:spacing w:before="80" w:after="80"/>
              <w:rPr>
                <w:sz w:val="20"/>
                <w:szCs w:val="20"/>
              </w:rPr>
            </w:pPr>
            <w:r>
              <w:rPr>
                <w:sz w:val="20"/>
                <w:szCs w:val="20"/>
              </w:rPr>
              <w:t>Eastern</w:t>
            </w:r>
          </w:p>
        </w:tc>
        <w:tc>
          <w:tcPr>
            <w:tcW w:w="1883" w:type="dxa"/>
            <w:tcBorders>
              <w:top w:val="single" w:sz="4" w:space="0" w:color="auto"/>
            </w:tcBorders>
            <w:noWrap/>
            <w:vAlign w:val="bottom"/>
          </w:tcPr>
          <w:p w:rsidR="00000000" w:rsidRDefault="00000000">
            <w:pPr>
              <w:spacing w:before="80" w:after="80"/>
              <w:jc w:val="center"/>
              <w:rPr>
                <w:sz w:val="20"/>
                <w:szCs w:val="20"/>
              </w:rPr>
            </w:pPr>
            <w:r>
              <w:rPr>
                <w:sz w:val="20"/>
                <w:szCs w:val="20"/>
              </w:rPr>
              <w:t>159 827</w:t>
            </w:r>
          </w:p>
        </w:tc>
        <w:tc>
          <w:tcPr>
            <w:tcW w:w="1317" w:type="dxa"/>
            <w:tcBorders>
              <w:top w:val="single" w:sz="4" w:space="0" w:color="auto"/>
            </w:tcBorders>
            <w:noWrap/>
            <w:vAlign w:val="bottom"/>
          </w:tcPr>
          <w:p w:rsidR="00000000" w:rsidRDefault="00000000">
            <w:pPr>
              <w:pStyle w:val="Header"/>
              <w:tabs>
                <w:tab w:val="clear" w:pos="4320"/>
                <w:tab w:val="clear" w:pos="8640"/>
              </w:tabs>
              <w:spacing w:before="80" w:after="80"/>
              <w:jc w:val="center"/>
              <w:rPr>
                <w:sz w:val="20"/>
                <w:szCs w:val="20"/>
              </w:rPr>
            </w:pPr>
            <w:r>
              <w:rPr>
                <w:sz w:val="20"/>
                <w:szCs w:val="20"/>
              </w:rPr>
              <w:t>4 046 955</w:t>
            </w:r>
          </w:p>
        </w:tc>
        <w:tc>
          <w:tcPr>
            <w:tcW w:w="941" w:type="dxa"/>
            <w:tcBorders>
              <w:top w:val="single" w:sz="4" w:space="0" w:color="auto"/>
            </w:tcBorders>
            <w:noWrap/>
            <w:vAlign w:val="bottom"/>
          </w:tcPr>
          <w:p w:rsidR="00000000" w:rsidRDefault="00000000">
            <w:pPr>
              <w:spacing w:before="80" w:after="80"/>
              <w:jc w:val="center"/>
              <w:rPr>
                <w:sz w:val="20"/>
                <w:szCs w:val="20"/>
              </w:rPr>
            </w:pPr>
            <w:r>
              <w:rPr>
                <w:sz w:val="20"/>
                <w:szCs w:val="20"/>
              </w:rPr>
              <w:t>97.5</w:t>
            </w:r>
          </w:p>
        </w:tc>
        <w:tc>
          <w:tcPr>
            <w:tcW w:w="1317" w:type="dxa"/>
            <w:tcBorders>
              <w:top w:val="single" w:sz="4" w:space="0" w:color="auto"/>
            </w:tcBorders>
            <w:noWrap/>
            <w:vAlign w:val="bottom"/>
          </w:tcPr>
          <w:p w:rsidR="00000000" w:rsidRDefault="00000000">
            <w:pPr>
              <w:spacing w:before="80" w:after="80"/>
              <w:jc w:val="center"/>
              <w:rPr>
                <w:sz w:val="20"/>
                <w:szCs w:val="20"/>
              </w:rPr>
            </w:pPr>
            <w:r>
              <w:rPr>
                <w:sz w:val="20"/>
                <w:szCs w:val="20"/>
              </w:rPr>
              <w:t>5 028 012</w:t>
            </w:r>
          </w:p>
        </w:tc>
        <w:tc>
          <w:tcPr>
            <w:tcW w:w="941" w:type="dxa"/>
            <w:tcBorders>
              <w:top w:val="single" w:sz="4" w:space="0" w:color="auto"/>
            </w:tcBorders>
            <w:noWrap/>
            <w:vAlign w:val="bottom"/>
          </w:tcPr>
          <w:p w:rsidR="00000000" w:rsidRDefault="00000000">
            <w:pPr>
              <w:spacing w:before="80" w:after="80"/>
              <w:jc w:val="center"/>
              <w:rPr>
                <w:sz w:val="20"/>
                <w:szCs w:val="20"/>
              </w:rPr>
            </w:pPr>
            <w:r>
              <w:rPr>
                <w:sz w:val="20"/>
                <w:szCs w:val="20"/>
              </w:rPr>
              <w:t>97.4</w:t>
            </w:r>
          </w:p>
        </w:tc>
        <w:tc>
          <w:tcPr>
            <w:tcW w:w="941" w:type="dxa"/>
            <w:tcBorders>
              <w:top w:val="single" w:sz="4" w:space="0" w:color="auto"/>
            </w:tcBorders>
            <w:noWrap/>
            <w:vAlign w:val="bottom"/>
          </w:tcPr>
          <w:p w:rsidR="00000000" w:rsidRDefault="00000000">
            <w:pPr>
              <w:spacing w:before="80" w:after="80"/>
              <w:jc w:val="center"/>
              <w:rPr>
                <w:sz w:val="20"/>
                <w:szCs w:val="20"/>
              </w:rPr>
            </w:pPr>
            <w:r>
              <w:rPr>
                <w:sz w:val="20"/>
                <w:szCs w:val="20"/>
              </w:rPr>
              <w:t>25.3</w:t>
            </w:r>
          </w:p>
        </w:tc>
        <w:tc>
          <w:tcPr>
            <w:tcW w:w="754" w:type="dxa"/>
            <w:tcBorders>
              <w:top w:val="single" w:sz="4" w:space="0" w:color="auto"/>
            </w:tcBorders>
            <w:noWrap/>
            <w:vAlign w:val="bottom"/>
          </w:tcPr>
          <w:p w:rsidR="00000000" w:rsidRDefault="00000000">
            <w:pPr>
              <w:spacing w:before="80" w:after="80"/>
              <w:jc w:val="center"/>
              <w:rPr>
                <w:sz w:val="20"/>
                <w:szCs w:val="20"/>
              </w:rPr>
            </w:pPr>
            <w:r>
              <w:rPr>
                <w:sz w:val="20"/>
                <w:szCs w:val="20"/>
              </w:rPr>
              <w:t>31.5</w:t>
            </w:r>
          </w:p>
        </w:tc>
      </w:tr>
      <w:tr w:rsidR="00000000">
        <w:tc>
          <w:tcPr>
            <w:tcW w:w="1335" w:type="dxa"/>
            <w:noWrap/>
            <w:vAlign w:val="bottom"/>
          </w:tcPr>
          <w:p w:rsidR="00000000" w:rsidRDefault="00000000">
            <w:pPr>
              <w:spacing w:before="80" w:after="80"/>
              <w:rPr>
                <w:sz w:val="20"/>
                <w:szCs w:val="20"/>
              </w:rPr>
            </w:pPr>
            <w:r>
              <w:rPr>
                <w:sz w:val="20"/>
                <w:szCs w:val="20"/>
              </w:rPr>
              <w:t>Western</w:t>
            </w:r>
          </w:p>
        </w:tc>
        <w:tc>
          <w:tcPr>
            <w:tcW w:w="1883" w:type="dxa"/>
            <w:noWrap/>
            <w:vAlign w:val="bottom"/>
          </w:tcPr>
          <w:p w:rsidR="00000000" w:rsidRDefault="00000000">
            <w:pPr>
              <w:spacing w:before="80" w:after="80"/>
              <w:jc w:val="center"/>
              <w:rPr>
                <w:sz w:val="20"/>
                <w:szCs w:val="20"/>
              </w:rPr>
            </w:pPr>
            <w:r>
              <w:rPr>
                <w:sz w:val="20"/>
                <w:szCs w:val="20"/>
              </w:rPr>
              <w:t>246 925</w:t>
            </w:r>
          </w:p>
        </w:tc>
        <w:tc>
          <w:tcPr>
            <w:tcW w:w="1317" w:type="dxa"/>
            <w:noWrap/>
            <w:vAlign w:val="bottom"/>
          </w:tcPr>
          <w:p w:rsidR="00000000" w:rsidRDefault="00000000">
            <w:pPr>
              <w:spacing w:before="80" w:after="80"/>
              <w:jc w:val="center"/>
              <w:rPr>
                <w:sz w:val="20"/>
                <w:szCs w:val="20"/>
              </w:rPr>
            </w:pPr>
            <w:r>
              <w:rPr>
                <w:sz w:val="20"/>
                <w:szCs w:val="20"/>
              </w:rPr>
              <w:t>105 633</w:t>
            </w:r>
          </w:p>
        </w:tc>
        <w:tc>
          <w:tcPr>
            <w:tcW w:w="941" w:type="dxa"/>
            <w:noWrap/>
            <w:vAlign w:val="bottom"/>
          </w:tcPr>
          <w:p w:rsidR="00000000" w:rsidRDefault="00000000">
            <w:pPr>
              <w:spacing w:before="80" w:after="80"/>
              <w:jc w:val="center"/>
              <w:rPr>
                <w:sz w:val="20"/>
                <w:szCs w:val="20"/>
                <w:lang w:val="es-ES_tradnl"/>
              </w:rPr>
            </w:pPr>
            <w:r>
              <w:rPr>
                <w:sz w:val="20"/>
                <w:szCs w:val="20"/>
                <w:lang w:val="es-ES_tradnl"/>
              </w:rPr>
              <w:t>2.5</w:t>
            </w:r>
          </w:p>
        </w:tc>
        <w:tc>
          <w:tcPr>
            <w:tcW w:w="1317" w:type="dxa"/>
            <w:noWrap/>
            <w:vAlign w:val="bottom"/>
          </w:tcPr>
          <w:p w:rsidR="00000000" w:rsidRDefault="00000000">
            <w:pPr>
              <w:spacing w:before="80" w:after="80"/>
              <w:jc w:val="center"/>
              <w:rPr>
                <w:sz w:val="20"/>
                <w:szCs w:val="20"/>
                <w:lang w:val="es-ES_tradnl"/>
              </w:rPr>
            </w:pPr>
            <w:r>
              <w:rPr>
                <w:sz w:val="20"/>
                <w:szCs w:val="20"/>
                <w:lang w:val="es-ES_tradnl"/>
              </w:rPr>
              <w:t>135 186</w:t>
            </w:r>
          </w:p>
        </w:tc>
        <w:tc>
          <w:tcPr>
            <w:tcW w:w="941" w:type="dxa"/>
            <w:noWrap/>
            <w:vAlign w:val="bottom"/>
          </w:tcPr>
          <w:p w:rsidR="00000000" w:rsidRDefault="00000000">
            <w:pPr>
              <w:spacing w:before="80" w:after="80"/>
              <w:jc w:val="center"/>
              <w:rPr>
                <w:sz w:val="20"/>
                <w:szCs w:val="20"/>
                <w:lang w:val="es-ES_tradnl"/>
              </w:rPr>
            </w:pPr>
            <w:r>
              <w:rPr>
                <w:sz w:val="20"/>
                <w:szCs w:val="20"/>
                <w:lang w:val="es-ES_tradnl"/>
              </w:rPr>
              <w:t>2.6</w:t>
            </w:r>
          </w:p>
        </w:tc>
        <w:tc>
          <w:tcPr>
            <w:tcW w:w="941" w:type="dxa"/>
            <w:noWrap/>
            <w:vAlign w:val="bottom"/>
          </w:tcPr>
          <w:p w:rsidR="00000000" w:rsidRDefault="00000000">
            <w:pPr>
              <w:spacing w:before="80" w:after="80"/>
              <w:jc w:val="center"/>
              <w:rPr>
                <w:sz w:val="20"/>
                <w:szCs w:val="20"/>
                <w:lang w:val="es-ES_tradnl"/>
              </w:rPr>
            </w:pPr>
            <w:r>
              <w:rPr>
                <w:sz w:val="20"/>
                <w:szCs w:val="20"/>
                <w:lang w:val="es-ES_tradnl"/>
              </w:rPr>
              <w:t>0.4</w:t>
            </w:r>
          </w:p>
        </w:tc>
        <w:tc>
          <w:tcPr>
            <w:tcW w:w="754" w:type="dxa"/>
            <w:noWrap/>
            <w:vAlign w:val="bottom"/>
          </w:tcPr>
          <w:p w:rsidR="00000000" w:rsidRDefault="00000000">
            <w:pPr>
              <w:spacing w:before="80" w:after="80"/>
              <w:jc w:val="center"/>
              <w:rPr>
                <w:sz w:val="20"/>
                <w:szCs w:val="20"/>
                <w:lang w:val="es-ES_tradnl"/>
              </w:rPr>
            </w:pPr>
            <w:r>
              <w:rPr>
                <w:sz w:val="20"/>
                <w:szCs w:val="20"/>
                <w:lang w:val="es-ES_tradnl"/>
              </w:rPr>
              <w:t>0.5</w:t>
            </w:r>
          </w:p>
        </w:tc>
      </w:tr>
      <w:tr w:rsidR="00000000">
        <w:tc>
          <w:tcPr>
            <w:tcW w:w="1335" w:type="dxa"/>
            <w:tcBorders>
              <w:bottom w:val="single" w:sz="4" w:space="0" w:color="auto"/>
            </w:tcBorders>
            <w:noWrap/>
            <w:vAlign w:val="bottom"/>
          </w:tcPr>
          <w:p w:rsidR="00000000" w:rsidRDefault="00000000">
            <w:pPr>
              <w:spacing w:before="80" w:after="80"/>
              <w:rPr>
                <w:sz w:val="20"/>
                <w:szCs w:val="20"/>
                <w:lang w:val="es-ES_tradnl"/>
              </w:rPr>
            </w:pPr>
            <w:r>
              <w:rPr>
                <w:sz w:val="20"/>
                <w:szCs w:val="20"/>
                <w:lang w:val="es-ES_tradnl"/>
              </w:rPr>
              <w:t>Total</w:t>
            </w:r>
          </w:p>
        </w:tc>
        <w:tc>
          <w:tcPr>
            <w:tcW w:w="1883" w:type="dxa"/>
            <w:tcBorders>
              <w:bottom w:val="single" w:sz="4" w:space="0" w:color="auto"/>
            </w:tcBorders>
            <w:noWrap/>
            <w:vAlign w:val="bottom"/>
          </w:tcPr>
          <w:p w:rsidR="00000000" w:rsidRDefault="00000000">
            <w:pPr>
              <w:spacing w:before="80" w:after="80"/>
              <w:jc w:val="center"/>
              <w:rPr>
                <w:sz w:val="20"/>
                <w:szCs w:val="20"/>
                <w:lang w:val="es-ES_tradnl"/>
              </w:rPr>
            </w:pPr>
            <w:r>
              <w:rPr>
                <w:sz w:val="20"/>
                <w:szCs w:val="20"/>
                <w:lang w:val="es-ES_tradnl"/>
              </w:rPr>
              <w:t>406 752</w:t>
            </w:r>
          </w:p>
        </w:tc>
        <w:tc>
          <w:tcPr>
            <w:tcW w:w="1317" w:type="dxa"/>
            <w:tcBorders>
              <w:bottom w:val="single" w:sz="4" w:space="0" w:color="auto"/>
            </w:tcBorders>
            <w:noWrap/>
            <w:vAlign w:val="bottom"/>
          </w:tcPr>
          <w:p w:rsidR="00000000" w:rsidRDefault="00000000">
            <w:pPr>
              <w:spacing w:before="80" w:after="80"/>
              <w:jc w:val="center"/>
              <w:rPr>
                <w:sz w:val="20"/>
                <w:szCs w:val="20"/>
                <w:lang w:val="es-ES_tradnl"/>
              </w:rPr>
            </w:pPr>
            <w:r>
              <w:rPr>
                <w:sz w:val="20"/>
                <w:szCs w:val="20"/>
                <w:lang w:val="es-ES_tradnl"/>
              </w:rPr>
              <w:t>4 152 588</w:t>
            </w:r>
          </w:p>
        </w:tc>
        <w:tc>
          <w:tcPr>
            <w:tcW w:w="941" w:type="dxa"/>
            <w:tcBorders>
              <w:bottom w:val="single" w:sz="4" w:space="0" w:color="auto"/>
            </w:tcBorders>
            <w:noWrap/>
            <w:vAlign w:val="bottom"/>
          </w:tcPr>
          <w:p w:rsidR="00000000" w:rsidRDefault="00000000">
            <w:pPr>
              <w:spacing w:before="80" w:after="80"/>
              <w:jc w:val="center"/>
              <w:rPr>
                <w:sz w:val="20"/>
                <w:szCs w:val="20"/>
                <w:lang w:val="es-ES_tradnl"/>
              </w:rPr>
            </w:pPr>
            <w:r>
              <w:rPr>
                <w:sz w:val="20"/>
                <w:szCs w:val="20"/>
                <w:lang w:val="es-ES_tradnl"/>
              </w:rPr>
              <w:t>100</w:t>
            </w:r>
          </w:p>
        </w:tc>
        <w:tc>
          <w:tcPr>
            <w:tcW w:w="1317" w:type="dxa"/>
            <w:tcBorders>
              <w:bottom w:val="single" w:sz="4" w:space="0" w:color="auto"/>
            </w:tcBorders>
            <w:noWrap/>
            <w:vAlign w:val="bottom"/>
          </w:tcPr>
          <w:p w:rsidR="00000000" w:rsidRDefault="00000000">
            <w:pPr>
              <w:spacing w:before="80" w:after="80"/>
              <w:jc w:val="center"/>
              <w:rPr>
                <w:sz w:val="20"/>
                <w:szCs w:val="20"/>
                <w:lang w:val="es-ES_tradnl"/>
              </w:rPr>
            </w:pPr>
            <w:r>
              <w:rPr>
                <w:sz w:val="20"/>
                <w:szCs w:val="20"/>
                <w:lang w:val="es-ES_tradnl"/>
              </w:rPr>
              <w:t>5 163 198</w:t>
            </w:r>
          </w:p>
        </w:tc>
        <w:tc>
          <w:tcPr>
            <w:tcW w:w="941" w:type="dxa"/>
            <w:tcBorders>
              <w:bottom w:val="single" w:sz="4" w:space="0" w:color="auto"/>
            </w:tcBorders>
            <w:noWrap/>
            <w:vAlign w:val="bottom"/>
          </w:tcPr>
          <w:p w:rsidR="00000000" w:rsidRDefault="00000000">
            <w:pPr>
              <w:spacing w:before="80" w:after="80"/>
              <w:jc w:val="center"/>
              <w:rPr>
                <w:sz w:val="20"/>
                <w:szCs w:val="20"/>
                <w:lang w:val="es-ES_tradnl"/>
              </w:rPr>
            </w:pPr>
            <w:r>
              <w:rPr>
                <w:sz w:val="20"/>
                <w:szCs w:val="20"/>
                <w:lang w:val="es-ES_tradnl"/>
              </w:rPr>
              <w:t>100</w:t>
            </w:r>
          </w:p>
        </w:tc>
        <w:tc>
          <w:tcPr>
            <w:tcW w:w="941" w:type="dxa"/>
            <w:tcBorders>
              <w:bottom w:val="single" w:sz="4" w:space="0" w:color="auto"/>
            </w:tcBorders>
            <w:noWrap/>
            <w:vAlign w:val="bottom"/>
          </w:tcPr>
          <w:p w:rsidR="00000000" w:rsidRDefault="00000000">
            <w:pPr>
              <w:spacing w:before="80" w:after="80"/>
              <w:jc w:val="center"/>
              <w:rPr>
                <w:sz w:val="20"/>
                <w:szCs w:val="20"/>
                <w:lang w:val="es-ES_tradnl"/>
              </w:rPr>
            </w:pPr>
            <w:r>
              <w:rPr>
                <w:sz w:val="20"/>
                <w:szCs w:val="20"/>
                <w:lang w:val="es-ES_tradnl"/>
              </w:rPr>
              <w:t>10.2</w:t>
            </w:r>
          </w:p>
        </w:tc>
        <w:tc>
          <w:tcPr>
            <w:tcW w:w="754" w:type="dxa"/>
            <w:tcBorders>
              <w:bottom w:val="single" w:sz="4" w:space="0" w:color="auto"/>
            </w:tcBorders>
            <w:noWrap/>
            <w:vAlign w:val="bottom"/>
          </w:tcPr>
          <w:p w:rsidR="00000000" w:rsidRDefault="00000000">
            <w:pPr>
              <w:spacing w:before="80" w:after="80"/>
              <w:jc w:val="center"/>
              <w:rPr>
                <w:sz w:val="20"/>
                <w:szCs w:val="20"/>
                <w:lang w:val="es-ES_tradnl"/>
              </w:rPr>
            </w:pPr>
            <w:r>
              <w:rPr>
                <w:sz w:val="20"/>
                <w:szCs w:val="20"/>
                <w:lang w:val="es-ES_tradnl"/>
              </w:rPr>
              <w:t>12.7</w:t>
            </w:r>
          </w:p>
        </w:tc>
      </w:tr>
    </w:tbl>
    <w:p w:rsidR="00000000" w:rsidRDefault="00000000">
      <w:pPr>
        <w:spacing w:beforeLines="50" w:before="120" w:afterLines="100" w:after="240"/>
        <w:ind w:left="567"/>
      </w:pPr>
      <w:r>
        <w:rPr>
          <w:i/>
          <w:iCs/>
          <w:sz w:val="20"/>
          <w:szCs w:val="16"/>
          <w:lang w:val="en-US"/>
        </w:rPr>
        <w:t>Source</w:t>
      </w:r>
      <w:r>
        <w:rPr>
          <w:sz w:val="20"/>
          <w:szCs w:val="16"/>
          <w:lang w:val="en-US"/>
        </w:rPr>
        <w:t xml:space="preserve">: DGEEC. National Population and Housing Censuses. Years 1992 and </w:t>
      </w:r>
      <w:r>
        <w:rPr>
          <w:sz w:val="20"/>
          <w:szCs w:val="16"/>
        </w:rPr>
        <w:t>2002.</w:t>
      </w:r>
    </w:p>
    <w:p w:rsidR="00000000" w:rsidRDefault="00000000">
      <w:pPr>
        <w:spacing w:after="240"/>
      </w:pPr>
      <w:r>
        <w:t>2.</w:t>
      </w:r>
      <w:r>
        <w:tab/>
        <w:t>Paraguay is a full member of the Common Market of the South (MERCOSUR). In this way Paraguay encourages and is involved in a broad process of consolidation of regional integration manifest on various fronts: economic, social and cultural, as well as political and commercial. Agribusiness in Paraguay constitutes an important sector of the economy (especially in soya cultivation), as well as exports from the binational Itaipú and Yacyretá hydroelectric plants.</w:t>
      </w:r>
    </w:p>
    <w:p w:rsidR="00000000" w:rsidRDefault="00000000">
      <w:pPr>
        <w:spacing w:after="240"/>
      </w:pPr>
      <w:r>
        <w:t>3.</w:t>
      </w:r>
      <w:r>
        <w:tab/>
        <w:t>The MERCOSUR Specialized Meeting of Women (REM) was created under the aegis of MERCOSUR and is a body in which Paraguay has actively participated since its inauguration in 1998. That forum prepares joint proposals to be submitted to the Common Market Group.</w:t>
      </w:r>
    </w:p>
    <w:p w:rsidR="00000000" w:rsidRDefault="00000000">
      <w:pPr>
        <w:spacing w:after="240"/>
        <w:jc w:val="center"/>
        <w:rPr>
          <w:b/>
          <w:bCs/>
          <w:szCs w:val="28"/>
        </w:rPr>
      </w:pPr>
      <w:r>
        <w:rPr>
          <w:b/>
          <w:bCs/>
          <w:szCs w:val="28"/>
        </w:rPr>
        <w:t>B.  Ethnic characteristics</w:t>
      </w:r>
    </w:p>
    <w:p w:rsidR="00000000" w:rsidRDefault="00000000">
      <w:pPr>
        <w:spacing w:after="240"/>
      </w:pPr>
      <w:r>
        <w:t>4.</w:t>
      </w:r>
      <w:r>
        <w:tab/>
        <w:t>The population of Paraguay is marked by its important multi-ethnic component resulting from the blend of races and cultures living and interacting with one another. Demographic indicators also show an active population dynamic, influenced by internal migration, emigration of nationals abroad and the appreciable inflow of foreign immigrants, mostly from neighbouring countries.</w:t>
      </w:r>
    </w:p>
    <w:p w:rsidR="00000000" w:rsidRDefault="00000000">
      <w:pPr>
        <w:pStyle w:val="xl27"/>
        <w:keepNext/>
        <w:pBdr>
          <w:left w:val="none" w:sz="0" w:space="0" w:color="auto"/>
          <w:bottom w:val="none" w:sz="0" w:space="0" w:color="auto"/>
          <w:right w:val="none" w:sz="0" w:space="0" w:color="auto"/>
        </w:pBdr>
        <w:spacing w:before="0" w:beforeAutospacing="0" w:after="200" w:afterAutospacing="0"/>
        <w:rPr>
          <w:rFonts w:ascii="Times New Roman" w:eastAsia="Times New Roman" w:hAnsi="Times New Roman" w:cs="Times New Roman"/>
          <w:lang w:val="en-GB" w:eastAsia="en-US"/>
        </w:rPr>
      </w:pPr>
      <w:r>
        <w:rPr>
          <w:rFonts w:ascii="Times New Roman" w:eastAsia="Times New Roman" w:hAnsi="Times New Roman" w:cs="Times New Roman"/>
          <w:lang w:val="en-GB" w:eastAsia="en-US"/>
        </w:rPr>
        <w:t>C.  Ethnic characteristics of the indigenous population</w:t>
      </w:r>
    </w:p>
    <w:p w:rsidR="00000000" w:rsidRDefault="00000000">
      <w:pPr>
        <w:keepNext/>
        <w:spacing w:after="200"/>
      </w:pPr>
      <w:r>
        <w:t>5.</w:t>
      </w:r>
      <w:r>
        <w:tab/>
        <w:t>According to the results of the Second Indigenous National Census 2002, the registered indigenous population is 87,099, representing 1.7 per cent of the country’s total population. The data that emerged from the 2002 indigenous census suggests that in the past 21 years the growth of the indigenous population has been larger (3.9 per cent) than that of the national population, which grew at an accumulative annual rate of 2.7 per cent (1982-2002). At the same time, just over one half of the total indigenous population lives in the eastern region (44,135), and the remainder (42,964) in the western region. This new information on spatial distribution by region is perhaps one of the significant discoveries of the last census. The western region was historically home to most of the indigenous population, as shown by the previous census data (67.2 per cent in 1981 and 55.8 per cent in 1992). In 2002 the indigenous population of the Chaco region stood at 49.3 per cent. However, this apparent increase must be viewed in the light of better coverage of the indigenous communities of the eastern region in the 2002 census, with the following current advantages: improved access; establishment of a communication strategy involving different indigenous languages, and the indigenous peoples’ effective participation in the organization of the census, among other things.</w:t>
      </w:r>
    </w:p>
    <w:p w:rsidR="00000000" w:rsidRDefault="00000000">
      <w:pPr>
        <w:spacing w:after="200"/>
      </w:pPr>
      <w:r>
        <w:t>6.</w:t>
      </w:r>
      <w:r>
        <w:tab/>
        <w:t>For census purposes, the indigenous population was divided into 20 ethnic groups, of which the following are the largest: the Avá Guaraní, Pai Tavyterá, Mbyá, Nivaclé, northern Enlhet, southern Enlhet and southern Enxet. The Guaná, Manjui and Tomáraho ethnic groups are smaller. The indigenous peoples of Paraguay are settled predominantly in rural areas (91.5 per cent). It should be pointed out, however, that there is a significant presence of five ethnic groups in urban areas: Maká (77.4 per cent), Maskoy (32.7 per cent), western Guaraní (29.4 per cent), Nivaclé (25.2 per cent) and northern Enlhet (24.4 per cent). This distribution suggests movement towards urban centres, which, should the trend continue, would probably intensify in the next few years.</w:t>
      </w:r>
    </w:p>
    <w:p w:rsidR="00000000" w:rsidRDefault="00000000">
      <w:pPr>
        <w:spacing w:after="200"/>
      </w:pPr>
      <w:r>
        <w:t>7.</w:t>
      </w:r>
      <w:r>
        <w:tab/>
        <w:t>Regarding education indicators, the average number of years of study of the national population is 10 or more. However, there is a pronounced contrast between the national population as a whole (7 years) and the indigenous population (2.2 years). The urban indigenous population is slightly over this average compared with their peers living in rural areas (3.2 years as opposed to 2.1 years). The western Guaraní post a higher average, while the Manjui post the lowest (5 years and 0.7 years respectively). Another indicator that patently reflects the situation of disadvantage experienced by the indigenous population in the area of formal education is the illiteracy rate. The national rate for the population aged 15 and over is 7.1 per cent, and 51 per cent among the indigenous population. Also, there is a lower incidence of illiteracy among the urban indigenous population, as compared to their rural counterparts (29.2 per cent and 53.3 per cent respectively). The highest level of illiteracy is to be found among the Paí Tavyterá (82 per cent), while the western Guaraní are in a more favourable situation (12.2 per cent).</w:t>
      </w:r>
    </w:p>
    <w:p w:rsidR="00000000" w:rsidRDefault="00000000">
      <w:pPr>
        <w:rPr>
          <w:spacing w:val="-2"/>
        </w:rPr>
      </w:pPr>
      <w:r>
        <w:rPr>
          <w:spacing w:val="-2"/>
        </w:rPr>
        <w:t>8.</w:t>
      </w:r>
      <w:r>
        <w:rPr>
          <w:spacing w:val="-2"/>
        </w:rPr>
        <w:tab/>
        <w:t>With regard to the indigenous population’s housing situation, 5,802 of all private indigenous dwellings are houses, 10,439 huts, 678 makeshift dwellings, 368 sheds and 25 declared as “Other”. The majority type of housing (huts) is apparently linked to the concentration of most of the indigenous population in rural areas and especially to the lack of basic services, such as electricity and drinking water, from which indigenous peoples suffer. Only 2.5 per cent of the indigenous population has access to drinking water, while 9.7 per cent possesses electric light.</w:t>
      </w:r>
      <w:r>
        <w:rPr>
          <w:rStyle w:val="FootnoteReference"/>
          <w:b/>
          <w:bCs/>
          <w:spacing w:val="-2"/>
        </w:rPr>
        <w:footnoteReference w:id="1"/>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GB" w:eastAsia="en-US"/>
        </w:rPr>
      </w:pPr>
      <w:r>
        <w:rPr>
          <w:rFonts w:ascii="Times New Roman" w:eastAsia="Times New Roman" w:hAnsi="Times New Roman" w:cs="Times New Roman"/>
          <w:lang w:val="en-GB" w:eastAsia="en-US"/>
        </w:rPr>
        <w:t>D.  Demographic characteristics of the country and its population</w:t>
      </w:r>
    </w:p>
    <w:p w:rsidR="00000000" w:rsidRDefault="00000000">
      <w:pPr>
        <w:spacing w:after="240"/>
      </w:pPr>
      <w:r>
        <w:rPr>
          <w:b/>
        </w:rPr>
        <w:t>1.</w:t>
      </w:r>
      <w:r>
        <w:rPr>
          <w:b/>
        </w:rPr>
        <w:tab/>
        <w:t>Life expectancy at birth</w:t>
      </w:r>
    </w:p>
    <w:p w:rsidR="00000000" w:rsidRDefault="00000000">
      <w:pPr>
        <w:spacing w:after="240"/>
      </w:pPr>
      <w:r>
        <w:t>9.</w:t>
      </w:r>
      <w:r>
        <w:tab/>
        <w:t>The trend towards higher life expectancy in Paraguay is becoming entrenched owing, inter alia, to the drop in the infant mortality rate and the higher level of public information on care, prevention and treatment of diseases. At the same time, this strengthening is also due to the consolidation of the health system made up of institutions of the public, private and non-profit sectors operating in various areas of health care and with branches throughout the country.</w:t>
      </w:r>
    </w:p>
    <w:p w:rsidR="00000000" w:rsidRDefault="00000000">
      <w:pPr>
        <w:spacing w:after="240"/>
      </w:pPr>
      <w:r>
        <w:t>10.</w:t>
      </w:r>
      <w:r>
        <w:tab/>
        <w:t>Life expectancy (both sexes)stands at 70.8 years. Life expectancy at birth continues to rise in all projection periods, increasing from 62.6 years in the five-year period 1990-1995 to 78.44 for 2045-2050. This increase is mainly due to the drop in child and infant mortality, especially during the first year of life. For the period 2000-2005 life expectancy is 70.8 years for both sexes taken together, i.e. 68.6 for men and 73.1 for women.</w:t>
      </w:r>
      <w:r>
        <w:rPr>
          <w:rStyle w:val="FootnoteReference"/>
          <w:b/>
          <w:bCs/>
        </w:rPr>
        <w:footnoteReference w:id="2"/>
      </w:r>
    </w:p>
    <w:p w:rsidR="00000000" w:rsidRDefault="00000000">
      <w:pPr>
        <w:pStyle w:val="xl46"/>
        <w:spacing w:before="0" w:beforeAutospacing="0" w:after="240" w:afterAutospacing="0"/>
        <w:rPr>
          <w:rFonts w:ascii="Times New Roman" w:eastAsia="Times New Roman" w:hAnsi="Times New Roman" w:cs="Times New Roman"/>
          <w:bCs w:val="0"/>
          <w:szCs w:val="24"/>
          <w:lang w:val="en-GB" w:eastAsia="en-US"/>
        </w:rPr>
      </w:pPr>
      <w:r>
        <w:rPr>
          <w:rFonts w:ascii="Times New Roman" w:eastAsia="Times New Roman" w:hAnsi="Times New Roman" w:cs="Times New Roman"/>
          <w:bCs w:val="0"/>
          <w:szCs w:val="24"/>
          <w:lang w:val="en-GB" w:eastAsia="en-US"/>
        </w:rPr>
        <w:t>Country total: Infant mortality rate (IMR) and life expectancy at birth by five-year period.</w:t>
      </w:r>
      <w:r>
        <w:rPr>
          <w:rFonts w:ascii="Times New Roman" w:eastAsia="Times New Roman" w:hAnsi="Times New Roman" w:cs="Times New Roman"/>
          <w:bCs w:val="0"/>
          <w:szCs w:val="24"/>
          <w:lang w:val="en-GB" w:eastAsia="en-US"/>
        </w:rPr>
        <w:br/>
        <w:t>Years: 1995-2005</w:t>
      </w:r>
    </w:p>
    <w:tbl>
      <w:tblPr>
        <w:tblW w:w="4985" w:type="pct"/>
        <w:jc w:val="center"/>
        <w:tblInd w:w="29" w:type="dxa"/>
        <w:tblLayout w:type="fixed"/>
        <w:tblCellMar>
          <w:left w:w="0" w:type="dxa"/>
          <w:right w:w="0" w:type="dxa"/>
        </w:tblCellMar>
        <w:tblLook w:val="0000" w:firstRow="0" w:lastRow="0" w:firstColumn="0" w:lastColumn="0" w:noHBand="0" w:noVBand="0"/>
      </w:tblPr>
      <w:tblGrid>
        <w:gridCol w:w="2230"/>
        <w:gridCol w:w="1681"/>
        <w:gridCol w:w="2238"/>
        <w:gridCol w:w="1618"/>
        <w:gridCol w:w="1618"/>
      </w:tblGrid>
      <w:tr w:rsidR="00000000">
        <w:trPr>
          <w:cantSplit/>
          <w:jc w:val="center"/>
        </w:trPr>
        <w:tc>
          <w:tcPr>
            <w:tcW w:w="2232" w:type="dxa"/>
            <w:vMerge w:val="restart"/>
            <w:tcBorders>
              <w:top w:val="single" w:sz="4" w:space="0" w:color="auto"/>
              <w:left w:val="nil"/>
              <w:bottom w:val="single" w:sz="4" w:space="0" w:color="auto"/>
              <w:right w:val="nil"/>
            </w:tcBorders>
            <w:vAlign w:val="center"/>
          </w:tcPr>
          <w:p w:rsidR="00000000" w:rsidRDefault="00000000">
            <w:pPr>
              <w:spacing w:before="80" w:after="80"/>
              <w:jc w:val="center"/>
              <w:rPr>
                <w:b/>
                <w:bCs/>
                <w:i/>
                <w:iCs/>
                <w:sz w:val="20"/>
                <w:szCs w:val="20"/>
              </w:rPr>
            </w:pPr>
            <w:r>
              <w:rPr>
                <w:b/>
                <w:bCs/>
                <w:i/>
                <w:iCs/>
                <w:sz w:val="20"/>
                <w:szCs w:val="20"/>
              </w:rPr>
              <w:t>Quinquennium</w:t>
            </w:r>
          </w:p>
        </w:tc>
        <w:tc>
          <w:tcPr>
            <w:tcW w:w="1682" w:type="dxa"/>
            <w:tcBorders>
              <w:top w:val="single" w:sz="4" w:space="0" w:color="auto"/>
              <w:left w:val="nil"/>
              <w:bottom w:val="single" w:sz="4" w:space="0" w:color="auto"/>
              <w:right w:val="nil"/>
            </w:tcBorders>
            <w:noWrap/>
            <w:vAlign w:val="bottom"/>
          </w:tcPr>
          <w:p w:rsidR="00000000" w:rsidRDefault="00000000">
            <w:pPr>
              <w:spacing w:before="80" w:after="80"/>
              <w:jc w:val="center"/>
              <w:rPr>
                <w:b/>
                <w:bCs/>
                <w:i/>
                <w:iCs/>
                <w:sz w:val="20"/>
                <w:szCs w:val="20"/>
              </w:rPr>
            </w:pPr>
          </w:p>
        </w:tc>
        <w:tc>
          <w:tcPr>
            <w:tcW w:w="2240" w:type="dxa"/>
            <w:tcBorders>
              <w:top w:val="single" w:sz="4" w:space="0" w:color="auto"/>
              <w:left w:val="nil"/>
              <w:bottom w:val="single" w:sz="4" w:space="0" w:color="auto"/>
              <w:right w:val="nil"/>
            </w:tcBorders>
            <w:noWrap/>
            <w:vAlign w:val="bottom"/>
          </w:tcPr>
          <w:p w:rsidR="00000000" w:rsidRDefault="00000000">
            <w:pPr>
              <w:pStyle w:val="Heading5"/>
              <w:keepNext w:val="0"/>
              <w:jc w:val="center"/>
              <w:rPr>
                <w:i/>
                <w:iCs/>
              </w:rPr>
            </w:pPr>
            <w:r>
              <w:rPr>
                <w:i/>
                <w:iCs/>
              </w:rPr>
              <w:t>Life expectancy</w:t>
            </w:r>
          </w:p>
        </w:tc>
        <w:tc>
          <w:tcPr>
            <w:tcW w:w="1619" w:type="dxa"/>
            <w:tcBorders>
              <w:top w:val="single" w:sz="4" w:space="0" w:color="auto"/>
              <w:left w:val="nil"/>
              <w:bottom w:val="single" w:sz="4" w:space="0" w:color="auto"/>
            </w:tcBorders>
            <w:noWrap/>
            <w:vAlign w:val="bottom"/>
          </w:tcPr>
          <w:p w:rsidR="00000000" w:rsidRDefault="00000000">
            <w:pPr>
              <w:spacing w:before="80" w:after="80"/>
              <w:jc w:val="center"/>
              <w:rPr>
                <w:b/>
                <w:bCs/>
                <w:i/>
                <w:iCs/>
                <w:sz w:val="20"/>
                <w:szCs w:val="20"/>
              </w:rPr>
            </w:pPr>
          </w:p>
        </w:tc>
        <w:tc>
          <w:tcPr>
            <w:tcW w:w="1619" w:type="dxa"/>
            <w:vMerge w:val="restart"/>
            <w:tcBorders>
              <w:top w:val="single" w:sz="4" w:space="0" w:color="auto"/>
              <w:right w:val="nil"/>
            </w:tcBorders>
            <w:noWrap/>
            <w:vAlign w:val="bottom"/>
          </w:tcPr>
          <w:p w:rsidR="00000000" w:rsidRDefault="00000000">
            <w:pPr>
              <w:spacing w:before="80" w:after="80"/>
              <w:jc w:val="center"/>
              <w:rPr>
                <w:b/>
                <w:bCs/>
                <w:i/>
                <w:iCs/>
                <w:sz w:val="20"/>
                <w:szCs w:val="20"/>
              </w:rPr>
            </w:pPr>
            <w:r>
              <w:rPr>
                <w:b/>
                <w:bCs/>
                <w:i/>
                <w:iCs/>
                <w:sz w:val="20"/>
                <w:szCs w:val="20"/>
              </w:rPr>
              <w:t>Imr</w:t>
            </w:r>
          </w:p>
          <w:p w:rsidR="00000000" w:rsidRDefault="00000000">
            <w:pPr>
              <w:spacing w:before="80" w:after="80"/>
              <w:jc w:val="center"/>
              <w:rPr>
                <w:b/>
                <w:bCs/>
                <w:i/>
                <w:iCs/>
                <w:sz w:val="20"/>
                <w:szCs w:val="20"/>
              </w:rPr>
            </w:pPr>
            <w:r>
              <w:rPr>
                <w:b/>
                <w:bCs/>
                <w:i/>
                <w:iCs/>
                <w:sz w:val="20"/>
                <w:szCs w:val="20"/>
              </w:rPr>
              <w:t>(thousands)</w:t>
            </w:r>
          </w:p>
        </w:tc>
      </w:tr>
      <w:tr w:rsidR="00000000">
        <w:trPr>
          <w:cantSplit/>
          <w:jc w:val="center"/>
        </w:trPr>
        <w:tc>
          <w:tcPr>
            <w:tcW w:w="2232" w:type="dxa"/>
            <w:vMerge/>
            <w:tcBorders>
              <w:top w:val="single" w:sz="4" w:space="0" w:color="auto"/>
              <w:left w:val="nil"/>
              <w:bottom w:val="single" w:sz="4" w:space="0" w:color="auto"/>
              <w:right w:val="nil"/>
            </w:tcBorders>
            <w:vAlign w:val="center"/>
          </w:tcPr>
          <w:p w:rsidR="00000000" w:rsidRDefault="00000000">
            <w:pPr>
              <w:spacing w:before="80" w:after="80"/>
              <w:jc w:val="center"/>
              <w:rPr>
                <w:b/>
                <w:bCs/>
                <w:i/>
                <w:iCs/>
                <w:sz w:val="20"/>
                <w:szCs w:val="20"/>
              </w:rPr>
            </w:pPr>
          </w:p>
        </w:tc>
        <w:tc>
          <w:tcPr>
            <w:tcW w:w="1682" w:type="dxa"/>
            <w:tcBorders>
              <w:top w:val="single" w:sz="4" w:space="0" w:color="auto"/>
              <w:left w:val="nil"/>
              <w:bottom w:val="single" w:sz="4" w:space="0" w:color="auto"/>
              <w:right w:val="nil"/>
            </w:tcBorders>
            <w:noWrap/>
            <w:vAlign w:val="bottom"/>
          </w:tcPr>
          <w:p w:rsidR="00000000" w:rsidRDefault="00000000">
            <w:pPr>
              <w:spacing w:before="80" w:after="80"/>
              <w:jc w:val="center"/>
              <w:rPr>
                <w:b/>
                <w:bCs/>
                <w:i/>
                <w:iCs/>
                <w:sz w:val="20"/>
                <w:szCs w:val="20"/>
              </w:rPr>
            </w:pPr>
            <w:r>
              <w:rPr>
                <w:b/>
                <w:bCs/>
                <w:i/>
                <w:iCs/>
                <w:sz w:val="20"/>
                <w:szCs w:val="20"/>
              </w:rPr>
              <w:t>Both sexes</w:t>
            </w:r>
          </w:p>
        </w:tc>
        <w:tc>
          <w:tcPr>
            <w:tcW w:w="2240" w:type="dxa"/>
            <w:tcBorders>
              <w:top w:val="single" w:sz="4" w:space="0" w:color="auto"/>
              <w:left w:val="nil"/>
              <w:bottom w:val="single" w:sz="4" w:space="0" w:color="auto"/>
              <w:right w:val="nil"/>
            </w:tcBorders>
            <w:noWrap/>
            <w:vAlign w:val="bottom"/>
          </w:tcPr>
          <w:p w:rsidR="00000000" w:rsidRDefault="00000000">
            <w:pPr>
              <w:spacing w:before="80" w:after="80"/>
              <w:jc w:val="center"/>
              <w:rPr>
                <w:b/>
                <w:bCs/>
                <w:i/>
                <w:iCs/>
                <w:sz w:val="20"/>
                <w:szCs w:val="20"/>
              </w:rPr>
            </w:pPr>
            <w:r>
              <w:rPr>
                <w:b/>
                <w:bCs/>
                <w:i/>
                <w:iCs/>
                <w:sz w:val="20"/>
                <w:szCs w:val="20"/>
              </w:rPr>
              <w:t>Men</w:t>
            </w:r>
          </w:p>
        </w:tc>
        <w:tc>
          <w:tcPr>
            <w:tcW w:w="1619" w:type="dxa"/>
            <w:tcBorders>
              <w:top w:val="single" w:sz="4" w:space="0" w:color="auto"/>
              <w:left w:val="nil"/>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Women</w:t>
            </w:r>
          </w:p>
        </w:tc>
        <w:tc>
          <w:tcPr>
            <w:tcW w:w="1619" w:type="dxa"/>
            <w:vMerge/>
            <w:tcBorders>
              <w:bottom w:val="single" w:sz="4" w:space="0" w:color="auto"/>
              <w:right w:val="nil"/>
            </w:tcBorders>
            <w:noWrap/>
            <w:vAlign w:val="bottom"/>
          </w:tcPr>
          <w:p w:rsidR="00000000" w:rsidRDefault="00000000">
            <w:pPr>
              <w:spacing w:before="80" w:after="80"/>
              <w:jc w:val="center"/>
              <w:rPr>
                <w:b/>
                <w:bCs/>
                <w:i/>
                <w:iCs/>
                <w:sz w:val="20"/>
                <w:szCs w:val="20"/>
              </w:rPr>
            </w:pPr>
          </w:p>
        </w:tc>
      </w:tr>
      <w:tr w:rsidR="00000000">
        <w:trPr>
          <w:jc w:val="center"/>
        </w:trPr>
        <w:tc>
          <w:tcPr>
            <w:tcW w:w="2232" w:type="dxa"/>
            <w:tcBorders>
              <w:top w:val="single" w:sz="4" w:space="0" w:color="auto"/>
              <w:left w:val="nil"/>
              <w:right w:val="nil"/>
            </w:tcBorders>
            <w:noWrap/>
            <w:vAlign w:val="bottom"/>
          </w:tcPr>
          <w:p w:rsidR="00000000" w:rsidRDefault="00000000">
            <w:pPr>
              <w:spacing w:before="80" w:after="80"/>
              <w:rPr>
                <w:sz w:val="20"/>
                <w:szCs w:val="20"/>
              </w:rPr>
            </w:pPr>
            <w:r>
              <w:rPr>
                <w:sz w:val="20"/>
                <w:szCs w:val="20"/>
              </w:rPr>
              <w:t>1995-2000</w:t>
            </w:r>
          </w:p>
        </w:tc>
        <w:tc>
          <w:tcPr>
            <w:tcW w:w="1682" w:type="dxa"/>
            <w:tcBorders>
              <w:top w:val="single" w:sz="4" w:space="0" w:color="auto"/>
              <w:left w:val="nil"/>
              <w:right w:val="nil"/>
            </w:tcBorders>
            <w:noWrap/>
            <w:vAlign w:val="bottom"/>
          </w:tcPr>
          <w:p w:rsidR="00000000" w:rsidRDefault="00000000">
            <w:pPr>
              <w:spacing w:before="80" w:after="80"/>
              <w:jc w:val="center"/>
              <w:rPr>
                <w:sz w:val="20"/>
                <w:szCs w:val="20"/>
              </w:rPr>
            </w:pPr>
            <w:r>
              <w:rPr>
                <w:sz w:val="20"/>
                <w:szCs w:val="20"/>
              </w:rPr>
              <w:t>69</w:t>
            </w:r>
            <w:r>
              <w:rPr>
                <w:b/>
                <w:bCs/>
                <w:sz w:val="20"/>
                <w:szCs w:val="20"/>
              </w:rPr>
              <w:t>.</w:t>
            </w:r>
            <w:r>
              <w:rPr>
                <w:sz w:val="20"/>
                <w:szCs w:val="20"/>
              </w:rPr>
              <w:t>4</w:t>
            </w:r>
          </w:p>
        </w:tc>
        <w:tc>
          <w:tcPr>
            <w:tcW w:w="2240" w:type="dxa"/>
            <w:tcBorders>
              <w:top w:val="single" w:sz="4" w:space="0" w:color="auto"/>
              <w:left w:val="nil"/>
              <w:right w:val="nil"/>
            </w:tcBorders>
            <w:noWrap/>
            <w:vAlign w:val="bottom"/>
          </w:tcPr>
          <w:p w:rsidR="00000000" w:rsidRDefault="00000000">
            <w:pPr>
              <w:spacing w:before="80" w:after="80"/>
              <w:jc w:val="center"/>
              <w:rPr>
                <w:sz w:val="20"/>
                <w:szCs w:val="20"/>
              </w:rPr>
            </w:pPr>
            <w:r>
              <w:rPr>
                <w:sz w:val="20"/>
                <w:szCs w:val="20"/>
              </w:rPr>
              <w:t>67</w:t>
            </w:r>
            <w:r>
              <w:rPr>
                <w:b/>
                <w:bCs/>
                <w:sz w:val="20"/>
                <w:szCs w:val="20"/>
              </w:rPr>
              <w:t>.</w:t>
            </w:r>
            <w:r>
              <w:rPr>
                <w:sz w:val="20"/>
                <w:szCs w:val="20"/>
              </w:rPr>
              <w:t>2</w:t>
            </w:r>
          </w:p>
        </w:tc>
        <w:tc>
          <w:tcPr>
            <w:tcW w:w="1619" w:type="dxa"/>
            <w:tcBorders>
              <w:top w:val="single" w:sz="4" w:space="0" w:color="auto"/>
              <w:left w:val="nil"/>
              <w:right w:val="nil"/>
            </w:tcBorders>
            <w:noWrap/>
            <w:vAlign w:val="bottom"/>
          </w:tcPr>
          <w:p w:rsidR="00000000" w:rsidRDefault="00000000">
            <w:pPr>
              <w:spacing w:before="80" w:after="80"/>
              <w:jc w:val="center"/>
              <w:rPr>
                <w:sz w:val="20"/>
                <w:szCs w:val="20"/>
              </w:rPr>
            </w:pPr>
            <w:r>
              <w:rPr>
                <w:sz w:val="20"/>
                <w:szCs w:val="20"/>
              </w:rPr>
              <w:t>71</w:t>
            </w:r>
            <w:r>
              <w:rPr>
                <w:b/>
                <w:bCs/>
                <w:sz w:val="20"/>
                <w:szCs w:val="20"/>
              </w:rPr>
              <w:t>.</w:t>
            </w:r>
            <w:r>
              <w:rPr>
                <w:sz w:val="20"/>
                <w:szCs w:val="20"/>
              </w:rPr>
              <w:t>7</w:t>
            </w:r>
          </w:p>
        </w:tc>
        <w:tc>
          <w:tcPr>
            <w:tcW w:w="1619" w:type="dxa"/>
            <w:tcBorders>
              <w:top w:val="single" w:sz="4" w:space="0" w:color="auto"/>
              <w:left w:val="nil"/>
              <w:right w:val="nil"/>
            </w:tcBorders>
            <w:noWrap/>
            <w:vAlign w:val="bottom"/>
          </w:tcPr>
          <w:p w:rsidR="00000000" w:rsidRDefault="00000000">
            <w:pPr>
              <w:spacing w:before="80" w:after="80"/>
              <w:jc w:val="center"/>
              <w:rPr>
                <w:sz w:val="20"/>
                <w:szCs w:val="20"/>
              </w:rPr>
            </w:pPr>
            <w:r>
              <w:rPr>
                <w:sz w:val="20"/>
                <w:szCs w:val="20"/>
              </w:rPr>
              <w:t>39</w:t>
            </w:r>
            <w:r>
              <w:rPr>
                <w:b/>
                <w:bCs/>
                <w:sz w:val="20"/>
                <w:szCs w:val="20"/>
              </w:rPr>
              <w:t>.</w:t>
            </w:r>
            <w:r>
              <w:rPr>
                <w:sz w:val="20"/>
                <w:szCs w:val="20"/>
              </w:rPr>
              <w:t>2</w:t>
            </w:r>
          </w:p>
        </w:tc>
      </w:tr>
      <w:tr w:rsidR="00000000">
        <w:trPr>
          <w:jc w:val="center"/>
        </w:trPr>
        <w:tc>
          <w:tcPr>
            <w:tcW w:w="2232" w:type="dxa"/>
            <w:tcBorders>
              <w:top w:val="nil"/>
              <w:left w:val="nil"/>
              <w:bottom w:val="single" w:sz="4" w:space="0" w:color="auto"/>
              <w:right w:val="nil"/>
            </w:tcBorders>
            <w:noWrap/>
            <w:vAlign w:val="bottom"/>
          </w:tcPr>
          <w:p w:rsidR="00000000" w:rsidRDefault="00000000">
            <w:pPr>
              <w:spacing w:before="80" w:after="80"/>
              <w:rPr>
                <w:sz w:val="20"/>
                <w:szCs w:val="20"/>
              </w:rPr>
            </w:pPr>
            <w:r>
              <w:rPr>
                <w:sz w:val="20"/>
                <w:szCs w:val="20"/>
              </w:rPr>
              <w:t>2000-2005</w:t>
            </w:r>
          </w:p>
        </w:tc>
        <w:tc>
          <w:tcPr>
            <w:tcW w:w="1682" w:type="dxa"/>
            <w:tcBorders>
              <w:top w:val="nil"/>
              <w:left w:val="nil"/>
              <w:bottom w:val="single" w:sz="4" w:space="0" w:color="auto"/>
              <w:right w:val="nil"/>
            </w:tcBorders>
            <w:noWrap/>
            <w:vAlign w:val="bottom"/>
          </w:tcPr>
          <w:p w:rsidR="00000000" w:rsidRDefault="00000000">
            <w:pPr>
              <w:spacing w:before="80" w:after="80"/>
              <w:jc w:val="center"/>
              <w:rPr>
                <w:sz w:val="20"/>
                <w:szCs w:val="20"/>
              </w:rPr>
            </w:pPr>
            <w:r>
              <w:rPr>
                <w:sz w:val="20"/>
                <w:szCs w:val="20"/>
              </w:rPr>
              <w:t>70</w:t>
            </w:r>
            <w:r>
              <w:rPr>
                <w:b/>
                <w:bCs/>
                <w:sz w:val="20"/>
                <w:szCs w:val="20"/>
              </w:rPr>
              <w:t>.</w:t>
            </w:r>
            <w:r>
              <w:rPr>
                <w:sz w:val="20"/>
                <w:szCs w:val="20"/>
              </w:rPr>
              <w:t>8</w:t>
            </w:r>
          </w:p>
        </w:tc>
        <w:tc>
          <w:tcPr>
            <w:tcW w:w="2240" w:type="dxa"/>
            <w:tcBorders>
              <w:top w:val="nil"/>
              <w:left w:val="nil"/>
              <w:bottom w:val="single" w:sz="4" w:space="0" w:color="auto"/>
              <w:right w:val="nil"/>
            </w:tcBorders>
            <w:noWrap/>
            <w:vAlign w:val="bottom"/>
          </w:tcPr>
          <w:p w:rsidR="00000000" w:rsidRDefault="00000000">
            <w:pPr>
              <w:spacing w:before="80" w:after="80"/>
              <w:jc w:val="center"/>
              <w:rPr>
                <w:sz w:val="20"/>
                <w:szCs w:val="20"/>
              </w:rPr>
            </w:pPr>
            <w:r>
              <w:rPr>
                <w:sz w:val="20"/>
                <w:szCs w:val="20"/>
              </w:rPr>
              <w:t>68</w:t>
            </w:r>
            <w:r>
              <w:rPr>
                <w:b/>
                <w:bCs/>
                <w:sz w:val="20"/>
                <w:szCs w:val="20"/>
              </w:rPr>
              <w:t>.</w:t>
            </w:r>
            <w:r>
              <w:rPr>
                <w:sz w:val="20"/>
                <w:szCs w:val="20"/>
              </w:rPr>
              <w:t>7</w:t>
            </w:r>
          </w:p>
        </w:tc>
        <w:tc>
          <w:tcPr>
            <w:tcW w:w="1619" w:type="dxa"/>
            <w:tcBorders>
              <w:top w:val="nil"/>
              <w:left w:val="nil"/>
              <w:bottom w:val="single" w:sz="4" w:space="0" w:color="auto"/>
              <w:right w:val="nil"/>
            </w:tcBorders>
            <w:noWrap/>
            <w:vAlign w:val="bottom"/>
          </w:tcPr>
          <w:p w:rsidR="00000000" w:rsidRDefault="00000000">
            <w:pPr>
              <w:spacing w:before="80" w:after="80"/>
              <w:jc w:val="center"/>
              <w:rPr>
                <w:sz w:val="20"/>
                <w:szCs w:val="20"/>
              </w:rPr>
            </w:pPr>
            <w:r>
              <w:rPr>
                <w:sz w:val="20"/>
                <w:szCs w:val="20"/>
              </w:rPr>
              <w:t>72</w:t>
            </w:r>
            <w:r>
              <w:rPr>
                <w:b/>
                <w:bCs/>
                <w:sz w:val="20"/>
                <w:szCs w:val="20"/>
              </w:rPr>
              <w:t>.</w:t>
            </w:r>
            <w:r>
              <w:rPr>
                <w:sz w:val="20"/>
                <w:szCs w:val="20"/>
              </w:rPr>
              <w:t>9</w:t>
            </w:r>
          </w:p>
        </w:tc>
        <w:tc>
          <w:tcPr>
            <w:tcW w:w="1619" w:type="dxa"/>
            <w:tcBorders>
              <w:top w:val="nil"/>
              <w:left w:val="nil"/>
              <w:bottom w:val="single" w:sz="4" w:space="0" w:color="auto"/>
              <w:right w:val="nil"/>
            </w:tcBorders>
            <w:noWrap/>
            <w:vAlign w:val="bottom"/>
          </w:tcPr>
          <w:p w:rsidR="00000000" w:rsidRDefault="00000000">
            <w:pPr>
              <w:spacing w:before="80" w:after="80"/>
              <w:jc w:val="center"/>
              <w:rPr>
                <w:sz w:val="20"/>
                <w:szCs w:val="20"/>
              </w:rPr>
            </w:pPr>
            <w:r>
              <w:rPr>
                <w:sz w:val="20"/>
                <w:szCs w:val="20"/>
              </w:rPr>
              <w:t>35</w:t>
            </w:r>
            <w:r>
              <w:rPr>
                <w:b/>
                <w:bCs/>
                <w:sz w:val="20"/>
                <w:szCs w:val="20"/>
              </w:rPr>
              <w:t>.</w:t>
            </w:r>
            <w:r>
              <w:rPr>
                <w:sz w:val="20"/>
                <w:szCs w:val="20"/>
              </w:rPr>
              <w:t>5</w:t>
            </w:r>
          </w:p>
        </w:tc>
      </w:tr>
    </w:tbl>
    <w:p w:rsidR="00000000" w:rsidRDefault="00000000">
      <w:pPr>
        <w:spacing w:before="120" w:after="240"/>
        <w:ind w:firstLine="567"/>
        <w:rPr>
          <w:sz w:val="20"/>
          <w:szCs w:val="18"/>
        </w:rPr>
      </w:pPr>
      <w:r>
        <w:rPr>
          <w:bCs/>
          <w:i/>
          <w:iCs/>
          <w:sz w:val="20"/>
          <w:szCs w:val="20"/>
        </w:rPr>
        <w:t>Source:</w:t>
      </w:r>
      <w:r>
        <w:rPr>
          <w:sz w:val="20"/>
          <w:szCs w:val="20"/>
        </w:rPr>
        <w:t xml:space="preserve"> STP/DGEEC. National Population Projection by sex and age, 1950-2050</w:t>
      </w:r>
      <w:r>
        <w:rPr>
          <w:sz w:val="20"/>
          <w:szCs w:val="16"/>
          <w:lang w:val="en-US"/>
        </w:rPr>
        <w:t>.</w:t>
      </w:r>
      <w:r>
        <w:rPr>
          <w:szCs w:val="18"/>
        </w:rPr>
        <w:t xml:space="preserve"> </w:t>
      </w:r>
      <w:r>
        <w:rPr>
          <w:sz w:val="20"/>
          <w:szCs w:val="18"/>
        </w:rPr>
        <w:t>Directorate-General for Statistics, Surveys and Censuses, 2003</w:t>
      </w:r>
    </w:p>
    <w:p w:rsidR="00000000" w:rsidRDefault="00000000">
      <w:pPr>
        <w:spacing w:after="240"/>
      </w:pPr>
      <w:r>
        <w:t>11.</w:t>
      </w:r>
      <w:r>
        <w:tab/>
        <w:t>In the past five years, life expectancy at birth has increased by one year for the country’s population as a whole. The increase was 0.5 years for men and over one year for women.</w:t>
      </w:r>
    </w:p>
    <w:p w:rsidR="00000000" w:rsidRDefault="00000000">
      <w:pPr>
        <w:spacing w:after="240"/>
      </w:pPr>
      <w:r>
        <w:t>12.</w:t>
      </w:r>
      <w:r>
        <w:tab/>
        <w:t>As shown, the increase in life expectancy at birth is fairly similar for men and women. However, women are in a slightly more favourable position.</w:t>
      </w:r>
    </w:p>
    <w:p w:rsidR="00000000" w:rsidRDefault="00000000">
      <w:pPr>
        <w:spacing w:after="240"/>
        <w:rPr>
          <w:b/>
        </w:rPr>
      </w:pPr>
      <w:r>
        <w:rPr>
          <w:b/>
        </w:rPr>
        <w:t>2.</w:t>
      </w:r>
      <w:r>
        <w:rPr>
          <w:b/>
        </w:rPr>
        <w:tab/>
        <w:t>Infant mortality</w:t>
      </w:r>
    </w:p>
    <w:p w:rsidR="00000000" w:rsidRDefault="00000000">
      <w:pPr>
        <w:spacing w:after="240"/>
      </w:pPr>
      <w:r>
        <w:t>13.</w:t>
      </w:r>
      <w:r>
        <w:tab/>
        <w:t>In Paraguay it is estimated that on average some 38 children for every 1,000 live births die every year, which means that 38 children die before their first birthday (although under-registration runs at 50 per cent).</w:t>
      </w:r>
    </w:p>
    <w:p w:rsidR="00000000" w:rsidRDefault="00000000">
      <w:pPr>
        <w:spacing w:after="240"/>
      </w:pPr>
      <w:r>
        <w:t>14.</w:t>
      </w:r>
      <w:r>
        <w:tab/>
        <w:t>Between 1994 and the present the infant mortality rate has tended to fall, albeit slightly, but regional and socio-economic differences - as well as differences deriving from degrees of urbanization – still persist in infant mortality levels. The rate among the indigenous, rural and poor populations could presumably higher levels. The infant mortality rate is higher among the groups with the highest illiteracy rates than among groups with six years of schooling. Infant mortality is most rife among children from poor families.</w:t>
      </w:r>
    </w:p>
    <w:p w:rsidR="00000000" w:rsidRDefault="00000000">
      <w:pPr>
        <w:pStyle w:val="Heading7"/>
        <w:jc w:val="center"/>
        <w:rPr>
          <w:sz w:val="22"/>
        </w:rPr>
      </w:pPr>
      <w:r>
        <w:rPr>
          <w:sz w:val="22"/>
        </w:rPr>
        <w:t>Infant mortality recorded and estimated according to age. Paraguay, 1992-2003</w:t>
      </w:r>
    </w:p>
    <w:tbl>
      <w:tblPr>
        <w:tblW w:w="3000" w:type="pct"/>
        <w:jc w:val="center"/>
        <w:tblCellMar>
          <w:left w:w="0" w:type="dxa"/>
          <w:right w:w="0" w:type="dxa"/>
        </w:tblCellMar>
        <w:tblLook w:val="0000" w:firstRow="0" w:lastRow="0" w:firstColumn="0" w:lastColumn="0" w:noHBand="0" w:noVBand="0"/>
      </w:tblPr>
      <w:tblGrid>
        <w:gridCol w:w="1236"/>
        <w:gridCol w:w="2210"/>
        <w:gridCol w:w="2211"/>
      </w:tblGrid>
      <w:tr w:rsidR="00000000">
        <w:tblPrEx>
          <w:tblCellMar>
            <w:top w:w="0" w:type="dxa"/>
            <w:bottom w:w="0" w:type="dxa"/>
          </w:tblCellMar>
        </w:tblPrEx>
        <w:trPr>
          <w:jc w:val="center"/>
        </w:trPr>
        <w:tc>
          <w:tcPr>
            <w:tcW w:w="1354" w:type="dxa"/>
            <w:tcBorders>
              <w:top w:val="single" w:sz="4" w:space="0" w:color="auto"/>
              <w:bottom w:val="single" w:sz="4" w:space="0" w:color="auto"/>
            </w:tcBorders>
          </w:tcPr>
          <w:p w:rsidR="00000000" w:rsidRDefault="00000000">
            <w:pPr>
              <w:pStyle w:val="Heading4"/>
              <w:rPr>
                <w:szCs w:val="16"/>
              </w:rPr>
            </w:pPr>
            <w:r>
              <w:rPr>
                <w:szCs w:val="16"/>
              </w:rPr>
              <w:t>Years</w:t>
            </w:r>
          </w:p>
        </w:tc>
        <w:tc>
          <w:tcPr>
            <w:tcW w:w="2426" w:type="dxa"/>
            <w:tcBorders>
              <w:top w:val="single" w:sz="4" w:space="0" w:color="auto"/>
              <w:bottom w:val="single" w:sz="4" w:space="0" w:color="auto"/>
            </w:tcBorders>
          </w:tcPr>
          <w:p w:rsidR="00000000" w:rsidRDefault="00000000">
            <w:pPr>
              <w:keepNext/>
              <w:spacing w:before="80" w:after="80"/>
              <w:jc w:val="center"/>
              <w:rPr>
                <w:b/>
                <w:bCs/>
                <w:i/>
                <w:iCs/>
                <w:sz w:val="20"/>
                <w:szCs w:val="16"/>
                <w:lang w:val="en-US"/>
              </w:rPr>
            </w:pPr>
            <w:r>
              <w:rPr>
                <w:b/>
                <w:bCs/>
                <w:i/>
                <w:iCs/>
                <w:sz w:val="20"/>
                <w:szCs w:val="16"/>
                <w:lang w:val="en-US"/>
              </w:rPr>
              <w:t>Rate  registered x 1 000 L.B.</w:t>
            </w:r>
          </w:p>
        </w:tc>
        <w:tc>
          <w:tcPr>
            <w:tcW w:w="2426" w:type="dxa"/>
            <w:tcBorders>
              <w:top w:val="single" w:sz="4" w:space="0" w:color="auto"/>
              <w:bottom w:val="single" w:sz="4" w:space="0" w:color="auto"/>
            </w:tcBorders>
          </w:tcPr>
          <w:p w:rsidR="00000000" w:rsidRDefault="00000000">
            <w:pPr>
              <w:keepNext/>
              <w:spacing w:before="80" w:after="80"/>
              <w:jc w:val="center"/>
              <w:rPr>
                <w:b/>
                <w:bCs/>
                <w:i/>
                <w:iCs/>
                <w:sz w:val="20"/>
                <w:szCs w:val="16"/>
                <w:lang w:val="en-US"/>
              </w:rPr>
            </w:pPr>
            <w:r>
              <w:rPr>
                <w:b/>
                <w:bCs/>
                <w:i/>
                <w:iCs/>
                <w:sz w:val="20"/>
                <w:szCs w:val="16"/>
                <w:lang w:val="en-US"/>
              </w:rPr>
              <w:t>Estimated rate x 1 000 L.B.</w:t>
            </w:r>
          </w:p>
        </w:tc>
      </w:tr>
      <w:tr w:rsidR="00000000">
        <w:tblPrEx>
          <w:tblCellMar>
            <w:top w:w="0" w:type="dxa"/>
            <w:bottom w:w="0" w:type="dxa"/>
          </w:tblCellMar>
        </w:tblPrEx>
        <w:trPr>
          <w:jc w:val="center"/>
        </w:trPr>
        <w:tc>
          <w:tcPr>
            <w:tcW w:w="1354" w:type="dxa"/>
            <w:tcBorders>
              <w:top w:val="single" w:sz="4" w:space="0" w:color="auto"/>
            </w:tcBorders>
          </w:tcPr>
          <w:p w:rsidR="00000000" w:rsidRDefault="00000000">
            <w:pPr>
              <w:keepNext/>
              <w:spacing w:before="80" w:after="80"/>
              <w:jc w:val="center"/>
              <w:rPr>
                <w:sz w:val="20"/>
                <w:szCs w:val="16"/>
              </w:rPr>
            </w:pPr>
            <w:r>
              <w:rPr>
                <w:sz w:val="20"/>
                <w:szCs w:val="16"/>
              </w:rPr>
              <w:t>1992</w:t>
            </w:r>
          </w:p>
        </w:tc>
        <w:tc>
          <w:tcPr>
            <w:tcW w:w="2426" w:type="dxa"/>
            <w:tcBorders>
              <w:top w:val="single" w:sz="4" w:space="0" w:color="auto"/>
            </w:tcBorders>
          </w:tcPr>
          <w:p w:rsidR="00000000" w:rsidRDefault="00000000">
            <w:pPr>
              <w:keepNext/>
              <w:spacing w:before="80" w:after="80"/>
              <w:jc w:val="center"/>
              <w:rPr>
                <w:sz w:val="20"/>
                <w:szCs w:val="16"/>
              </w:rPr>
            </w:pPr>
            <w:r>
              <w:rPr>
                <w:sz w:val="20"/>
                <w:szCs w:val="16"/>
              </w:rPr>
              <w:t>21.4</w:t>
            </w:r>
          </w:p>
        </w:tc>
        <w:tc>
          <w:tcPr>
            <w:tcW w:w="2426" w:type="dxa"/>
            <w:tcBorders>
              <w:top w:val="single" w:sz="4" w:space="0" w:color="auto"/>
            </w:tcBorders>
          </w:tcPr>
          <w:p w:rsidR="00000000" w:rsidRDefault="00000000">
            <w:pPr>
              <w:keepNext/>
              <w:spacing w:before="80" w:after="80"/>
              <w:jc w:val="center"/>
              <w:rPr>
                <w:sz w:val="20"/>
                <w:szCs w:val="16"/>
              </w:rPr>
            </w:pPr>
            <w:r>
              <w:rPr>
                <w:sz w:val="20"/>
                <w:szCs w:val="16"/>
              </w:rPr>
              <w:t>43.5</w:t>
            </w:r>
          </w:p>
        </w:tc>
      </w:tr>
      <w:tr w:rsidR="00000000">
        <w:tblPrEx>
          <w:tblCellMar>
            <w:top w:w="0" w:type="dxa"/>
            <w:bottom w:w="0" w:type="dxa"/>
          </w:tblCellMar>
        </w:tblPrEx>
        <w:trPr>
          <w:jc w:val="center"/>
        </w:trPr>
        <w:tc>
          <w:tcPr>
            <w:tcW w:w="1354" w:type="dxa"/>
          </w:tcPr>
          <w:p w:rsidR="00000000" w:rsidRDefault="00000000">
            <w:pPr>
              <w:keepNext/>
              <w:spacing w:before="80" w:after="80"/>
              <w:jc w:val="center"/>
              <w:rPr>
                <w:sz w:val="20"/>
                <w:szCs w:val="16"/>
              </w:rPr>
            </w:pPr>
            <w:r>
              <w:rPr>
                <w:sz w:val="20"/>
                <w:szCs w:val="16"/>
              </w:rPr>
              <w:t>1993</w:t>
            </w:r>
          </w:p>
        </w:tc>
        <w:tc>
          <w:tcPr>
            <w:tcW w:w="2426" w:type="dxa"/>
          </w:tcPr>
          <w:p w:rsidR="00000000" w:rsidRDefault="00000000">
            <w:pPr>
              <w:keepNext/>
              <w:spacing w:before="80" w:after="80"/>
              <w:jc w:val="center"/>
              <w:rPr>
                <w:sz w:val="20"/>
                <w:szCs w:val="16"/>
              </w:rPr>
            </w:pPr>
            <w:r>
              <w:rPr>
                <w:sz w:val="20"/>
                <w:szCs w:val="16"/>
              </w:rPr>
              <w:t>24.8</w:t>
            </w:r>
          </w:p>
        </w:tc>
        <w:tc>
          <w:tcPr>
            <w:tcW w:w="2426" w:type="dxa"/>
          </w:tcPr>
          <w:p w:rsidR="00000000" w:rsidRDefault="00000000">
            <w:pPr>
              <w:keepNext/>
              <w:spacing w:before="80" w:after="80"/>
              <w:jc w:val="center"/>
              <w:rPr>
                <w:sz w:val="20"/>
                <w:szCs w:val="16"/>
              </w:rPr>
            </w:pPr>
            <w:r>
              <w:rPr>
                <w:sz w:val="20"/>
                <w:szCs w:val="16"/>
              </w:rPr>
              <w:t>42.7</w:t>
            </w:r>
          </w:p>
        </w:tc>
      </w:tr>
      <w:tr w:rsidR="00000000">
        <w:tblPrEx>
          <w:tblCellMar>
            <w:top w:w="0" w:type="dxa"/>
            <w:bottom w:w="0" w:type="dxa"/>
          </w:tblCellMar>
        </w:tblPrEx>
        <w:trPr>
          <w:jc w:val="center"/>
        </w:trPr>
        <w:tc>
          <w:tcPr>
            <w:tcW w:w="1354" w:type="dxa"/>
          </w:tcPr>
          <w:p w:rsidR="00000000" w:rsidRDefault="00000000">
            <w:pPr>
              <w:keepNext/>
              <w:spacing w:before="80" w:after="80"/>
              <w:jc w:val="center"/>
              <w:rPr>
                <w:sz w:val="20"/>
                <w:szCs w:val="16"/>
              </w:rPr>
            </w:pPr>
            <w:r>
              <w:rPr>
                <w:sz w:val="20"/>
                <w:szCs w:val="16"/>
              </w:rPr>
              <w:t>1994</w:t>
            </w:r>
          </w:p>
        </w:tc>
        <w:tc>
          <w:tcPr>
            <w:tcW w:w="2426" w:type="dxa"/>
          </w:tcPr>
          <w:p w:rsidR="00000000" w:rsidRDefault="00000000">
            <w:pPr>
              <w:keepNext/>
              <w:spacing w:before="80" w:after="80"/>
              <w:jc w:val="center"/>
              <w:rPr>
                <w:sz w:val="20"/>
                <w:szCs w:val="16"/>
              </w:rPr>
            </w:pPr>
            <w:r>
              <w:rPr>
                <w:sz w:val="20"/>
                <w:szCs w:val="16"/>
              </w:rPr>
              <w:t>21.7</w:t>
            </w:r>
          </w:p>
        </w:tc>
        <w:tc>
          <w:tcPr>
            <w:tcW w:w="2426" w:type="dxa"/>
          </w:tcPr>
          <w:p w:rsidR="00000000" w:rsidRDefault="00000000">
            <w:pPr>
              <w:keepNext/>
              <w:spacing w:before="80" w:after="80"/>
              <w:jc w:val="center"/>
              <w:rPr>
                <w:sz w:val="20"/>
                <w:szCs w:val="16"/>
              </w:rPr>
            </w:pPr>
            <w:r>
              <w:rPr>
                <w:sz w:val="20"/>
                <w:szCs w:val="16"/>
              </w:rPr>
              <w:t>42</w:t>
            </w:r>
          </w:p>
        </w:tc>
      </w:tr>
      <w:tr w:rsidR="00000000">
        <w:tblPrEx>
          <w:tblCellMar>
            <w:top w:w="0" w:type="dxa"/>
            <w:bottom w:w="0" w:type="dxa"/>
          </w:tblCellMar>
        </w:tblPrEx>
        <w:trPr>
          <w:jc w:val="center"/>
        </w:trPr>
        <w:tc>
          <w:tcPr>
            <w:tcW w:w="1354" w:type="dxa"/>
          </w:tcPr>
          <w:p w:rsidR="00000000" w:rsidRDefault="00000000">
            <w:pPr>
              <w:keepNext/>
              <w:spacing w:before="80" w:after="80"/>
              <w:jc w:val="center"/>
              <w:rPr>
                <w:sz w:val="20"/>
                <w:szCs w:val="16"/>
              </w:rPr>
            </w:pPr>
            <w:r>
              <w:rPr>
                <w:sz w:val="20"/>
                <w:szCs w:val="16"/>
              </w:rPr>
              <w:t>1995</w:t>
            </w:r>
          </w:p>
        </w:tc>
        <w:tc>
          <w:tcPr>
            <w:tcW w:w="2426" w:type="dxa"/>
          </w:tcPr>
          <w:p w:rsidR="00000000" w:rsidRDefault="00000000">
            <w:pPr>
              <w:keepNext/>
              <w:spacing w:before="80" w:after="80"/>
              <w:jc w:val="center"/>
              <w:rPr>
                <w:sz w:val="20"/>
                <w:szCs w:val="16"/>
              </w:rPr>
            </w:pPr>
            <w:r>
              <w:rPr>
                <w:sz w:val="20"/>
                <w:szCs w:val="16"/>
              </w:rPr>
              <w:t>19.7</w:t>
            </w:r>
          </w:p>
        </w:tc>
        <w:tc>
          <w:tcPr>
            <w:tcW w:w="2426" w:type="dxa"/>
          </w:tcPr>
          <w:p w:rsidR="00000000" w:rsidRDefault="00000000">
            <w:pPr>
              <w:keepNext/>
              <w:spacing w:before="80" w:after="80"/>
              <w:jc w:val="center"/>
              <w:rPr>
                <w:sz w:val="20"/>
                <w:szCs w:val="16"/>
              </w:rPr>
            </w:pPr>
            <w:r>
              <w:rPr>
                <w:sz w:val="20"/>
                <w:szCs w:val="16"/>
              </w:rPr>
              <w:t>41.2</w:t>
            </w:r>
          </w:p>
        </w:tc>
      </w:tr>
      <w:tr w:rsidR="00000000">
        <w:tblPrEx>
          <w:tblCellMar>
            <w:top w:w="0" w:type="dxa"/>
            <w:bottom w:w="0" w:type="dxa"/>
          </w:tblCellMar>
        </w:tblPrEx>
        <w:trPr>
          <w:jc w:val="center"/>
        </w:trPr>
        <w:tc>
          <w:tcPr>
            <w:tcW w:w="1354" w:type="dxa"/>
          </w:tcPr>
          <w:p w:rsidR="00000000" w:rsidRDefault="00000000">
            <w:pPr>
              <w:spacing w:before="80" w:after="80"/>
              <w:jc w:val="center"/>
              <w:rPr>
                <w:sz w:val="20"/>
                <w:szCs w:val="16"/>
              </w:rPr>
            </w:pPr>
            <w:r>
              <w:rPr>
                <w:sz w:val="20"/>
                <w:szCs w:val="16"/>
              </w:rPr>
              <w:t>1996</w:t>
            </w:r>
          </w:p>
        </w:tc>
        <w:tc>
          <w:tcPr>
            <w:tcW w:w="2426" w:type="dxa"/>
          </w:tcPr>
          <w:p w:rsidR="00000000" w:rsidRDefault="00000000">
            <w:pPr>
              <w:spacing w:before="80" w:after="80"/>
              <w:jc w:val="center"/>
              <w:rPr>
                <w:sz w:val="20"/>
                <w:szCs w:val="16"/>
              </w:rPr>
            </w:pPr>
            <w:r>
              <w:rPr>
                <w:sz w:val="20"/>
                <w:szCs w:val="16"/>
              </w:rPr>
              <w:t>20.9</w:t>
            </w:r>
          </w:p>
        </w:tc>
        <w:tc>
          <w:tcPr>
            <w:tcW w:w="2426" w:type="dxa"/>
          </w:tcPr>
          <w:p w:rsidR="00000000" w:rsidRDefault="00000000">
            <w:pPr>
              <w:spacing w:before="80" w:after="80"/>
              <w:jc w:val="center"/>
              <w:rPr>
                <w:sz w:val="20"/>
                <w:szCs w:val="16"/>
              </w:rPr>
            </w:pPr>
            <w:r>
              <w:rPr>
                <w:sz w:val="20"/>
                <w:szCs w:val="16"/>
              </w:rPr>
              <w:t>40.6</w:t>
            </w:r>
          </w:p>
        </w:tc>
      </w:tr>
      <w:tr w:rsidR="00000000">
        <w:tblPrEx>
          <w:tblCellMar>
            <w:top w:w="0" w:type="dxa"/>
            <w:bottom w:w="0" w:type="dxa"/>
          </w:tblCellMar>
        </w:tblPrEx>
        <w:trPr>
          <w:jc w:val="center"/>
        </w:trPr>
        <w:tc>
          <w:tcPr>
            <w:tcW w:w="1354" w:type="dxa"/>
          </w:tcPr>
          <w:p w:rsidR="00000000" w:rsidRDefault="00000000">
            <w:pPr>
              <w:spacing w:before="80" w:after="80"/>
              <w:jc w:val="center"/>
              <w:rPr>
                <w:sz w:val="20"/>
                <w:szCs w:val="16"/>
              </w:rPr>
            </w:pPr>
            <w:r>
              <w:rPr>
                <w:sz w:val="20"/>
                <w:szCs w:val="16"/>
              </w:rPr>
              <w:t>1997</w:t>
            </w:r>
          </w:p>
        </w:tc>
        <w:tc>
          <w:tcPr>
            <w:tcW w:w="2426" w:type="dxa"/>
          </w:tcPr>
          <w:p w:rsidR="00000000" w:rsidRDefault="00000000">
            <w:pPr>
              <w:spacing w:before="80" w:after="80"/>
              <w:jc w:val="center"/>
              <w:rPr>
                <w:sz w:val="20"/>
                <w:szCs w:val="16"/>
              </w:rPr>
            </w:pPr>
            <w:r>
              <w:rPr>
                <w:sz w:val="20"/>
                <w:szCs w:val="16"/>
              </w:rPr>
              <w:t>19.7</w:t>
            </w:r>
          </w:p>
        </w:tc>
        <w:tc>
          <w:tcPr>
            <w:tcW w:w="2426" w:type="dxa"/>
          </w:tcPr>
          <w:p w:rsidR="00000000" w:rsidRDefault="00000000">
            <w:pPr>
              <w:spacing w:before="80" w:after="80"/>
              <w:jc w:val="center"/>
              <w:rPr>
                <w:sz w:val="20"/>
                <w:szCs w:val="16"/>
              </w:rPr>
            </w:pPr>
            <w:r>
              <w:rPr>
                <w:sz w:val="20"/>
                <w:szCs w:val="16"/>
              </w:rPr>
              <w:t>39.9</w:t>
            </w:r>
          </w:p>
        </w:tc>
      </w:tr>
      <w:tr w:rsidR="00000000">
        <w:tblPrEx>
          <w:tblCellMar>
            <w:top w:w="0" w:type="dxa"/>
            <w:bottom w:w="0" w:type="dxa"/>
          </w:tblCellMar>
        </w:tblPrEx>
        <w:trPr>
          <w:jc w:val="center"/>
        </w:trPr>
        <w:tc>
          <w:tcPr>
            <w:tcW w:w="1354" w:type="dxa"/>
          </w:tcPr>
          <w:p w:rsidR="00000000" w:rsidRDefault="00000000">
            <w:pPr>
              <w:spacing w:before="80" w:after="80"/>
              <w:jc w:val="center"/>
              <w:rPr>
                <w:sz w:val="20"/>
                <w:szCs w:val="16"/>
              </w:rPr>
            </w:pPr>
            <w:r>
              <w:rPr>
                <w:sz w:val="20"/>
                <w:szCs w:val="16"/>
              </w:rPr>
              <w:t>1998</w:t>
            </w:r>
          </w:p>
        </w:tc>
        <w:tc>
          <w:tcPr>
            <w:tcW w:w="2426" w:type="dxa"/>
          </w:tcPr>
          <w:p w:rsidR="00000000" w:rsidRDefault="00000000">
            <w:pPr>
              <w:spacing w:before="80" w:after="80"/>
              <w:jc w:val="center"/>
              <w:rPr>
                <w:sz w:val="20"/>
                <w:szCs w:val="16"/>
              </w:rPr>
            </w:pPr>
            <w:r>
              <w:rPr>
                <w:sz w:val="20"/>
                <w:szCs w:val="16"/>
              </w:rPr>
              <w:t>19.6</w:t>
            </w:r>
          </w:p>
        </w:tc>
        <w:tc>
          <w:tcPr>
            <w:tcW w:w="2426" w:type="dxa"/>
          </w:tcPr>
          <w:p w:rsidR="00000000" w:rsidRDefault="00000000">
            <w:pPr>
              <w:spacing w:before="80" w:after="80"/>
              <w:jc w:val="center"/>
              <w:rPr>
                <w:sz w:val="20"/>
                <w:szCs w:val="16"/>
              </w:rPr>
            </w:pPr>
            <w:r>
              <w:rPr>
                <w:sz w:val="20"/>
                <w:szCs w:val="16"/>
              </w:rPr>
              <w:t>39.3</w:t>
            </w:r>
          </w:p>
        </w:tc>
      </w:tr>
      <w:tr w:rsidR="00000000">
        <w:tblPrEx>
          <w:tblCellMar>
            <w:top w:w="0" w:type="dxa"/>
            <w:bottom w:w="0" w:type="dxa"/>
          </w:tblCellMar>
        </w:tblPrEx>
        <w:trPr>
          <w:jc w:val="center"/>
        </w:trPr>
        <w:tc>
          <w:tcPr>
            <w:tcW w:w="1354" w:type="dxa"/>
          </w:tcPr>
          <w:p w:rsidR="00000000" w:rsidRDefault="00000000">
            <w:pPr>
              <w:spacing w:before="80" w:after="80"/>
              <w:jc w:val="center"/>
              <w:rPr>
                <w:sz w:val="20"/>
                <w:szCs w:val="16"/>
              </w:rPr>
            </w:pPr>
            <w:r>
              <w:rPr>
                <w:sz w:val="20"/>
                <w:szCs w:val="16"/>
              </w:rPr>
              <w:t>1999</w:t>
            </w:r>
          </w:p>
        </w:tc>
        <w:tc>
          <w:tcPr>
            <w:tcW w:w="2426" w:type="dxa"/>
          </w:tcPr>
          <w:p w:rsidR="00000000" w:rsidRDefault="00000000">
            <w:pPr>
              <w:spacing w:before="80" w:after="80"/>
              <w:jc w:val="center"/>
              <w:rPr>
                <w:sz w:val="20"/>
                <w:szCs w:val="16"/>
              </w:rPr>
            </w:pPr>
            <w:r>
              <w:rPr>
                <w:sz w:val="20"/>
                <w:szCs w:val="16"/>
              </w:rPr>
              <w:t>19.4</w:t>
            </w:r>
          </w:p>
        </w:tc>
        <w:tc>
          <w:tcPr>
            <w:tcW w:w="2426" w:type="dxa"/>
          </w:tcPr>
          <w:p w:rsidR="00000000" w:rsidRDefault="00000000">
            <w:pPr>
              <w:spacing w:before="80" w:after="80"/>
              <w:jc w:val="center"/>
              <w:rPr>
                <w:sz w:val="20"/>
                <w:szCs w:val="16"/>
              </w:rPr>
            </w:pPr>
            <w:r>
              <w:rPr>
                <w:sz w:val="20"/>
                <w:szCs w:val="16"/>
              </w:rPr>
              <w:t>38.7</w:t>
            </w:r>
          </w:p>
        </w:tc>
      </w:tr>
      <w:tr w:rsidR="00000000">
        <w:tblPrEx>
          <w:tblCellMar>
            <w:top w:w="0" w:type="dxa"/>
            <w:bottom w:w="0" w:type="dxa"/>
          </w:tblCellMar>
        </w:tblPrEx>
        <w:trPr>
          <w:jc w:val="center"/>
        </w:trPr>
        <w:tc>
          <w:tcPr>
            <w:tcW w:w="1354" w:type="dxa"/>
          </w:tcPr>
          <w:p w:rsidR="00000000" w:rsidRDefault="00000000">
            <w:pPr>
              <w:spacing w:before="80" w:after="80"/>
              <w:jc w:val="center"/>
              <w:rPr>
                <w:sz w:val="20"/>
                <w:szCs w:val="16"/>
              </w:rPr>
            </w:pPr>
            <w:r>
              <w:rPr>
                <w:sz w:val="20"/>
                <w:szCs w:val="16"/>
              </w:rPr>
              <w:t>2000</w:t>
            </w:r>
          </w:p>
        </w:tc>
        <w:tc>
          <w:tcPr>
            <w:tcW w:w="2426" w:type="dxa"/>
          </w:tcPr>
          <w:p w:rsidR="00000000" w:rsidRDefault="00000000">
            <w:pPr>
              <w:spacing w:before="80" w:after="80"/>
              <w:jc w:val="center"/>
              <w:rPr>
                <w:sz w:val="20"/>
                <w:szCs w:val="16"/>
              </w:rPr>
            </w:pPr>
            <w:r>
              <w:rPr>
                <w:sz w:val="20"/>
                <w:szCs w:val="16"/>
              </w:rPr>
              <w:t>20.2</w:t>
            </w:r>
          </w:p>
        </w:tc>
        <w:tc>
          <w:tcPr>
            <w:tcW w:w="2426" w:type="dxa"/>
          </w:tcPr>
          <w:p w:rsidR="00000000" w:rsidRDefault="00000000">
            <w:pPr>
              <w:spacing w:before="80" w:after="80"/>
              <w:jc w:val="center"/>
              <w:rPr>
                <w:sz w:val="20"/>
                <w:szCs w:val="16"/>
              </w:rPr>
            </w:pPr>
            <w:r>
              <w:rPr>
                <w:sz w:val="20"/>
                <w:szCs w:val="16"/>
              </w:rPr>
              <w:t>38.1</w:t>
            </w:r>
          </w:p>
        </w:tc>
      </w:tr>
      <w:tr w:rsidR="00000000">
        <w:tblPrEx>
          <w:tblCellMar>
            <w:top w:w="0" w:type="dxa"/>
            <w:bottom w:w="0" w:type="dxa"/>
          </w:tblCellMar>
        </w:tblPrEx>
        <w:trPr>
          <w:jc w:val="center"/>
        </w:trPr>
        <w:tc>
          <w:tcPr>
            <w:tcW w:w="1354" w:type="dxa"/>
          </w:tcPr>
          <w:p w:rsidR="00000000" w:rsidRDefault="00000000">
            <w:pPr>
              <w:spacing w:before="80" w:after="80"/>
              <w:jc w:val="center"/>
              <w:rPr>
                <w:sz w:val="20"/>
                <w:szCs w:val="16"/>
              </w:rPr>
            </w:pPr>
            <w:r>
              <w:rPr>
                <w:sz w:val="20"/>
                <w:szCs w:val="16"/>
              </w:rPr>
              <w:t>2001</w:t>
            </w:r>
          </w:p>
        </w:tc>
        <w:tc>
          <w:tcPr>
            <w:tcW w:w="2426" w:type="dxa"/>
          </w:tcPr>
          <w:p w:rsidR="00000000" w:rsidRDefault="00000000">
            <w:pPr>
              <w:spacing w:before="80" w:after="80"/>
              <w:jc w:val="center"/>
              <w:rPr>
                <w:sz w:val="20"/>
                <w:szCs w:val="16"/>
              </w:rPr>
            </w:pPr>
            <w:r>
              <w:rPr>
                <w:sz w:val="20"/>
                <w:szCs w:val="16"/>
              </w:rPr>
              <w:t>19.7</w:t>
            </w:r>
          </w:p>
        </w:tc>
        <w:tc>
          <w:tcPr>
            <w:tcW w:w="2426" w:type="dxa"/>
          </w:tcPr>
          <w:p w:rsidR="00000000" w:rsidRDefault="00000000">
            <w:pPr>
              <w:spacing w:before="80" w:after="80"/>
              <w:jc w:val="center"/>
              <w:rPr>
                <w:sz w:val="20"/>
                <w:szCs w:val="16"/>
              </w:rPr>
            </w:pPr>
            <w:r>
              <w:rPr>
                <w:sz w:val="20"/>
                <w:szCs w:val="16"/>
              </w:rPr>
              <w:t>37.5</w:t>
            </w:r>
          </w:p>
        </w:tc>
      </w:tr>
      <w:tr w:rsidR="00000000">
        <w:tblPrEx>
          <w:tblCellMar>
            <w:top w:w="0" w:type="dxa"/>
            <w:bottom w:w="0" w:type="dxa"/>
          </w:tblCellMar>
        </w:tblPrEx>
        <w:trPr>
          <w:jc w:val="center"/>
        </w:trPr>
        <w:tc>
          <w:tcPr>
            <w:tcW w:w="1354" w:type="dxa"/>
          </w:tcPr>
          <w:p w:rsidR="00000000" w:rsidRDefault="00000000">
            <w:pPr>
              <w:spacing w:before="80" w:after="80"/>
              <w:jc w:val="center"/>
              <w:rPr>
                <w:sz w:val="20"/>
                <w:szCs w:val="16"/>
              </w:rPr>
            </w:pPr>
            <w:r>
              <w:rPr>
                <w:sz w:val="20"/>
                <w:szCs w:val="16"/>
              </w:rPr>
              <w:t>2002</w:t>
            </w:r>
          </w:p>
        </w:tc>
        <w:tc>
          <w:tcPr>
            <w:tcW w:w="2426" w:type="dxa"/>
          </w:tcPr>
          <w:p w:rsidR="00000000" w:rsidRDefault="00000000">
            <w:pPr>
              <w:spacing w:before="80" w:after="80"/>
              <w:jc w:val="center"/>
              <w:rPr>
                <w:sz w:val="20"/>
                <w:szCs w:val="16"/>
              </w:rPr>
            </w:pPr>
            <w:r>
              <w:rPr>
                <w:sz w:val="20"/>
                <w:szCs w:val="16"/>
              </w:rPr>
              <w:t>19.6</w:t>
            </w:r>
          </w:p>
        </w:tc>
        <w:tc>
          <w:tcPr>
            <w:tcW w:w="2426" w:type="dxa"/>
          </w:tcPr>
          <w:p w:rsidR="00000000" w:rsidRDefault="00000000">
            <w:pPr>
              <w:spacing w:before="80" w:after="80"/>
              <w:jc w:val="center"/>
              <w:rPr>
                <w:sz w:val="20"/>
                <w:szCs w:val="16"/>
              </w:rPr>
            </w:pPr>
            <w:r>
              <w:rPr>
                <w:sz w:val="20"/>
                <w:szCs w:val="16"/>
              </w:rPr>
              <w:t>33.3</w:t>
            </w:r>
          </w:p>
        </w:tc>
      </w:tr>
      <w:tr w:rsidR="00000000">
        <w:tblPrEx>
          <w:tblCellMar>
            <w:top w:w="0" w:type="dxa"/>
            <w:bottom w:w="0" w:type="dxa"/>
          </w:tblCellMar>
        </w:tblPrEx>
        <w:trPr>
          <w:jc w:val="center"/>
        </w:trPr>
        <w:tc>
          <w:tcPr>
            <w:tcW w:w="1354" w:type="dxa"/>
            <w:tcBorders>
              <w:bottom w:val="single" w:sz="4" w:space="0" w:color="auto"/>
            </w:tcBorders>
          </w:tcPr>
          <w:p w:rsidR="00000000" w:rsidRDefault="00000000">
            <w:pPr>
              <w:spacing w:before="80" w:after="80"/>
              <w:jc w:val="center"/>
              <w:rPr>
                <w:sz w:val="20"/>
                <w:szCs w:val="16"/>
              </w:rPr>
            </w:pPr>
            <w:r>
              <w:rPr>
                <w:sz w:val="20"/>
                <w:szCs w:val="16"/>
              </w:rPr>
              <w:t>2003</w:t>
            </w:r>
          </w:p>
        </w:tc>
        <w:tc>
          <w:tcPr>
            <w:tcW w:w="2426" w:type="dxa"/>
            <w:tcBorders>
              <w:bottom w:val="single" w:sz="4" w:space="0" w:color="auto"/>
            </w:tcBorders>
          </w:tcPr>
          <w:p w:rsidR="00000000" w:rsidRDefault="00000000">
            <w:pPr>
              <w:spacing w:before="80" w:after="80"/>
              <w:jc w:val="center"/>
              <w:rPr>
                <w:sz w:val="20"/>
                <w:szCs w:val="16"/>
              </w:rPr>
            </w:pPr>
            <w:r>
              <w:rPr>
                <w:sz w:val="20"/>
                <w:szCs w:val="16"/>
              </w:rPr>
              <w:t>19.4</w:t>
            </w:r>
          </w:p>
        </w:tc>
        <w:tc>
          <w:tcPr>
            <w:tcW w:w="2426" w:type="dxa"/>
            <w:tcBorders>
              <w:bottom w:val="single" w:sz="4" w:space="0" w:color="auto"/>
            </w:tcBorders>
          </w:tcPr>
          <w:p w:rsidR="00000000" w:rsidRDefault="00000000">
            <w:pPr>
              <w:spacing w:before="80" w:after="80"/>
              <w:jc w:val="center"/>
              <w:rPr>
                <w:sz w:val="20"/>
                <w:szCs w:val="16"/>
              </w:rPr>
            </w:pPr>
            <w:r>
              <w:rPr>
                <w:sz w:val="20"/>
                <w:szCs w:val="16"/>
              </w:rPr>
              <w:t>33.1</w:t>
            </w:r>
          </w:p>
        </w:tc>
      </w:tr>
    </w:tbl>
    <w:p w:rsidR="00000000" w:rsidRDefault="00000000">
      <w:pPr>
        <w:spacing w:before="120" w:after="240"/>
        <w:ind w:left="567"/>
        <w:rPr>
          <w:sz w:val="20"/>
          <w:szCs w:val="18"/>
        </w:rPr>
      </w:pPr>
      <w:r>
        <w:rPr>
          <w:i/>
          <w:iCs/>
          <w:sz w:val="20"/>
          <w:szCs w:val="18"/>
        </w:rPr>
        <w:t xml:space="preserve">Source: </w:t>
      </w:r>
      <w:r>
        <w:rPr>
          <w:sz w:val="20"/>
          <w:szCs w:val="18"/>
        </w:rPr>
        <w:t>Mortality Indicators. Department of Biostatistics, MSPyBS</w:t>
      </w:r>
    </w:p>
    <w:p w:rsidR="00000000" w:rsidRDefault="00000000">
      <w:pPr>
        <w:spacing w:after="240"/>
      </w:pPr>
      <w:r>
        <w:t>15.</w:t>
      </w:r>
      <w:r>
        <w:tab/>
        <w:t>At the same time, the under-registration of births (59.45) would make it impossible to determine with greater accuracy whether the risk of death from transmissible diseases had decreased among children under one year of age.</w:t>
      </w:r>
      <w:r>
        <w:rPr>
          <w:rStyle w:val="FootnoteReference"/>
          <w:b/>
          <w:bCs/>
        </w:rPr>
        <w:footnoteReference w:id="3"/>
      </w:r>
    </w:p>
    <w:p w:rsidR="00000000" w:rsidRDefault="00000000">
      <w:pPr>
        <w:spacing w:after="240"/>
      </w:pPr>
      <w:r>
        <w:t>16.</w:t>
      </w:r>
      <w:r>
        <w:tab/>
        <w:t>However, the infant mortality rate between 1997 (19.6) and 2003 (19.2) remained virtually stable. Regarding neonatal mortality, between 1995 (11.18) and 2003 (11.7) neonatal mortality</w:t>
      </w:r>
      <w:r>
        <w:rPr>
          <w:szCs w:val="28"/>
        </w:rPr>
        <w:t xml:space="preserve"> </w:t>
      </w:r>
      <w:r>
        <w:t>underwent a slight reduction, although the trend has not decreased in the past ten years. In 2003, among children under one year old (1,632)</w:t>
      </w:r>
      <w:r>
        <w:rPr>
          <w:rStyle w:val="FootnoteReference"/>
          <w:b/>
          <w:bCs/>
        </w:rPr>
        <w:footnoteReference w:id="4"/>
      </w:r>
      <w:r>
        <w:t xml:space="preserve"> who died, 1,007 lived for fewer than 28 days (neonatal mortality), which means that 60 per cent of infant deaths occur before the first month of life and are closely linked to pregnancy, delivery and puerperal infections and related care. If premature births are included, the proportion is as high as 69.7 per cent. The performance of perinatal mortality rates and trends is similar to that of neonatal mortality rates. In this case, there was a slight decrease, from 19.6 per thousand live births in 1992 to 19.4 in 2003.</w:t>
      </w:r>
    </w:p>
    <w:p w:rsidR="00000000" w:rsidRDefault="00000000">
      <w:pPr>
        <w:spacing w:after="240"/>
      </w:pPr>
      <w:r>
        <w:t>17.</w:t>
      </w:r>
      <w:r>
        <w:tab/>
        <w:t>The highest neonatal mortality rates are to be found in the Ñeembucú, Guairá and Amambay regions. The highest infant mortality rate is to be found in Boquerón, Alto Paraná and Amambay. Generally speaking, the highest mortality rates among under-fives appear in the departments of Alto Paraguay and Boquerón; although they have dropped slightly, these two regions are still in first and second place, as they were in 1992.</w:t>
      </w:r>
    </w:p>
    <w:p w:rsidR="00000000" w:rsidRDefault="00000000">
      <w:pPr>
        <w:spacing w:after="240"/>
      </w:pPr>
      <w:r>
        <w:t>18.</w:t>
      </w:r>
      <w:r>
        <w:tab/>
        <w:t>Regarding the causes of infant deaths in 2003, the trend of previous years continues; pathologies relating to pregnancy. delivery and the puerperium among mothers and their related care are the most frequent causes, accounting for 50 per cent, and almost 70 per cent if premature births are taken into account.</w:t>
      </w:r>
    </w:p>
    <w:p w:rsidR="00000000" w:rsidRDefault="00000000">
      <w:pPr>
        <w:spacing w:after="240"/>
      </w:pPr>
      <w:r>
        <w:rPr>
          <w:b/>
        </w:rPr>
        <w:t>2.1</w:t>
      </w:r>
      <w:r>
        <w:rPr>
          <w:b/>
        </w:rPr>
        <w:tab/>
        <w:t>Deaths from immuno-preventable diseases</w:t>
      </w:r>
    </w:p>
    <w:p w:rsidR="00000000" w:rsidRDefault="00000000">
      <w:pPr>
        <w:spacing w:after="240"/>
      </w:pPr>
      <w:r>
        <w:t>19.</w:t>
      </w:r>
      <w:r>
        <w:tab/>
        <w:t>Cases of deaths from immuno-preventable diseases, with annual periodic variations, have undergone no substantial change from the 1992 incidence in absolute numbers, with the exception of measles and tetanus. In that year measles caused the death of 13 under-tens. It was responsible for the deaths of 80 children in 1993 and of 4 in 1994. No cases of the disease have been reported since 1999.</w:t>
      </w:r>
    </w:p>
    <w:p w:rsidR="00000000" w:rsidRDefault="00000000">
      <w:pPr>
        <w:spacing w:after="240"/>
      </w:pPr>
      <w:r>
        <w:t>20.</w:t>
      </w:r>
      <w:r>
        <w:tab/>
        <w:t>Neonatal tetanus remained at above 10 cases in the five-year period 1995-1999 and below that figure from 2000 onwards. In 2002 there were 50 reported cases of diphtheria (45 of them among minors under 15 years of age), resulting in 7 deaths.</w:t>
      </w:r>
    </w:p>
    <w:p w:rsidR="00000000" w:rsidRDefault="00000000">
      <w:pPr>
        <w:spacing w:after="240"/>
      </w:pPr>
      <w:r>
        <w:t>21.</w:t>
      </w:r>
      <w:r>
        <w:tab/>
        <w:t>Cases of deaths from immuno-preventable diseases (with the exception of measles and poliomyelitis), which appeared episodically as epidemic outbursts and which have been considerably reduced, are impact indicators that reveal difficulties in the control of these diseases. No cases of poliomyelitis-related sickness have been reported in the past decade.</w:t>
      </w:r>
    </w:p>
    <w:p w:rsidR="00000000" w:rsidRDefault="00000000">
      <w:pPr>
        <w:spacing w:after="240"/>
        <w:jc w:val="center"/>
        <w:rPr>
          <w:sz w:val="22"/>
          <w:lang w:val="en-US"/>
        </w:rPr>
      </w:pPr>
      <w:r>
        <w:rPr>
          <w:b/>
          <w:sz w:val="22"/>
        </w:rPr>
        <w:t>Mortality from immuno-preventable diseases among children under 10.</w:t>
      </w:r>
      <w:r>
        <w:rPr>
          <w:b/>
          <w:sz w:val="22"/>
        </w:rPr>
        <w:br/>
        <w:t xml:space="preserve">Number of cases. </w:t>
      </w:r>
      <w:r>
        <w:rPr>
          <w:b/>
          <w:sz w:val="22"/>
          <w:lang w:val="en-US"/>
        </w:rPr>
        <w:t>Paraguay. 1999-2002</w:t>
      </w:r>
    </w:p>
    <w:tbl>
      <w:tblPr>
        <w:tblW w:w="5000" w:type="pct"/>
        <w:jc w:val="center"/>
        <w:tblCellMar>
          <w:left w:w="0" w:type="dxa"/>
          <w:right w:w="0" w:type="dxa"/>
        </w:tblCellMar>
        <w:tblLook w:val="0000" w:firstRow="0" w:lastRow="0" w:firstColumn="0" w:lastColumn="0" w:noHBand="0" w:noVBand="0"/>
      </w:tblPr>
      <w:tblGrid>
        <w:gridCol w:w="3538"/>
        <w:gridCol w:w="1425"/>
        <w:gridCol w:w="1425"/>
        <w:gridCol w:w="1832"/>
        <w:gridCol w:w="1209"/>
      </w:tblGrid>
      <w:tr w:rsidR="00000000">
        <w:tblPrEx>
          <w:tblCellMar>
            <w:top w:w="0" w:type="dxa"/>
            <w:bottom w:w="0" w:type="dxa"/>
          </w:tblCellMar>
        </w:tblPrEx>
        <w:trPr>
          <w:jc w:val="center"/>
        </w:trPr>
        <w:tc>
          <w:tcPr>
            <w:tcW w:w="3130" w:type="dxa"/>
            <w:tcBorders>
              <w:top w:val="single" w:sz="4" w:space="0" w:color="auto"/>
              <w:bottom w:val="single" w:sz="4" w:space="0" w:color="auto"/>
            </w:tcBorders>
          </w:tcPr>
          <w:p w:rsidR="00000000" w:rsidRDefault="00000000">
            <w:pPr>
              <w:spacing w:before="80" w:after="80"/>
              <w:jc w:val="center"/>
              <w:rPr>
                <w:b/>
                <w:bCs/>
                <w:i/>
                <w:iCs/>
                <w:sz w:val="20"/>
                <w:szCs w:val="16"/>
                <w:lang w:val="en-US"/>
              </w:rPr>
            </w:pPr>
            <w:r>
              <w:rPr>
                <w:b/>
                <w:bCs/>
                <w:i/>
                <w:iCs/>
                <w:sz w:val="20"/>
                <w:szCs w:val="16"/>
                <w:lang w:val="en-US"/>
              </w:rPr>
              <w:t>Causes</w:t>
            </w:r>
          </w:p>
        </w:tc>
        <w:tc>
          <w:tcPr>
            <w:tcW w:w="1260" w:type="dxa"/>
            <w:tcBorders>
              <w:top w:val="single" w:sz="4" w:space="0" w:color="auto"/>
              <w:bottom w:val="single" w:sz="4" w:space="0" w:color="auto"/>
            </w:tcBorders>
          </w:tcPr>
          <w:p w:rsidR="00000000" w:rsidRDefault="00000000">
            <w:pPr>
              <w:spacing w:before="80" w:after="80"/>
              <w:jc w:val="center"/>
              <w:rPr>
                <w:b/>
                <w:bCs/>
                <w:i/>
                <w:iCs/>
                <w:sz w:val="20"/>
                <w:szCs w:val="16"/>
                <w:lang w:val="en-US"/>
              </w:rPr>
            </w:pPr>
            <w:r>
              <w:rPr>
                <w:b/>
                <w:bCs/>
                <w:i/>
                <w:iCs/>
                <w:sz w:val="20"/>
                <w:szCs w:val="16"/>
                <w:lang w:val="en-US"/>
              </w:rPr>
              <w:t>1999</w:t>
            </w:r>
          </w:p>
        </w:tc>
        <w:tc>
          <w:tcPr>
            <w:tcW w:w="1260" w:type="dxa"/>
            <w:tcBorders>
              <w:top w:val="single" w:sz="4" w:space="0" w:color="auto"/>
              <w:bottom w:val="single" w:sz="4" w:space="0" w:color="auto"/>
            </w:tcBorders>
          </w:tcPr>
          <w:p w:rsidR="00000000" w:rsidRDefault="00000000">
            <w:pPr>
              <w:spacing w:before="80" w:after="80"/>
              <w:jc w:val="center"/>
              <w:rPr>
                <w:b/>
                <w:bCs/>
                <w:i/>
                <w:iCs/>
                <w:sz w:val="20"/>
                <w:szCs w:val="16"/>
                <w:lang w:val="en-US"/>
              </w:rPr>
            </w:pPr>
            <w:r>
              <w:rPr>
                <w:b/>
                <w:bCs/>
                <w:i/>
                <w:iCs/>
                <w:sz w:val="20"/>
                <w:szCs w:val="16"/>
                <w:lang w:val="en-US"/>
              </w:rPr>
              <w:t>2000</w:t>
            </w:r>
          </w:p>
        </w:tc>
        <w:tc>
          <w:tcPr>
            <w:tcW w:w="1620" w:type="dxa"/>
            <w:tcBorders>
              <w:top w:val="single" w:sz="4" w:space="0" w:color="auto"/>
              <w:bottom w:val="single" w:sz="4" w:space="0" w:color="auto"/>
            </w:tcBorders>
          </w:tcPr>
          <w:p w:rsidR="00000000" w:rsidRDefault="00000000">
            <w:pPr>
              <w:spacing w:before="80" w:after="80"/>
              <w:jc w:val="center"/>
              <w:rPr>
                <w:b/>
                <w:bCs/>
                <w:i/>
                <w:iCs/>
                <w:sz w:val="20"/>
                <w:szCs w:val="16"/>
                <w:lang w:val="en-US"/>
              </w:rPr>
            </w:pPr>
            <w:r>
              <w:rPr>
                <w:b/>
                <w:bCs/>
                <w:i/>
                <w:iCs/>
                <w:sz w:val="20"/>
                <w:szCs w:val="16"/>
                <w:lang w:val="en-US"/>
              </w:rPr>
              <w:t>2001</w:t>
            </w:r>
          </w:p>
        </w:tc>
        <w:tc>
          <w:tcPr>
            <w:tcW w:w="1069" w:type="dxa"/>
            <w:tcBorders>
              <w:top w:val="single" w:sz="4" w:space="0" w:color="auto"/>
              <w:bottom w:val="single" w:sz="4" w:space="0" w:color="auto"/>
            </w:tcBorders>
          </w:tcPr>
          <w:p w:rsidR="00000000" w:rsidRDefault="00000000">
            <w:pPr>
              <w:spacing w:before="80" w:after="80"/>
              <w:jc w:val="center"/>
              <w:rPr>
                <w:b/>
                <w:bCs/>
                <w:i/>
                <w:iCs/>
                <w:sz w:val="20"/>
                <w:szCs w:val="16"/>
                <w:lang w:val="en-US"/>
              </w:rPr>
            </w:pPr>
            <w:r>
              <w:rPr>
                <w:b/>
                <w:bCs/>
                <w:i/>
                <w:iCs/>
                <w:sz w:val="20"/>
                <w:szCs w:val="16"/>
                <w:lang w:val="en-US"/>
              </w:rPr>
              <w:t>2002</w:t>
            </w:r>
          </w:p>
        </w:tc>
      </w:tr>
      <w:tr w:rsidR="00000000">
        <w:tblPrEx>
          <w:tblCellMar>
            <w:top w:w="0" w:type="dxa"/>
            <w:bottom w:w="0" w:type="dxa"/>
          </w:tblCellMar>
        </w:tblPrEx>
        <w:trPr>
          <w:jc w:val="center"/>
        </w:trPr>
        <w:tc>
          <w:tcPr>
            <w:tcW w:w="3130" w:type="dxa"/>
            <w:tcBorders>
              <w:top w:val="single" w:sz="4" w:space="0" w:color="auto"/>
            </w:tcBorders>
          </w:tcPr>
          <w:p w:rsidR="00000000" w:rsidRDefault="00000000">
            <w:pPr>
              <w:spacing w:before="80" w:after="80"/>
              <w:rPr>
                <w:sz w:val="20"/>
                <w:szCs w:val="16"/>
                <w:lang w:val="en-US"/>
              </w:rPr>
            </w:pPr>
            <w:r>
              <w:rPr>
                <w:sz w:val="20"/>
                <w:szCs w:val="16"/>
                <w:lang w:val="en-US"/>
              </w:rPr>
              <w:t>Poliomyelitis</w:t>
            </w:r>
          </w:p>
        </w:tc>
        <w:tc>
          <w:tcPr>
            <w:tcW w:w="1260" w:type="dxa"/>
            <w:tcBorders>
              <w:top w:val="single" w:sz="4" w:space="0" w:color="auto"/>
            </w:tcBorders>
          </w:tcPr>
          <w:p w:rsidR="00000000" w:rsidRDefault="00000000">
            <w:pPr>
              <w:spacing w:before="80" w:after="80"/>
              <w:jc w:val="center"/>
              <w:rPr>
                <w:sz w:val="20"/>
                <w:szCs w:val="16"/>
                <w:lang w:val="pt-BR"/>
              </w:rPr>
            </w:pPr>
            <w:r>
              <w:rPr>
                <w:sz w:val="20"/>
                <w:szCs w:val="16"/>
                <w:lang w:val="pt-BR"/>
              </w:rPr>
              <w:t>0</w:t>
            </w:r>
          </w:p>
        </w:tc>
        <w:tc>
          <w:tcPr>
            <w:tcW w:w="1260" w:type="dxa"/>
            <w:tcBorders>
              <w:top w:val="single" w:sz="4" w:space="0" w:color="auto"/>
            </w:tcBorders>
          </w:tcPr>
          <w:p w:rsidR="00000000" w:rsidRDefault="00000000">
            <w:pPr>
              <w:spacing w:before="80" w:after="80"/>
              <w:jc w:val="center"/>
              <w:rPr>
                <w:sz w:val="20"/>
                <w:szCs w:val="16"/>
                <w:lang w:val="pt-BR"/>
              </w:rPr>
            </w:pPr>
            <w:r>
              <w:rPr>
                <w:sz w:val="20"/>
                <w:szCs w:val="16"/>
                <w:lang w:val="pt-BR"/>
              </w:rPr>
              <w:t>0</w:t>
            </w:r>
          </w:p>
        </w:tc>
        <w:tc>
          <w:tcPr>
            <w:tcW w:w="1620" w:type="dxa"/>
            <w:tcBorders>
              <w:top w:val="single" w:sz="4" w:space="0" w:color="auto"/>
            </w:tcBorders>
          </w:tcPr>
          <w:p w:rsidR="00000000" w:rsidRDefault="00000000">
            <w:pPr>
              <w:spacing w:before="80" w:after="80"/>
              <w:jc w:val="center"/>
              <w:rPr>
                <w:sz w:val="20"/>
                <w:szCs w:val="16"/>
                <w:lang w:val="pt-BR"/>
              </w:rPr>
            </w:pPr>
            <w:r>
              <w:rPr>
                <w:sz w:val="20"/>
                <w:szCs w:val="16"/>
                <w:lang w:val="pt-BR"/>
              </w:rPr>
              <w:t>0</w:t>
            </w:r>
          </w:p>
        </w:tc>
        <w:tc>
          <w:tcPr>
            <w:tcW w:w="1069" w:type="dxa"/>
            <w:tcBorders>
              <w:top w:val="single" w:sz="4" w:space="0" w:color="auto"/>
            </w:tcBorders>
          </w:tcPr>
          <w:p w:rsidR="00000000" w:rsidRDefault="00000000">
            <w:pPr>
              <w:spacing w:before="80" w:after="80"/>
              <w:jc w:val="center"/>
              <w:rPr>
                <w:sz w:val="20"/>
                <w:szCs w:val="16"/>
                <w:lang w:val="pt-BR"/>
              </w:rPr>
            </w:pPr>
            <w:r>
              <w:rPr>
                <w:sz w:val="20"/>
                <w:szCs w:val="16"/>
                <w:lang w:val="pt-BR"/>
              </w:rPr>
              <w:t>0</w:t>
            </w:r>
          </w:p>
        </w:tc>
      </w:tr>
      <w:tr w:rsidR="00000000">
        <w:tblPrEx>
          <w:tblCellMar>
            <w:top w:w="0" w:type="dxa"/>
            <w:bottom w:w="0" w:type="dxa"/>
          </w:tblCellMar>
        </w:tblPrEx>
        <w:trPr>
          <w:jc w:val="center"/>
        </w:trPr>
        <w:tc>
          <w:tcPr>
            <w:tcW w:w="3130" w:type="dxa"/>
          </w:tcPr>
          <w:p w:rsidR="00000000" w:rsidRDefault="00000000">
            <w:pPr>
              <w:spacing w:before="80" w:after="80"/>
              <w:rPr>
                <w:sz w:val="20"/>
                <w:szCs w:val="16"/>
                <w:lang w:val="pt-BR"/>
              </w:rPr>
            </w:pPr>
            <w:r>
              <w:rPr>
                <w:sz w:val="20"/>
                <w:szCs w:val="16"/>
                <w:lang w:val="pt-BR"/>
              </w:rPr>
              <w:t>Measles</w:t>
            </w:r>
          </w:p>
        </w:tc>
        <w:tc>
          <w:tcPr>
            <w:tcW w:w="1260" w:type="dxa"/>
          </w:tcPr>
          <w:p w:rsidR="00000000" w:rsidRDefault="00000000">
            <w:pPr>
              <w:spacing w:before="80" w:after="80"/>
              <w:jc w:val="center"/>
              <w:rPr>
                <w:sz w:val="20"/>
                <w:szCs w:val="16"/>
                <w:lang w:val="pt-BR"/>
              </w:rPr>
            </w:pPr>
            <w:r>
              <w:rPr>
                <w:sz w:val="20"/>
                <w:szCs w:val="16"/>
                <w:lang w:val="pt-BR"/>
              </w:rPr>
              <w:t>0</w:t>
            </w:r>
          </w:p>
        </w:tc>
        <w:tc>
          <w:tcPr>
            <w:tcW w:w="1260" w:type="dxa"/>
          </w:tcPr>
          <w:p w:rsidR="00000000" w:rsidRDefault="00000000">
            <w:pPr>
              <w:spacing w:before="80" w:after="80"/>
              <w:jc w:val="center"/>
              <w:rPr>
                <w:sz w:val="20"/>
                <w:szCs w:val="16"/>
                <w:lang w:val="pt-BR"/>
              </w:rPr>
            </w:pPr>
            <w:r>
              <w:rPr>
                <w:sz w:val="20"/>
                <w:szCs w:val="16"/>
                <w:lang w:val="pt-BR"/>
              </w:rPr>
              <w:t>0</w:t>
            </w:r>
          </w:p>
        </w:tc>
        <w:tc>
          <w:tcPr>
            <w:tcW w:w="1620" w:type="dxa"/>
          </w:tcPr>
          <w:p w:rsidR="00000000" w:rsidRDefault="00000000">
            <w:pPr>
              <w:spacing w:before="80" w:after="80"/>
              <w:jc w:val="center"/>
              <w:rPr>
                <w:sz w:val="20"/>
                <w:szCs w:val="16"/>
                <w:lang w:val="pt-BR"/>
              </w:rPr>
            </w:pPr>
            <w:r>
              <w:rPr>
                <w:sz w:val="20"/>
                <w:szCs w:val="16"/>
                <w:lang w:val="pt-BR"/>
              </w:rPr>
              <w:t>0</w:t>
            </w:r>
          </w:p>
        </w:tc>
        <w:tc>
          <w:tcPr>
            <w:tcW w:w="1069" w:type="dxa"/>
          </w:tcPr>
          <w:p w:rsidR="00000000" w:rsidRDefault="00000000">
            <w:pPr>
              <w:spacing w:before="80" w:after="80"/>
              <w:jc w:val="center"/>
              <w:rPr>
                <w:sz w:val="20"/>
                <w:szCs w:val="16"/>
                <w:lang w:val="pt-BR"/>
              </w:rPr>
            </w:pPr>
            <w:r>
              <w:rPr>
                <w:sz w:val="20"/>
                <w:szCs w:val="16"/>
                <w:lang w:val="pt-BR"/>
              </w:rPr>
              <w:t>0</w:t>
            </w:r>
          </w:p>
        </w:tc>
      </w:tr>
      <w:tr w:rsidR="00000000">
        <w:tblPrEx>
          <w:tblCellMar>
            <w:top w:w="0" w:type="dxa"/>
            <w:bottom w:w="0" w:type="dxa"/>
          </w:tblCellMar>
        </w:tblPrEx>
        <w:trPr>
          <w:jc w:val="center"/>
        </w:trPr>
        <w:tc>
          <w:tcPr>
            <w:tcW w:w="3130" w:type="dxa"/>
          </w:tcPr>
          <w:p w:rsidR="00000000" w:rsidRDefault="00000000">
            <w:pPr>
              <w:spacing w:before="80" w:after="80"/>
              <w:rPr>
                <w:sz w:val="20"/>
                <w:szCs w:val="16"/>
                <w:lang w:val="pt-BR"/>
              </w:rPr>
            </w:pPr>
            <w:r>
              <w:rPr>
                <w:sz w:val="20"/>
                <w:szCs w:val="16"/>
                <w:lang w:val="pt-BR"/>
              </w:rPr>
              <w:t>Neonatal tetanus</w:t>
            </w:r>
          </w:p>
        </w:tc>
        <w:tc>
          <w:tcPr>
            <w:tcW w:w="1260" w:type="dxa"/>
          </w:tcPr>
          <w:p w:rsidR="00000000" w:rsidRDefault="00000000">
            <w:pPr>
              <w:spacing w:before="80" w:after="80"/>
              <w:jc w:val="center"/>
              <w:rPr>
                <w:sz w:val="20"/>
                <w:szCs w:val="16"/>
              </w:rPr>
            </w:pPr>
            <w:r>
              <w:rPr>
                <w:sz w:val="20"/>
                <w:szCs w:val="16"/>
              </w:rPr>
              <w:t>7</w:t>
            </w:r>
          </w:p>
        </w:tc>
        <w:tc>
          <w:tcPr>
            <w:tcW w:w="1260" w:type="dxa"/>
          </w:tcPr>
          <w:p w:rsidR="00000000" w:rsidRDefault="00000000">
            <w:pPr>
              <w:spacing w:before="80" w:after="80"/>
              <w:jc w:val="center"/>
              <w:rPr>
                <w:sz w:val="20"/>
                <w:szCs w:val="16"/>
              </w:rPr>
            </w:pPr>
            <w:r>
              <w:rPr>
                <w:sz w:val="20"/>
                <w:szCs w:val="16"/>
              </w:rPr>
              <w:t>4</w:t>
            </w:r>
          </w:p>
        </w:tc>
        <w:tc>
          <w:tcPr>
            <w:tcW w:w="1620" w:type="dxa"/>
          </w:tcPr>
          <w:p w:rsidR="00000000" w:rsidRDefault="00000000">
            <w:pPr>
              <w:spacing w:before="80" w:after="80"/>
              <w:jc w:val="center"/>
              <w:rPr>
                <w:sz w:val="20"/>
                <w:szCs w:val="16"/>
              </w:rPr>
            </w:pPr>
            <w:r>
              <w:rPr>
                <w:sz w:val="20"/>
                <w:szCs w:val="16"/>
              </w:rPr>
              <w:t>7</w:t>
            </w:r>
          </w:p>
        </w:tc>
        <w:tc>
          <w:tcPr>
            <w:tcW w:w="1069" w:type="dxa"/>
          </w:tcPr>
          <w:p w:rsidR="00000000" w:rsidRDefault="00000000">
            <w:pPr>
              <w:spacing w:before="80" w:after="80"/>
              <w:jc w:val="center"/>
              <w:rPr>
                <w:sz w:val="20"/>
                <w:szCs w:val="16"/>
              </w:rPr>
            </w:pPr>
            <w:r>
              <w:rPr>
                <w:sz w:val="20"/>
                <w:szCs w:val="16"/>
              </w:rPr>
              <w:t>3</w:t>
            </w:r>
          </w:p>
        </w:tc>
      </w:tr>
      <w:tr w:rsidR="00000000">
        <w:tblPrEx>
          <w:tblCellMar>
            <w:top w:w="0" w:type="dxa"/>
            <w:bottom w:w="0" w:type="dxa"/>
          </w:tblCellMar>
        </w:tblPrEx>
        <w:trPr>
          <w:jc w:val="center"/>
        </w:trPr>
        <w:tc>
          <w:tcPr>
            <w:tcW w:w="3130" w:type="dxa"/>
          </w:tcPr>
          <w:p w:rsidR="00000000" w:rsidRDefault="00000000">
            <w:pPr>
              <w:spacing w:before="80" w:after="80"/>
              <w:rPr>
                <w:sz w:val="20"/>
                <w:szCs w:val="16"/>
              </w:rPr>
            </w:pPr>
            <w:r>
              <w:rPr>
                <w:sz w:val="20"/>
                <w:szCs w:val="16"/>
              </w:rPr>
              <w:t>Tetanus (other ages)</w:t>
            </w:r>
          </w:p>
        </w:tc>
        <w:tc>
          <w:tcPr>
            <w:tcW w:w="1260" w:type="dxa"/>
          </w:tcPr>
          <w:p w:rsidR="00000000" w:rsidRDefault="00000000">
            <w:pPr>
              <w:spacing w:before="80" w:after="80"/>
              <w:jc w:val="center"/>
              <w:rPr>
                <w:sz w:val="20"/>
                <w:szCs w:val="16"/>
              </w:rPr>
            </w:pPr>
            <w:r>
              <w:rPr>
                <w:sz w:val="20"/>
                <w:szCs w:val="16"/>
              </w:rPr>
              <w:t>7</w:t>
            </w:r>
          </w:p>
        </w:tc>
        <w:tc>
          <w:tcPr>
            <w:tcW w:w="1260" w:type="dxa"/>
          </w:tcPr>
          <w:p w:rsidR="00000000" w:rsidRDefault="00000000">
            <w:pPr>
              <w:spacing w:before="80" w:after="80"/>
              <w:jc w:val="center"/>
              <w:rPr>
                <w:sz w:val="20"/>
                <w:szCs w:val="16"/>
              </w:rPr>
            </w:pPr>
            <w:r>
              <w:rPr>
                <w:sz w:val="20"/>
                <w:szCs w:val="16"/>
              </w:rPr>
              <w:t>2</w:t>
            </w:r>
          </w:p>
        </w:tc>
        <w:tc>
          <w:tcPr>
            <w:tcW w:w="1620" w:type="dxa"/>
          </w:tcPr>
          <w:p w:rsidR="00000000" w:rsidRDefault="00000000">
            <w:pPr>
              <w:spacing w:before="80" w:after="80"/>
              <w:jc w:val="center"/>
              <w:rPr>
                <w:sz w:val="20"/>
                <w:szCs w:val="16"/>
              </w:rPr>
            </w:pPr>
            <w:r>
              <w:rPr>
                <w:sz w:val="20"/>
                <w:szCs w:val="16"/>
              </w:rPr>
              <w:t>2</w:t>
            </w:r>
          </w:p>
        </w:tc>
        <w:tc>
          <w:tcPr>
            <w:tcW w:w="1069" w:type="dxa"/>
          </w:tcPr>
          <w:p w:rsidR="00000000" w:rsidRDefault="00000000">
            <w:pPr>
              <w:spacing w:before="80" w:after="80"/>
              <w:jc w:val="center"/>
              <w:rPr>
                <w:sz w:val="20"/>
                <w:szCs w:val="16"/>
              </w:rPr>
            </w:pPr>
            <w:r>
              <w:rPr>
                <w:sz w:val="20"/>
                <w:szCs w:val="16"/>
              </w:rPr>
              <w:t>1</w:t>
            </w:r>
          </w:p>
        </w:tc>
      </w:tr>
      <w:tr w:rsidR="00000000">
        <w:tblPrEx>
          <w:tblCellMar>
            <w:top w:w="0" w:type="dxa"/>
            <w:bottom w:w="0" w:type="dxa"/>
          </w:tblCellMar>
        </w:tblPrEx>
        <w:trPr>
          <w:jc w:val="center"/>
        </w:trPr>
        <w:tc>
          <w:tcPr>
            <w:tcW w:w="3130" w:type="dxa"/>
          </w:tcPr>
          <w:p w:rsidR="00000000" w:rsidRDefault="00000000">
            <w:pPr>
              <w:spacing w:before="80" w:after="80"/>
              <w:rPr>
                <w:sz w:val="20"/>
                <w:szCs w:val="16"/>
              </w:rPr>
            </w:pPr>
            <w:r>
              <w:rPr>
                <w:sz w:val="20"/>
                <w:szCs w:val="16"/>
              </w:rPr>
              <w:t>Diphtheria</w:t>
            </w:r>
          </w:p>
        </w:tc>
        <w:tc>
          <w:tcPr>
            <w:tcW w:w="1260" w:type="dxa"/>
          </w:tcPr>
          <w:p w:rsidR="00000000" w:rsidRDefault="00000000">
            <w:pPr>
              <w:spacing w:before="80" w:after="80"/>
              <w:jc w:val="center"/>
              <w:rPr>
                <w:sz w:val="20"/>
                <w:szCs w:val="16"/>
              </w:rPr>
            </w:pPr>
            <w:r>
              <w:rPr>
                <w:sz w:val="20"/>
                <w:szCs w:val="16"/>
              </w:rPr>
              <w:t>0</w:t>
            </w:r>
          </w:p>
        </w:tc>
        <w:tc>
          <w:tcPr>
            <w:tcW w:w="1260" w:type="dxa"/>
          </w:tcPr>
          <w:p w:rsidR="00000000" w:rsidRDefault="00000000">
            <w:pPr>
              <w:spacing w:before="80" w:after="80"/>
              <w:jc w:val="center"/>
              <w:rPr>
                <w:sz w:val="20"/>
                <w:szCs w:val="16"/>
              </w:rPr>
            </w:pPr>
            <w:r>
              <w:rPr>
                <w:sz w:val="20"/>
                <w:szCs w:val="16"/>
              </w:rPr>
              <w:t>0</w:t>
            </w:r>
          </w:p>
        </w:tc>
        <w:tc>
          <w:tcPr>
            <w:tcW w:w="1620" w:type="dxa"/>
          </w:tcPr>
          <w:p w:rsidR="00000000" w:rsidRDefault="00000000">
            <w:pPr>
              <w:spacing w:before="80" w:after="80"/>
              <w:jc w:val="center"/>
              <w:rPr>
                <w:sz w:val="20"/>
                <w:szCs w:val="16"/>
              </w:rPr>
            </w:pPr>
            <w:r>
              <w:rPr>
                <w:sz w:val="20"/>
                <w:szCs w:val="16"/>
              </w:rPr>
              <w:t>0</w:t>
            </w:r>
          </w:p>
        </w:tc>
        <w:tc>
          <w:tcPr>
            <w:tcW w:w="1069" w:type="dxa"/>
          </w:tcPr>
          <w:p w:rsidR="00000000" w:rsidRDefault="00000000">
            <w:pPr>
              <w:spacing w:before="80" w:after="80"/>
              <w:jc w:val="center"/>
              <w:rPr>
                <w:sz w:val="20"/>
                <w:szCs w:val="16"/>
              </w:rPr>
            </w:pPr>
            <w:r>
              <w:rPr>
                <w:sz w:val="20"/>
                <w:szCs w:val="16"/>
              </w:rPr>
              <w:t>7</w:t>
            </w:r>
          </w:p>
        </w:tc>
      </w:tr>
      <w:tr w:rsidR="00000000">
        <w:tblPrEx>
          <w:tblCellMar>
            <w:top w:w="0" w:type="dxa"/>
            <w:bottom w:w="0" w:type="dxa"/>
          </w:tblCellMar>
        </w:tblPrEx>
        <w:trPr>
          <w:jc w:val="center"/>
        </w:trPr>
        <w:tc>
          <w:tcPr>
            <w:tcW w:w="3130" w:type="dxa"/>
          </w:tcPr>
          <w:p w:rsidR="00000000" w:rsidRDefault="00000000">
            <w:pPr>
              <w:spacing w:before="80" w:after="80"/>
              <w:rPr>
                <w:sz w:val="20"/>
                <w:szCs w:val="16"/>
              </w:rPr>
            </w:pPr>
            <w:r>
              <w:rPr>
                <w:sz w:val="20"/>
                <w:szCs w:val="16"/>
              </w:rPr>
              <w:t>Bordetella pertussis</w:t>
            </w:r>
          </w:p>
        </w:tc>
        <w:tc>
          <w:tcPr>
            <w:tcW w:w="1260" w:type="dxa"/>
          </w:tcPr>
          <w:p w:rsidR="00000000" w:rsidRDefault="00000000">
            <w:pPr>
              <w:spacing w:before="80" w:after="80"/>
              <w:jc w:val="center"/>
              <w:rPr>
                <w:sz w:val="20"/>
                <w:szCs w:val="16"/>
              </w:rPr>
            </w:pPr>
            <w:r>
              <w:rPr>
                <w:sz w:val="20"/>
                <w:szCs w:val="16"/>
              </w:rPr>
              <w:t>2</w:t>
            </w:r>
          </w:p>
        </w:tc>
        <w:tc>
          <w:tcPr>
            <w:tcW w:w="1260" w:type="dxa"/>
          </w:tcPr>
          <w:p w:rsidR="00000000" w:rsidRDefault="00000000">
            <w:pPr>
              <w:spacing w:before="80" w:after="80"/>
              <w:jc w:val="center"/>
              <w:rPr>
                <w:sz w:val="20"/>
                <w:szCs w:val="16"/>
              </w:rPr>
            </w:pPr>
            <w:r>
              <w:rPr>
                <w:sz w:val="20"/>
                <w:szCs w:val="16"/>
              </w:rPr>
              <w:t>-</w:t>
            </w:r>
          </w:p>
        </w:tc>
        <w:tc>
          <w:tcPr>
            <w:tcW w:w="1620" w:type="dxa"/>
          </w:tcPr>
          <w:p w:rsidR="00000000" w:rsidRDefault="00000000">
            <w:pPr>
              <w:spacing w:before="80" w:after="80"/>
              <w:jc w:val="center"/>
              <w:rPr>
                <w:sz w:val="20"/>
                <w:szCs w:val="16"/>
              </w:rPr>
            </w:pPr>
            <w:r>
              <w:rPr>
                <w:sz w:val="20"/>
                <w:szCs w:val="16"/>
              </w:rPr>
              <w:t>-</w:t>
            </w:r>
          </w:p>
        </w:tc>
        <w:tc>
          <w:tcPr>
            <w:tcW w:w="1069" w:type="dxa"/>
          </w:tcPr>
          <w:p w:rsidR="00000000" w:rsidRDefault="00000000">
            <w:pPr>
              <w:spacing w:before="80" w:after="80"/>
              <w:jc w:val="center"/>
              <w:rPr>
                <w:sz w:val="20"/>
                <w:szCs w:val="16"/>
              </w:rPr>
            </w:pPr>
            <w:r>
              <w:rPr>
                <w:sz w:val="20"/>
                <w:szCs w:val="16"/>
              </w:rPr>
              <w:t>-</w:t>
            </w:r>
          </w:p>
        </w:tc>
      </w:tr>
      <w:tr w:rsidR="00000000">
        <w:tblPrEx>
          <w:tblCellMar>
            <w:top w:w="0" w:type="dxa"/>
            <w:bottom w:w="0" w:type="dxa"/>
          </w:tblCellMar>
        </w:tblPrEx>
        <w:trPr>
          <w:jc w:val="center"/>
        </w:trPr>
        <w:tc>
          <w:tcPr>
            <w:tcW w:w="3130" w:type="dxa"/>
          </w:tcPr>
          <w:p w:rsidR="00000000" w:rsidRDefault="00000000">
            <w:pPr>
              <w:spacing w:before="80" w:after="80"/>
              <w:rPr>
                <w:sz w:val="20"/>
                <w:szCs w:val="16"/>
              </w:rPr>
            </w:pPr>
            <w:r>
              <w:rPr>
                <w:sz w:val="20"/>
                <w:szCs w:val="16"/>
              </w:rPr>
              <w:t>Pertussis (not specified)</w:t>
            </w:r>
          </w:p>
        </w:tc>
        <w:tc>
          <w:tcPr>
            <w:tcW w:w="1260" w:type="dxa"/>
          </w:tcPr>
          <w:p w:rsidR="00000000" w:rsidRDefault="00000000">
            <w:pPr>
              <w:spacing w:before="80" w:after="80"/>
              <w:jc w:val="center"/>
              <w:rPr>
                <w:sz w:val="20"/>
                <w:szCs w:val="16"/>
              </w:rPr>
            </w:pPr>
            <w:r>
              <w:rPr>
                <w:sz w:val="20"/>
                <w:szCs w:val="16"/>
              </w:rPr>
              <w:t>39</w:t>
            </w:r>
          </w:p>
        </w:tc>
        <w:tc>
          <w:tcPr>
            <w:tcW w:w="1260" w:type="dxa"/>
          </w:tcPr>
          <w:p w:rsidR="00000000" w:rsidRDefault="00000000">
            <w:pPr>
              <w:spacing w:before="80" w:after="80"/>
              <w:jc w:val="center"/>
              <w:rPr>
                <w:sz w:val="20"/>
                <w:szCs w:val="16"/>
              </w:rPr>
            </w:pPr>
            <w:r>
              <w:rPr>
                <w:sz w:val="20"/>
                <w:szCs w:val="16"/>
              </w:rPr>
              <w:t>1</w:t>
            </w:r>
          </w:p>
        </w:tc>
        <w:tc>
          <w:tcPr>
            <w:tcW w:w="1620" w:type="dxa"/>
          </w:tcPr>
          <w:p w:rsidR="00000000" w:rsidRDefault="00000000">
            <w:pPr>
              <w:spacing w:before="80" w:after="80"/>
              <w:jc w:val="center"/>
              <w:rPr>
                <w:sz w:val="20"/>
                <w:szCs w:val="16"/>
              </w:rPr>
            </w:pPr>
            <w:r>
              <w:rPr>
                <w:sz w:val="20"/>
                <w:szCs w:val="16"/>
              </w:rPr>
              <w:t>2</w:t>
            </w:r>
          </w:p>
        </w:tc>
        <w:tc>
          <w:tcPr>
            <w:tcW w:w="1069" w:type="dxa"/>
          </w:tcPr>
          <w:p w:rsidR="00000000" w:rsidRDefault="00000000">
            <w:pPr>
              <w:spacing w:before="80" w:after="80"/>
              <w:jc w:val="center"/>
              <w:rPr>
                <w:sz w:val="20"/>
                <w:szCs w:val="16"/>
              </w:rPr>
            </w:pPr>
            <w:r>
              <w:rPr>
                <w:sz w:val="20"/>
                <w:szCs w:val="16"/>
              </w:rPr>
              <w:t>2</w:t>
            </w:r>
          </w:p>
        </w:tc>
      </w:tr>
      <w:tr w:rsidR="00000000">
        <w:tblPrEx>
          <w:tblCellMar>
            <w:top w:w="0" w:type="dxa"/>
            <w:bottom w:w="0" w:type="dxa"/>
          </w:tblCellMar>
        </w:tblPrEx>
        <w:trPr>
          <w:jc w:val="center"/>
        </w:trPr>
        <w:tc>
          <w:tcPr>
            <w:tcW w:w="3130" w:type="dxa"/>
            <w:tcBorders>
              <w:bottom w:val="single" w:sz="4" w:space="0" w:color="auto"/>
            </w:tcBorders>
          </w:tcPr>
          <w:p w:rsidR="00000000" w:rsidRDefault="00000000">
            <w:pPr>
              <w:spacing w:before="80" w:after="80"/>
              <w:rPr>
                <w:sz w:val="20"/>
                <w:szCs w:val="16"/>
              </w:rPr>
            </w:pPr>
            <w:r>
              <w:rPr>
                <w:sz w:val="20"/>
                <w:szCs w:val="16"/>
              </w:rPr>
              <w:t>TOTAL</w:t>
            </w:r>
          </w:p>
        </w:tc>
        <w:tc>
          <w:tcPr>
            <w:tcW w:w="1260" w:type="dxa"/>
            <w:tcBorders>
              <w:bottom w:val="single" w:sz="4" w:space="0" w:color="auto"/>
            </w:tcBorders>
          </w:tcPr>
          <w:p w:rsidR="00000000" w:rsidRDefault="00000000">
            <w:pPr>
              <w:spacing w:before="80" w:after="80"/>
              <w:jc w:val="center"/>
              <w:rPr>
                <w:sz w:val="20"/>
                <w:szCs w:val="16"/>
              </w:rPr>
            </w:pPr>
            <w:r>
              <w:rPr>
                <w:sz w:val="20"/>
                <w:szCs w:val="16"/>
              </w:rPr>
              <w:t>55</w:t>
            </w:r>
          </w:p>
        </w:tc>
        <w:tc>
          <w:tcPr>
            <w:tcW w:w="1260" w:type="dxa"/>
            <w:tcBorders>
              <w:bottom w:val="single" w:sz="4" w:space="0" w:color="auto"/>
            </w:tcBorders>
          </w:tcPr>
          <w:p w:rsidR="00000000" w:rsidRDefault="00000000">
            <w:pPr>
              <w:spacing w:before="80" w:after="80"/>
              <w:jc w:val="center"/>
              <w:rPr>
                <w:sz w:val="20"/>
                <w:szCs w:val="16"/>
              </w:rPr>
            </w:pPr>
            <w:r>
              <w:rPr>
                <w:sz w:val="20"/>
                <w:szCs w:val="16"/>
              </w:rPr>
              <w:t>7</w:t>
            </w:r>
          </w:p>
        </w:tc>
        <w:tc>
          <w:tcPr>
            <w:tcW w:w="1620" w:type="dxa"/>
            <w:tcBorders>
              <w:bottom w:val="single" w:sz="4" w:space="0" w:color="auto"/>
            </w:tcBorders>
          </w:tcPr>
          <w:p w:rsidR="00000000" w:rsidRDefault="00000000">
            <w:pPr>
              <w:spacing w:before="80" w:after="80"/>
              <w:jc w:val="center"/>
              <w:rPr>
                <w:sz w:val="20"/>
                <w:szCs w:val="16"/>
              </w:rPr>
            </w:pPr>
            <w:r>
              <w:rPr>
                <w:sz w:val="20"/>
                <w:szCs w:val="16"/>
              </w:rPr>
              <w:t>11</w:t>
            </w:r>
          </w:p>
        </w:tc>
        <w:tc>
          <w:tcPr>
            <w:tcW w:w="1069" w:type="dxa"/>
            <w:tcBorders>
              <w:bottom w:val="single" w:sz="4" w:space="0" w:color="auto"/>
            </w:tcBorders>
          </w:tcPr>
          <w:p w:rsidR="00000000" w:rsidRDefault="00000000">
            <w:pPr>
              <w:spacing w:before="80" w:after="80"/>
              <w:jc w:val="center"/>
              <w:rPr>
                <w:sz w:val="20"/>
                <w:szCs w:val="16"/>
              </w:rPr>
            </w:pPr>
            <w:r>
              <w:rPr>
                <w:sz w:val="20"/>
                <w:szCs w:val="16"/>
              </w:rPr>
              <w:t>13</w:t>
            </w:r>
          </w:p>
        </w:tc>
      </w:tr>
    </w:tbl>
    <w:p w:rsidR="00000000" w:rsidRDefault="00000000">
      <w:pPr>
        <w:spacing w:after="240"/>
        <w:rPr>
          <w:szCs w:val="28"/>
        </w:rPr>
      </w:pPr>
    </w:p>
    <w:p w:rsidR="00000000" w:rsidRDefault="00000000">
      <w:pPr>
        <w:pStyle w:val="xl46"/>
        <w:spacing w:before="0" w:beforeAutospacing="0" w:after="240" w:afterAutospacing="0"/>
        <w:rPr>
          <w:rFonts w:ascii="Times New Roman" w:eastAsia="Times New Roman" w:hAnsi="Times New Roman" w:cs="Times New Roman"/>
          <w:bCs w:val="0"/>
          <w:szCs w:val="24"/>
          <w:lang w:val="en-GB" w:eastAsia="en-US"/>
        </w:rPr>
      </w:pPr>
      <w:r>
        <w:rPr>
          <w:rFonts w:ascii="Times New Roman" w:eastAsia="Times New Roman" w:hAnsi="Times New Roman" w:cs="Times New Roman"/>
          <w:bCs w:val="0"/>
          <w:szCs w:val="24"/>
          <w:lang w:val="en-GB" w:eastAsia="en-US"/>
        </w:rPr>
        <w:t>Mortality from tuberculosis in children under 10, 1993-2003, Paraguay</w:t>
      </w:r>
    </w:p>
    <w:tbl>
      <w:tblPr>
        <w:tblW w:w="5000" w:type="pct"/>
        <w:jc w:val="center"/>
        <w:tblCellMar>
          <w:left w:w="0" w:type="dxa"/>
          <w:right w:w="0" w:type="dxa"/>
        </w:tblCellMar>
        <w:tblLook w:val="0000" w:firstRow="0" w:lastRow="0" w:firstColumn="0" w:lastColumn="0" w:noHBand="0" w:noVBand="0"/>
      </w:tblPr>
      <w:tblGrid>
        <w:gridCol w:w="3054"/>
        <w:gridCol w:w="1268"/>
        <w:gridCol w:w="1154"/>
        <w:gridCol w:w="1268"/>
        <w:gridCol w:w="1586"/>
        <w:gridCol w:w="1099"/>
      </w:tblGrid>
      <w:tr w:rsidR="00000000">
        <w:tblPrEx>
          <w:tblCellMar>
            <w:top w:w="0" w:type="dxa"/>
            <w:bottom w:w="0" w:type="dxa"/>
          </w:tblCellMar>
        </w:tblPrEx>
        <w:trPr>
          <w:jc w:val="center"/>
        </w:trPr>
        <w:tc>
          <w:tcPr>
            <w:tcW w:w="2701" w:type="dxa"/>
            <w:tcBorders>
              <w:top w:val="single" w:sz="4" w:space="0" w:color="auto"/>
              <w:bottom w:val="single" w:sz="4" w:space="0" w:color="auto"/>
            </w:tcBorders>
          </w:tcPr>
          <w:p w:rsidR="00000000" w:rsidRDefault="00000000">
            <w:pPr>
              <w:spacing w:before="80" w:after="80"/>
              <w:jc w:val="center"/>
              <w:rPr>
                <w:b/>
                <w:bCs/>
                <w:i/>
                <w:iCs/>
                <w:sz w:val="20"/>
                <w:szCs w:val="16"/>
              </w:rPr>
            </w:pPr>
            <w:r>
              <w:rPr>
                <w:b/>
                <w:bCs/>
                <w:i/>
                <w:iCs/>
                <w:sz w:val="20"/>
                <w:szCs w:val="16"/>
              </w:rPr>
              <w:t>Age groups</w:t>
            </w:r>
          </w:p>
        </w:tc>
        <w:tc>
          <w:tcPr>
            <w:tcW w:w="1121" w:type="dxa"/>
            <w:tcBorders>
              <w:top w:val="single" w:sz="4" w:space="0" w:color="auto"/>
              <w:bottom w:val="single" w:sz="4" w:space="0" w:color="auto"/>
            </w:tcBorders>
          </w:tcPr>
          <w:p w:rsidR="00000000" w:rsidRDefault="00000000">
            <w:pPr>
              <w:spacing w:before="80" w:after="80"/>
              <w:jc w:val="center"/>
              <w:rPr>
                <w:b/>
                <w:bCs/>
                <w:i/>
                <w:iCs/>
                <w:sz w:val="20"/>
                <w:szCs w:val="16"/>
              </w:rPr>
            </w:pPr>
            <w:r>
              <w:rPr>
                <w:b/>
                <w:bCs/>
                <w:i/>
                <w:iCs/>
                <w:sz w:val="20"/>
                <w:szCs w:val="16"/>
              </w:rPr>
              <w:t>1999</w:t>
            </w:r>
          </w:p>
        </w:tc>
        <w:tc>
          <w:tcPr>
            <w:tcW w:w="1021" w:type="dxa"/>
            <w:tcBorders>
              <w:top w:val="single" w:sz="4" w:space="0" w:color="auto"/>
              <w:bottom w:val="single" w:sz="4" w:space="0" w:color="auto"/>
            </w:tcBorders>
          </w:tcPr>
          <w:p w:rsidR="00000000" w:rsidRDefault="00000000">
            <w:pPr>
              <w:spacing w:before="80" w:after="80"/>
              <w:jc w:val="center"/>
              <w:rPr>
                <w:b/>
                <w:bCs/>
                <w:i/>
                <w:iCs/>
                <w:sz w:val="20"/>
                <w:szCs w:val="16"/>
              </w:rPr>
            </w:pPr>
            <w:r>
              <w:rPr>
                <w:b/>
                <w:bCs/>
                <w:i/>
                <w:iCs/>
                <w:sz w:val="20"/>
                <w:szCs w:val="16"/>
              </w:rPr>
              <w:t>2000</w:t>
            </w:r>
          </w:p>
        </w:tc>
        <w:tc>
          <w:tcPr>
            <w:tcW w:w="1121" w:type="dxa"/>
            <w:tcBorders>
              <w:top w:val="single" w:sz="4" w:space="0" w:color="auto"/>
              <w:bottom w:val="single" w:sz="4" w:space="0" w:color="auto"/>
            </w:tcBorders>
          </w:tcPr>
          <w:p w:rsidR="00000000" w:rsidRDefault="00000000">
            <w:pPr>
              <w:spacing w:before="80" w:after="80"/>
              <w:jc w:val="center"/>
              <w:rPr>
                <w:b/>
                <w:bCs/>
                <w:i/>
                <w:iCs/>
                <w:sz w:val="20"/>
                <w:szCs w:val="16"/>
              </w:rPr>
            </w:pPr>
            <w:r>
              <w:rPr>
                <w:b/>
                <w:bCs/>
                <w:i/>
                <w:iCs/>
                <w:sz w:val="20"/>
                <w:szCs w:val="16"/>
              </w:rPr>
              <w:t>2001</w:t>
            </w:r>
          </w:p>
        </w:tc>
        <w:tc>
          <w:tcPr>
            <w:tcW w:w="1403" w:type="dxa"/>
            <w:tcBorders>
              <w:top w:val="single" w:sz="4" w:space="0" w:color="auto"/>
              <w:bottom w:val="single" w:sz="4" w:space="0" w:color="auto"/>
            </w:tcBorders>
          </w:tcPr>
          <w:p w:rsidR="00000000" w:rsidRDefault="00000000">
            <w:pPr>
              <w:spacing w:before="80" w:after="80"/>
              <w:jc w:val="center"/>
              <w:rPr>
                <w:b/>
                <w:bCs/>
                <w:i/>
                <w:iCs/>
                <w:sz w:val="20"/>
                <w:szCs w:val="16"/>
              </w:rPr>
            </w:pPr>
            <w:r>
              <w:rPr>
                <w:b/>
                <w:bCs/>
                <w:i/>
                <w:iCs/>
                <w:sz w:val="20"/>
                <w:szCs w:val="16"/>
              </w:rPr>
              <w:t>2002</w:t>
            </w:r>
          </w:p>
        </w:tc>
        <w:tc>
          <w:tcPr>
            <w:tcW w:w="972" w:type="dxa"/>
            <w:tcBorders>
              <w:top w:val="single" w:sz="4" w:space="0" w:color="auto"/>
              <w:bottom w:val="single" w:sz="4" w:space="0" w:color="auto"/>
            </w:tcBorders>
          </w:tcPr>
          <w:p w:rsidR="00000000" w:rsidRDefault="00000000">
            <w:pPr>
              <w:spacing w:before="80" w:after="80"/>
              <w:jc w:val="center"/>
              <w:rPr>
                <w:b/>
                <w:bCs/>
                <w:i/>
                <w:iCs/>
                <w:sz w:val="20"/>
                <w:szCs w:val="16"/>
              </w:rPr>
            </w:pPr>
            <w:r>
              <w:rPr>
                <w:b/>
                <w:bCs/>
                <w:i/>
                <w:iCs/>
                <w:sz w:val="20"/>
                <w:szCs w:val="16"/>
              </w:rPr>
              <w:t>2003</w:t>
            </w:r>
          </w:p>
        </w:tc>
      </w:tr>
      <w:tr w:rsidR="00000000">
        <w:tblPrEx>
          <w:tblCellMar>
            <w:top w:w="0" w:type="dxa"/>
            <w:bottom w:w="0" w:type="dxa"/>
          </w:tblCellMar>
        </w:tblPrEx>
        <w:trPr>
          <w:jc w:val="center"/>
        </w:trPr>
        <w:tc>
          <w:tcPr>
            <w:tcW w:w="2701" w:type="dxa"/>
            <w:tcBorders>
              <w:top w:val="single" w:sz="4" w:space="0" w:color="auto"/>
            </w:tcBorders>
          </w:tcPr>
          <w:p w:rsidR="00000000" w:rsidRDefault="00000000">
            <w:pPr>
              <w:pStyle w:val="FootnoteText"/>
              <w:spacing w:before="80" w:after="80"/>
              <w:rPr>
                <w:szCs w:val="16"/>
              </w:rPr>
            </w:pPr>
            <w:r>
              <w:rPr>
                <w:szCs w:val="16"/>
              </w:rPr>
              <w:t>&lt;1 year</w:t>
            </w:r>
          </w:p>
        </w:tc>
        <w:tc>
          <w:tcPr>
            <w:tcW w:w="1121" w:type="dxa"/>
            <w:tcBorders>
              <w:top w:val="single" w:sz="4" w:space="0" w:color="auto"/>
            </w:tcBorders>
          </w:tcPr>
          <w:p w:rsidR="00000000" w:rsidRDefault="00000000">
            <w:pPr>
              <w:spacing w:before="80" w:after="80"/>
              <w:jc w:val="center"/>
              <w:rPr>
                <w:sz w:val="20"/>
                <w:szCs w:val="16"/>
              </w:rPr>
            </w:pPr>
            <w:r>
              <w:rPr>
                <w:sz w:val="20"/>
                <w:szCs w:val="16"/>
              </w:rPr>
              <w:t>2</w:t>
            </w:r>
          </w:p>
        </w:tc>
        <w:tc>
          <w:tcPr>
            <w:tcW w:w="1021" w:type="dxa"/>
            <w:tcBorders>
              <w:top w:val="single" w:sz="4" w:space="0" w:color="auto"/>
            </w:tcBorders>
          </w:tcPr>
          <w:p w:rsidR="00000000" w:rsidRDefault="00000000">
            <w:pPr>
              <w:spacing w:before="80" w:after="80"/>
              <w:jc w:val="center"/>
              <w:rPr>
                <w:sz w:val="20"/>
                <w:szCs w:val="16"/>
              </w:rPr>
            </w:pPr>
            <w:r>
              <w:rPr>
                <w:sz w:val="20"/>
                <w:szCs w:val="16"/>
              </w:rPr>
              <w:t>1</w:t>
            </w:r>
          </w:p>
        </w:tc>
        <w:tc>
          <w:tcPr>
            <w:tcW w:w="1121" w:type="dxa"/>
            <w:tcBorders>
              <w:top w:val="single" w:sz="4" w:space="0" w:color="auto"/>
            </w:tcBorders>
          </w:tcPr>
          <w:p w:rsidR="00000000" w:rsidRDefault="00000000">
            <w:pPr>
              <w:spacing w:before="80" w:after="80"/>
              <w:jc w:val="center"/>
              <w:rPr>
                <w:sz w:val="20"/>
                <w:szCs w:val="16"/>
              </w:rPr>
            </w:pPr>
            <w:r>
              <w:rPr>
                <w:sz w:val="20"/>
                <w:szCs w:val="16"/>
              </w:rPr>
              <w:t>0</w:t>
            </w:r>
          </w:p>
        </w:tc>
        <w:tc>
          <w:tcPr>
            <w:tcW w:w="1403" w:type="dxa"/>
            <w:tcBorders>
              <w:top w:val="single" w:sz="4" w:space="0" w:color="auto"/>
            </w:tcBorders>
          </w:tcPr>
          <w:p w:rsidR="00000000" w:rsidRDefault="00000000">
            <w:pPr>
              <w:spacing w:before="80" w:after="80"/>
              <w:jc w:val="center"/>
              <w:rPr>
                <w:sz w:val="20"/>
                <w:szCs w:val="16"/>
              </w:rPr>
            </w:pPr>
            <w:r>
              <w:rPr>
                <w:sz w:val="20"/>
                <w:szCs w:val="16"/>
              </w:rPr>
              <w:t>2</w:t>
            </w:r>
          </w:p>
        </w:tc>
        <w:tc>
          <w:tcPr>
            <w:tcW w:w="972" w:type="dxa"/>
            <w:tcBorders>
              <w:top w:val="single" w:sz="4" w:space="0" w:color="auto"/>
            </w:tcBorders>
          </w:tcPr>
          <w:p w:rsidR="00000000" w:rsidRDefault="00000000">
            <w:pPr>
              <w:spacing w:before="80" w:after="80"/>
              <w:jc w:val="center"/>
              <w:rPr>
                <w:sz w:val="20"/>
                <w:szCs w:val="16"/>
              </w:rPr>
            </w:pPr>
            <w:r>
              <w:rPr>
                <w:sz w:val="20"/>
                <w:szCs w:val="16"/>
              </w:rPr>
              <w:t>3</w:t>
            </w:r>
          </w:p>
        </w:tc>
      </w:tr>
      <w:tr w:rsidR="00000000">
        <w:tblPrEx>
          <w:tblCellMar>
            <w:top w:w="0" w:type="dxa"/>
            <w:bottom w:w="0" w:type="dxa"/>
          </w:tblCellMar>
        </w:tblPrEx>
        <w:trPr>
          <w:jc w:val="center"/>
        </w:trPr>
        <w:tc>
          <w:tcPr>
            <w:tcW w:w="2701" w:type="dxa"/>
          </w:tcPr>
          <w:p w:rsidR="00000000" w:rsidRDefault="00000000">
            <w:pPr>
              <w:spacing w:before="80" w:after="80"/>
              <w:rPr>
                <w:sz w:val="20"/>
                <w:szCs w:val="16"/>
              </w:rPr>
            </w:pPr>
            <w:r>
              <w:rPr>
                <w:sz w:val="20"/>
                <w:szCs w:val="16"/>
              </w:rPr>
              <w:t>1-4 years</w:t>
            </w:r>
          </w:p>
        </w:tc>
        <w:tc>
          <w:tcPr>
            <w:tcW w:w="1121" w:type="dxa"/>
          </w:tcPr>
          <w:p w:rsidR="00000000" w:rsidRDefault="00000000">
            <w:pPr>
              <w:spacing w:before="80" w:after="80"/>
              <w:jc w:val="center"/>
              <w:rPr>
                <w:sz w:val="20"/>
                <w:szCs w:val="16"/>
              </w:rPr>
            </w:pPr>
            <w:r>
              <w:rPr>
                <w:sz w:val="20"/>
                <w:szCs w:val="16"/>
              </w:rPr>
              <w:t>6</w:t>
            </w:r>
          </w:p>
        </w:tc>
        <w:tc>
          <w:tcPr>
            <w:tcW w:w="1021" w:type="dxa"/>
          </w:tcPr>
          <w:p w:rsidR="00000000" w:rsidRDefault="00000000">
            <w:pPr>
              <w:spacing w:before="80" w:after="80"/>
              <w:jc w:val="center"/>
              <w:rPr>
                <w:sz w:val="20"/>
                <w:szCs w:val="16"/>
              </w:rPr>
            </w:pPr>
            <w:r>
              <w:rPr>
                <w:sz w:val="20"/>
                <w:szCs w:val="16"/>
              </w:rPr>
              <w:t>8</w:t>
            </w:r>
          </w:p>
        </w:tc>
        <w:tc>
          <w:tcPr>
            <w:tcW w:w="1121" w:type="dxa"/>
          </w:tcPr>
          <w:p w:rsidR="00000000" w:rsidRDefault="00000000">
            <w:pPr>
              <w:spacing w:before="80" w:after="80"/>
              <w:jc w:val="center"/>
              <w:rPr>
                <w:sz w:val="20"/>
                <w:szCs w:val="16"/>
              </w:rPr>
            </w:pPr>
            <w:r>
              <w:rPr>
                <w:sz w:val="20"/>
                <w:szCs w:val="16"/>
              </w:rPr>
              <w:t>3</w:t>
            </w:r>
          </w:p>
        </w:tc>
        <w:tc>
          <w:tcPr>
            <w:tcW w:w="1403" w:type="dxa"/>
          </w:tcPr>
          <w:p w:rsidR="00000000" w:rsidRDefault="00000000">
            <w:pPr>
              <w:spacing w:before="80" w:after="80"/>
              <w:jc w:val="center"/>
              <w:rPr>
                <w:sz w:val="20"/>
                <w:szCs w:val="16"/>
              </w:rPr>
            </w:pPr>
            <w:r>
              <w:rPr>
                <w:sz w:val="20"/>
                <w:szCs w:val="16"/>
              </w:rPr>
              <w:t>8</w:t>
            </w:r>
          </w:p>
        </w:tc>
        <w:tc>
          <w:tcPr>
            <w:tcW w:w="972" w:type="dxa"/>
          </w:tcPr>
          <w:p w:rsidR="00000000" w:rsidRDefault="00000000">
            <w:pPr>
              <w:spacing w:before="80" w:after="80"/>
              <w:jc w:val="center"/>
              <w:rPr>
                <w:sz w:val="20"/>
                <w:szCs w:val="16"/>
              </w:rPr>
            </w:pPr>
            <w:r>
              <w:rPr>
                <w:sz w:val="20"/>
                <w:szCs w:val="16"/>
              </w:rPr>
              <w:t>2</w:t>
            </w:r>
          </w:p>
        </w:tc>
      </w:tr>
      <w:tr w:rsidR="00000000">
        <w:tblPrEx>
          <w:tblCellMar>
            <w:top w:w="0" w:type="dxa"/>
            <w:bottom w:w="0" w:type="dxa"/>
          </w:tblCellMar>
        </w:tblPrEx>
        <w:trPr>
          <w:jc w:val="center"/>
        </w:trPr>
        <w:tc>
          <w:tcPr>
            <w:tcW w:w="2701" w:type="dxa"/>
          </w:tcPr>
          <w:p w:rsidR="00000000" w:rsidRDefault="00000000">
            <w:pPr>
              <w:spacing w:before="80" w:after="80"/>
              <w:rPr>
                <w:sz w:val="20"/>
                <w:szCs w:val="16"/>
              </w:rPr>
            </w:pPr>
            <w:r>
              <w:rPr>
                <w:sz w:val="20"/>
                <w:szCs w:val="16"/>
              </w:rPr>
              <w:t>5-9 years</w:t>
            </w:r>
          </w:p>
        </w:tc>
        <w:tc>
          <w:tcPr>
            <w:tcW w:w="1121" w:type="dxa"/>
          </w:tcPr>
          <w:p w:rsidR="00000000" w:rsidRDefault="00000000">
            <w:pPr>
              <w:spacing w:before="80" w:after="80"/>
              <w:jc w:val="center"/>
              <w:rPr>
                <w:sz w:val="20"/>
                <w:szCs w:val="16"/>
              </w:rPr>
            </w:pPr>
            <w:r>
              <w:rPr>
                <w:sz w:val="20"/>
                <w:szCs w:val="16"/>
              </w:rPr>
              <w:t>0</w:t>
            </w:r>
          </w:p>
        </w:tc>
        <w:tc>
          <w:tcPr>
            <w:tcW w:w="1021" w:type="dxa"/>
          </w:tcPr>
          <w:p w:rsidR="00000000" w:rsidRDefault="00000000">
            <w:pPr>
              <w:spacing w:before="80" w:after="80"/>
              <w:jc w:val="center"/>
              <w:rPr>
                <w:sz w:val="20"/>
                <w:szCs w:val="16"/>
              </w:rPr>
            </w:pPr>
            <w:r>
              <w:rPr>
                <w:sz w:val="20"/>
                <w:szCs w:val="16"/>
              </w:rPr>
              <w:t>3</w:t>
            </w:r>
          </w:p>
        </w:tc>
        <w:tc>
          <w:tcPr>
            <w:tcW w:w="1121" w:type="dxa"/>
          </w:tcPr>
          <w:p w:rsidR="00000000" w:rsidRDefault="00000000">
            <w:pPr>
              <w:spacing w:before="80" w:after="80"/>
              <w:jc w:val="center"/>
              <w:rPr>
                <w:sz w:val="20"/>
                <w:szCs w:val="16"/>
              </w:rPr>
            </w:pPr>
            <w:r>
              <w:rPr>
                <w:sz w:val="20"/>
                <w:szCs w:val="16"/>
              </w:rPr>
              <w:t>0</w:t>
            </w:r>
          </w:p>
        </w:tc>
        <w:tc>
          <w:tcPr>
            <w:tcW w:w="1403" w:type="dxa"/>
          </w:tcPr>
          <w:p w:rsidR="00000000" w:rsidRDefault="00000000">
            <w:pPr>
              <w:spacing w:before="80" w:after="80"/>
              <w:jc w:val="center"/>
              <w:rPr>
                <w:sz w:val="20"/>
                <w:szCs w:val="16"/>
              </w:rPr>
            </w:pPr>
            <w:r>
              <w:rPr>
                <w:sz w:val="20"/>
                <w:szCs w:val="16"/>
              </w:rPr>
              <w:t>2</w:t>
            </w:r>
          </w:p>
        </w:tc>
        <w:tc>
          <w:tcPr>
            <w:tcW w:w="972" w:type="dxa"/>
          </w:tcPr>
          <w:p w:rsidR="00000000" w:rsidRDefault="00000000">
            <w:pPr>
              <w:spacing w:before="80" w:after="80"/>
              <w:jc w:val="center"/>
              <w:rPr>
                <w:sz w:val="20"/>
                <w:szCs w:val="16"/>
              </w:rPr>
            </w:pPr>
            <w:r>
              <w:rPr>
                <w:sz w:val="20"/>
                <w:szCs w:val="16"/>
              </w:rPr>
              <w:t>1</w:t>
            </w:r>
          </w:p>
        </w:tc>
      </w:tr>
      <w:tr w:rsidR="00000000">
        <w:tblPrEx>
          <w:tblCellMar>
            <w:top w:w="0" w:type="dxa"/>
            <w:bottom w:w="0" w:type="dxa"/>
          </w:tblCellMar>
        </w:tblPrEx>
        <w:trPr>
          <w:jc w:val="center"/>
        </w:trPr>
        <w:tc>
          <w:tcPr>
            <w:tcW w:w="2701" w:type="dxa"/>
            <w:tcBorders>
              <w:bottom w:val="single" w:sz="4" w:space="0" w:color="auto"/>
            </w:tcBorders>
          </w:tcPr>
          <w:p w:rsidR="00000000" w:rsidRDefault="00000000">
            <w:pPr>
              <w:spacing w:before="80" w:after="80"/>
              <w:rPr>
                <w:sz w:val="20"/>
                <w:szCs w:val="16"/>
              </w:rPr>
            </w:pPr>
            <w:r>
              <w:rPr>
                <w:sz w:val="20"/>
                <w:szCs w:val="16"/>
              </w:rPr>
              <w:t>TOTAL</w:t>
            </w:r>
          </w:p>
        </w:tc>
        <w:tc>
          <w:tcPr>
            <w:tcW w:w="1121" w:type="dxa"/>
            <w:tcBorders>
              <w:bottom w:val="single" w:sz="4" w:space="0" w:color="auto"/>
            </w:tcBorders>
          </w:tcPr>
          <w:p w:rsidR="00000000" w:rsidRDefault="00000000">
            <w:pPr>
              <w:spacing w:before="80" w:after="80"/>
              <w:jc w:val="center"/>
              <w:rPr>
                <w:sz w:val="20"/>
                <w:szCs w:val="16"/>
              </w:rPr>
            </w:pPr>
            <w:r>
              <w:rPr>
                <w:sz w:val="20"/>
                <w:szCs w:val="16"/>
              </w:rPr>
              <w:t>8</w:t>
            </w:r>
          </w:p>
        </w:tc>
        <w:tc>
          <w:tcPr>
            <w:tcW w:w="1021" w:type="dxa"/>
            <w:tcBorders>
              <w:bottom w:val="single" w:sz="4" w:space="0" w:color="auto"/>
            </w:tcBorders>
          </w:tcPr>
          <w:p w:rsidR="00000000" w:rsidRDefault="00000000">
            <w:pPr>
              <w:spacing w:before="80" w:after="80"/>
              <w:jc w:val="center"/>
              <w:rPr>
                <w:sz w:val="20"/>
                <w:szCs w:val="16"/>
              </w:rPr>
            </w:pPr>
            <w:r>
              <w:rPr>
                <w:sz w:val="20"/>
                <w:szCs w:val="16"/>
              </w:rPr>
              <w:t>12</w:t>
            </w:r>
          </w:p>
        </w:tc>
        <w:tc>
          <w:tcPr>
            <w:tcW w:w="1121" w:type="dxa"/>
            <w:tcBorders>
              <w:bottom w:val="single" w:sz="4" w:space="0" w:color="auto"/>
            </w:tcBorders>
          </w:tcPr>
          <w:p w:rsidR="00000000" w:rsidRDefault="00000000">
            <w:pPr>
              <w:spacing w:before="80" w:after="80"/>
              <w:jc w:val="center"/>
              <w:rPr>
                <w:sz w:val="20"/>
                <w:szCs w:val="16"/>
              </w:rPr>
            </w:pPr>
            <w:r>
              <w:rPr>
                <w:sz w:val="20"/>
                <w:szCs w:val="16"/>
              </w:rPr>
              <w:t>3</w:t>
            </w:r>
          </w:p>
        </w:tc>
        <w:tc>
          <w:tcPr>
            <w:tcW w:w="1403" w:type="dxa"/>
            <w:tcBorders>
              <w:bottom w:val="single" w:sz="4" w:space="0" w:color="auto"/>
            </w:tcBorders>
          </w:tcPr>
          <w:p w:rsidR="00000000" w:rsidRDefault="00000000">
            <w:pPr>
              <w:spacing w:before="80" w:after="80"/>
              <w:jc w:val="center"/>
              <w:rPr>
                <w:sz w:val="20"/>
                <w:szCs w:val="16"/>
              </w:rPr>
            </w:pPr>
            <w:r>
              <w:rPr>
                <w:sz w:val="20"/>
                <w:szCs w:val="16"/>
              </w:rPr>
              <w:t>12</w:t>
            </w:r>
          </w:p>
        </w:tc>
        <w:tc>
          <w:tcPr>
            <w:tcW w:w="972" w:type="dxa"/>
            <w:tcBorders>
              <w:bottom w:val="single" w:sz="4" w:space="0" w:color="auto"/>
            </w:tcBorders>
          </w:tcPr>
          <w:p w:rsidR="00000000" w:rsidRDefault="00000000">
            <w:pPr>
              <w:spacing w:before="80" w:after="80"/>
              <w:jc w:val="center"/>
              <w:rPr>
                <w:sz w:val="20"/>
                <w:szCs w:val="16"/>
              </w:rPr>
            </w:pPr>
            <w:r>
              <w:rPr>
                <w:sz w:val="20"/>
                <w:szCs w:val="16"/>
              </w:rPr>
              <w:t>6</w:t>
            </w:r>
          </w:p>
        </w:tc>
      </w:tr>
    </w:tbl>
    <w:p w:rsidR="00000000" w:rsidRDefault="00000000">
      <w:pPr>
        <w:spacing w:beforeLines="40" w:before="96" w:afterLines="40" w:after="96"/>
        <w:ind w:left="567"/>
        <w:rPr>
          <w:sz w:val="20"/>
          <w:szCs w:val="16"/>
        </w:rPr>
      </w:pPr>
      <w:r>
        <w:rPr>
          <w:i/>
          <w:iCs/>
          <w:sz w:val="20"/>
          <w:szCs w:val="16"/>
          <w:lang w:val="es-ES_tradnl"/>
        </w:rPr>
        <w:t xml:space="preserve">Source: </w:t>
      </w:r>
      <w:r>
        <w:rPr>
          <w:sz w:val="20"/>
          <w:szCs w:val="16"/>
          <w:lang w:val="es-ES_tradnl"/>
        </w:rPr>
        <w:t xml:space="preserve">Tuberculosis control programme, </w:t>
      </w:r>
      <w:r>
        <w:rPr>
          <w:sz w:val="20"/>
          <w:szCs w:val="16"/>
        </w:rPr>
        <w:t>MSPyBS.</w:t>
      </w:r>
    </w:p>
    <w:p w:rsidR="00000000" w:rsidRDefault="00000000">
      <w:pPr>
        <w:pStyle w:val="xl46"/>
        <w:keepNext/>
        <w:spacing w:before="0" w:beforeAutospacing="0" w:after="240" w:afterAutospacing="0"/>
        <w:rPr>
          <w:rFonts w:ascii="Times New Roman" w:eastAsia="Times New Roman" w:hAnsi="Times New Roman" w:cs="Times New Roman"/>
          <w:szCs w:val="24"/>
          <w:lang w:val="en-GB" w:eastAsia="en-US"/>
        </w:rPr>
      </w:pPr>
      <w:r>
        <w:rPr>
          <w:rFonts w:ascii="Times New Roman" w:eastAsia="Times New Roman" w:hAnsi="Times New Roman" w:cs="Times New Roman"/>
          <w:szCs w:val="24"/>
          <w:lang w:val="en-GB" w:eastAsia="en-US"/>
        </w:rPr>
        <w:t>Mortality from HIV/AIDS, children under 10 by age group, Paraguay, 2000-2003</w:t>
      </w:r>
    </w:p>
    <w:tbl>
      <w:tblPr>
        <w:tblW w:w="5000" w:type="pct"/>
        <w:jc w:val="center"/>
        <w:tblCellMar>
          <w:left w:w="0" w:type="dxa"/>
          <w:right w:w="0" w:type="dxa"/>
        </w:tblCellMar>
        <w:tblLook w:val="0000" w:firstRow="0" w:lastRow="0" w:firstColumn="0" w:lastColumn="0" w:noHBand="0" w:noVBand="0"/>
      </w:tblPr>
      <w:tblGrid>
        <w:gridCol w:w="1572"/>
        <w:gridCol w:w="1572"/>
        <w:gridCol w:w="1571"/>
        <w:gridCol w:w="1571"/>
        <w:gridCol w:w="1571"/>
        <w:gridCol w:w="1554"/>
        <w:gridCol w:w="18"/>
      </w:tblGrid>
      <w:tr w:rsidR="00000000">
        <w:tblPrEx>
          <w:tblCellMar>
            <w:top w:w="0" w:type="dxa"/>
            <w:bottom w:w="0" w:type="dxa"/>
          </w:tblCellMar>
        </w:tblPrEx>
        <w:trPr>
          <w:gridAfter w:val="1"/>
          <w:wAfter w:w="11" w:type="dxa"/>
          <w:cantSplit/>
          <w:jc w:val="center"/>
        </w:trPr>
        <w:tc>
          <w:tcPr>
            <w:tcW w:w="939" w:type="dxa"/>
            <w:vMerge w:val="restart"/>
            <w:tcBorders>
              <w:top w:val="single" w:sz="4" w:space="0" w:color="auto"/>
              <w:bottom w:val="single" w:sz="4" w:space="0" w:color="auto"/>
            </w:tcBorders>
          </w:tcPr>
          <w:p w:rsidR="00000000" w:rsidRDefault="00000000">
            <w:pPr>
              <w:pStyle w:val="BodyText"/>
              <w:keepNext/>
              <w:spacing w:before="60" w:after="60"/>
              <w:jc w:val="center"/>
              <w:rPr>
                <w:b/>
                <w:bCs/>
                <w:i/>
                <w:iCs/>
                <w:sz w:val="20"/>
                <w:szCs w:val="16"/>
              </w:rPr>
            </w:pPr>
            <w:r>
              <w:rPr>
                <w:b/>
                <w:bCs/>
                <w:i/>
                <w:iCs/>
                <w:sz w:val="20"/>
                <w:szCs w:val="16"/>
              </w:rPr>
              <w:t>Age groups</w:t>
            </w:r>
          </w:p>
        </w:tc>
        <w:tc>
          <w:tcPr>
            <w:tcW w:w="4685" w:type="dxa"/>
            <w:gridSpan w:val="5"/>
            <w:tcBorders>
              <w:top w:val="single" w:sz="4" w:space="0" w:color="auto"/>
              <w:bottom w:val="single" w:sz="4" w:space="0" w:color="auto"/>
            </w:tcBorders>
          </w:tcPr>
          <w:p w:rsidR="00000000" w:rsidRDefault="00000000">
            <w:pPr>
              <w:keepNext/>
              <w:spacing w:before="60" w:after="60"/>
              <w:jc w:val="center"/>
              <w:rPr>
                <w:b/>
                <w:bCs/>
                <w:i/>
                <w:iCs/>
                <w:sz w:val="20"/>
                <w:szCs w:val="16"/>
              </w:rPr>
            </w:pPr>
            <w:r>
              <w:rPr>
                <w:b/>
                <w:bCs/>
                <w:i/>
                <w:iCs/>
                <w:sz w:val="20"/>
                <w:szCs w:val="16"/>
              </w:rPr>
              <w:t>Years</w:t>
            </w:r>
          </w:p>
        </w:tc>
      </w:tr>
      <w:tr w:rsidR="00000000">
        <w:tblPrEx>
          <w:tblCellMar>
            <w:top w:w="0" w:type="dxa"/>
            <w:bottom w:w="0" w:type="dxa"/>
          </w:tblCellMar>
        </w:tblPrEx>
        <w:trPr>
          <w:cantSplit/>
          <w:jc w:val="center"/>
        </w:trPr>
        <w:tc>
          <w:tcPr>
            <w:tcW w:w="939" w:type="dxa"/>
            <w:vMerge/>
            <w:tcBorders>
              <w:bottom w:val="single" w:sz="4" w:space="0" w:color="auto"/>
            </w:tcBorders>
          </w:tcPr>
          <w:p w:rsidR="00000000" w:rsidRDefault="00000000">
            <w:pPr>
              <w:pStyle w:val="BodyText"/>
              <w:keepNext/>
              <w:spacing w:before="60" w:after="60"/>
              <w:jc w:val="center"/>
              <w:rPr>
                <w:b/>
                <w:bCs/>
                <w:i/>
                <w:iCs/>
                <w:sz w:val="20"/>
                <w:szCs w:val="16"/>
              </w:rPr>
            </w:pPr>
          </w:p>
        </w:tc>
        <w:tc>
          <w:tcPr>
            <w:tcW w:w="939" w:type="dxa"/>
            <w:tcBorders>
              <w:bottom w:val="single" w:sz="4" w:space="0" w:color="auto"/>
            </w:tcBorders>
          </w:tcPr>
          <w:p w:rsidR="00000000" w:rsidRDefault="00000000">
            <w:pPr>
              <w:pStyle w:val="BodyText"/>
              <w:keepNext/>
              <w:spacing w:before="60" w:after="60"/>
              <w:jc w:val="center"/>
              <w:rPr>
                <w:b/>
                <w:bCs/>
                <w:i/>
                <w:iCs/>
                <w:sz w:val="20"/>
                <w:szCs w:val="16"/>
              </w:rPr>
            </w:pPr>
            <w:r>
              <w:rPr>
                <w:b/>
                <w:bCs/>
                <w:i/>
                <w:iCs/>
                <w:sz w:val="20"/>
                <w:szCs w:val="16"/>
              </w:rPr>
              <w:t>2000</w:t>
            </w:r>
          </w:p>
        </w:tc>
        <w:tc>
          <w:tcPr>
            <w:tcW w:w="939" w:type="dxa"/>
            <w:tcBorders>
              <w:bottom w:val="single" w:sz="4" w:space="0" w:color="auto"/>
            </w:tcBorders>
          </w:tcPr>
          <w:p w:rsidR="00000000" w:rsidRDefault="00000000">
            <w:pPr>
              <w:pStyle w:val="BodyText"/>
              <w:keepNext/>
              <w:spacing w:before="60" w:after="60"/>
              <w:jc w:val="center"/>
              <w:rPr>
                <w:b/>
                <w:bCs/>
                <w:i/>
                <w:iCs/>
                <w:sz w:val="20"/>
                <w:szCs w:val="16"/>
              </w:rPr>
            </w:pPr>
            <w:r>
              <w:rPr>
                <w:b/>
                <w:bCs/>
                <w:i/>
                <w:iCs/>
                <w:sz w:val="20"/>
                <w:szCs w:val="16"/>
              </w:rPr>
              <w:t>2001</w:t>
            </w:r>
          </w:p>
        </w:tc>
        <w:tc>
          <w:tcPr>
            <w:tcW w:w="939" w:type="dxa"/>
            <w:tcBorders>
              <w:bottom w:val="single" w:sz="4" w:space="0" w:color="auto"/>
            </w:tcBorders>
          </w:tcPr>
          <w:p w:rsidR="00000000" w:rsidRDefault="00000000">
            <w:pPr>
              <w:pStyle w:val="BodyText"/>
              <w:keepNext/>
              <w:spacing w:before="60" w:after="60"/>
              <w:jc w:val="center"/>
              <w:rPr>
                <w:b/>
                <w:bCs/>
                <w:i/>
                <w:iCs/>
                <w:sz w:val="20"/>
                <w:szCs w:val="16"/>
              </w:rPr>
            </w:pPr>
            <w:r>
              <w:rPr>
                <w:b/>
                <w:bCs/>
                <w:i/>
                <w:iCs/>
                <w:sz w:val="20"/>
                <w:szCs w:val="16"/>
              </w:rPr>
              <w:t>2002</w:t>
            </w:r>
          </w:p>
        </w:tc>
        <w:tc>
          <w:tcPr>
            <w:tcW w:w="939" w:type="dxa"/>
            <w:tcBorders>
              <w:bottom w:val="single" w:sz="4" w:space="0" w:color="auto"/>
            </w:tcBorders>
          </w:tcPr>
          <w:p w:rsidR="00000000" w:rsidRDefault="00000000">
            <w:pPr>
              <w:pStyle w:val="BodyText"/>
              <w:keepNext/>
              <w:spacing w:before="60" w:after="60"/>
              <w:jc w:val="center"/>
              <w:rPr>
                <w:b/>
                <w:bCs/>
                <w:i/>
                <w:iCs/>
                <w:sz w:val="20"/>
                <w:szCs w:val="16"/>
              </w:rPr>
            </w:pPr>
            <w:r>
              <w:rPr>
                <w:b/>
                <w:bCs/>
                <w:i/>
                <w:iCs/>
                <w:sz w:val="20"/>
                <w:szCs w:val="16"/>
              </w:rPr>
              <w:t>2003</w:t>
            </w:r>
          </w:p>
        </w:tc>
        <w:tc>
          <w:tcPr>
            <w:tcW w:w="940" w:type="dxa"/>
            <w:gridSpan w:val="2"/>
            <w:tcBorders>
              <w:bottom w:val="single" w:sz="4" w:space="0" w:color="auto"/>
            </w:tcBorders>
          </w:tcPr>
          <w:p w:rsidR="00000000" w:rsidRDefault="00000000">
            <w:pPr>
              <w:pStyle w:val="BodyText"/>
              <w:keepNext/>
              <w:spacing w:before="60" w:after="60"/>
              <w:jc w:val="center"/>
              <w:rPr>
                <w:b/>
                <w:bCs/>
                <w:i/>
                <w:iCs/>
                <w:sz w:val="20"/>
                <w:szCs w:val="16"/>
              </w:rPr>
            </w:pPr>
            <w:r>
              <w:rPr>
                <w:b/>
                <w:bCs/>
                <w:i/>
                <w:iCs/>
                <w:sz w:val="20"/>
                <w:szCs w:val="16"/>
              </w:rPr>
              <w:t>Total</w:t>
            </w:r>
          </w:p>
        </w:tc>
      </w:tr>
      <w:tr w:rsidR="00000000">
        <w:tblPrEx>
          <w:tblCellMar>
            <w:top w:w="0" w:type="dxa"/>
            <w:bottom w:w="0" w:type="dxa"/>
          </w:tblCellMar>
        </w:tblPrEx>
        <w:trPr>
          <w:jc w:val="center"/>
        </w:trPr>
        <w:tc>
          <w:tcPr>
            <w:tcW w:w="939" w:type="dxa"/>
            <w:tcBorders>
              <w:top w:val="single" w:sz="4" w:space="0" w:color="auto"/>
            </w:tcBorders>
          </w:tcPr>
          <w:p w:rsidR="00000000" w:rsidRDefault="00000000">
            <w:pPr>
              <w:pStyle w:val="BodyText"/>
              <w:keepNext/>
              <w:spacing w:before="60" w:after="60"/>
              <w:jc w:val="left"/>
              <w:rPr>
                <w:sz w:val="20"/>
                <w:szCs w:val="16"/>
              </w:rPr>
            </w:pPr>
            <w:r>
              <w:rPr>
                <w:sz w:val="20"/>
                <w:szCs w:val="16"/>
              </w:rPr>
              <w:t>0 – 1 year</w:t>
            </w:r>
          </w:p>
        </w:tc>
        <w:tc>
          <w:tcPr>
            <w:tcW w:w="939" w:type="dxa"/>
            <w:tcBorders>
              <w:top w:val="single" w:sz="4" w:space="0" w:color="auto"/>
            </w:tcBorders>
          </w:tcPr>
          <w:p w:rsidR="00000000" w:rsidRDefault="00000000">
            <w:pPr>
              <w:pStyle w:val="BodyText"/>
              <w:keepNext/>
              <w:spacing w:before="60" w:after="60"/>
              <w:jc w:val="center"/>
              <w:rPr>
                <w:sz w:val="20"/>
                <w:szCs w:val="16"/>
              </w:rPr>
            </w:pPr>
            <w:r>
              <w:rPr>
                <w:sz w:val="20"/>
                <w:szCs w:val="16"/>
              </w:rPr>
              <w:t>2</w:t>
            </w:r>
          </w:p>
        </w:tc>
        <w:tc>
          <w:tcPr>
            <w:tcW w:w="939" w:type="dxa"/>
            <w:tcBorders>
              <w:top w:val="single" w:sz="4" w:space="0" w:color="auto"/>
            </w:tcBorders>
          </w:tcPr>
          <w:p w:rsidR="00000000" w:rsidRDefault="00000000">
            <w:pPr>
              <w:pStyle w:val="BodyText"/>
              <w:keepNext/>
              <w:spacing w:before="60" w:after="60"/>
              <w:jc w:val="center"/>
              <w:rPr>
                <w:sz w:val="20"/>
                <w:szCs w:val="16"/>
              </w:rPr>
            </w:pPr>
            <w:r>
              <w:rPr>
                <w:sz w:val="20"/>
                <w:szCs w:val="16"/>
              </w:rPr>
              <w:t>1</w:t>
            </w:r>
          </w:p>
        </w:tc>
        <w:tc>
          <w:tcPr>
            <w:tcW w:w="939" w:type="dxa"/>
            <w:tcBorders>
              <w:top w:val="single" w:sz="4" w:space="0" w:color="auto"/>
            </w:tcBorders>
          </w:tcPr>
          <w:p w:rsidR="00000000" w:rsidRDefault="00000000">
            <w:pPr>
              <w:pStyle w:val="BodyText"/>
              <w:keepNext/>
              <w:spacing w:before="60" w:after="60"/>
              <w:jc w:val="center"/>
              <w:rPr>
                <w:sz w:val="20"/>
                <w:szCs w:val="16"/>
              </w:rPr>
            </w:pPr>
            <w:r>
              <w:rPr>
                <w:sz w:val="20"/>
                <w:szCs w:val="16"/>
              </w:rPr>
              <w:t>1</w:t>
            </w:r>
          </w:p>
        </w:tc>
        <w:tc>
          <w:tcPr>
            <w:tcW w:w="939" w:type="dxa"/>
            <w:tcBorders>
              <w:top w:val="single" w:sz="4" w:space="0" w:color="auto"/>
            </w:tcBorders>
          </w:tcPr>
          <w:p w:rsidR="00000000" w:rsidRDefault="00000000">
            <w:pPr>
              <w:pStyle w:val="BodyText"/>
              <w:keepNext/>
              <w:spacing w:before="60" w:after="60"/>
              <w:jc w:val="center"/>
              <w:rPr>
                <w:sz w:val="20"/>
                <w:szCs w:val="16"/>
              </w:rPr>
            </w:pPr>
            <w:r>
              <w:rPr>
                <w:sz w:val="20"/>
                <w:szCs w:val="16"/>
              </w:rPr>
              <w:t>1</w:t>
            </w:r>
          </w:p>
        </w:tc>
        <w:tc>
          <w:tcPr>
            <w:tcW w:w="940" w:type="dxa"/>
            <w:gridSpan w:val="2"/>
            <w:tcBorders>
              <w:top w:val="single" w:sz="4" w:space="0" w:color="auto"/>
            </w:tcBorders>
          </w:tcPr>
          <w:p w:rsidR="00000000" w:rsidRDefault="00000000">
            <w:pPr>
              <w:pStyle w:val="BodyText"/>
              <w:keepNext/>
              <w:spacing w:before="60" w:after="60"/>
              <w:jc w:val="center"/>
              <w:rPr>
                <w:sz w:val="20"/>
                <w:szCs w:val="16"/>
              </w:rPr>
            </w:pPr>
            <w:r>
              <w:rPr>
                <w:sz w:val="20"/>
                <w:szCs w:val="16"/>
              </w:rPr>
              <w:t>5</w:t>
            </w:r>
          </w:p>
        </w:tc>
      </w:tr>
      <w:tr w:rsidR="00000000">
        <w:tblPrEx>
          <w:tblCellMar>
            <w:top w:w="0" w:type="dxa"/>
            <w:bottom w:w="0" w:type="dxa"/>
          </w:tblCellMar>
        </w:tblPrEx>
        <w:trPr>
          <w:jc w:val="center"/>
        </w:trPr>
        <w:tc>
          <w:tcPr>
            <w:tcW w:w="939" w:type="dxa"/>
          </w:tcPr>
          <w:p w:rsidR="00000000" w:rsidRDefault="00000000">
            <w:pPr>
              <w:pStyle w:val="BodyText"/>
              <w:keepNext/>
              <w:spacing w:before="60" w:after="60"/>
              <w:jc w:val="left"/>
              <w:rPr>
                <w:sz w:val="20"/>
                <w:szCs w:val="16"/>
              </w:rPr>
            </w:pPr>
            <w:r>
              <w:rPr>
                <w:sz w:val="20"/>
                <w:szCs w:val="16"/>
              </w:rPr>
              <w:t>1 – 4 years</w:t>
            </w:r>
          </w:p>
        </w:tc>
        <w:tc>
          <w:tcPr>
            <w:tcW w:w="939" w:type="dxa"/>
          </w:tcPr>
          <w:p w:rsidR="00000000" w:rsidRDefault="00000000">
            <w:pPr>
              <w:pStyle w:val="BodyText"/>
              <w:keepNext/>
              <w:spacing w:before="60" w:after="60"/>
              <w:jc w:val="center"/>
              <w:rPr>
                <w:sz w:val="20"/>
                <w:szCs w:val="16"/>
              </w:rPr>
            </w:pPr>
            <w:r>
              <w:rPr>
                <w:sz w:val="20"/>
                <w:szCs w:val="16"/>
              </w:rPr>
              <w:t>2</w:t>
            </w:r>
          </w:p>
        </w:tc>
        <w:tc>
          <w:tcPr>
            <w:tcW w:w="939" w:type="dxa"/>
          </w:tcPr>
          <w:p w:rsidR="00000000" w:rsidRDefault="00000000">
            <w:pPr>
              <w:pStyle w:val="BodyText"/>
              <w:keepNext/>
              <w:spacing w:before="60" w:after="60"/>
              <w:jc w:val="center"/>
              <w:rPr>
                <w:sz w:val="20"/>
                <w:szCs w:val="16"/>
              </w:rPr>
            </w:pPr>
            <w:r>
              <w:rPr>
                <w:sz w:val="20"/>
                <w:szCs w:val="16"/>
              </w:rPr>
              <w:t>1</w:t>
            </w:r>
          </w:p>
        </w:tc>
        <w:tc>
          <w:tcPr>
            <w:tcW w:w="939" w:type="dxa"/>
          </w:tcPr>
          <w:p w:rsidR="00000000" w:rsidRDefault="00000000">
            <w:pPr>
              <w:pStyle w:val="BodyText"/>
              <w:keepNext/>
              <w:spacing w:before="60" w:after="60"/>
              <w:jc w:val="center"/>
              <w:rPr>
                <w:sz w:val="20"/>
                <w:szCs w:val="16"/>
              </w:rPr>
            </w:pPr>
            <w:r>
              <w:rPr>
                <w:sz w:val="20"/>
                <w:szCs w:val="16"/>
              </w:rPr>
              <w:t>1</w:t>
            </w:r>
          </w:p>
        </w:tc>
        <w:tc>
          <w:tcPr>
            <w:tcW w:w="939" w:type="dxa"/>
          </w:tcPr>
          <w:p w:rsidR="00000000" w:rsidRDefault="00000000">
            <w:pPr>
              <w:pStyle w:val="BodyText"/>
              <w:keepNext/>
              <w:spacing w:before="60" w:after="60"/>
              <w:jc w:val="center"/>
              <w:rPr>
                <w:sz w:val="20"/>
                <w:szCs w:val="16"/>
              </w:rPr>
            </w:pPr>
            <w:r>
              <w:rPr>
                <w:sz w:val="20"/>
                <w:szCs w:val="16"/>
              </w:rPr>
              <w:t>1</w:t>
            </w:r>
          </w:p>
        </w:tc>
        <w:tc>
          <w:tcPr>
            <w:tcW w:w="940" w:type="dxa"/>
            <w:gridSpan w:val="2"/>
          </w:tcPr>
          <w:p w:rsidR="00000000" w:rsidRDefault="00000000">
            <w:pPr>
              <w:pStyle w:val="BodyText"/>
              <w:keepNext/>
              <w:spacing w:before="60" w:after="60"/>
              <w:jc w:val="center"/>
              <w:rPr>
                <w:sz w:val="20"/>
                <w:szCs w:val="16"/>
              </w:rPr>
            </w:pPr>
            <w:r>
              <w:rPr>
                <w:sz w:val="20"/>
                <w:szCs w:val="16"/>
              </w:rPr>
              <w:t>5</w:t>
            </w:r>
          </w:p>
        </w:tc>
      </w:tr>
      <w:tr w:rsidR="00000000">
        <w:tblPrEx>
          <w:tblCellMar>
            <w:top w:w="0" w:type="dxa"/>
            <w:bottom w:w="0" w:type="dxa"/>
          </w:tblCellMar>
        </w:tblPrEx>
        <w:trPr>
          <w:jc w:val="center"/>
        </w:trPr>
        <w:tc>
          <w:tcPr>
            <w:tcW w:w="939" w:type="dxa"/>
          </w:tcPr>
          <w:p w:rsidR="00000000" w:rsidRDefault="00000000">
            <w:pPr>
              <w:pStyle w:val="BodyText"/>
              <w:keepNext/>
              <w:spacing w:before="60" w:after="60"/>
              <w:jc w:val="left"/>
              <w:rPr>
                <w:sz w:val="20"/>
                <w:szCs w:val="16"/>
              </w:rPr>
            </w:pPr>
            <w:r>
              <w:rPr>
                <w:sz w:val="20"/>
                <w:szCs w:val="16"/>
              </w:rPr>
              <w:t>5 – 9 years</w:t>
            </w:r>
          </w:p>
        </w:tc>
        <w:tc>
          <w:tcPr>
            <w:tcW w:w="939" w:type="dxa"/>
          </w:tcPr>
          <w:p w:rsidR="00000000" w:rsidRDefault="00000000">
            <w:pPr>
              <w:pStyle w:val="BodyText"/>
              <w:keepNext/>
              <w:spacing w:before="60" w:after="60"/>
              <w:jc w:val="center"/>
              <w:rPr>
                <w:sz w:val="20"/>
                <w:szCs w:val="16"/>
              </w:rPr>
            </w:pPr>
            <w:r>
              <w:rPr>
                <w:sz w:val="20"/>
                <w:szCs w:val="16"/>
              </w:rPr>
              <w:t>0</w:t>
            </w:r>
          </w:p>
        </w:tc>
        <w:tc>
          <w:tcPr>
            <w:tcW w:w="939" w:type="dxa"/>
          </w:tcPr>
          <w:p w:rsidR="00000000" w:rsidRDefault="00000000">
            <w:pPr>
              <w:pStyle w:val="BodyText"/>
              <w:keepNext/>
              <w:spacing w:before="60" w:after="60"/>
              <w:jc w:val="center"/>
              <w:rPr>
                <w:sz w:val="20"/>
                <w:szCs w:val="16"/>
              </w:rPr>
            </w:pPr>
            <w:r>
              <w:rPr>
                <w:sz w:val="20"/>
                <w:szCs w:val="16"/>
              </w:rPr>
              <w:t>1</w:t>
            </w:r>
          </w:p>
        </w:tc>
        <w:tc>
          <w:tcPr>
            <w:tcW w:w="939" w:type="dxa"/>
          </w:tcPr>
          <w:p w:rsidR="00000000" w:rsidRDefault="00000000">
            <w:pPr>
              <w:pStyle w:val="BodyText"/>
              <w:keepNext/>
              <w:spacing w:before="60" w:after="60"/>
              <w:jc w:val="center"/>
              <w:rPr>
                <w:sz w:val="20"/>
                <w:szCs w:val="16"/>
              </w:rPr>
            </w:pPr>
            <w:r>
              <w:rPr>
                <w:sz w:val="20"/>
                <w:szCs w:val="16"/>
              </w:rPr>
              <w:t>1</w:t>
            </w:r>
          </w:p>
        </w:tc>
        <w:tc>
          <w:tcPr>
            <w:tcW w:w="939" w:type="dxa"/>
          </w:tcPr>
          <w:p w:rsidR="00000000" w:rsidRDefault="00000000">
            <w:pPr>
              <w:pStyle w:val="BodyText"/>
              <w:keepNext/>
              <w:spacing w:before="60" w:after="60"/>
              <w:jc w:val="center"/>
              <w:rPr>
                <w:sz w:val="20"/>
                <w:szCs w:val="16"/>
              </w:rPr>
            </w:pPr>
            <w:r>
              <w:rPr>
                <w:sz w:val="20"/>
                <w:szCs w:val="16"/>
              </w:rPr>
              <w:t>3</w:t>
            </w:r>
          </w:p>
        </w:tc>
        <w:tc>
          <w:tcPr>
            <w:tcW w:w="940" w:type="dxa"/>
            <w:gridSpan w:val="2"/>
          </w:tcPr>
          <w:p w:rsidR="00000000" w:rsidRDefault="00000000">
            <w:pPr>
              <w:pStyle w:val="BodyText"/>
              <w:keepNext/>
              <w:spacing w:before="60" w:after="60"/>
              <w:jc w:val="center"/>
              <w:rPr>
                <w:sz w:val="20"/>
                <w:szCs w:val="16"/>
              </w:rPr>
            </w:pPr>
            <w:r>
              <w:rPr>
                <w:sz w:val="20"/>
                <w:szCs w:val="16"/>
              </w:rPr>
              <w:t>5</w:t>
            </w:r>
          </w:p>
        </w:tc>
      </w:tr>
      <w:tr w:rsidR="00000000">
        <w:tblPrEx>
          <w:tblCellMar>
            <w:top w:w="0" w:type="dxa"/>
            <w:bottom w:w="0" w:type="dxa"/>
          </w:tblCellMar>
        </w:tblPrEx>
        <w:trPr>
          <w:jc w:val="center"/>
        </w:trPr>
        <w:tc>
          <w:tcPr>
            <w:tcW w:w="939" w:type="dxa"/>
          </w:tcPr>
          <w:p w:rsidR="00000000" w:rsidRDefault="00000000">
            <w:pPr>
              <w:pStyle w:val="BodyText"/>
              <w:keepNext/>
              <w:spacing w:before="60" w:after="60"/>
              <w:jc w:val="left"/>
              <w:rPr>
                <w:sz w:val="20"/>
                <w:szCs w:val="16"/>
              </w:rPr>
            </w:pPr>
            <w:r>
              <w:rPr>
                <w:sz w:val="20"/>
                <w:szCs w:val="16"/>
              </w:rPr>
              <w:t>Not known</w:t>
            </w:r>
          </w:p>
        </w:tc>
        <w:tc>
          <w:tcPr>
            <w:tcW w:w="939" w:type="dxa"/>
          </w:tcPr>
          <w:p w:rsidR="00000000" w:rsidRDefault="00000000">
            <w:pPr>
              <w:pStyle w:val="BodyText"/>
              <w:keepNext/>
              <w:spacing w:before="60" w:after="60"/>
              <w:jc w:val="center"/>
              <w:rPr>
                <w:sz w:val="20"/>
                <w:szCs w:val="16"/>
              </w:rPr>
            </w:pPr>
            <w:r>
              <w:rPr>
                <w:sz w:val="20"/>
                <w:szCs w:val="16"/>
              </w:rPr>
              <w:t>0</w:t>
            </w:r>
          </w:p>
        </w:tc>
        <w:tc>
          <w:tcPr>
            <w:tcW w:w="939" w:type="dxa"/>
          </w:tcPr>
          <w:p w:rsidR="00000000" w:rsidRDefault="00000000">
            <w:pPr>
              <w:pStyle w:val="BodyText"/>
              <w:keepNext/>
              <w:spacing w:before="60" w:after="60"/>
              <w:jc w:val="center"/>
              <w:rPr>
                <w:sz w:val="20"/>
                <w:szCs w:val="16"/>
              </w:rPr>
            </w:pPr>
            <w:r>
              <w:rPr>
                <w:sz w:val="20"/>
                <w:szCs w:val="16"/>
              </w:rPr>
              <w:t>0</w:t>
            </w:r>
          </w:p>
        </w:tc>
        <w:tc>
          <w:tcPr>
            <w:tcW w:w="939" w:type="dxa"/>
          </w:tcPr>
          <w:p w:rsidR="00000000" w:rsidRDefault="00000000">
            <w:pPr>
              <w:pStyle w:val="BodyText"/>
              <w:keepNext/>
              <w:spacing w:before="60" w:after="60"/>
              <w:jc w:val="center"/>
              <w:rPr>
                <w:sz w:val="20"/>
                <w:szCs w:val="16"/>
              </w:rPr>
            </w:pPr>
            <w:r>
              <w:rPr>
                <w:sz w:val="20"/>
                <w:szCs w:val="16"/>
              </w:rPr>
              <w:t>0</w:t>
            </w:r>
          </w:p>
        </w:tc>
        <w:tc>
          <w:tcPr>
            <w:tcW w:w="939" w:type="dxa"/>
          </w:tcPr>
          <w:p w:rsidR="00000000" w:rsidRDefault="00000000">
            <w:pPr>
              <w:pStyle w:val="BodyText"/>
              <w:keepNext/>
              <w:spacing w:before="60" w:after="60"/>
              <w:jc w:val="center"/>
              <w:rPr>
                <w:sz w:val="20"/>
                <w:szCs w:val="16"/>
              </w:rPr>
            </w:pPr>
            <w:r>
              <w:rPr>
                <w:sz w:val="20"/>
                <w:szCs w:val="16"/>
              </w:rPr>
              <w:t>1</w:t>
            </w:r>
          </w:p>
        </w:tc>
        <w:tc>
          <w:tcPr>
            <w:tcW w:w="940" w:type="dxa"/>
            <w:gridSpan w:val="2"/>
          </w:tcPr>
          <w:p w:rsidR="00000000" w:rsidRDefault="00000000">
            <w:pPr>
              <w:pStyle w:val="BodyText"/>
              <w:keepNext/>
              <w:spacing w:before="60" w:after="60"/>
              <w:jc w:val="center"/>
              <w:rPr>
                <w:sz w:val="20"/>
                <w:szCs w:val="16"/>
              </w:rPr>
            </w:pPr>
            <w:r>
              <w:rPr>
                <w:sz w:val="20"/>
                <w:szCs w:val="16"/>
              </w:rPr>
              <w:t>1</w:t>
            </w:r>
          </w:p>
        </w:tc>
      </w:tr>
      <w:tr w:rsidR="00000000">
        <w:tblPrEx>
          <w:tblCellMar>
            <w:top w:w="0" w:type="dxa"/>
            <w:bottom w:w="0" w:type="dxa"/>
          </w:tblCellMar>
        </w:tblPrEx>
        <w:trPr>
          <w:jc w:val="center"/>
        </w:trPr>
        <w:tc>
          <w:tcPr>
            <w:tcW w:w="939" w:type="dxa"/>
            <w:tcBorders>
              <w:bottom w:val="single" w:sz="4" w:space="0" w:color="auto"/>
            </w:tcBorders>
          </w:tcPr>
          <w:p w:rsidR="00000000" w:rsidRDefault="00000000">
            <w:pPr>
              <w:pStyle w:val="BodyText"/>
              <w:keepNext/>
              <w:spacing w:before="60" w:after="60"/>
              <w:jc w:val="left"/>
              <w:rPr>
                <w:sz w:val="20"/>
                <w:szCs w:val="16"/>
              </w:rPr>
            </w:pPr>
            <w:r>
              <w:rPr>
                <w:sz w:val="20"/>
                <w:szCs w:val="16"/>
              </w:rPr>
              <w:t>TOTAL</w:t>
            </w:r>
          </w:p>
        </w:tc>
        <w:tc>
          <w:tcPr>
            <w:tcW w:w="939" w:type="dxa"/>
            <w:tcBorders>
              <w:bottom w:val="single" w:sz="4" w:space="0" w:color="auto"/>
            </w:tcBorders>
          </w:tcPr>
          <w:p w:rsidR="00000000" w:rsidRDefault="00000000">
            <w:pPr>
              <w:pStyle w:val="BodyText"/>
              <w:keepNext/>
              <w:spacing w:before="60" w:after="60"/>
              <w:jc w:val="center"/>
              <w:rPr>
                <w:sz w:val="20"/>
                <w:szCs w:val="16"/>
              </w:rPr>
            </w:pPr>
            <w:r>
              <w:rPr>
                <w:sz w:val="20"/>
                <w:szCs w:val="16"/>
              </w:rPr>
              <w:t>4</w:t>
            </w:r>
          </w:p>
        </w:tc>
        <w:tc>
          <w:tcPr>
            <w:tcW w:w="939" w:type="dxa"/>
            <w:tcBorders>
              <w:bottom w:val="single" w:sz="4" w:space="0" w:color="auto"/>
            </w:tcBorders>
          </w:tcPr>
          <w:p w:rsidR="00000000" w:rsidRDefault="00000000">
            <w:pPr>
              <w:pStyle w:val="BodyText"/>
              <w:keepNext/>
              <w:spacing w:before="60" w:after="60"/>
              <w:jc w:val="center"/>
              <w:rPr>
                <w:sz w:val="20"/>
                <w:szCs w:val="16"/>
              </w:rPr>
            </w:pPr>
            <w:r>
              <w:rPr>
                <w:sz w:val="20"/>
                <w:szCs w:val="16"/>
              </w:rPr>
              <w:t>3</w:t>
            </w:r>
          </w:p>
        </w:tc>
        <w:tc>
          <w:tcPr>
            <w:tcW w:w="939" w:type="dxa"/>
            <w:tcBorders>
              <w:bottom w:val="single" w:sz="4" w:space="0" w:color="auto"/>
            </w:tcBorders>
          </w:tcPr>
          <w:p w:rsidR="00000000" w:rsidRDefault="00000000">
            <w:pPr>
              <w:pStyle w:val="BodyText"/>
              <w:keepNext/>
              <w:spacing w:before="60" w:after="60"/>
              <w:jc w:val="center"/>
              <w:rPr>
                <w:sz w:val="20"/>
                <w:szCs w:val="16"/>
              </w:rPr>
            </w:pPr>
            <w:r>
              <w:rPr>
                <w:sz w:val="20"/>
                <w:szCs w:val="16"/>
              </w:rPr>
              <w:t>3</w:t>
            </w:r>
          </w:p>
        </w:tc>
        <w:tc>
          <w:tcPr>
            <w:tcW w:w="939" w:type="dxa"/>
            <w:tcBorders>
              <w:bottom w:val="single" w:sz="4" w:space="0" w:color="auto"/>
            </w:tcBorders>
          </w:tcPr>
          <w:p w:rsidR="00000000" w:rsidRDefault="00000000">
            <w:pPr>
              <w:pStyle w:val="BodyText"/>
              <w:keepNext/>
              <w:spacing w:before="60" w:after="60"/>
              <w:jc w:val="center"/>
              <w:rPr>
                <w:sz w:val="20"/>
                <w:szCs w:val="16"/>
              </w:rPr>
            </w:pPr>
            <w:r>
              <w:rPr>
                <w:sz w:val="20"/>
                <w:szCs w:val="16"/>
              </w:rPr>
              <w:t>6</w:t>
            </w:r>
          </w:p>
        </w:tc>
        <w:tc>
          <w:tcPr>
            <w:tcW w:w="940" w:type="dxa"/>
            <w:gridSpan w:val="2"/>
            <w:tcBorders>
              <w:bottom w:val="single" w:sz="4" w:space="0" w:color="auto"/>
            </w:tcBorders>
          </w:tcPr>
          <w:p w:rsidR="00000000" w:rsidRDefault="00000000">
            <w:pPr>
              <w:pStyle w:val="BodyText"/>
              <w:keepNext/>
              <w:spacing w:before="60" w:after="60"/>
              <w:jc w:val="center"/>
              <w:rPr>
                <w:sz w:val="20"/>
                <w:szCs w:val="16"/>
              </w:rPr>
            </w:pPr>
            <w:r>
              <w:rPr>
                <w:sz w:val="20"/>
                <w:szCs w:val="16"/>
              </w:rPr>
              <w:t>16</w:t>
            </w:r>
          </w:p>
        </w:tc>
      </w:tr>
    </w:tbl>
    <w:p w:rsidR="00000000" w:rsidRDefault="00000000">
      <w:pPr>
        <w:pStyle w:val="Header"/>
        <w:keepNext/>
        <w:widowControl w:val="0"/>
        <w:tabs>
          <w:tab w:val="clear" w:pos="4320"/>
          <w:tab w:val="clear" w:pos="8640"/>
        </w:tabs>
        <w:spacing w:before="120" w:after="240"/>
        <w:ind w:left="567"/>
        <w:rPr>
          <w:bCs/>
          <w:sz w:val="20"/>
        </w:rPr>
      </w:pPr>
      <w:r>
        <w:rPr>
          <w:bCs/>
          <w:i/>
          <w:iCs/>
          <w:sz w:val="20"/>
        </w:rPr>
        <w:t xml:space="preserve">Source: </w:t>
      </w:r>
      <w:r>
        <w:rPr>
          <w:bCs/>
          <w:sz w:val="20"/>
        </w:rPr>
        <w:t>Epidemiological Surveillance Department, HIV/AIDS Control Programme, MSPyBS</w:t>
      </w:r>
    </w:p>
    <w:p w:rsidR="00000000" w:rsidRDefault="00000000">
      <w:pPr>
        <w:keepNext/>
        <w:spacing w:after="240"/>
      </w:pPr>
      <w:r>
        <w:rPr>
          <w:b/>
        </w:rPr>
        <w:t>2.2</w:t>
      </w:r>
      <w:r>
        <w:tab/>
      </w:r>
      <w:r>
        <w:rPr>
          <w:b/>
        </w:rPr>
        <w:t>Mortality owing to child abuse</w:t>
      </w:r>
    </w:p>
    <w:p w:rsidR="00000000" w:rsidRDefault="00000000">
      <w:pPr>
        <w:spacing w:after="240"/>
      </w:pPr>
      <w:r>
        <w:t>22.</w:t>
      </w:r>
      <w:r>
        <w:tab/>
        <w:t xml:space="preserve">The Ministry’s child-abuse records show 12 violent deaths from child abuse in the past five years, 10 of them of children under one year of age. </w:t>
      </w:r>
    </w:p>
    <w:p w:rsidR="00000000" w:rsidRDefault="00000000">
      <w:pPr>
        <w:pStyle w:val="xl46"/>
        <w:spacing w:before="0" w:beforeAutospacing="0" w:after="240" w:afterAutospacing="0"/>
        <w:rPr>
          <w:rFonts w:ascii="Times New Roman" w:eastAsia="Times New Roman" w:hAnsi="Times New Roman" w:cs="Times New Roman"/>
          <w:bCs w:val="0"/>
          <w:szCs w:val="18"/>
          <w:lang w:val="en-GB" w:eastAsia="en-US"/>
        </w:rPr>
      </w:pPr>
      <w:r>
        <w:rPr>
          <w:rFonts w:ascii="Times New Roman" w:eastAsia="Times New Roman" w:hAnsi="Times New Roman" w:cs="Times New Roman"/>
          <w:bCs w:val="0"/>
          <w:szCs w:val="18"/>
          <w:lang w:val="en-GB" w:eastAsia="en-US"/>
        </w:rPr>
        <w:t>Mortality from violence against and abuse of children under 10, Paraguay, 1999-2003</w:t>
      </w:r>
    </w:p>
    <w:tbl>
      <w:tblPr>
        <w:tblW w:w="2500" w:type="pct"/>
        <w:jc w:val="center"/>
        <w:tblCellMar>
          <w:left w:w="0" w:type="dxa"/>
          <w:right w:w="0" w:type="dxa"/>
        </w:tblCellMar>
        <w:tblLook w:val="0000" w:firstRow="0" w:lastRow="0" w:firstColumn="0" w:lastColumn="0" w:noHBand="0" w:noVBand="0"/>
      </w:tblPr>
      <w:tblGrid>
        <w:gridCol w:w="1408"/>
        <w:gridCol w:w="3307"/>
      </w:tblGrid>
      <w:tr w:rsidR="00000000">
        <w:tblPrEx>
          <w:tblCellMar>
            <w:top w:w="0" w:type="dxa"/>
            <w:bottom w:w="0" w:type="dxa"/>
          </w:tblCellMar>
        </w:tblPrEx>
        <w:trPr>
          <w:jc w:val="center"/>
        </w:trPr>
        <w:tc>
          <w:tcPr>
            <w:tcW w:w="1440" w:type="dxa"/>
            <w:tcBorders>
              <w:top w:val="single" w:sz="4" w:space="0" w:color="auto"/>
              <w:bottom w:val="single" w:sz="4" w:space="0" w:color="auto"/>
            </w:tcBorders>
          </w:tcPr>
          <w:p w:rsidR="00000000" w:rsidRDefault="00000000">
            <w:pPr>
              <w:spacing w:before="40" w:after="40"/>
              <w:jc w:val="center"/>
              <w:rPr>
                <w:b/>
                <w:bCs/>
                <w:i/>
                <w:iCs/>
                <w:sz w:val="20"/>
                <w:szCs w:val="16"/>
              </w:rPr>
            </w:pPr>
            <w:r>
              <w:rPr>
                <w:b/>
                <w:bCs/>
                <w:i/>
                <w:iCs/>
                <w:sz w:val="20"/>
                <w:szCs w:val="16"/>
              </w:rPr>
              <w:t>Years</w:t>
            </w:r>
          </w:p>
        </w:tc>
        <w:tc>
          <w:tcPr>
            <w:tcW w:w="3420" w:type="dxa"/>
            <w:tcBorders>
              <w:top w:val="single" w:sz="4" w:space="0" w:color="auto"/>
              <w:bottom w:val="single" w:sz="4" w:space="0" w:color="auto"/>
            </w:tcBorders>
          </w:tcPr>
          <w:p w:rsidR="00000000" w:rsidRDefault="00000000">
            <w:pPr>
              <w:spacing w:before="40" w:after="40"/>
              <w:jc w:val="center"/>
              <w:rPr>
                <w:b/>
                <w:bCs/>
                <w:i/>
                <w:iCs/>
                <w:sz w:val="20"/>
                <w:szCs w:val="16"/>
              </w:rPr>
            </w:pPr>
            <w:r>
              <w:rPr>
                <w:b/>
                <w:bCs/>
                <w:i/>
                <w:iCs/>
                <w:sz w:val="20"/>
                <w:szCs w:val="16"/>
              </w:rPr>
              <w:t>Number of  deaths</w:t>
            </w:r>
          </w:p>
        </w:tc>
      </w:tr>
      <w:tr w:rsidR="00000000">
        <w:tblPrEx>
          <w:tblCellMar>
            <w:top w:w="0" w:type="dxa"/>
            <w:bottom w:w="0" w:type="dxa"/>
          </w:tblCellMar>
        </w:tblPrEx>
        <w:trPr>
          <w:jc w:val="center"/>
        </w:trPr>
        <w:tc>
          <w:tcPr>
            <w:tcW w:w="1440" w:type="dxa"/>
            <w:tcBorders>
              <w:top w:val="single" w:sz="4" w:space="0" w:color="auto"/>
            </w:tcBorders>
          </w:tcPr>
          <w:p w:rsidR="00000000" w:rsidRDefault="00000000">
            <w:pPr>
              <w:pStyle w:val="FootnoteText"/>
              <w:spacing w:before="40" w:after="40"/>
              <w:jc w:val="center"/>
              <w:rPr>
                <w:szCs w:val="16"/>
              </w:rPr>
            </w:pPr>
            <w:r>
              <w:rPr>
                <w:szCs w:val="16"/>
              </w:rPr>
              <w:t>1999</w:t>
            </w:r>
          </w:p>
        </w:tc>
        <w:tc>
          <w:tcPr>
            <w:tcW w:w="3420" w:type="dxa"/>
            <w:tcBorders>
              <w:top w:val="single" w:sz="4" w:space="0" w:color="auto"/>
            </w:tcBorders>
          </w:tcPr>
          <w:p w:rsidR="00000000" w:rsidRDefault="00000000">
            <w:pPr>
              <w:spacing w:before="40" w:after="40"/>
              <w:jc w:val="center"/>
              <w:rPr>
                <w:sz w:val="20"/>
                <w:szCs w:val="16"/>
              </w:rPr>
            </w:pPr>
            <w:r>
              <w:rPr>
                <w:sz w:val="20"/>
                <w:szCs w:val="16"/>
              </w:rPr>
              <w:t>1</w:t>
            </w:r>
          </w:p>
        </w:tc>
      </w:tr>
      <w:tr w:rsidR="00000000">
        <w:tblPrEx>
          <w:tblCellMar>
            <w:top w:w="0" w:type="dxa"/>
            <w:bottom w:w="0" w:type="dxa"/>
          </w:tblCellMar>
        </w:tblPrEx>
        <w:trPr>
          <w:jc w:val="center"/>
        </w:trPr>
        <w:tc>
          <w:tcPr>
            <w:tcW w:w="1440" w:type="dxa"/>
          </w:tcPr>
          <w:p w:rsidR="00000000" w:rsidRDefault="00000000">
            <w:pPr>
              <w:spacing w:before="40" w:after="40"/>
              <w:jc w:val="center"/>
              <w:rPr>
                <w:sz w:val="20"/>
                <w:szCs w:val="16"/>
              </w:rPr>
            </w:pPr>
            <w:r>
              <w:rPr>
                <w:sz w:val="20"/>
                <w:szCs w:val="16"/>
              </w:rPr>
              <w:t>2000</w:t>
            </w:r>
          </w:p>
        </w:tc>
        <w:tc>
          <w:tcPr>
            <w:tcW w:w="3420" w:type="dxa"/>
          </w:tcPr>
          <w:p w:rsidR="00000000" w:rsidRDefault="00000000">
            <w:pPr>
              <w:spacing w:before="40" w:after="40"/>
              <w:jc w:val="center"/>
              <w:rPr>
                <w:sz w:val="20"/>
                <w:szCs w:val="16"/>
              </w:rPr>
            </w:pPr>
            <w:r>
              <w:rPr>
                <w:sz w:val="20"/>
                <w:szCs w:val="16"/>
              </w:rPr>
              <w:t>2</w:t>
            </w:r>
          </w:p>
        </w:tc>
      </w:tr>
      <w:tr w:rsidR="00000000">
        <w:tblPrEx>
          <w:tblCellMar>
            <w:top w:w="0" w:type="dxa"/>
            <w:bottom w:w="0" w:type="dxa"/>
          </w:tblCellMar>
        </w:tblPrEx>
        <w:trPr>
          <w:jc w:val="center"/>
        </w:trPr>
        <w:tc>
          <w:tcPr>
            <w:tcW w:w="1440" w:type="dxa"/>
          </w:tcPr>
          <w:p w:rsidR="00000000" w:rsidRDefault="00000000">
            <w:pPr>
              <w:spacing w:before="40" w:after="40"/>
              <w:jc w:val="center"/>
              <w:rPr>
                <w:sz w:val="20"/>
                <w:szCs w:val="16"/>
              </w:rPr>
            </w:pPr>
            <w:r>
              <w:rPr>
                <w:sz w:val="20"/>
                <w:szCs w:val="16"/>
              </w:rPr>
              <w:t>2001</w:t>
            </w:r>
          </w:p>
        </w:tc>
        <w:tc>
          <w:tcPr>
            <w:tcW w:w="3420" w:type="dxa"/>
          </w:tcPr>
          <w:p w:rsidR="00000000" w:rsidRDefault="00000000">
            <w:pPr>
              <w:spacing w:before="40" w:after="40"/>
              <w:jc w:val="center"/>
              <w:rPr>
                <w:sz w:val="20"/>
                <w:szCs w:val="16"/>
              </w:rPr>
            </w:pPr>
            <w:r>
              <w:rPr>
                <w:sz w:val="20"/>
                <w:szCs w:val="16"/>
              </w:rPr>
              <w:t>4</w:t>
            </w:r>
          </w:p>
        </w:tc>
      </w:tr>
      <w:tr w:rsidR="00000000">
        <w:tblPrEx>
          <w:tblCellMar>
            <w:top w:w="0" w:type="dxa"/>
            <w:bottom w:w="0" w:type="dxa"/>
          </w:tblCellMar>
        </w:tblPrEx>
        <w:trPr>
          <w:jc w:val="center"/>
        </w:trPr>
        <w:tc>
          <w:tcPr>
            <w:tcW w:w="1440" w:type="dxa"/>
          </w:tcPr>
          <w:p w:rsidR="00000000" w:rsidRDefault="00000000">
            <w:pPr>
              <w:spacing w:before="40" w:after="40"/>
              <w:jc w:val="center"/>
              <w:rPr>
                <w:sz w:val="20"/>
                <w:szCs w:val="16"/>
              </w:rPr>
            </w:pPr>
            <w:r>
              <w:rPr>
                <w:sz w:val="20"/>
                <w:szCs w:val="16"/>
              </w:rPr>
              <w:t>2002</w:t>
            </w:r>
          </w:p>
        </w:tc>
        <w:tc>
          <w:tcPr>
            <w:tcW w:w="3420" w:type="dxa"/>
          </w:tcPr>
          <w:p w:rsidR="00000000" w:rsidRDefault="00000000">
            <w:pPr>
              <w:spacing w:before="40" w:after="40"/>
              <w:jc w:val="center"/>
              <w:rPr>
                <w:sz w:val="20"/>
                <w:szCs w:val="16"/>
              </w:rPr>
            </w:pPr>
            <w:r>
              <w:rPr>
                <w:sz w:val="20"/>
                <w:szCs w:val="16"/>
              </w:rPr>
              <w:t>0</w:t>
            </w:r>
          </w:p>
        </w:tc>
      </w:tr>
      <w:tr w:rsidR="00000000">
        <w:tblPrEx>
          <w:tblCellMar>
            <w:top w:w="0" w:type="dxa"/>
            <w:bottom w:w="0" w:type="dxa"/>
          </w:tblCellMar>
        </w:tblPrEx>
        <w:trPr>
          <w:jc w:val="center"/>
        </w:trPr>
        <w:tc>
          <w:tcPr>
            <w:tcW w:w="1440" w:type="dxa"/>
          </w:tcPr>
          <w:p w:rsidR="00000000" w:rsidRDefault="00000000">
            <w:pPr>
              <w:spacing w:before="40" w:after="40"/>
              <w:jc w:val="center"/>
              <w:rPr>
                <w:sz w:val="20"/>
                <w:szCs w:val="16"/>
              </w:rPr>
            </w:pPr>
            <w:r>
              <w:rPr>
                <w:sz w:val="20"/>
                <w:szCs w:val="16"/>
              </w:rPr>
              <w:t>2003</w:t>
            </w:r>
          </w:p>
        </w:tc>
        <w:tc>
          <w:tcPr>
            <w:tcW w:w="3420" w:type="dxa"/>
          </w:tcPr>
          <w:p w:rsidR="00000000" w:rsidRDefault="00000000">
            <w:pPr>
              <w:spacing w:before="40" w:after="40"/>
              <w:jc w:val="center"/>
              <w:rPr>
                <w:sz w:val="20"/>
                <w:szCs w:val="16"/>
              </w:rPr>
            </w:pPr>
            <w:r>
              <w:rPr>
                <w:sz w:val="20"/>
                <w:szCs w:val="16"/>
              </w:rPr>
              <w:t>5</w:t>
            </w:r>
          </w:p>
        </w:tc>
      </w:tr>
      <w:tr w:rsidR="00000000">
        <w:tblPrEx>
          <w:tblCellMar>
            <w:top w:w="0" w:type="dxa"/>
            <w:bottom w:w="0" w:type="dxa"/>
          </w:tblCellMar>
        </w:tblPrEx>
        <w:trPr>
          <w:jc w:val="center"/>
        </w:trPr>
        <w:tc>
          <w:tcPr>
            <w:tcW w:w="1440" w:type="dxa"/>
            <w:tcBorders>
              <w:bottom w:val="single" w:sz="4" w:space="0" w:color="auto"/>
            </w:tcBorders>
          </w:tcPr>
          <w:p w:rsidR="00000000" w:rsidRDefault="00000000">
            <w:pPr>
              <w:spacing w:before="40" w:after="40"/>
              <w:jc w:val="center"/>
              <w:rPr>
                <w:sz w:val="20"/>
                <w:szCs w:val="16"/>
              </w:rPr>
            </w:pPr>
            <w:r>
              <w:rPr>
                <w:sz w:val="20"/>
                <w:szCs w:val="16"/>
              </w:rPr>
              <w:t>TOTAL</w:t>
            </w:r>
          </w:p>
        </w:tc>
        <w:tc>
          <w:tcPr>
            <w:tcW w:w="3420" w:type="dxa"/>
            <w:tcBorders>
              <w:bottom w:val="single" w:sz="4" w:space="0" w:color="auto"/>
            </w:tcBorders>
          </w:tcPr>
          <w:p w:rsidR="00000000" w:rsidRDefault="00000000">
            <w:pPr>
              <w:spacing w:before="40" w:after="40"/>
              <w:jc w:val="center"/>
              <w:rPr>
                <w:sz w:val="20"/>
                <w:szCs w:val="16"/>
              </w:rPr>
            </w:pPr>
            <w:r>
              <w:rPr>
                <w:sz w:val="20"/>
                <w:szCs w:val="16"/>
              </w:rPr>
              <w:t>12</w:t>
            </w:r>
          </w:p>
        </w:tc>
      </w:tr>
    </w:tbl>
    <w:p w:rsidR="00000000" w:rsidRDefault="00000000">
      <w:pPr>
        <w:spacing w:before="120" w:after="240"/>
        <w:rPr>
          <w:sz w:val="20"/>
          <w:szCs w:val="18"/>
        </w:rPr>
      </w:pPr>
      <w:r>
        <w:rPr>
          <w:szCs w:val="18"/>
        </w:rPr>
        <w:tab/>
      </w:r>
      <w:r>
        <w:rPr>
          <w:szCs w:val="18"/>
        </w:rPr>
        <w:tab/>
      </w:r>
      <w:r>
        <w:rPr>
          <w:i/>
          <w:iCs/>
          <w:sz w:val="20"/>
          <w:szCs w:val="18"/>
        </w:rPr>
        <w:t xml:space="preserve">Source: </w:t>
      </w:r>
      <w:r>
        <w:rPr>
          <w:sz w:val="20"/>
          <w:szCs w:val="18"/>
        </w:rPr>
        <w:t>Death certificates received. Department of Biostatistics, MSPyBS.</w:t>
      </w:r>
    </w:p>
    <w:p w:rsidR="00000000" w:rsidRDefault="00000000">
      <w:pPr>
        <w:spacing w:after="240"/>
      </w:pPr>
      <w:r>
        <w:rPr>
          <w:b/>
        </w:rPr>
        <w:t>2.3</w:t>
      </w:r>
      <w:r>
        <w:rPr>
          <w:b/>
        </w:rPr>
        <w:tab/>
        <w:t>Infant deaths without medical attention</w:t>
      </w:r>
    </w:p>
    <w:p w:rsidR="00000000" w:rsidRDefault="00000000">
      <w:pPr>
        <w:spacing w:after="240"/>
      </w:pPr>
      <w:r>
        <w:t>23.</w:t>
      </w:r>
      <w:r>
        <w:tab/>
        <w:t>During 1992, 1,611 deaths of children were recorded; 34 per cent of them had received no medical attention as they died. In 2003, 162 out of 1,683 deaths occurred without medical attention. In 1992, of every 100 children who died 34 did so without receiving any medical attention. In 2003, of every 100 children who died, 10 had received no medical attention.</w:t>
      </w:r>
    </w:p>
    <w:p w:rsidR="00000000" w:rsidRDefault="00000000">
      <w:pPr>
        <w:spacing w:after="240"/>
      </w:pPr>
      <w:r>
        <w:t>24.</w:t>
      </w:r>
      <w:r>
        <w:tab/>
      </w:r>
      <w:r>
        <w:rPr>
          <w:bCs/>
          <w:i/>
          <w:iCs/>
        </w:rPr>
        <w:t xml:space="preserve">Urban area: </w:t>
      </w:r>
      <w:r>
        <w:t>this is defined as that of official district capitals according to administrative regulations, laid out in blocks, no other special factor is taken into account..</w:t>
      </w:r>
    </w:p>
    <w:p w:rsidR="00000000" w:rsidRDefault="00000000">
      <w:pPr>
        <w:spacing w:after="240"/>
      </w:pPr>
      <w:r>
        <w:t>25.</w:t>
      </w:r>
      <w:r>
        <w:tab/>
      </w:r>
      <w:r>
        <w:rPr>
          <w:bCs/>
          <w:i/>
          <w:iCs/>
        </w:rPr>
        <w:t xml:space="preserve">Rural area: </w:t>
      </w:r>
      <w:r>
        <w:t>These are simply areas not laid out in blocks, regardless of the number of inhabitants.</w:t>
      </w:r>
    </w:p>
    <w:p w:rsidR="00000000" w:rsidRDefault="00000000">
      <w:pPr>
        <w:spacing w:after="240"/>
      </w:pPr>
      <w:r>
        <w:rPr>
          <w:b/>
        </w:rPr>
        <w:t>3.</w:t>
      </w:r>
      <w:r>
        <w:rPr>
          <w:b/>
        </w:rPr>
        <w:tab/>
        <w:t>Fertility rate</w:t>
      </w:r>
    </w:p>
    <w:p w:rsidR="00000000" w:rsidRDefault="00000000">
      <w:pPr>
        <w:spacing w:after="240"/>
      </w:pPr>
      <w:r>
        <w:t>26.</w:t>
      </w:r>
      <w:r>
        <w:tab/>
        <w:t>The fertility rate has declined substantially in Paraguay, especially in the past six years, although the level continues to rise in some population subgroups. Fertility estimates are reckoned on the basis of the birth histories of women aged 15-44 and polled during the 2004 national demographic and sexual and reproductive health survey (ENDSSR 2004). The national general fertility rate (GFR) for 2001-2004 for women aged 15-44 stands at 2.9 children per woman. Various surveys conducted in the country since 1990 show that after some 10 years of gradual reduction in fertility (1990-1998) Paraguay experienced a significant drop in the global fertility rate (GFR) between 1998 and 2004. This reduction is linked to significant improvements in Paraguayan women’s education.</w:t>
      </w:r>
    </w:p>
    <w:p w:rsidR="00000000" w:rsidRDefault="00000000">
      <w:pPr>
        <w:keepNext/>
        <w:keepLines/>
        <w:autoSpaceDE w:val="0"/>
        <w:autoSpaceDN w:val="0"/>
        <w:adjustRightInd w:val="0"/>
        <w:spacing w:after="240"/>
        <w:jc w:val="center"/>
        <w:rPr>
          <w:bCs/>
          <w:sz w:val="20"/>
        </w:rPr>
      </w:pPr>
      <w:r>
        <w:rPr>
          <w:bCs/>
          <w:sz w:val="22"/>
        </w:rPr>
        <w:t>DIAGRAM 1</w:t>
      </w:r>
    </w:p>
    <w:p w:rsidR="00000000" w:rsidRDefault="00000000">
      <w:pPr>
        <w:keepNext/>
        <w:keepLines/>
        <w:autoSpaceDE w:val="0"/>
        <w:autoSpaceDN w:val="0"/>
        <w:adjustRightInd w:val="0"/>
        <w:spacing w:after="240"/>
        <w:jc w:val="center"/>
      </w:pPr>
      <w:r>
        <w:rPr>
          <w:noProof/>
          <w:sz w:val="20"/>
          <w:lang w:val="fr-FR" w:eastAsia="fr-FR"/>
        </w:rPr>
        <w:pict>
          <v:shapetype id="_x0000_t202" coordsize="21600,21600" o:spt="202" path="m,l,21600r21600,l21600,xe">
            <v:stroke joinstyle="miter"/>
            <v:path gradientshapeok="t" o:connecttype="rect"/>
          </v:shapetype>
          <v:shape id="_x0000_s2798" type="#_x0000_t202" style="position:absolute;left:0;text-align:left;margin-left:109.85pt;margin-top:155.05pt;width:126pt;height:13.85pt;z-index:2" stroked="f">
            <v:textbox inset="0,0,0,0">
              <w:txbxContent>
                <w:p w:rsidR="00000000" w:rsidRDefault="00000000">
                  <w:r>
                    <w:rPr>
                      <w:sz w:val="20"/>
                      <w:szCs w:val="18"/>
                    </w:rPr>
                    <w:t>USE OF CONTRACEPTIVES</w:t>
                  </w:r>
                </w:p>
              </w:txbxContent>
            </v:textbox>
          </v:shape>
        </w:pict>
      </w:r>
      <w:r>
        <w:rPr>
          <w:noProof/>
          <w:sz w:val="20"/>
          <w:lang w:val="fr-FR" w:eastAsia="fr-FR"/>
        </w:rPr>
        <w:pict>
          <v:shape id="_x0000_s2797" type="#_x0000_t202" style="position:absolute;left:0;text-align:left;margin-left:117pt;margin-top:4.45pt;width:234pt;height:27pt;z-index:1" stroked="f">
            <v:textbox inset="0,0,0,0">
              <w:txbxContent>
                <w:p w:rsidR="00000000" w:rsidRDefault="00000000">
                  <w:pPr>
                    <w:jc w:val="center"/>
                  </w:pPr>
                  <w:r>
                    <w:rPr>
                      <w:sz w:val="20"/>
                      <w:szCs w:val="18"/>
                    </w:rPr>
                    <w:t>Trends in global fertility rate and use of contraceptives (various surveys)</w:t>
                  </w:r>
                </w:p>
              </w:txbxContent>
            </v:textbox>
          </v:shape>
        </w:pict>
      </w:r>
      <w:r>
        <w:rPr>
          <w:noProof/>
          <w:sz w:val="20"/>
          <w:lang w:val="fr-FR" w:eastAsia="fr-FR"/>
        </w:rPr>
        <w:pict>
          <v:shape id="_x0000_s2799" type="#_x0000_t202" style="position:absolute;left:0;text-align:left;margin-left:274.15pt;margin-top:155.05pt;width:31.85pt;height:13.3pt;z-index:3" stroked="f">
            <v:textbox inset="0,0,0,0">
              <w:txbxContent>
                <w:p w:rsidR="00000000" w:rsidRDefault="00000000">
                  <w:r>
                    <w:rPr>
                      <w:sz w:val="20"/>
                      <w:szCs w:val="18"/>
                    </w:rPr>
                    <w:t>GFR</w:t>
                  </w:r>
                </w:p>
              </w:txbxContent>
            </v:textbox>
          </v:shape>
        </w:pict>
      </w:r>
      <w:r>
        <w:rPr>
          <w:noProof/>
          <w:sz w:val="20"/>
          <w:lang w:val="fr-FR" w:eastAsia="fr-FR"/>
        </w:rPr>
        <w:pict>
          <v:shape id="_x0000_s2800" type="#_x0000_t202" style="position:absolute;left:0;text-align:left;margin-left:103.8pt;margin-top:172.4pt;width:221.5pt;height:15.65pt;z-index:4" stroked="f">
            <v:textbox inset="0,0,0,0">
              <w:txbxContent>
                <w:p w:rsidR="00000000" w:rsidRDefault="00000000"/>
              </w:txbxContent>
            </v:textbox>
          </v:shape>
        </w:pict>
      </w:r>
      <w:bookmarkStart w:id="0" w:name="_MON_1234346582"/>
      <w:bookmarkStart w:id="1" w:name="_MON_1234607082"/>
      <w:bookmarkStart w:id="2" w:name="_MON_1234610689"/>
      <w:bookmarkStart w:id="3" w:name="_MON_1236070739"/>
      <w:bookmarkStart w:id="4" w:name="_MON_1236070750"/>
      <w:bookmarkStart w:id="5" w:name="_MON_1236413476"/>
      <w:bookmarkStart w:id="6" w:name="_MON_1248785158"/>
      <w:bookmarkStart w:id="7" w:name="_MON_1252245297"/>
      <w:bookmarkEnd w:id="0"/>
      <w:bookmarkEnd w:id="1"/>
      <w:bookmarkEnd w:id="2"/>
      <w:bookmarkEnd w:id="3"/>
      <w:bookmarkEnd w:id="4"/>
      <w:bookmarkEnd w:id="5"/>
      <w:bookmarkEnd w:id="6"/>
      <w:bookmarkEnd w:id="7"/>
      <w:r>
        <w:object w:dxaOrig="7804" w:dyaOrig="3802">
          <v:shape id="_x0000_i1026" type="#_x0000_t75" style="width:390pt;height:189.75pt" o:ole="">
            <v:imagedata r:id="rId8" o:title="" croptop="8193f" cropbottom="3151f" cropleft="936f" cropright="1248f"/>
            <w10:bordertop type="single" width="12"/>
            <w10:borderleft type="single" width="12"/>
            <w10:borderbottom type="single" width="12"/>
            <w10:borderright type="single" width="12"/>
          </v:shape>
          <o:OLEObject Type="Embed" ProgID="Word.Picture.8" ShapeID="_x0000_i1026" DrawAspect="Content" ObjectID="_1394904848" r:id="rId9"/>
        </w:object>
      </w:r>
    </w:p>
    <w:p w:rsidR="00000000" w:rsidRDefault="00000000">
      <w:pPr>
        <w:autoSpaceDE w:val="0"/>
        <w:autoSpaceDN w:val="0"/>
        <w:adjustRightInd w:val="0"/>
        <w:spacing w:before="80" w:after="240"/>
        <w:ind w:left="567"/>
        <w:rPr>
          <w:sz w:val="20"/>
          <w:lang w:val="fr-FR"/>
        </w:rPr>
      </w:pPr>
      <w:r>
        <w:rPr>
          <w:i/>
          <w:iCs/>
          <w:sz w:val="20"/>
          <w:lang w:val="fr-FR"/>
        </w:rPr>
        <w:t xml:space="preserve">Source : </w:t>
      </w:r>
      <w:r>
        <w:rPr>
          <w:sz w:val="20"/>
          <w:lang w:val="fr-FR"/>
        </w:rPr>
        <w:t>EPF 87, ENDS 90, ENDSR 95/96, ENSMI 98, ENDSSR 2004.</w:t>
      </w:r>
    </w:p>
    <w:p w:rsidR="00000000" w:rsidRDefault="00000000">
      <w:pPr>
        <w:spacing w:after="240"/>
      </w:pPr>
      <w:r>
        <w:t>27.</w:t>
      </w:r>
      <w:r>
        <w:tab/>
        <w:t>The findings of the current survey, contained in diagram 1, show a constant decline in GFR, which, all in all, represents a reduction by one child (25 per cent), or to 2.9 children per woman in 2001-2004 as against 3.9 per woman in 1995-1998, with a reduction by 0.5 child in each three-year period. Similarly, the specific fertility rates for all ages are consistent in the estimates based on the figures from both surveys. In the 20-29 age group there has been a continuous reduction between the periods 1995-1998 and 2001-2004 in the specific fertility rate, which also substantially affects GFR because the majority of births occur among this age group. The fertility rate among adolescents aged 15-19 fell by 26 per cent. dropping from 90 births per 1,000 women during the period 1995-1998 to 67 births per 1,000 women in the period 1998-2001, stabilizing between the periods 1998-2001 and 2001-2004 (see Diagram 2).</w:t>
      </w:r>
    </w:p>
    <w:p w:rsidR="00000000" w:rsidRDefault="00000000">
      <w:pPr>
        <w:spacing w:after="240"/>
        <w:jc w:val="center"/>
        <w:rPr>
          <w:bCs/>
          <w:sz w:val="22"/>
          <w:szCs w:val="18"/>
        </w:rPr>
      </w:pPr>
      <w:r>
        <w:rPr>
          <w:bCs/>
          <w:sz w:val="22"/>
          <w:szCs w:val="18"/>
        </w:rPr>
        <w:t>DIAGRAM 2</w:t>
      </w:r>
    </w:p>
    <w:p w:rsidR="00000000" w:rsidRDefault="00000000">
      <w:pPr>
        <w:autoSpaceDE w:val="0"/>
        <w:autoSpaceDN w:val="0"/>
        <w:adjustRightInd w:val="0"/>
        <w:spacing w:after="240"/>
        <w:jc w:val="center"/>
      </w:pPr>
      <w:r>
        <w:rPr>
          <w:bCs/>
          <w:noProof/>
          <w:sz w:val="20"/>
          <w:lang w:val="fr-FR" w:eastAsia="fr-FR"/>
        </w:rPr>
        <w:pict>
          <v:shape id="_x0000_s2802" type="#_x0000_t202" style="position:absolute;left:0;text-align:left;margin-left:63pt;margin-top:17.6pt;width:24.6pt;height:142.8pt;z-index:6" stroked="f">
            <v:textbox style="layout-flow:vertical;mso-layout-flow-alt:bottom-to-top" inset="0,0,0,0">
              <w:txbxContent>
                <w:p w:rsidR="00000000" w:rsidRDefault="00000000">
                  <w:pPr>
                    <w:pStyle w:val="Heading8"/>
                  </w:pPr>
                  <w:r>
                    <w:t>Rates per 1,000 women</w:t>
                  </w:r>
                </w:p>
              </w:txbxContent>
            </v:textbox>
          </v:shape>
        </w:pict>
      </w:r>
      <w:r>
        <w:rPr>
          <w:bCs/>
          <w:noProof/>
          <w:sz w:val="20"/>
          <w:lang w:val="fr-FR" w:eastAsia="fr-FR"/>
        </w:rPr>
        <w:pict>
          <v:shape id="_x0000_s2801" type="#_x0000_t202" style="position:absolute;left:0;text-align:left;margin-left:89.4pt;margin-top:5.6pt;width:295.25pt;height:24.65pt;z-index:5" stroked="f">
            <v:textbox inset="0,0,0,0">
              <w:txbxContent>
                <w:p w:rsidR="00000000" w:rsidRDefault="00000000">
                  <w:pPr>
                    <w:jc w:val="center"/>
                    <w:rPr>
                      <w:b/>
                      <w:bCs/>
                      <w:sz w:val="20"/>
                    </w:rPr>
                  </w:pPr>
                  <w:r>
                    <w:rPr>
                      <w:b/>
                      <w:bCs/>
                      <w:sz w:val="20"/>
                    </w:rPr>
                    <w:t>Trend in the specific fertility rate by age and for three periods:</w:t>
                  </w:r>
                  <w:r>
                    <w:rPr>
                      <w:b/>
                      <w:bCs/>
                      <w:sz w:val="20"/>
                    </w:rPr>
                    <w:br/>
                    <w:t>Women aged 15 to 44</w:t>
                  </w:r>
                </w:p>
              </w:txbxContent>
            </v:textbox>
          </v:shape>
        </w:pict>
      </w:r>
      <w:bookmarkStart w:id="8" w:name="_MON_1234347154"/>
      <w:bookmarkStart w:id="9" w:name="_MON_1234347165"/>
      <w:bookmarkStart w:id="10" w:name="_MON_1236070899"/>
      <w:bookmarkStart w:id="11" w:name="_MON_1248831968"/>
      <w:bookmarkStart w:id="12" w:name="_MON_1252245335"/>
      <w:bookmarkEnd w:id="8"/>
      <w:bookmarkEnd w:id="9"/>
      <w:bookmarkEnd w:id="10"/>
      <w:bookmarkEnd w:id="11"/>
      <w:bookmarkEnd w:id="12"/>
      <w:r>
        <w:object w:dxaOrig="7720" w:dyaOrig="3483">
          <v:shape id="_x0000_i1027" type="#_x0000_t75" style="width:386.25pt;height:174pt" o:ole="">
            <v:imagedata r:id="rId10" o:title="" croptop="7366f" cropbottom="6446f" cropleft="2438f" cropright="2438f"/>
            <w10:bordertop type="single" width="12"/>
            <w10:borderleft type="single" width="12"/>
            <w10:borderbottom type="single" width="12"/>
            <w10:borderright type="single" width="12"/>
          </v:shape>
          <o:OLEObject Type="Embed" ProgID="Word.Picture.8" ShapeID="_x0000_i1027" DrawAspect="Content" ObjectID="_1394904849" r:id="rId11"/>
        </w:object>
      </w:r>
    </w:p>
    <w:p w:rsidR="00000000" w:rsidRDefault="00000000">
      <w:pPr>
        <w:spacing w:after="240"/>
      </w:pPr>
      <w:r>
        <w:t>28.</w:t>
      </w:r>
      <w:r>
        <w:tab/>
        <w:t>It was mentioned earlier that rural women have an average of 1.2 children more than women living in urban areas: this difference prevails in all age groups. The northern region of the country posts the highest fertility rate, with an average of 3.9 children per woman, Greater Asunción being the region with the lowest fertility rate, with 2.4 children per woman.</w:t>
      </w:r>
    </w:p>
    <w:p w:rsidR="00000000" w:rsidRDefault="00000000">
      <w:pPr>
        <w:jc w:val="center"/>
        <w:rPr>
          <w:b/>
          <w:sz w:val="22"/>
          <w:szCs w:val="18"/>
        </w:rPr>
      </w:pPr>
      <w:r>
        <w:rPr>
          <w:b/>
          <w:sz w:val="22"/>
          <w:szCs w:val="18"/>
        </w:rPr>
        <w:t>Specific fertility rates by age (per 1,000 women) and global fertility rate (GFR) by area, region, education, language normally spoken in the home, and socio-economic level.</w:t>
      </w:r>
    </w:p>
    <w:p w:rsidR="00000000" w:rsidRDefault="00000000">
      <w:pPr>
        <w:jc w:val="center"/>
        <w:rPr>
          <w:b/>
          <w:sz w:val="22"/>
          <w:szCs w:val="18"/>
        </w:rPr>
      </w:pPr>
      <w:r>
        <w:rPr>
          <w:b/>
          <w:sz w:val="22"/>
          <w:szCs w:val="18"/>
        </w:rPr>
        <w:t>Period: March 2001 to February 2004. ENDSSR 2004</w:t>
      </w:r>
    </w:p>
    <w:p w:rsidR="00000000" w:rsidRDefault="00000000">
      <w:pPr>
        <w:autoSpaceDE w:val="0"/>
        <w:autoSpaceDN w:val="0"/>
        <w:adjustRightInd w:val="0"/>
        <w:spacing w:beforeLines="40" w:before="96" w:afterLines="40" w:after="96"/>
      </w:pPr>
    </w:p>
    <w:tbl>
      <w:tblPr>
        <w:tblW w:w="5000" w:type="pct"/>
        <w:tblLayout w:type="fixed"/>
        <w:tblCellMar>
          <w:left w:w="0" w:type="dxa"/>
          <w:right w:w="0" w:type="dxa"/>
        </w:tblCellMar>
        <w:tblLook w:val="0000" w:firstRow="0" w:lastRow="0" w:firstColumn="0" w:lastColumn="0" w:noHBand="0" w:noVBand="0"/>
      </w:tblPr>
      <w:tblGrid>
        <w:gridCol w:w="3403"/>
        <w:gridCol w:w="837"/>
        <w:gridCol w:w="837"/>
        <w:gridCol w:w="837"/>
        <w:gridCol w:w="837"/>
        <w:gridCol w:w="837"/>
        <w:gridCol w:w="828"/>
        <w:gridCol w:w="1013"/>
      </w:tblGrid>
      <w:tr w:rsidR="00000000">
        <w:tblPrEx>
          <w:tblCellMar>
            <w:top w:w="0" w:type="dxa"/>
            <w:bottom w:w="0" w:type="dxa"/>
          </w:tblCellMar>
        </w:tblPrEx>
        <w:trPr>
          <w:cantSplit/>
        </w:trPr>
        <w:tc>
          <w:tcPr>
            <w:tcW w:w="1804" w:type="pct"/>
            <w:vMerge w:val="restar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rPr>
            </w:pPr>
            <w:r>
              <w:rPr>
                <w:b/>
                <w:bCs/>
                <w:i/>
                <w:iCs/>
                <w:sz w:val="20"/>
              </w:rPr>
              <w:t>Characteristics</w:t>
            </w:r>
          </w:p>
        </w:tc>
        <w:tc>
          <w:tcPr>
            <w:tcW w:w="3196" w:type="pct"/>
            <w:gridSpan w:val="7"/>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rPr>
            </w:pPr>
            <w:r>
              <w:rPr>
                <w:b/>
                <w:bCs/>
                <w:i/>
                <w:iCs/>
                <w:sz w:val="20"/>
              </w:rPr>
              <w:t>Age group</w:t>
            </w:r>
          </w:p>
        </w:tc>
      </w:tr>
      <w:tr w:rsidR="00000000">
        <w:tblPrEx>
          <w:tblCellMar>
            <w:top w:w="0" w:type="dxa"/>
            <w:bottom w:w="0" w:type="dxa"/>
          </w:tblCellMar>
        </w:tblPrEx>
        <w:trPr>
          <w:cantSplit/>
        </w:trPr>
        <w:tc>
          <w:tcPr>
            <w:tcW w:w="1804" w:type="pct"/>
            <w:vMerge/>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rPr>
            </w:pPr>
          </w:p>
        </w:tc>
        <w:tc>
          <w:tcPr>
            <w:tcW w:w="444" w:type="pc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rPr>
            </w:pPr>
            <w:r>
              <w:rPr>
                <w:b/>
                <w:bCs/>
                <w:i/>
                <w:iCs/>
                <w:sz w:val="20"/>
              </w:rPr>
              <w:t>15-19</w:t>
            </w:r>
          </w:p>
        </w:tc>
        <w:tc>
          <w:tcPr>
            <w:tcW w:w="444" w:type="pc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rPr>
            </w:pPr>
            <w:r>
              <w:rPr>
                <w:b/>
                <w:bCs/>
                <w:i/>
                <w:iCs/>
                <w:sz w:val="20"/>
              </w:rPr>
              <w:t>20-24</w:t>
            </w:r>
          </w:p>
        </w:tc>
        <w:tc>
          <w:tcPr>
            <w:tcW w:w="444" w:type="pc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rPr>
            </w:pPr>
            <w:r>
              <w:rPr>
                <w:b/>
                <w:bCs/>
                <w:i/>
                <w:iCs/>
                <w:sz w:val="20"/>
              </w:rPr>
              <w:t>25-29</w:t>
            </w:r>
          </w:p>
        </w:tc>
        <w:tc>
          <w:tcPr>
            <w:tcW w:w="444" w:type="pc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rPr>
            </w:pPr>
            <w:r>
              <w:rPr>
                <w:b/>
                <w:bCs/>
                <w:i/>
                <w:iCs/>
                <w:sz w:val="20"/>
              </w:rPr>
              <w:t>30-34</w:t>
            </w:r>
          </w:p>
        </w:tc>
        <w:tc>
          <w:tcPr>
            <w:tcW w:w="444" w:type="pc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rPr>
            </w:pPr>
            <w:r>
              <w:rPr>
                <w:b/>
                <w:bCs/>
                <w:i/>
                <w:iCs/>
                <w:sz w:val="20"/>
              </w:rPr>
              <w:t>35-39</w:t>
            </w:r>
          </w:p>
        </w:tc>
        <w:tc>
          <w:tcPr>
            <w:tcW w:w="439" w:type="pc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rPr>
            </w:pPr>
            <w:r>
              <w:rPr>
                <w:b/>
                <w:bCs/>
                <w:i/>
                <w:iCs/>
                <w:sz w:val="20"/>
              </w:rPr>
              <w:t>40-44</w:t>
            </w:r>
          </w:p>
        </w:tc>
        <w:tc>
          <w:tcPr>
            <w:tcW w:w="537" w:type="pc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rPr>
            </w:pPr>
            <w:r>
              <w:rPr>
                <w:b/>
                <w:bCs/>
                <w:i/>
                <w:iCs/>
                <w:sz w:val="20"/>
              </w:rPr>
              <w:t>ISF (15-44 years)</w:t>
            </w:r>
          </w:p>
        </w:tc>
      </w:tr>
      <w:tr w:rsidR="00000000">
        <w:tblPrEx>
          <w:tblCellMar>
            <w:top w:w="0" w:type="dxa"/>
            <w:bottom w:w="0" w:type="dxa"/>
          </w:tblCellMar>
        </w:tblPrEx>
        <w:tc>
          <w:tcPr>
            <w:tcW w:w="1804" w:type="pct"/>
            <w:tcBorders>
              <w:top w:val="single" w:sz="4" w:space="0" w:color="auto"/>
            </w:tcBorders>
          </w:tcPr>
          <w:p w:rsidR="00000000" w:rsidRDefault="00000000">
            <w:pPr>
              <w:widowControl w:val="0"/>
              <w:autoSpaceDE w:val="0"/>
              <w:autoSpaceDN w:val="0"/>
              <w:adjustRightInd w:val="0"/>
              <w:spacing w:before="80" w:after="80"/>
              <w:rPr>
                <w:sz w:val="20"/>
              </w:rPr>
            </w:pPr>
            <w:r>
              <w:rPr>
                <w:sz w:val="20"/>
              </w:rPr>
              <w:t>Areas</w:t>
            </w:r>
          </w:p>
        </w:tc>
        <w:tc>
          <w:tcPr>
            <w:tcW w:w="444" w:type="pct"/>
            <w:tcBorders>
              <w:top w:val="single" w:sz="4" w:space="0" w:color="auto"/>
            </w:tcBorders>
          </w:tcPr>
          <w:p w:rsidR="00000000" w:rsidRDefault="00000000">
            <w:pPr>
              <w:widowControl w:val="0"/>
              <w:autoSpaceDE w:val="0"/>
              <w:autoSpaceDN w:val="0"/>
              <w:adjustRightInd w:val="0"/>
              <w:spacing w:before="80" w:after="80"/>
              <w:rPr>
                <w:sz w:val="20"/>
              </w:rPr>
            </w:pPr>
          </w:p>
        </w:tc>
        <w:tc>
          <w:tcPr>
            <w:tcW w:w="444" w:type="pct"/>
            <w:tcBorders>
              <w:top w:val="single" w:sz="4" w:space="0" w:color="auto"/>
            </w:tcBorders>
          </w:tcPr>
          <w:p w:rsidR="00000000" w:rsidRDefault="00000000">
            <w:pPr>
              <w:widowControl w:val="0"/>
              <w:autoSpaceDE w:val="0"/>
              <w:autoSpaceDN w:val="0"/>
              <w:adjustRightInd w:val="0"/>
              <w:spacing w:before="80" w:after="80"/>
              <w:rPr>
                <w:sz w:val="20"/>
              </w:rPr>
            </w:pPr>
          </w:p>
        </w:tc>
        <w:tc>
          <w:tcPr>
            <w:tcW w:w="444" w:type="pct"/>
            <w:tcBorders>
              <w:top w:val="single" w:sz="4" w:space="0" w:color="auto"/>
            </w:tcBorders>
          </w:tcPr>
          <w:p w:rsidR="00000000" w:rsidRDefault="00000000">
            <w:pPr>
              <w:widowControl w:val="0"/>
              <w:autoSpaceDE w:val="0"/>
              <w:autoSpaceDN w:val="0"/>
              <w:adjustRightInd w:val="0"/>
              <w:spacing w:before="80" w:after="80"/>
              <w:rPr>
                <w:sz w:val="20"/>
              </w:rPr>
            </w:pPr>
          </w:p>
        </w:tc>
        <w:tc>
          <w:tcPr>
            <w:tcW w:w="444" w:type="pct"/>
            <w:tcBorders>
              <w:top w:val="single" w:sz="4" w:space="0" w:color="auto"/>
            </w:tcBorders>
          </w:tcPr>
          <w:p w:rsidR="00000000" w:rsidRDefault="00000000">
            <w:pPr>
              <w:widowControl w:val="0"/>
              <w:autoSpaceDE w:val="0"/>
              <w:autoSpaceDN w:val="0"/>
              <w:adjustRightInd w:val="0"/>
              <w:spacing w:before="80" w:after="80"/>
              <w:rPr>
                <w:sz w:val="20"/>
              </w:rPr>
            </w:pPr>
          </w:p>
        </w:tc>
        <w:tc>
          <w:tcPr>
            <w:tcW w:w="444" w:type="pct"/>
            <w:tcBorders>
              <w:top w:val="single" w:sz="4" w:space="0" w:color="auto"/>
            </w:tcBorders>
          </w:tcPr>
          <w:p w:rsidR="00000000" w:rsidRDefault="00000000">
            <w:pPr>
              <w:widowControl w:val="0"/>
              <w:autoSpaceDE w:val="0"/>
              <w:autoSpaceDN w:val="0"/>
              <w:adjustRightInd w:val="0"/>
              <w:spacing w:before="80" w:after="80"/>
              <w:rPr>
                <w:sz w:val="20"/>
              </w:rPr>
            </w:pPr>
          </w:p>
        </w:tc>
        <w:tc>
          <w:tcPr>
            <w:tcW w:w="439" w:type="pct"/>
            <w:tcBorders>
              <w:top w:val="single" w:sz="4" w:space="0" w:color="auto"/>
            </w:tcBorders>
          </w:tcPr>
          <w:p w:rsidR="00000000" w:rsidRDefault="00000000">
            <w:pPr>
              <w:widowControl w:val="0"/>
              <w:autoSpaceDE w:val="0"/>
              <w:autoSpaceDN w:val="0"/>
              <w:adjustRightInd w:val="0"/>
              <w:spacing w:before="80" w:after="80"/>
              <w:rPr>
                <w:sz w:val="20"/>
              </w:rPr>
            </w:pPr>
          </w:p>
        </w:tc>
        <w:tc>
          <w:tcPr>
            <w:tcW w:w="537" w:type="pct"/>
            <w:tcBorders>
              <w:top w:val="single" w:sz="4" w:space="0" w:color="auto"/>
            </w:tcBorders>
          </w:tcPr>
          <w:p w:rsidR="00000000" w:rsidRDefault="00000000">
            <w:pPr>
              <w:widowControl w:val="0"/>
              <w:autoSpaceDE w:val="0"/>
              <w:autoSpaceDN w:val="0"/>
              <w:adjustRightInd w:val="0"/>
              <w:spacing w:before="80" w:after="80"/>
              <w:rPr>
                <w:sz w:val="20"/>
              </w:rPr>
            </w:pP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Urban</w:t>
            </w:r>
          </w:p>
        </w:tc>
        <w:tc>
          <w:tcPr>
            <w:tcW w:w="444" w:type="pct"/>
          </w:tcPr>
          <w:p w:rsidR="00000000" w:rsidRDefault="00000000">
            <w:pPr>
              <w:widowControl w:val="0"/>
              <w:autoSpaceDE w:val="0"/>
              <w:autoSpaceDN w:val="0"/>
              <w:adjustRightInd w:val="0"/>
              <w:spacing w:before="80" w:after="80"/>
              <w:jc w:val="center"/>
              <w:rPr>
                <w:sz w:val="20"/>
              </w:rPr>
            </w:pPr>
            <w:r>
              <w:rPr>
                <w:sz w:val="20"/>
              </w:rPr>
              <w:t>52</w:t>
            </w:r>
          </w:p>
        </w:tc>
        <w:tc>
          <w:tcPr>
            <w:tcW w:w="444" w:type="pct"/>
          </w:tcPr>
          <w:p w:rsidR="00000000" w:rsidRDefault="00000000">
            <w:pPr>
              <w:widowControl w:val="0"/>
              <w:autoSpaceDE w:val="0"/>
              <w:autoSpaceDN w:val="0"/>
              <w:adjustRightInd w:val="0"/>
              <w:spacing w:before="80" w:after="80"/>
              <w:jc w:val="center"/>
              <w:rPr>
                <w:sz w:val="20"/>
              </w:rPr>
            </w:pPr>
            <w:r>
              <w:rPr>
                <w:sz w:val="20"/>
              </w:rPr>
              <w:t>125</w:t>
            </w:r>
          </w:p>
        </w:tc>
        <w:tc>
          <w:tcPr>
            <w:tcW w:w="444" w:type="pct"/>
          </w:tcPr>
          <w:p w:rsidR="00000000" w:rsidRDefault="00000000">
            <w:pPr>
              <w:widowControl w:val="0"/>
              <w:autoSpaceDE w:val="0"/>
              <w:autoSpaceDN w:val="0"/>
              <w:adjustRightInd w:val="0"/>
              <w:spacing w:before="80" w:after="80"/>
              <w:jc w:val="center"/>
              <w:rPr>
                <w:sz w:val="20"/>
              </w:rPr>
            </w:pPr>
            <w:r>
              <w:rPr>
                <w:sz w:val="20"/>
              </w:rPr>
              <w:t>124</w:t>
            </w:r>
          </w:p>
        </w:tc>
        <w:tc>
          <w:tcPr>
            <w:tcW w:w="444" w:type="pct"/>
          </w:tcPr>
          <w:p w:rsidR="00000000" w:rsidRDefault="00000000">
            <w:pPr>
              <w:widowControl w:val="0"/>
              <w:autoSpaceDE w:val="0"/>
              <w:autoSpaceDN w:val="0"/>
              <w:adjustRightInd w:val="0"/>
              <w:spacing w:before="80" w:after="80"/>
              <w:jc w:val="center"/>
              <w:rPr>
                <w:sz w:val="20"/>
              </w:rPr>
            </w:pPr>
            <w:r>
              <w:rPr>
                <w:sz w:val="20"/>
              </w:rPr>
              <w:t>115</w:t>
            </w:r>
          </w:p>
        </w:tc>
        <w:tc>
          <w:tcPr>
            <w:tcW w:w="444" w:type="pct"/>
          </w:tcPr>
          <w:p w:rsidR="00000000" w:rsidRDefault="00000000">
            <w:pPr>
              <w:widowControl w:val="0"/>
              <w:autoSpaceDE w:val="0"/>
              <w:autoSpaceDN w:val="0"/>
              <w:adjustRightInd w:val="0"/>
              <w:spacing w:before="80" w:after="80"/>
              <w:jc w:val="center"/>
              <w:rPr>
                <w:sz w:val="20"/>
              </w:rPr>
            </w:pPr>
            <w:r>
              <w:rPr>
                <w:sz w:val="20"/>
              </w:rPr>
              <w:t>55</w:t>
            </w:r>
          </w:p>
        </w:tc>
        <w:tc>
          <w:tcPr>
            <w:tcW w:w="439" w:type="pct"/>
          </w:tcPr>
          <w:p w:rsidR="00000000" w:rsidRDefault="00000000">
            <w:pPr>
              <w:widowControl w:val="0"/>
              <w:autoSpaceDE w:val="0"/>
              <w:autoSpaceDN w:val="0"/>
              <w:adjustRightInd w:val="0"/>
              <w:spacing w:before="80" w:after="80"/>
              <w:jc w:val="center"/>
              <w:rPr>
                <w:sz w:val="20"/>
              </w:rPr>
            </w:pPr>
            <w:r>
              <w:rPr>
                <w:sz w:val="20"/>
              </w:rPr>
              <w:t>32</w:t>
            </w:r>
          </w:p>
        </w:tc>
        <w:tc>
          <w:tcPr>
            <w:tcW w:w="537" w:type="pct"/>
          </w:tcPr>
          <w:p w:rsidR="00000000" w:rsidRDefault="00000000">
            <w:pPr>
              <w:widowControl w:val="0"/>
              <w:autoSpaceDE w:val="0"/>
              <w:autoSpaceDN w:val="0"/>
              <w:adjustRightInd w:val="0"/>
              <w:spacing w:before="80" w:after="80"/>
              <w:jc w:val="center"/>
              <w:rPr>
                <w:sz w:val="20"/>
              </w:rPr>
            </w:pPr>
            <w:r>
              <w:rPr>
                <w:sz w:val="20"/>
              </w:rPr>
              <w:t>2.5</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Rural</w:t>
            </w:r>
          </w:p>
        </w:tc>
        <w:tc>
          <w:tcPr>
            <w:tcW w:w="444" w:type="pct"/>
          </w:tcPr>
          <w:p w:rsidR="00000000" w:rsidRDefault="00000000">
            <w:pPr>
              <w:widowControl w:val="0"/>
              <w:autoSpaceDE w:val="0"/>
              <w:autoSpaceDN w:val="0"/>
              <w:adjustRightInd w:val="0"/>
              <w:spacing w:before="80" w:after="80"/>
              <w:jc w:val="center"/>
              <w:rPr>
                <w:sz w:val="20"/>
              </w:rPr>
            </w:pPr>
            <w:r>
              <w:rPr>
                <w:sz w:val="20"/>
              </w:rPr>
              <w:t>91</w:t>
            </w:r>
          </w:p>
        </w:tc>
        <w:tc>
          <w:tcPr>
            <w:tcW w:w="444" w:type="pct"/>
          </w:tcPr>
          <w:p w:rsidR="00000000" w:rsidRDefault="00000000">
            <w:pPr>
              <w:widowControl w:val="0"/>
              <w:autoSpaceDE w:val="0"/>
              <w:autoSpaceDN w:val="0"/>
              <w:adjustRightInd w:val="0"/>
              <w:spacing w:before="80" w:after="80"/>
              <w:jc w:val="center"/>
              <w:rPr>
                <w:sz w:val="20"/>
              </w:rPr>
            </w:pPr>
            <w:r>
              <w:rPr>
                <w:sz w:val="20"/>
              </w:rPr>
              <w:t>209</w:t>
            </w:r>
          </w:p>
        </w:tc>
        <w:tc>
          <w:tcPr>
            <w:tcW w:w="444" w:type="pct"/>
          </w:tcPr>
          <w:p w:rsidR="00000000" w:rsidRDefault="00000000">
            <w:pPr>
              <w:widowControl w:val="0"/>
              <w:autoSpaceDE w:val="0"/>
              <w:autoSpaceDN w:val="0"/>
              <w:adjustRightInd w:val="0"/>
              <w:spacing w:before="80" w:after="80"/>
              <w:jc w:val="center"/>
              <w:rPr>
                <w:sz w:val="20"/>
              </w:rPr>
            </w:pPr>
            <w:r>
              <w:rPr>
                <w:sz w:val="20"/>
              </w:rPr>
              <w:t>173</w:t>
            </w:r>
          </w:p>
        </w:tc>
        <w:tc>
          <w:tcPr>
            <w:tcW w:w="444" w:type="pct"/>
          </w:tcPr>
          <w:p w:rsidR="00000000" w:rsidRDefault="00000000">
            <w:pPr>
              <w:widowControl w:val="0"/>
              <w:autoSpaceDE w:val="0"/>
              <w:autoSpaceDN w:val="0"/>
              <w:adjustRightInd w:val="0"/>
              <w:spacing w:before="80" w:after="80"/>
              <w:jc w:val="center"/>
              <w:rPr>
                <w:sz w:val="20"/>
              </w:rPr>
            </w:pPr>
            <w:r>
              <w:rPr>
                <w:sz w:val="20"/>
              </w:rPr>
              <w:t>133</w:t>
            </w:r>
          </w:p>
        </w:tc>
        <w:tc>
          <w:tcPr>
            <w:tcW w:w="444" w:type="pct"/>
          </w:tcPr>
          <w:p w:rsidR="00000000" w:rsidRDefault="00000000">
            <w:pPr>
              <w:widowControl w:val="0"/>
              <w:autoSpaceDE w:val="0"/>
              <w:autoSpaceDN w:val="0"/>
              <w:adjustRightInd w:val="0"/>
              <w:spacing w:before="80" w:after="80"/>
              <w:jc w:val="center"/>
              <w:rPr>
                <w:sz w:val="20"/>
              </w:rPr>
            </w:pPr>
            <w:r>
              <w:rPr>
                <w:sz w:val="20"/>
              </w:rPr>
              <w:t>91</w:t>
            </w:r>
          </w:p>
        </w:tc>
        <w:tc>
          <w:tcPr>
            <w:tcW w:w="439" w:type="pct"/>
          </w:tcPr>
          <w:p w:rsidR="00000000" w:rsidRDefault="00000000">
            <w:pPr>
              <w:widowControl w:val="0"/>
              <w:autoSpaceDE w:val="0"/>
              <w:autoSpaceDN w:val="0"/>
              <w:adjustRightInd w:val="0"/>
              <w:spacing w:before="80" w:after="80"/>
              <w:jc w:val="center"/>
              <w:rPr>
                <w:sz w:val="20"/>
              </w:rPr>
            </w:pPr>
            <w:r>
              <w:rPr>
                <w:sz w:val="20"/>
              </w:rPr>
              <w:t>43</w:t>
            </w:r>
          </w:p>
        </w:tc>
        <w:tc>
          <w:tcPr>
            <w:tcW w:w="537" w:type="pct"/>
          </w:tcPr>
          <w:p w:rsidR="00000000" w:rsidRDefault="00000000">
            <w:pPr>
              <w:widowControl w:val="0"/>
              <w:autoSpaceDE w:val="0"/>
              <w:autoSpaceDN w:val="0"/>
              <w:adjustRightInd w:val="0"/>
              <w:spacing w:before="80" w:after="80"/>
              <w:jc w:val="center"/>
              <w:rPr>
                <w:sz w:val="20"/>
              </w:rPr>
            </w:pPr>
            <w:r>
              <w:rPr>
                <w:sz w:val="20"/>
              </w:rPr>
              <w:t>3.7</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Region</w:t>
            </w:r>
          </w:p>
        </w:tc>
        <w:tc>
          <w:tcPr>
            <w:tcW w:w="444" w:type="pct"/>
          </w:tcPr>
          <w:p w:rsidR="00000000" w:rsidRDefault="00000000">
            <w:pPr>
              <w:widowControl w:val="0"/>
              <w:autoSpaceDE w:val="0"/>
              <w:autoSpaceDN w:val="0"/>
              <w:adjustRightInd w:val="0"/>
              <w:spacing w:before="80" w:after="80"/>
              <w:jc w:val="center"/>
              <w:rPr>
                <w:sz w:val="20"/>
              </w:rPr>
            </w:pPr>
          </w:p>
        </w:tc>
        <w:tc>
          <w:tcPr>
            <w:tcW w:w="444" w:type="pct"/>
          </w:tcPr>
          <w:p w:rsidR="00000000" w:rsidRDefault="00000000">
            <w:pPr>
              <w:widowControl w:val="0"/>
              <w:autoSpaceDE w:val="0"/>
              <w:autoSpaceDN w:val="0"/>
              <w:adjustRightInd w:val="0"/>
              <w:spacing w:before="80" w:after="80"/>
              <w:jc w:val="center"/>
              <w:rPr>
                <w:sz w:val="20"/>
              </w:rPr>
            </w:pPr>
          </w:p>
        </w:tc>
        <w:tc>
          <w:tcPr>
            <w:tcW w:w="444" w:type="pct"/>
          </w:tcPr>
          <w:p w:rsidR="00000000" w:rsidRDefault="00000000">
            <w:pPr>
              <w:widowControl w:val="0"/>
              <w:autoSpaceDE w:val="0"/>
              <w:autoSpaceDN w:val="0"/>
              <w:adjustRightInd w:val="0"/>
              <w:spacing w:before="80" w:after="80"/>
              <w:jc w:val="center"/>
              <w:rPr>
                <w:sz w:val="20"/>
              </w:rPr>
            </w:pPr>
          </w:p>
        </w:tc>
        <w:tc>
          <w:tcPr>
            <w:tcW w:w="444" w:type="pct"/>
          </w:tcPr>
          <w:p w:rsidR="00000000" w:rsidRDefault="00000000">
            <w:pPr>
              <w:widowControl w:val="0"/>
              <w:autoSpaceDE w:val="0"/>
              <w:autoSpaceDN w:val="0"/>
              <w:adjustRightInd w:val="0"/>
              <w:spacing w:before="80" w:after="80"/>
              <w:jc w:val="center"/>
              <w:rPr>
                <w:sz w:val="20"/>
              </w:rPr>
            </w:pPr>
          </w:p>
        </w:tc>
        <w:tc>
          <w:tcPr>
            <w:tcW w:w="444" w:type="pct"/>
          </w:tcPr>
          <w:p w:rsidR="00000000" w:rsidRDefault="00000000">
            <w:pPr>
              <w:widowControl w:val="0"/>
              <w:autoSpaceDE w:val="0"/>
              <w:autoSpaceDN w:val="0"/>
              <w:adjustRightInd w:val="0"/>
              <w:spacing w:before="80" w:after="80"/>
              <w:jc w:val="center"/>
              <w:rPr>
                <w:sz w:val="20"/>
              </w:rPr>
            </w:pPr>
          </w:p>
        </w:tc>
        <w:tc>
          <w:tcPr>
            <w:tcW w:w="439" w:type="pct"/>
          </w:tcPr>
          <w:p w:rsidR="00000000" w:rsidRDefault="00000000">
            <w:pPr>
              <w:widowControl w:val="0"/>
              <w:autoSpaceDE w:val="0"/>
              <w:autoSpaceDN w:val="0"/>
              <w:adjustRightInd w:val="0"/>
              <w:spacing w:before="80" w:after="80"/>
              <w:jc w:val="center"/>
              <w:rPr>
                <w:sz w:val="20"/>
              </w:rPr>
            </w:pPr>
          </w:p>
        </w:tc>
        <w:tc>
          <w:tcPr>
            <w:tcW w:w="537" w:type="pct"/>
          </w:tcPr>
          <w:p w:rsidR="00000000" w:rsidRDefault="00000000">
            <w:pPr>
              <w:widowControl w:val="0"/>
              <w:autoSpaceDE w:val="0"/>
              <w:autoSpaceDN w:val="0"/>
              <w:adjustRightInd w:val="0"/>
              <w:spacing w:before="80" w:after="80"/>
              <w:jc w:val="center"/>
              <w:rPr>
                <w:sz w:val="20"/>
              </w:rPr>
            </w:pP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pt-BR"/>
              </w:rPr>
            </w:pPr>
            <w:r>
              <w:rPr>
                <w:sz w:val="20"/>
                <w:lang w:val="pt-BR"/>
              </w:rPr>
              <w:t>Greater Asunción</w:t>
            </w:r>
          </w:p>
        </w:tc>
        <w:tc>
          <w:tcPr>
            <w:tcW w:w="444" w:type="pct"/>
          </w:tcPr>
          <w:p w:rsidR="00000000" w:rsidRDefault="00000000">
            <w:pPr>
              <w:widowControl w:val="0"/>
              <w:autoSpaceDE w:val="0"/>
              <w:autoSpaceDN w:val="0"/>
              <w:adjustRightInd w:val="0"/>
              <w:spacing w:before="80" w:after="80"/>
              <w:jc w:val="center"/>
              <w:rPr>
                <w:sz w:val="20"/>
                <w:lang w:val="pt-BR"/>
              </w:rPr>
            </w:pPr>
            <w:r>
              <w:rPr>
                <w:sz w:val="20"/>
                <w:lang w:val="pt-BR"/>
              </w:rPr>
              <w:t>44</w:t>
            </w:r>
          </w:p>
        </w:tc>
        <w:tc>
          <w:tcPr>
            <w:tcW w:w="444" w:type="pct"/>
          </w:tcPr>
          <w:p w:rsidR="00000000" w:rsidRDefault="00000000">
            <w:pPr>
              <w:widowControl w:val="0"/>
              <w:autoSpaceDE w:val="0"/>
              <w:autoSpaceDN w:val="0"/>
              <w:adjustRightInd w:val="0"/>
              <w:spacing w:before="80" w:after="80"/>
              <w:jc w:val="center"/>
              <w:rPr>
                <w:sz w:val="20"/>
                <w:lang w:val="pt-BR"/>
              </w:rPr>
            </w:pPr>
            <w:r>
              <w:rPr>
                <w:sz w:val="20"/>
                <w:lang w:val="pt-BR"/>
              </w:rPr>
              <w:t>128</w:t>
            </w:r>
          </w:p>
        </w:tc>
        <w:tc>
          <w:tcPr>
            <w:tcW w:w="444" w:type="pct"/>
          </w:tcPr>
          <w:p w:rsidR="00000000" w:rsidRDefault="00000000">
            <w:pPr>
              <w:widowControl w:val="0"/>
              <w:autoSpaceDE w:val="0"/>
              <w:autoSpaceDN w:val="0"/>
              <w:adjustRightInd w:val="0"/>
              <w:spacing w:before="80" w:after="80"/>
              <w:jc w:val="center"/>
              <w:rPr>
                <w:sz w:val="20"/>
                <w:lang w:val="pt-BR"/>
              </w:rPr>
            </w:pPr>
            <w:r>
              <w:rPr>
                <w:sz w:val="20"/>
                <w:lang w:val="pt-BR"/>
              </w:rPr>
              <w:t>106</w:t>
            </w:r>
          </w:p>
        </w:tc>
        <w:tc>
          <w:tcPr>
            <w:tcW w:w="444" w:type="pct"/>
          </w:tcPr>
          <w:p w:rsidR="00000000" w:rsidRDefault="00000000">
            <w:pPr>
              <w:widowControl w:val="0"/>
              <w:autoSpaceDE w:val="0"/>
              <w:autoSpaceDN w:val="0"/>
              <w:adjustRightInd w:val="0"/>
              <w:spacing w:before="80" w:after="80"/>
              <w:jc w:val="center"/>
              <w:rPr>
                <w:sz w:val="20"/>
                <w:lang w:val="pt-BR"/>
              </w:rPr>
            </w:pPr>
            <w:r>
              <w:rPr>
                <w:sz w:val="20"/>
                <w:lang w:val="pt-BR"/>
              </w:rPr>
              <w:t>108</w:t>
            </w:r>
          </w:p>
        </w:tc>
        <w:tc>
          <w:tcPr>
            <w:tcW w:w="444" w:type="pct"/>
          </w:tcPr>
          <w:p w:rsidR="00000000" w:rsidRDefault="00000000">
            <w:pPr>
              <w:widowControl w:val="0"/>
              <w:autoSpaceDE w:val="0"/>
              <w:autoSpaceDN w:val="0"/>
              <w:adjustRightInd w:val="0"/>
              <w:spacing w:before="80" w:after="80"/>
              <w:jc w:val="center"/>
              <w:rPr>
                <w:sz w:val="20"/>
                <w:lang w:val="pt-BR"/>
              </w:rPr>
            </w:pPr>
            <w:r>
              <w:rPr>
                <w:sz w:val="20"/>
                <w:lang w:val="pt-BR"/>
              </w:rPr>
              <w:t>62</w:t>
            </w:r>
          </w:p>
        </w:tc>
        <w:tc>
          <w:tcPr>
            <w:tcW w:w="439" w:type="pct"/>
          </w:tcPr>
          <w:p w:rsidR="00000000" w:rsidRDefault="00000000">
            <w:pPr>
              <w:widowControl w:val="0"/>
              <w:autoSpaceDE w:val="0"/>
              <w:autoSpaceDN w:val="0"/>
              <w:adjustRightInd w:val="0"/>
              <w:spacing w:before="80" w:after="80"/>
              <w:jc w:val="center"/>
              <w:rPr>
                <w:sz w:val="20"/>
                <w:lang w:val="pt-BR"/>
              </w:rPr>
            </w:pPr>
            <w:r>
              <w:rPr>
                <w:b/>
                <w:color w:val="000000"/>
                <w:sz w:val="20"/>
                <w:vertAlign w:val="superscript"/>
                <w:lang w:val="pt-BR"/>
              </w:rPr>
              <w:t>*</w:t>
            </w:r>
          </w:p>
        </w:tc>
        <w:tc>
          <w:tcPr>
            <w:tcW w:w="537" w:type="pct"/>
          </w:tcPr>
          <w:p w:rsidR="00000000" w:rsidRDefault="00000000">
            <w:pPr>
              <w:widowControl w:val="0"/>
              <w:autoSpaceDE w:val="0"/>
              <w:autoSpaceDN w:val="0"/>
              <w:adjustRightInd w:val="0"/>
              <w:spacing w:before="80" w:after="80"/>
              <w:jc w:val="center"/>
              <w:rPr>
                <w:sz w:val="20"/>
                <w:lang w:val="pt-BR"/>
              </w:rPr>
            </w:pPr>
            <w:r>
              <w:rPr>
                <w:sz w:val="20"/>
                <w:lang w:val="pt-BR"/>
              </w:rPr>
              <w:t>2.4</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pt-BR"/>
              </w:rPr>
            </w:pPr>
            <w:r>
              <w:rPr>
                <w:sz w:val="20"/>
                <w:lang w:val="pt-BR"/>
              </w:rPr>
              <w:t>Norte</w:t>
            </w:r>
          </w:p>
        </w:tc>
        <w:tc>
          <w:tcPr>
            <w:tcW w:w="444" w:type="pct"/>
          </w:tcPr>
          <w:p w:rsidR="00000000" w:rsidRDefault="00000000">
            <w:pPr>
              <w:widowControl w:val="0"/>
              <w:autoSpaceDE w:val="0"/>
              <w:autoSpaceDN w:val="0"/>
              <w:adjustRightInd w:val="0"/>
              <w:spacing w:before="80" w:after="80"/>
              <w:jc w:val="center"/>
              <w:rPr>
                <w:sz w:val="20"/>
                <w:lang w:val="pt-BR"/>
              </w:rPr>
            </w:pPr>
            <w:r>
              <w:rPr>
                <w:sz w:val="20"/>
                <w:lang w:val="pt-BR"/>
              </w:rPr>
              <w:t>97</w:t>
            </w:r>
          </w:p>
        </w:tc>
        <w:tc>
          <w:tcPr>
            <w:tcW w:w="444" w:type="pct"/>
          </w:tcPr>
          <w:p w:rsidR="00000000" w:rsidRDefault="00000000">
            <w:pPr>
              <w:widowControl w:val="0"/>
              <w:autoSpaceDE w:val="0"/>
              <w:autoSpaceDN w:val="0"/>
              <w:adjustRightInd w:val="0"/>
              <w:spacing w:before="80" w:after="80"/>
              <w:jc w:val="center"/>
              <w:rPr>
                <w:sz w:val="20"/>
                <w:lang w:val="pt-BR"/>
              </w:rPr>
            </w:pPr>
            <w:r>
              <w:rPr>
                <w:sz w:val="20"/>
                <w:lang w:val="pt-BR"/>
              </w:rPr>
              <w:t>208</w:t>
            </w:r>
          </w:p>
        </w:tc>
        <w:tc>
          <w:tcPr>
            <w:tcW w:w="444" w:type="pct"/>
          </w:tcPr>
          <w:p w:rsidR="00000000" w:rsidRDefault="00000000">
            <w:pPr>
              <w:widowControl w:val="0"/>
              <w:autoSpaceDE w:val="0"/>
              <w:autoSpaceDN w:val="0"/>
              <w:adjustRightInd w:val="0"/>
              <w:spacing w:before="80" w:after="80"/>
              <w:jc w:val="center"/>
              <w:rPr>
                <w:sz w:val="20"/>
                <w:lang w:val="pt-BR"/>
              </w:rPr>
            </w:pPr>
            <w:r>
              <w:rPr>
                <w:sz w:val="20"/>
                <w:lang w:val="pt-BR"/>
              </w:rPr>
              <w:t>180</w:t>
            </w:r>
          </w:p>
        </w:tc>
        <w:tc>
          <w:tcPr>
            <w:tcW w:w="444" w:type="pct"/>
          </w:tcPr>
          <w:p w:rsidR="00000000" w:rsidRDefault="00000000">
            <w:pPr>
              <w:widowControl w:val="0"/>
              <w:autoSpaceDE w:val="0"/>
              <w:autoSpaceDN w:val="0"/>
              <w:adjustRightInd w:val="0"/>
              <w:spacing w:before="80" w:after="80"/>
              <w:jc w:val="center"/>
              <w:rPr>
                <w:sz w:val="20"/>
                <w:lang w:val="pt-BR"/>
              </w:rPr>
            </w:pPr>
            <w:r>
              <w:rPr>
                <w:sz w:val="20"/>
                <w:lang w:val="pt-BR"/>
              </w:rPr>
              <w:t>139</w:t>
            </w:r>
          </w:p>
        </w:tc>
        <w:tc>
          <w:tcPr>
            <w:tcW w:w="444" w:type="pct"/>
          </w:tcPr>
          <w:p w:rsidR="00000000" w:rsidRDefault="00000000">
            <w:pPr>
              <w:widowControl w:val="0"/>
              <w:autoSpaceDE w:val="0"/>
              <w:autoSpaceDN w:val="0"/>
              <w:adjustRightInd w:val="0"/>
              <w:spacing w:before="80" w:after="80"/>
              <w:jc w:val="center"/>
              <w:rPr>
                <w:sz w:val="20"/>
                <w:lang w:val="pt-BR"/>
              </w:rPr>
            </w:pPr>
            <w:r>
              <w:rPr>
                <w:sz w:val="20"/>
                <w:lang w:val="pt-BR"/>
              </w:rPr>
              <w:t>101</w:t>
            </w:r>
          </w:p>
        </w:tc>
        <w:tc>
          <w:tcPr>
            <w:tcW w:w="439" w:type="pct"/>
          </w:tcPr>
          <w:p w:rsidR="00000000" w:rsidRDefault="00000000">
            <w:pPr>
              <w:widowControl w:val="0"/>
              <w:spacing w:before="80" w:after="80"/>
              <w:jc w:val="center"/>
              <w:rPr>
                <w:sz w:val="20"/>
                <w:lang w:val="pt-BR"/>
              </w:rPr>
            </w:pPr>
            <w:r>
              <w:rPr>
                <w:b/>
                <w:color w:val="000000"/>
                <w:sz w:val="20"/>
                <w:vertAlign w:val="superscript"/>
                <w:lang w:val="pt-BR"/>
              </w:rPr>
              <w:t>*</w:t>
            </w:r>
          </w:p>
        </w:tc>
        <w:tc>
          <w:tcPr>
            <w:tcW w:w="537" w:type="pct"/>
          </w:tcPr>
          <w:p w:rsidR="00000000" w:rsidRDefault="00000000">
            <w:pPr>
              <w:widowControl w:val="0"/>
              <w:autoSpaceDE w:val="0"/>
              <w:autoSpaceDN w:val="0"/>
              <w:adjustRightInd w:val="0"/>
              <w:spacing w:before="80" w:after="80"/>
              <w:jc w:val="center"/>
              <w:rPr>
                <w:sz w:val="20"/>
                <w:lang w:val="pt-BR"/>
              </w:rPr>
            </w:pPr>
            <w:r>
              <w:rPr>
                <w:sz w:val="20"/>
                <w:lang w:val="pt-BR"/>
              </w:rPr>
              <w:t>3.9</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pt-BR"/>
              </w:rPr>
            </w:pPr>
            <w:r>
              <w:rPr>
                <w:sz w:val="20"/>
                <w:lang w:val="pt-BR"/>
              </w:rPr>
              <w:t>Centro Sur</w:t>
            </w:r>
          </w:p>
        </w:tc>
        <w:tc>
          <w:tcPr>
            <w:tcW w:w="444" w:type="pct"/>
          </w:tcPr>
          <w:p w:rsidR="00000000" w:rsidRDefault="00000000">
            <w:pPr>
              <w:widowControl w:val="0"/>
              <w:autoSpaceDE w:val="0"/>
              <w:autoSpaceDN w:val="0"/>
              <w:adjustRightInd w:val="0"/>
              <w:spacing w:before="80" w:after="80"/>
              <w:jc w:val="center"/>
              <w:rPr>
                <w:sz w:val="20"/>
                <w:lang w:val="fr-FR"/>
              </w:rPr>
            </w:pPr>
            <w:r>
              <w:rPr>
                <w:sz w:val="20"/>
                <w:lang w:val="fr-FR"/>
              </w:rPr>
              <w:t>67</w:t>
            </w:r>
          </w:p>
        </w:tc>
        <w:tc>
          <w:tcPr>
            <w:tcW w:w="444" w:type="pct"/>
          </w:tcPr>
          <w:p w:rsidR="00000000" w:rsidRDefault="00000000">
            <w:pPr>
              <w:widowControl w:val="0"/>
              <w:autoSpaceDE w:val="0"/>
              <w:autoSpaceDN w:val="0"/>
              <w:adjustRightInd w:val="0"/>
              <w:spacing w:before="80" w:after="80"/>
              <w:jc w:val="center"/>
              <w:rPr>
                <w:sz w:val="20"/>
                <w:lang w:val="fr-FR"/>
              </w:rPr>
            </w:pPr>
            <w:r>
              <w:rPr>
                <w:sz w:val="20"/>
                <w:lang w:val="fr-FR"/>
              </w:rPr>
              <w:t>172</w:t>
            </w:r>
          </w:p>
        </w:tc>
        <w:tc>
          <w:tcPr>
            <w:tcW w:w="444" w:type="pct"/>
          </w:tcPr>
          <w:p w:rsidR="00000000" w:rsidRDefault="00000000">
            <w:pPr>
              <w:widowControl w:val="0"/>
              <w:autoSpaceDE w:val="0"/>
              <w:autoSpaceDN w:val="0"/>
              <w:adjustRightInd w:val="0"/>
              <w:spacing w:before="80" w:after="80"/>
              <w:jc w:val="center"/>
              <w:rPr>
                <w:sz w:val="20"/>
                <w:lang w:val="fr-FR"/>
              </w:rPr>
            </w:pPr>
            <w:r>
              <w:rPr>
                <w:sz w:val="20"/>
                <w:lang w:val="fr-FR"/>
              </w:rPr>
              <w:t>140</w:t>
            </w:r>
          </w:p>
        </w:tc>
        <w:tc>
          <w:tcPr>
            <w:tcW w:w="444" w:type="pct"/>
          </w:tcPr>
          <w:p w:rsidR="00000000" w:rsidRDefault="00000000">
            <w:pPr>
              <w:widowControl w:val="0"/>
              <w:autoSpaceDE w:val="0"/>
              <w:autoSpaceDN w:val="0"/>
              <w:adjustRightInd w:val="0"/>
              <w:spacing w:before="80" w:after="80"/>
              <w:jc w:val="center"/>
              <w:rPr>
                <w:sz w:val="20"/>
                <w:lang w:val="fr-FR"/>
              </w:rPr>
            </w:pPr>
            <w:r>
              <w:rPr>
                <w:sz w:val="20"/>
                <w:lang w:val="fr-FR"/>
              </w:rPr>
              <w:t>117</w:t>
            </w:r>
          </w:p>
        </w:tc>
        <w:tc>
          <w:tcPr>
            <w:tcW w:w="444" w:type="pct"/>
          </w:tcPr>
          <w:p w:rsidR="00000000" w:rsidRDefault="00000000">
            <w:pPr>
              <w:widowControl w:val="0"/>
              <w:autoSpaceDE w:val="0"/>
              <w:autoSpaceDN w:val="0"/>
              <w:adjustRightInd w:val="0"/>
              <w:spacing w:before="80" w:after="80"/>
              <w:jc w:val="center"/>
              <w:rPr>
                <w:sz w:val="20"/>
                <w:lang w:val="fr-FR"/>
              </w:rPr>
            </w:pPr>
            <w:r>
              <w:rPr>
                <w:sz w:val="20"/>
                <w:lang w:val="fr-FR"/>
              </w:rPr>
              <w:t>69</w:t>
            </w:r>
          </w:p>
        </w:tc>
        <w:tc>
          <w:tcPr>
            <w:tcW w:w="439" w:type="pct"/>
          </w:tcPr>
          <w:p w:rsidR="00000000" w:rsidRDefault="00000000">
            <w:pPr>
              <w:widowControl w:val="0"/>
              <w:spacing w:before="80" w:after="80"/>
              <w:jc w:val="center"/>
              <w:rPr>
                <w:sz w:val="20"/>
                <w:lang w:val="fr-FR"/>
              </w:rPr>
            </w:pPr>
            <w:r>
              <w:rPr>
                <w:b/>
                <w:color w:val="000000"/>
                <w:sz w:val="20"/>
                <w:vertAlign w:val="superscript"/>
                <w:lang w:val="fr-FR"/>
              </w:rPr>
              <w:t>*</w:t>
            </w:r>
          </w:p>
        </w:tc>
        <w:tc>
          <w:tcPr>
            <w:tcW w:w="537" w:type="pct"/>
          </w:tcPr>
          <w:p w:rsidR="00000000" w:rsidRDefault="00000000">
            <w:pPr>
              <w:widowControl w:val="0"/>
              <w:autoSpaceDE w:val="0"/>
              <w:autoSpaceDN w:val="0"/>
              <w:adjustRightInd w:val="0"/>
              <w:spacing w:before="80" w:after="80"/>
              <w:jc w:val="center"/>
              <w:rPr>
                <w:sz w:val="20"/>
                <w:lang w:val="fr-FR"/>
              </w:rPr>
            </w:pPr>
            <w:r>
              <w:rPr>
                <w:sz w:val="20"/>
                <w:lang w:val="fr-FR"/>
              </w:rPr>
              <w:t>3.1</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FR"/>
              </w:rPr>
            </w:pPr>
            <w:r>
              <w:rPr>
                <w:sz w:val="20"/>
                <w:lang w:val="fr-FR"/>
              </w:rPr>
              <w:t>Este</w:t>
            </w:r>
          </w:p>
        </w:tc>
        <w:tc>
          <w:tcPr>
            <w:tcW w:w="444" w:type="pct"/>
          </w:tcPr>
          <w:p w:rsidR="00000000" w:rsidRDefault="00000000">
            <w:pPr>
              <w:widowControl w:val="0"/>
              <w:autoSpaceDE w:val="0"/>
              <w:autoSpaceDN w:val="0"/>
              <w:adjustRightInd w:val="0"/>
              <w:spacing w:before="80" w:after="80"/>
              <w:jc w:val="center"/>
              <w:rPr>
                <w:sz w:val="20"/>
              </w:rPr>
            </w:pPr>
            <w:r>
              <w:rPr>
                <w:sz w:val="20"/>
              </w:rPr>
              <w:t>73</w:t>
            </w:r>
          </w:p>
        </w:tc>
        <w:tc>
          <w:tcPr>
            <w:tcW w:w="444" w:type="pct"/>
          </w:tcPr>
          <w:p w:rsidR="00000000" w:rsidRDefault="00000000">
            <w:pPr>
              <w:widowControl w:val="0"/>
              <w:autoSpaceDE w:val="0"/>
              <w:autoSpaceDN w:val="0"/>
              <w:adjustRightInd w:val="0"/>
              <w:spacing w:before="80" w:after="80"/>
              <w:jc w:val="center"/>
              <w:rPr>
                <w:sz w:val="20"/>
              </w:rPr>
            </w:pPr>
            <w:r>
              <w:rPr>
                <w:sz w:val="20"/>
              </w:rPr>
              <w:t>140</w:t>
            </w:r>
          </w:p>
        </w:tc>
        <w:tc>
          <w:tcPr>
            <w:tcW w:w="444" w:type="pct"/>
          </w:tcPr>
          <w:p w:rsidR="00000000" w:rsidRDefault="00000000">
            <w:pPr>
              <w:widowControl w:val="0"/>
              <w:autoSpaceDE w:val="0"/>
              <w:autoSpaceDN w:val="0"/>
              <w:adjustRightInd w:val="0"/>
              <w:spacing w:before="80" w:after="80"/>
              <w:jc w:val="center"/>
              <w:rPr>
                <w:sz w:val="20"/>
              </w:rPr>
            </w:pPr>
            <w:r>
              <w:rPr>
                <w:sz w:val="20"/>
              </w:rPr>
              <w:t>163</w:t>
            </w:r>
          </w:p>
        </w:tc>
        <w:tc>
          <w:tcPr>
            <w:tcW w:w="444" w:type="pct"/>
          </w:tcPr>
          <w:p w:rsidR="00000000" w:rsidRDefault="00000000">
            <w:pPr>
              <w:widowControl w:val="0"/>
              <w:autoSpaceDE w:val="0"/>
              <w:autoSpaceDN w:val="0"/>
              <w:adjustRightInd w:val="0"/>
              <w:spacing w:before="80" w:after="80"/>
              <w:jc w:val="center"/>
              <w:rPr>
                <w:sz w:val="20"/>
              </w:rPr>
            </w:pPr>
            <w:r>
              <w:rPr>
                <w:sz w:val="20"/>
              </w:rPr>
              <w:t>131</w:t>
            </w:r>
          </w:p>
        </w:tc>
        <w:tc>
          <w:tcPr>
            <w:tcW w:w="444" w:type="pct"/>
          </w:tcPr>
          <w:p w:rsidR="00000000" w:rsidRDefault="00000000">
            <w:pPr>
              <w:widowControl w:val="0"/>
              <w:autoSpaceDE w:val="0"/>
              <w:autoSpaceDN w:val="0"/>
              <w:adjustRightInd w:val="0"/>
              <w:spacing w:before="80" w:after="80"/>
              <w:jc w:val="center"/>
              <w:rPr>
                <w:sz w:val="20"/>
              </w:rPr>
            </w:pPr>
            <w:r>
              <w:rPr>
                <w:sz w:val="20"/>
              </w:rPr>
              <w:t>62</w:t>
            </w:r>
          </w:p>
        </w:tc>
        <w:tc>
          <w:tcPr>
            <w:tcW w:w="439" w:type="pct"/>
          </w:tcPr>
          <w:p w:rsidR="00000000" w:rsidRDefault="00000000">
            <w:pPr>
              <w:widowControl w:val="0"/>
              <w:spacing w:before="80" w:after="80"/>
              <w:jc w:val="center"/>
              <w:rPr>
                <w:sz w:val="20"/>
              </w:rPr>
            </w:pPr>
            <w:r>
              <w:rPr>
                <w:b/>
                <w:color w:val="000000"/>
                <w:sz w:val="20"/>
                <w:vertAlign w:val="superscript"/>
              </w:rPr>
              <w:t>*</w:t>
            </w:r>
          </w:p>
        </w:tc>
        <w:tc>
          <w:tcPr>
            <w:tcW w:w="537" w:type="pct"/>
          </w:tcPr>
          <w:p w:rsidR="00000000" w:rsidRDefault="00000000">
            <w:pPr>
              <w:widowControl w:val="0"/>
              <w:autoSpaceDE w:val="0"/>
              <w:autoSpaceDN w:val="0"/>
              <w:adjustRightInd w:val="0"/>
              <w:spacing w:before="80" w:after="80"/>
              <w:jc w:val="center"/>
              <w:rPr>
                <w:sz w:val="20"/>
              </w:rPr>
            </w:pPr>
            <w:r>
              <w:rPr>
                <w:sz w:val="20"/>
              </w:rPr>
              <w:t>3.0</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Education ( years of approved studies)</w:t>
            </w:r>
          </w:p>
        </w:tc>
        <w:tc>
          <w:tcPr>
            <w:tcW w:w="444" w:type="pct"/>
          </w:tcPr>
          <w:p w:rsidR="00000000" w:rsidRDefault="00000000">
            <w:pPr>
              <w:widowControl w:val="0"/>
              <w:autoSpaceDE w:val="0"/>
              <w:autoSpaceDN w:val="0"/>
              <w:adjustRightInd w:val="0"/>
              <w:spacing w:before="80" w:after="80"/>
              <w:jc w:val="center"/>
              <w:rPr>
                <w:sz w:val="20"/>
              </w:rPr>
            </w:pPr>
          </w:p>
        </w:tc>
        <w:tc>
          <w:tcPr>
            <w:tcW w:w="444" w:type="pct"/>
          </w:tcPr>
          <w:p w:rsidR="00000000" w:rsidRDefault="00000000">
            <w:pPr>
              <w:widowControl w:val="0"/>
              <w:autoSpaceDE w:val="0"/>
              <w:autoSpaceDN w:val="0"/>
              <w:adjustRightInd w:val="0"/>
              <w:spacing w:before="80" w:after="80"/>
              <w:jc w:val="center"/>
              <w:rPr>
                <w:sz w:val="20"/>
              </w:rPr>
            </w:pPr>
          </w:p>
        </w:tc>
        <w:tc>
          <w:tcPr>
            <w:tcW w:w="444" w:type="pct"/>
          </w:tcPr>
          <w:p w:rsidR="00000000" w:rsidRDefault="00000000">
            <w:pPr>
              <w:widowControl w:val="0"/>
              <w:autoSpaceDE w:val="0"/>
              <w:autoSpaceDN w:val="0"/>
              <w:adjustRightInd w:val="0"/>
              <w:spacing w:before="80" w:after="80"/>
              <w:jc w:val="center"/>
              <w:rPr>
                <w:sz w:val="20"/>
              </w:rPr>
            </w:pPr>
          </w:p>
        </w:tc>
        <w:tc>
          <w:tcPr>
            <w:tcW w:w="444" w:type="pct"/>
          </w:tcPr>
          <w:p w:rsidR="00000000" w:rsidRDefault="00000000">
            <w:pPr>
              <w:widowControl w:val="0"/>
              <w:autoSpaceDE w:val="0"/>
              <w:autoSpaceDN w:val="0"/>
              <w:adjustRightInd w:val="0"/>
              <w:spacing w:before="80" w:after="80"/>
              <w:jc w:val="center"/>
              <w:rPr>
                <w:sz w:val="20"/>
              </w:rPr>
            </w:pPr>
          </w:p>
        </w:tc>
        <w:tc>
          <w:tcPr>
            <w:tcW w:w="444" w:type="pct"/>
          </w:tcPr>
          <w:p w:rsidR="00000000" w:rsidRDefault="00000000">
            <w:pPr>
              <w:widowControl w:val="0"/>
              <w:autoSpaceDE w:val="0"/>
              <w:autoSpaceDN w:val="0"/>
              <w:adjustRightInd w:val="0"/>
              <w:spacing w:before="80" w:after="80"/>
              <w:jc w:val="center"/>
              <w:rPr>
                <w:sz w:val="20"/>
              </w:rPr>
            </w:pPr>
          </w:p>
        </w:tc>
        <w:tc>
          <w:tcPr>
            <w:tcW w:w="439" w:type="pct"/>
          </w:tcPr>
          <w:p w:rsidR="00000000" w:rsidRDefault="00000000">
            <w:pPr>
              <w:widowControl w:val="0"/>
              <w:spacing w:before="80" w:after="80"/>
              <w:jc w:val="center"/>
              <w:rPr>
                <w:sz w:val="20"/>
              </w:rPr>
            </w:pPr>
            <w:r>
              <w:rPr>
                <w:b/>
                <w:color w:val="000000"/>
                <w:sz w:val="20"/>
                <w:vertAlign w:val="superscript"/>
              </w:rPr>
              <w:t>*</w:t>
            </w:r>
          </w:p>
        </w:tc>
        <w:tc>
          <w:tcPr>
            <w:tcW w:w="537" w:type="pct"/>
          </w:tcPr>
          <w:p w:rsidR="00000000" w:rsidRDefault="00000000">
            <w:pPr>
              <w:widowControl w:val="0"/>
              <w:autoSpaceDE w:val="0"/>
              <w:autoSpaceDN w:val="0"/>
              <w:adjustRightInd w:val="0"/>
              <w:spacing w:before="80" w:after="80"/>
              <w:jc w:val="center"/>
              <w:rPr>
                <w:sz w:val="20"/>
              </w:rPr>
            </w:pP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0-5 years</w:t>
            </w:r>
          </w:p>
        </w:tc>
        <w:tc>
          <w:tcPr>
            <w:tcW w:w="444" w:type="pct"/>
          </w:tcPr>
          <w:p w:rsidR="00000000" w:rsidRDefault="00000000">
            <w:pPr>
              <w:widowControl w:val="0"/>
              <w:autoSpaceDE w:val="0"/>
              <w:autoSpaceDN w:val="0"/>
              <w:adjustRightInd w:val="0"/>
              <w:spacing w:before="80" w:after="80"/>
              <w:jc w:val="center"/>
              <w:rPr>
                <w:sz w:val="20"/>
              </w:rPr>
            </w:pPr>
            <w:r>
              <w:rPr>
                <w:sz w:val="20"/>
              </w:rPr>
              <w:t>136</w:t>
            </w:r>
          </w:p>
        </w:tc>
        <w:tc>
          <w:tcPr>
            <w:tcW w:w="444" w:type="pct"/>
          </w:tcPr>
          <w:p w:rsidR="00000000" w:rsidRDefault="00000000">
            <w:pPr>
              <w:widowControl w:val="0"/>
              <w:autoSpaceDE w:val="0"/>
              <w:autoSpaceDN w:val="0"/>
              <w:adjustRightInd w:val="0"/>
              <w:spacing w:before="80" w:after="80"/>
              <w:jc w:val="center"/>
              <w:rPr>
                <w:sz w:val="20"/>
              </w:rPr>
            </w:pPr>
            <w:r>
              <w:rPr>
                <w:sz w:val="20"/>
              </w:rPr>
              <w:t>249</w:t>
            </w:r>
          </w:p>
        </w:tc>
        <w:tc>
          <w:tcPr>
            <w:tcW w:w="444" w:type="pct"/>
          </w:tcPr>
          <w:p w:rsidR="00000000" w:rsidRDefault="00000000">
            <w:pPr>
              <w:widowControl w:val="0"/>
              <w:autoSpaceDE w:val="0"/>
              <w:autoSpaceDN w:val="0"/>
              <w:adjustRightInd w:val="0"/>
              <w:spacing w:before="80" w:after="80"/>
              <w:jc w:val="center"/>
              <w:rPr>
                <w:sz w:val="20"/>
              </w:rPr>
            </w:pPr>
            <w:r>
              <w:rPr>
                <w:sz w:val="20"/>
              </w:rPr>
              <w:t>190</w:t>
            </w:r>
          </w:p>
        </w:tc>
        <w:tc>
          <w:tcPr>
            <w:tcW w:w="444" w:type="pct"/>
          </w:tcPr>
          <w:p w:rsidR="00000000" w:rsidRDefault="00000000">
            <w:pPr>
              <w:widowControl w:val="0"/>
              <w:autoSpaceDE w:val="0"/>
              <w:autoSpaceDN w:val="0"/>
              <w:adjustRightInd w:val="0"/>
              <w:spacing w:before="80" w:after="80"/>
              <w:jc w:val="center"/>
              <w:rPr>
                <w:sz w:val="20"/>
              </w:rPr>
            </w:pPr>
            <w:r>
              <w:rPr>
                <w:sz w:val="20"/>
              </w:rPr>
              <w:t>144</w:t>
            </w:r>
          </w:p>
        </w:tc>
        <w:tc>
          <w:tcPr>
            <w:tcW w:w="444" w:type="pct"/>
          </w:tcPr>
          <w:p w:rsidR="00000000" w:rsidRDefault="00000000">
            <w:pPr>
              <w:widowControl w:val="0"/>
              <w:autoSpaceDE w:val="0"/>
              <w:autoSpaceDN w:val="0"/>
              <w:adjustRightInd w:val="0"/>
              <w:spacing w:before="80" w:after="80"/>
              <w:jc w:val="center"/>
              <w:rPr>
                <w:sz w:val="20"/>
              </w:rPr>
            </w:pPr>
            <w:r>
              <w:rPr>
                <w:sz w:val="20"/>
              </w:rPr>
              <w:t>83</w:t>
            </w:r>
          </w:p>
        </w:tc>
        <w:tc>
          <w:tcPr>
            <w:tcW w:w="439" w:type="pct"/>
          </w:tcPr>
          <w:p w:rsidR="00000000" w:rsidRDefault="00000000">
            <w:pPr>
              <w:widowControl w:val="0"/>
              <w:spacing w:before="80" w:after="80"/>
              <w:jc w:val="center"/>
              <w:rPr>
                <w:sz w:val="20"/>
              </w:rPr>
            </w:pPr>
            <w:r>
              <w:rPr>
                <w:b/>
                <w:color w:val="000000"/>
                <w:sz w:val="20"/>
                <w:vertAlign w:val="superscript"/>
              </w:rPr>
              <w:t>*</w:t>
            </w:r>
          </w:p>
        </w:tc>
        <w:tc>
          <w:tcPr>
            <w:tcW w:w="537" w:type="pct"/>
          </w:tcPr>
          <w:p w:rsidR="00000000" w:rsidRDefault="00000000">
            <w:pPr>
              <w:widowControl w:val="0"/>
              <w:autoSpaceDE w:val="0"/>
              <w:autoSpaceDN w:val="0"/>
              <w:adjustRightInd w:val="0"/>
              <w:spacing w:before="80" w:after="80"/>
              <w:jc w:val="center"/>
              <w:rPr>
                <w:sz w:val="20"/>
              </w:rPr>
            </w:pPr>
            <w:r>
              <w:rPr>
                <w:sz w:val="20"/>
              </w:rPr>
              <w:t>4.2</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6 years</w:t>
            </w:r>
          </w:p>
        </w:tc>
        <w:tc>
          <w:tcPr>
            <w:tcW w:w="444" w:type="pct"/>
          </w:tcPr>
          <w:p w:rsidR="00000000" w:rsidRDefault="00000000">
            <w:pPr>
              <w:widowControl w:val="0"/>
              <w:autoSpaceDE w:val="0"/>
              <w:autoSpaceDN w:val="0"/>
              <w:adjustRightInd w:val="0"/>
              <w:spacing w:before="80" w:after="80"/>
              <w:jc w:val="center"/>
              <w:rPr>
                <w:sz w:val="20"/>
              </w:rPr>
            </w:pPr>
            <w:r>
              <w:rPr>
                <w:sz w:val="20"/>
              </w:rPr>
              <w:t>153</w:t>
            </w:r>
          </w:p>
        </w:tc>
        <w:tc>
          <w:tcPr>
            <w:tcW w:w="444" w:type="pct"/>
          </w:tcPr>
          <w:p w:rsidR="00000000" w:rsidRDefault="00000000">
            <w:pPr>
              <w:widowControl w:val="0"/>
              <w:autoSpaceDE w:val="0"/>
              <w:autoSpaceDN w:val="0"/>
              <w:adjustRightInd w:val="0"/>
              <w:spacing w:before="80" w:after="80"/>
              <w:jc w:val="center"/>
              <w:rPr>
                <w:sz w:val="20"/>
              </w:rPr>
            </w:pPr>
            <w:r>
              <w:rPr>
                <w:sz w:val="20"/>
              </w:rPr>
              <w:t>217</w:t>
            </w:r>
          </w:p>
        </w:tc>
        <w:tc>
          <w:tcPr>
            <w:tcW w:w="444" w:type="pct"/>
          </w:tcPr>
          <w:p w:rsidR="00000000" w:rsidRDefault="00000000">
            <w:pPr>
              <w:widowControl w:val="0"/>
              <w:autoSpaceDE w:val="0"/>
              <w:autoSpaceDN w:val="0"/>
              <w:adjustRightInd w:val="0"/>
              <w:spacing w:before="80" w:after="80"/>
              <w:jc w:val="center"/>
              <w:rPr>
                <w:sz w:val="20"/>
              </w:rPr>
            </w:pPr>
            <w:r>
              <w:rPr>
                <w:sz w:val="20"/>
              </w:rPr>
              <w:t>151</w:t>
            </w:r>
          </w:p>
        </w:tc>
        <w:tc>
          <w:tcPr>
            <w:tcW w:w="444" w:type="pct"/>
          </w:tcPr>
          <w:p w:rsidR="00000000" w:rsidRDefault="00000000">
            <w:pPr>
              <w:widowControl w:val="0"/>
              <w:autoSpaceDE w:val="0"/>
              <w:autoSpaceDN w:val="0"/>
              <w:adjustRightInd w:val="0"/>
              <w:spacing w:before="80" w:after="80"/>
              <w:jc w:val="center"/>
              <w:rPr>
                <w:sz w:val="20"/>
              </w:rPr>
            </w:pPr>
            <w:r>
              <w:rPr>
                <w:sz w:val="20"/>
              </w:rPr>
              <w:t>120</w:t>
            </w:r>
          </w:p>
        </w:tc>
        <w:tc>
          <w:tcPr>
            <w:tcW w:w="444" w:type="pct"/>
          </w:tcPr>
          <w:p w:rsidR="00000000" w:rsidRDefault="00000000">
            <w:pPr>
              <w:widowControl w:val="0"/>
              <w:autoSpaceDE w:val="0"/>
              <w:autoSpaceDN w:val="0"/>
              <w:adjustRightInd w:val="0"/>
              <w:spacing w:before="80" w:after="80"/>
              <w:jc w:val="center"/>
              <w:rPr>
                <w:sz w:val="20"/>
              </w:rPr>
            </w:pPr>
            <w:r>
              <w:rPr>
                <w:sz w:val="20"/>
              </w:rPr>
              <w:t>70</w:t>
            </w:r>
          </w:p>
        </w:tc>
        <w:tc>
          <w:tcPr>
            <w:tcW w:w="439" w:type="pct"/>
          </w:tcPr>
          <w:p w:rsidR="00000000" w:rsidRDefault="00000000">
            <w:pPr>
              <w:widowControl w:val="0"/>
              <w:autoSpaceDE w:val="0"/>
              <w:autoSpaceDN w:val="0"/>
              <w:adjustRightInd w:val="0"/>
              <w:spacing w:before="80" w:after="80"/>
              <w:jc w:val="center"/>
              <w:rPr>
                <w:sz w:val="20"/>
              </w:rPr>
            </w:pPr>
            <w:r>
              <w:rPr>
                <w:sz w:val="20"/>
              </w:rPr>
              <w:t>52</w:t>
            </w:r>
          </w:p>
        </w:tc>
        <w:tc>
          <w:tcPr>
            <w:tcW w:w="537" w:type="pct"/>
          </w:tcPr>
          <w:p w:rsidR="00000000" w:rsidRDefault="00000000">
            <w:pPr>
              <w:widowControl w:val="0"/>
              <w:autoSpaceDE w:val="0"/>
              <w:autoSpaceDN w:val="0"/>
              <w:adjustRightInd w:val="0"/>
              <w:spacing w:before="80" w:after="80"/>
              <w:jc w:val="center"/>
              <w:rPr>
                <w:sz w:val="20"/>
              </w:rPr>
            </w:pPr>
            <w:r>
              <w:rPr>
                <w:sz w:val="20"/>
              </w:rPr>
              <w:t>3.8</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7-11 years</w:t>
            </w:r>
          </w:p>
        </w:tc>
        <w:tc>
          <w:tcPr>
            <w:tcW w:w="444" w:type="pct"/>
          </w:tcPr>
          <w:p w:rsidR="00000000" w:rsidRDefault="00000000">
            <w:pPr>
              <w:widowControl w:val="0"/>
              <w:autoSpaceDE w:val="0"/>
              <w:autoSpaceDN w:val="0"/>
              <w:adjustRightInd w:val="0"/>
              <w:spacing w:before="80" w:after="80"/>
              <w:jc w:val="center"/>
              <w:rPr>
                <w:sz w:val="20"/>
              </w:rPr>
            </w:pPr>
            <w:r>
              <w:rPr>
                <w:sz w:val="20"/>
              </w:rPr>
              <w:t>54</w:t>
            </w:r>
          </w:p>
        </w:tc>
        <w:tc>
          <w:tcPr>
            <w:tcW w:w="444" w:type="pct"/>
          </w:tcPr>
          <w:p w:rsidR="00000000" w:rsidRDefault="00000000">
            <w:pPr>
              <w:widowControl w:val="0"/>
              <w:autoSpaceDE w:val="0"/>
              <w:autoSpaceDN w:val="0"/>
              <w:adjustRightInd w:val="0"/>
              <w:spacing w:before="80" w:after="80"/>
              <w:jc w:val="center"/>
              <w:rPr>
                <w:sz w:val="20"/>
              </w:rPr>
            </w:pPr>
            <w:r>
              <w:rPr>
                <w:sz w:val="20"/>
              </w:rPr>
              <w:t>188</w:t>
            </w:r>
          </w:p>
        </w:tc>
        <w:tc>
          <w:tcPr>
            <w:tcW w:w="444" w:type="pct"/>
          </w:tcPr>
          <w:p w:rsidR="00000000" w:rsidRDefault="00000000">
            <w:pPr>
              <w:widowControl w:val="0"/>
              <w:autoSpaceDE w:val="0"/>
              <w:autoSpaceDN w:val="0"/>
              <w:adjustRightInd w:val="0"/>
              <w:spacing w:before="80" w:after="80"/>
              <w:jc w:val="center"/>
              <w:rPr>
                <w:sz w:val="20"/>
              </w:rPr>
            </w:pPr>
            <w:r>
              <w:rPr>
                <w:sz w:val="20"/>
              </w:rPr>
              <w:t>146</w:t>
            </w:r>
          </w:p>
        </w:tc>
        <w:tc>
          <w:tcPr>
            <w:tcW w:w="444" w:type="pct"/>
          </w:tcPr>
          <w:p w:rsidR="00000000" w:rsidRDefault="00000000">
            <w:pPr>
              <w:widowControl w:val="0"/>
              <w:autoSpaceDE w:val="0"/>
              <w:autoSpaceDN w:val="0"/>
              <w:adjustRightInd w:val="0"/>
              <w:spacing w:before="80" w:after="80"/>
              <w:jc w:val="center"/>
              <w:rPr>
                <w:sz w:val="20"/>
              </w:rPr>
            </w:pPr>
            <w:r>
              <w:rPr>
                <w:sz w:val="20"/>
              </w:rPr>
              <w:t>116</w:t>
            </w:r>
          </w:p>
        </w:tc>
        <w:tc>
          <w:tcPr>
            <w:tcW w:w="444" w:type="pct"/>
          </w:tcPr>
          <w:p w:rsidR="00000000" w:rsidRDefault="00000000">
            <w:pPr>
              <w:widowControl w:val="0"/>
              <w:autoSpaceDE w:val="0"/>
              <w:autoSpaceDN w:val="0"/>
              <w:adjustRightInd w:val="0"/>
              <w:spacing w:before="80" w:after="80"/>
              <w:jc w:val="center"/>
              <w:rPr>
                <w:sz w:val="20"/>
              </w:rPr>
            </w:pPr>
            <w:r>
              <w:rPr>
                <w:sz w:val="20"/>
              </w:rPr>
              <w:t>55</w:t>
            </w:r>
          </w:p>
        </w:tc>
        <w:tc>
          <w:tcPr>
            <w:tcW w:w="439" w:type="pct"/>
          </w:tcPr>
          <w:p w:rsidR="00000000" w:rsidRDefault="00000000">
            <w:pPr>
              <w:widowControl w:val="0"/>
              <w:spacing w:before="80" w:after="80"/>
              <w:jc w:val="center"/>
              <w:rPr>
                <w:sz w:val="20"/>
              </w:rPr>
            </w:pPr>
            <w:r>
              <w:rPr>
                <w:b/>
                <w:color w:val="000000"/>
                <w:sz w:val="20"/>
                <w:vertAlign w:val="superscript"/>
              </w:rPr>
              <w:t>*</w:t>
            </w:r>
          </w:p>
        </w:tc>
        <w:tc>
          <w:tcPr>
            <w:tcW w:w="537" w:type="pct"/>
          </w:tcPr>
          <w:p w:rsidR="00000000" w:rsidRDefault="00000000">
            <w:pPr>
              <w:widowControl w:val="0"/>
              <w:autoSpaceDE w:val="0"/>
              <w:autoSpaceDN w:val="0"/>
              <w:adjustRightInd w:val="0"/>
              <w:spacing w:before="80" w:after="80"/>
              <w:jc w:val="center"/>
              <w:rPr>
                <w:sz w:val="20"/>
              </w:rPr>
            </w:pPr>
            <w:r>
              <w:rPr>
                <w:sz w:val="20"/>
              </w:rPr>
              <w:t>2.9</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From 12 years</w:t>
            </w:r>
          </w:p>
        </w:tc>
        <w:tc>
          <w:tcPr>
            <w:tcW w:w="444" w:type="pct"/>
          </w:tcPr>
          <w:p w:rsidR="00000000" w:rsidRDefault="00000000">
            <w:pPr>
              <w:widowControl w:val="0"/>
              <w:autoSpaceDE w:val="0"/>
              <w:autoSpaceDN w:val="0"/>
              <w:adjustRightInd w:val="0"/>
              <w:spacing w:before="80" w:after="80"/>
              <w:jc w:val="center"/>
              <w:rPr>
                <w:sz w:val="20"/>
              </w:rPr>
            </w:pPr>
            <w:r>
              <w:rPr>
                <w:sz w:val="20"/>
              </w:rPr>
              <w:t>26</w:t>
            </w:r>
          </w:p>
        </w:tc>
        <w:tc>
          <w:tcPr>
            <w:tcW w:w="444" w:type="pct"/>
          </w:tcPr>
          <w:p w:rsidR="00000000" w:rsidRDefault="00000000">
            <w:pPr>
              <w:widowControl w:val="0"/>
              <w:autoSpaceDE w:val="0"/>
              <w:autoSpaceDN w:val="0"/>
              <w:adjustRightInd w:val="0"/>
              <w:spacing w:before="80" w:after="80"/>
              <w:jc w:val="center"/>
              <w:rPr>
                <w:sz w:val="20"/>
              </w:rPr>
            </w:pPr>
            <w:r>
              <w:rPr>
                <w:sz w:val="20"/>
              </w:rPr>
              <w:t>89</w:t>
            </w:r>
          </w:p>
        </w:tc>
        <w:tc>
          <w:tcPr>
            <w:tcW w:w="444" w:type="pct"/>
          </w:tcPr>
          <w:p w:rsidR="00000000" w:rsidRDefault="00000000">
            <w:pPr>
              <w:widowControl w:val="0"/>
              <w:autoSpaceDE w:val="0"/>
              <w:autoSpaceDN w:val="0"/>
              <w:adjustRightInd w:val="0"/>
              <w:spacing w:before="80" w:after="80"/>
              <w:jc w:val="center"/>
              <w:rPr>
                <w:sz w:val="20"/>
              </w:rPr>
            </w:pPr>
            <w:r>
              <w:rPr>
                <w:sz w:val="20"/>
              </w:rPr>
              <w:t>109</w:t>
            </w:r>
          </w:p>
        </w:tc>
        <w:tc>
          <w:tcPr>
            <w:tcW w:w="444" w:type="pct"/>
          </w:tcPr>
          <w:p w:rsidR="00000000" w:rsidRDefault="00000000">
            <w:pPr>
              <w:widowControl w:val="0"/>
              <w:autoSpaceDE w:val="0"/>
              <w:autoSpaceDN w:val="0"/>
              <w:adjustRightInd w:val="0"/>
              <w:spacing w:before="80" w:after="80"/>
              <w:jc w:val="center"/>
              <w:rPr>
                <w:sz w:val="20"/>
              </w:rPr>
            </w:pPr>
            <w:r>
              <w:rPr>
                <w:sz w:val="20"/>
              </w:rPr>
              <w:t>111</w:t>
            </w:r>
          </w:p>
        </w:tc>
        <w:tc>
          <w:tcPr>
            <w:tcW w:w="444" w:type="pct"/>
          </w:tcPr>
          <w:p w:rsidR="00000000" w:rsidRDefault="00000000">
            <w:pPr>
              <w:widowControl w:val="0"/>
              <w:autoSpaceDE w:val="0"/>
              <w:autoSpaceDN w:val="0"/>
              <w:adjustRightInd w:val="0"/>
              <w:spacing w:before="80" w:after="80"/>
              <w:jc w:val="center"/>
              <w:rPr>
                <w:sz w:val="20"/>
              </w:rPr>
            </w:pPr>
            <w:r>
              <w:rPr>
                <w:sz w:val="20"/>
              </w:rPr>
              <w:t>60</w:t>
            </w:r>
          </w:p>
        </w:tc>
        <w:tc>
          <w:tcPr>
            <w:tcW w:w="439" w:type="pct"/>
          </w:tcPr>
          <w:p w:rsidR="00000000" w:rsidRDefault="00000000">
            <w:pPr>
              <w:widowControl w:val="0"/>
              <w:spacing w:before="80" w:after="80"/>
              <w:jc w:val="center"/>
              <w:rPr>
                <w:sz w:val="20"/>
              </w:rPr>
            </w:pPr>
            <w:r>
              <w:rPr>
                <w:b/>
                <w:color w:val="000000"/>
                <w:sz w:val="20"/>
                <w:vertAlign w:val="superscript"/>
              </w:rPr>
              <w:t>*</w:t>
            </w:r>
          </w:p>
        </w:tc>
        <w:tc>
          <w:tcPr>
            <w:tcW w:w="537" w:type="pct"/>
          </w:tcPr>
          <w:p w:rsidR="00000000" w:rsidRDefault="00000000">
            <w:pPr>
              <w:widowControl w:val="0"/>
              <w:autoSpaceDE w:val="0"/>
              <w:autoSpaceDN w:val="0"/>
              <w:adjustRightInd w:val="0"/>
              <w:spacing w:before="80" w:after="80"/>
              <w:jc w:val="center"/>
              <w:rPr>
                <w:sz w:val="20"/>
              </w:rPr>
            </w:pPr>
            <w:r>
              <w:rPr>
                <w:sz w:val="20"/>
              </w:rPr>
              <w:t>2.1</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Language spoken in home</w:t>
            </w:r>
          </w:p>
        </w:tc>
        <w:tc>
          <w:tcPr>
            <w:tcW w:w="444" w:type="pct"/>
          </w:tcPr>
          <w:p w:rsidR="00000000" w:rsidRDefault="00000000">
            <w:pPr>
              <w:widowControl w:val="0"/>
              <w:autoSpaceDE w:val="0"/>
              <w:autoSpaceDN w:val="0"/>
              <w:adjustRightInd w:val="0"/>
              <w:spacing w:before="80" w:after="80"/>
              <w:jc w:val="center"/>
              <w:rPr>
                <w:sz w:val="20"/>
              </w:rPr>
            </w:pPr>
          </w:p>
        </w:tc>
        <w:tc>
          <w:tcPr>
            <w:tcW w:w="444" w:type="pct"/>
          </w:tcPr>
          <w:p w:rsidR="00000000" w:rsidRDefault="00000000">
            <w:pPr>
              <w:widowControl w:val="0"/>
              <w:autoSpaceDE w:val="0"/>
              <w:autoSpaceDN w:val="0"/>
              <w:adjustRightInd w:val="0"/>
              <w:spacing w:before="80" w:after="80"/>
              <w:jc w:val="center"/>
              <w:rPr>
                <w:sz w:val="20"/>
              </w:rPr>
            </w:pPr>
          </w:p>
        </w:tc>
        <w:tc>
          <w:tcPr>
            <w:tcW w:w="444" w:type="pct"/>
          </w:tcPr>
          <w:p w:rsidR="00000000" w:rsidRDefault="00000000">
            <w:pPr>
              <w:widowControl w:val="0"/>
              <w:autoSpaceDE w:val="0"/>
              <w:autoSpaceDN w:val="0"/>
              <w:adjustRightInd w:val="0"/>
              <w:spacing w:before="80" w:after="80"/>
              <w:jc w:val="center"/>
              <w:rPr>
                <w:sz w:val="20"/>
              </w:rPr>
            </w:pPr>
          </w:p>
        </w:tc>
        <w:tc>
          <w:tcPr>
            <w:tcW w:w="444" w:type="pct"/>
          </w:tcPr>
          <w:p w:rsidR="00000000" w:rsidRDefault="00000000">
            <w:pPr>
              <w:widowControl w:val="0"/>
              <w:autoSpaceDE w:val="0"/>
              <w:autoSpaceDN w:val="0"/>
              <w:adjustRightInd w:val="0"/>
              <w:spacing w:before="80" w:after="80"/>
              <w:jc w:val="center"/>
              <w:rPr>
                <w:sz w:val="20"/>
              </w:rPr>
            </w:pPr>
          </w:p>
        </w:tc>
        <w:tc>
          <w:tcPr>
            <w:tcW w:w="444" w:type="pct"/>
          </w:tcPr>
          <w:p w:rsidR="00000000" w:rsidRDefault="00000000">
            <w:pPr>
              <w:widowControl w:val="0"/>
              <w:autoSpaceDE w:val="0"/>
              <w:autoSpaceDN w:val="0"/>
              <w:adjustRightInd w:val="0"/>
              <w:spacing w:before="80" w:after="80"/>
              <w:jc w:val="center"/>
              <w:rPr>
                <w:sz w:val="20"/>
              </w:rPr>
            </w:pPr>
          </w:p>
        </w:tc>
        <w:tc>
          <w:tcPr>
            <w:tcW w:w="439" w:type="pct"/>
          </w:tcPr>
          <w:p w:rsidR="00000000" w:rsidRDefault="00000000">
            <w:pPr>
              <w:widowControl w:val="0"/>
              <w:spacing w:before="80" w:after="80"/>
              <w:jc w:val="center"/>
              <w:rPr>
                <w:sz w:val="20"/>
              </w:rPr>
            </w:pPr>
            <w:r>
              <w:rPr>
                <w:b/>
                <w:color w:val="000000"/>
                <w:sz w:val="20"/>
                <w:vertAlign w:val="superscript"/>
              </w:rPr>
              <w:t>*</w:t>
            </w:r>
          </w:p>
        </w:tc>
        <w:tc>
          <w:tcPr>
            <w:tcW w:w="537" w:type="pct"/>
          </w:tcPr>
          <w:p w:rsidR="00000000" w:rsidRDefault="00000000">
            <w:pPr>
              <w:widowControl w:val="0"/>
              <w:autoSpaceDE w:val="0"/>
              <w:autoSpaceDN w:val="0"/>
              <w:adjustRightInd w:val="0"/>
              <w:spacing w:before="80" w:after="80"/>
              <w:jc w:val="center"/>
              <w:rPr>
                <w:sz w:val="20"/>
              </w:rPr>
            </w:pP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Guaraní</w:t>
            </w:r>
          </w:p>
        </w:tc>
        <w:tc>
          <w:tcPr>
            <w:tcW w:w="444" w:type="pct"/>
          </w:tcPr>
          <w:p w:rsidR="00000000" w:rsidRDefault="00000000">
            <w:pPr>
              <w:widowControl w:val="0"/>
              <w:autoSpaceDE w:val="0"/>
              <w:autoSpaceDN w:val="0"/>
              <w:adjustRightInd w:val="0"/>
              <w:spacing w:before="80" w:after="80"/>
              <w:jc w:val="center"/>
              <w:rPr>
                <w:sz w:val="20"/>
              </w:rPr>
            </w:pPr>
            <w:r>
              <w:rPr>
                <w:sz w:val="20"/>
              </w:rPr>
              <w:t>99</w:t>
            </w:r>
          </w:p>
        </w:tc>
        <w:tc>
          <w:tcPr>
            <w:tcW w:w="444" w:type="pct"/>
          </w:tcPr>
          <w:p w:rsidR="00000000" w:rsidRDefault="00000000">
            <w:pPr>
              <w:widowControl w:val="0"/>
              <w:autoSpaceDE w:val="0"/>
              <w:autoSpaceDN w:val="0"/>
              <w:adjustRightInd w:val="0"/>
              <w:spacing w:before="80" w:after="80"/>
              <w:jc w:val="center"/>
              <w:rPr>
                <w:sz w:val="20"/>
              </w:rPr>
            </w:pPr>
            <w:r>
              <w:rPr>
                <w:sz w:val="20"/>
              </w:rPr>
              <w:t>209</w:t>
            </w:r>
          </w:p>
        </w:tc>
        <w:tc>
          <w:tcPr>
            <w:tcW w:w="444" w:type="pct"/>
          </w:tcPr>
          <w:p w:rsidR="00000000" w:rsidRDefault="00000000">
            <w:pPr>
              <w:widowControl w:val="0"/>
              <w:autoSpaceDE w:val="0"/>
              <w:autoSpaceDN w:val="0"/>
              <w:adjustRightInd w:val="0"/>
              <w:spacing w:before="80" w:after="80"/>
              <w:jc w:val="center"/>
              <w:rPr>
                <w:sz w:val="20"/>
              </w:rPr>
            </w:pPr>
            <w:r>
              <w:rPr>
                <w:sz w:val="20"/>
              </w:rPr>
              <w:t>182</w:t>
            </w:r>
          </w:p>
        </w:tc>
        <w:tc>
          <w:tcPr>
            <w:tcW w:w="444" w:type="pct"/>
          </w:tcPr>
          <w:p w:rsidR="00000000" w:rsidRDefault="00000000">
            <w:pPr>
              <w:widowControl w:val="0"/>
              <w:autoSpaceDE w:val="0"/>
              <w:autoSpaceDN w:val="0"/>
              <w:adjustRightInd w:val="0"/>
              <w:spacing w:before="80" w:after="80"/>
              <w:jc w:val="center"/>
              <w:rPr>
                <w:sz w:val="20"/>
              </w:rPr>
            </w:pPr>
            <w:r>
              <w:rPr>
                <w:sz w:val="20"/>
              </w:rPr>
              <w:t>142</w:t>
            </w:r>
          </w:p>
        </w:tc>
        <w:tc>
          <w:tcPr>
            <w:tcW w:w="444" w:type="pct"/>
          </w:tcPr>
          <w:p w:rsidR="00000000" w:rsidRDefault="00000000">
            <w:pPr>
              <w:widowControl w:val="0"/>
              <w:autoSpaceDE w:val="0"/>
              <w:autoSpaceDN w:val="0"/>
              <w:adjustRightInd w:val="0"/>
              <w:spacing w:before="80" w:after="80"/>
              <w:jc w:val="center"/>
              <w:rPr>
                <w:sz w:val="20"/>
              </w:rPr>
            </w:pPr>
            <w:r>
              <w:rPr>
                <w:sz w:val="20"/>
              </w:rPr>
              <w:t>99</w:t>
            </w:r>
          </w:p>
        </w:tc>
        <w:tc>
          <w:tcPr>
            <w:tcW w:w="439" w:type="pct"/>
          </w:tcPr>
          <w:p w:rsidR="00000000" w:rsidRDefault="00000000">
            <w:pPr>
              <w:widowControl w:val="0"/>
              <w:autoSpaceDE w:val="0"/>
              <w:autoSpaceDN w:val="0"/>
              <w:adjustRightInd w:val="0"/>
              <w:spacing w:before="80" w:after="80"/>
              <w:jc w:val="center"/>
              <w:rPr>
                <w:sz w:val="20"/>
              </w:rPr>
            </w:pPr>
            <w:r>
              <w:rPr>
                <w:sz w:val="20"/>
              </w:rPr>
              <w:t>53</w:t>
            </w:r>
          </w:p>
        </w:tc>
        <w:tc>
          <w:tcPr>
            <w:tcW w:w="537" w:type="pct"/>
          </w:tcPr>
          <w:p w:rsidR="00000000" w:rsidRDefault="00000000">
            <w:pPr>
              <w:widowControl w:val="0"/>
              <w:autoSpaceDE w:val="0"/>
              <w:autoSpaceDN w:val="0"/>
              <w:adjustRightInd w:val="0"/>
              <w:spacing w:before="80" w:after="80"/>
              <w:jc w:val="center"/>
              <w:rPr>
                <w:sz w:val="20"/>
              </w:rPr>
            </w:pPr>
            <w:r>
              <w:rPr>
                <w:sz w:val="20"/>
              </w:rPr>
              <w:t>3.9</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Spanish and Guaraní</w:t>
            </w:r>
          </w:p>
        </w:tc>
        <w:tc>
          <w:tcPr>
            <w:tcW w:w="444" w:type="pct"/>
          </w:tcPr>
          <w:p w:rsidR="00000000" w:rsidRDefault="00000000">
            <w:pPr>
              <w:widowControl w:val="0"/>
              <w:autoSpaceDE w:val="0"/>
              <w:autoSpaceDN w:val="0"/>
              <w:adjustRightInd w:val="0"/>
              <w:spacing w:before="80" w:after="80"/>
              <w:jc w:val="center"/>
              <w:rPr>
                <w:sz w:val="20"/>
              </w:rPr>
            </w:pPr>
            <w:r>
              <w:rPr>
                <w:sz w:val="20"/>
              </w:rPr>
              <w:t>54</w:t>
            </w:r>
          </w:p>
        </w:tc>
        <w:tc>
          <w:tcPr>
            <w:tcW w:w="444" w:type="pct"/>
          </w:tcPr>
          <w:p w:rsidR="00000000" w:rsidRDefault="00000000">
            <w:pPr>
              <w:widowControl w:val="0"/>
              <w:autoSpaceDE w:val="0"/>
              <w:autoSpaceDN w:val="0"/>
              <w:adjustRightInd w:val="0"/>
              <w:spacing w:before="80" w:after="80"/>
              <w:jc w:val="center"/>
              <w:rPr>
                <w:sz w:val="20"/>
              </w:rPr>
            </w:pPr>
            <w:r>
              <w:rPr>
                <w:sz w:val="20"/>
              </w:rPr>
              <w:t>139</w:t>
            </w:r>
          </w:p>
        </w:tc>
        <w:tc>
          <w:tcPr>
            <w:tcW w:w="444" w:type="pct"/>
          </w:tcPr>
          <w:p w:rsidR="00000000" w:rsidRDefault="00000000">
            <w:pPr>
              <w:widowControl w:val="0"/>
              <w:autoSpaceDE w:val="0"/>
              <w:autoSpaceDN w:val="0"/>
              <w:adjustRightInd w:val="0"/>
              <w:spacing w:before="80" w:after="80"/>
              <w:jc w:val="center"/>
              <w:rPr>
                <w:sz w:val="20"/>
              </w:rPr>
            </w:pPr>
            <w:r>
              <w:rPr>
                <w:sz w:val="20"/>
              </w:rPr>
              <w:t>133</w:t>
            </w:r>
          </w:p>
        </w:tc>
        <w:tc>
          <w:tcPr>
            <w:tcW w:w="444" w:type="pct"/>
          </w:tcPr>
          <w:p w:rsidR="00000000" w:rsidRDefault="00000000">
            <w:pPr>
              <w:widowControl w:val="0"/>
              <w:autoSpaceDE w:val="0"/>
              <w:autoSpaceDN w:val="0"/>
              <w:adjustRightInd w:val="0"/>
              <w:spacing w:before="80" w:after="80"/>
              <w:jc w:val="center"/>
              <w:rPr>
                <w:sz w:val="20"/>
              </w:rPr>
            </w:pPr>
            <w:r>
              <w:rPr>
                <w:sz w:val="20"/>
              </w:rPr>
              <w:t>115</w:t>
            </w:r>
          </w:p>
        </w:tc>
        <w:tc>
          <w:tcPr>
            <w:tcW w:w="444" w:type="pct"/>
          </w:tcPr>
          <w:p w:rsidR="00000000" w:rsidRDefault="00000000">
            <w:pPr>
              <w:widowControl w:val="0"/>
              <w:autoSpaceDE w:val="0"/>
              <w:autoSpaceDN w:val="0"/>
              <w:adjustRightInd w:val="0"/>
              <w:spacing w:before="80" w:after="80"/>
              <w:jc w:val="center"/>
              <w:rPr>
                <w:sz w:val="20"/>
              </w:rPr>
            </w:pPr>
            <w:r>
              <w:rPr>
                <w:sz w:val="20"/>
              </w:rPr>
              <w:t>51</w:t>
            </w:r>
          </w:p>
        </w:tc>
        <w:tc>
          <w:tcPr>
            <w:tcW w:w="439" w:type="pct"/>
          </w:tcPr>
          <w:p w:rsidR="00000000" w:rsidRDefault="00000000">
            <w:pPr>
              <w:widowControl w:val="0"/>
              <w:autoSpaceDE w:val="0"/>
              <w:autoSpaceDN w:val="0"/>
              <w:adjustRightInd w:val="0"/>
              <w:spacing w:before="80" w:after="80"/>
              <w:jc w:val="center"/>
              <w:rPr>
                <w:sz w:val="20"/>
              </w:rPr>
            </w:pPr>
            <w:r>
              <w:rPr>
                <w:sz w:val="20"/>
              </w:rPr>
              <w:t>31</w:t>
            </w:r>
          </w:p>
        </w:tc>
        <w:tc>
          <w:tcPr>
            <w:tcW w:w="537" w:type="pct"/>
          </w:tcPr>
          <w:p w:rsidR="00000000" w:rsidRDefault="00000000">
            <w:pPr>
              <w:widowControl w:val="0"/>
              <w:autoSpaceDE w:val="0"/>
              <w:autoSpaceDN w:val="0"/>
              <w:adjustRightInd w:val="0"/>
              <w:spacing w:before="80" w:after="80"/>
              <w:jc w:val="center"/>
              <w:rPr>
                <w:sz w:val="20"/>
              </w:rPr>
            </w:pPr>
            <w:r>
              <w:rPr>
                <w:sz w:val="20"/>
              </w:rPr>
              <w:t>2.6</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Spanish</w:t>
            </w:r>
          </w:p>
        </w:tc>
        <w:tc>
          <w:tcPr>
            <w:tcW w:w="444" w:type="pct"/>
          </w:tcPr>
          <w:p w:rsidR="00000000" w:rsidRDefault="00000000">
            <w:pPr>
              <w:widowControl w:val="0"/>
              <w:autoSpaceDE w:val="0"/>
              <w:autoSpaceDN w:val="0"/>
              <w:adjustRightInd w:val="0"/>
              <w:spacing w:before="80" w:after="80"/>
              <w:jc w:val="center"/>
              <w:rPr>
                <w:sz w:val="20"/>
              </w:rPr>
            </w:pPr>
            <w:r>
              <w:rPr>
                <w:sz w:val="20"/>
              </w:rPr>
              <w:t>22</w:t>
            </w:r>
          </w:p>
        </w:tc>
        <w:tc>
          <w:tcPr>
            <w:tcW w:w="444" w:type="pct"/>
          </w:tcPr>
          <w:p w:rsidR="00000000" w:rsidRDefault="00000000">
            <w:pPr>
              <w:widowControl w:val="0"/>
              <w:autoSpaceDE w:val="0"/>
              <w:autoSpaceDN w:val="0"/>
              <w:adjustRightInd w:val="0"/>
              <w:spacing w:before="80" w:after="80"/>
              <w:jc w:val="center"/>
              <w:rPr>
                <w:sz w:val="20"/>
              </w:rPr>
            </w:pPr>
            <w:r>
              <w:rPr>
                <w:sz w:val="20"/>
              </w:rPr>
              <w:t>117</w:t>
            </w:r>
          </w:p>
        </w:tc>
        <w:tc>
          <w:tcPr>
            <w:tcW w:w="444" w:type="pct"/>
          </w:tcPr>
          <w:p w:rsidR="00000000" w:rsidRDefault="00000000">
            <w:pPr>
              <w:widowControl w:val="0"/>
              <w:autoSpaceDE w:val="0"/>
              <w:autoSpaceDN w:val="0"/>
              <w:adjustRightInd w:val="0"/>
              <w:spacing w:before="80" w:after="80"/>
              <w:jc w:val="center"/>
              <w:rPr>
                <w:sz w:val="20"/>
              </w:rPr>
            </w:pPr>
            <w:r>
              <w:rPr>
                <w:sz w:val="20"/>
              </w:rPr>
              <w:t>110</w:t>
            </w:r>
          </w:p>
        </w:tc>
        <w:tc>
          <w:tcPr>
            <w:tcW w:w="444" w:type="pct"/>
          </w:tcPr>
          <w:p w:rsidR="00000000" w:rsidRDefault="00000000">
            <w:pPr>
              <w:widowControl w:val="0"/>
              <w:autoSpaceDE w:val="0"/>
              <w:autoSpaceDN w:val="0"/>
              <w:adjustRightInd w:val="0"/>
              <w:spacing w:before="80" w:after="80"/>
              <w:jc w:val="center"/>
              <w:rPr>
                <w:sz w:val="20"/>
              </w:rPr>
            </w:pPr>
            <w:r>
              <w:rPr>
                <w:sz w:val="20"/>
              </w:rPr>
              <w:t>107</w:t>
            </w:r>
          </w:p>
        </w:tc>
        <w:tc>
          <w:tcPr>
            <w:tcW w:w="444" w:type="pct"/>
          </w:tcPr>
          <w:p w:rsidR="00000000" w:rsidRDefault="00000000">
            <w:pPr>
              <w:widowControl w:val="0"/>
              <w:autoSpaceDE w:val="0"/>
              <w:autoSpaceDN w:val="0"/>
              <w:adjustRightInd w:val="0"/>
              <w:spacing w:before="80" w:after="80"/>
              <w:jc w:val="center"/>
              <w:rPr>
                <w:sz w:val="20"/>
              </w:rPr>
            </w:pPr>
            <w:r>
              <w:rPr>
                <w:sz w:val="20"/>
              </w:rPr>
              <w:t>59</w:t>
            </w:r>
          </w:p>
        </w:tc>
        <w:tc>
          <w:tcPr>
            <w:tcW w:w="439" w:type="pct"/>
          </w:tcPr>
          <w:p w:rsidR="00000000" w:rsidRDefault="00000000">
            <w:pPr>
              <w:widowControl w:val="0"/>
              <w:autoSpaceDE w:val="0"/>
              <w:autoSpaceDN w:val="0"/>
              <w:adjustRightInd w:val="0"/>
              <w:spacing w:before="80" w:after="80"/>
              <w:jc w:val="center"/>
              <w:rPr>
                <w:sz w:val="20"/>
              </w:rPr>
            </w:pPr>
            <w:r>
              <w:rPr>
                <w:sz w:val="20"/>
              </w:rPr>
              <w:t>23</w:t>
            </w:r>
          </w:p>
        </w:tc>
        <w:tc>
          <w:tcPr>
            <w:tcW w:w="537" w:type="pct"/>
          </w:tcPr>
          <w:p w:rsidR="00000000" w:rsidRDefault="00000000">
            <w:pPr>
              <w:widowControl w:val="0"/>
              <w:autoSpaceDE w:val="0"/>
              <w:autoSpaceDN w:val="0"/>
              <w:adjustRightInd w:val="0"/>
              <w:spacing w:before="80" w:after="80"/>
              <w:jc w:val="center"/>
              <w:rPr>
                <w:sz w:val="20"/>
              </w:rPr>
            </w:pPr>
            <w:r>
              <w:rPr>
                <w:sz w:val="20"/>
              </w:rPr>
              <w:t>2.3</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Socio-economic level</w:t>
            </w:r>
          </w:p>
        </w:tc>
        <w:tc>
          <w:tcPr>
            <w:tcW w:w="444" w:type="pct"/>
          </w:tcPr>
          <w:p w:rsidR="00000000" w:rsidRDefault="00000000">
            <w:pPr>
              <w:widowControl w:val="0"/>
              <w:autoSpaceDE w:val="0"/>
              <w:autoSpaceDN w:val="0"/>
              <w:adjustRightInd w:val="0"/>
              <w:spacing w:before="80" w:after="80"/>
              <w:jc w:val="center"/>
              <w:rPr>
                <w:sz w:val="20"/>
              </w:rPr>
            </w:pPr>
          </w:p>
        </w:tc>
        <w:tc>
          <w:tcPr>
            <w:tcW w:w="444" w:type="pct"/>
          </w:tcPr>
          <w:p w:rsidR="00000000" w:rsidRDefault="00000000">
            <w:pPr>
              <w:widowControl w:val="0"/>
              <w:autoSpaceDE w:val="0"/>
              <w:autoSpaceDN w:val="0"/>
              <w:adjustRightInd w:val="0"/>
              <w:spacing w:before="80" w:after="80"/>
              <w:jc w:val="center"/>
              <w:rPr>
                <w:sz w:val="20"/>
              </w:rPr>
            </w:pPr>
          </w:p>
        </w:tc>
        <w:tc>
          <w:tcPr>
            <w:tcW w:w="444" w:type="pct"/>
          </w:tcPr>
          <w:p w:rsidR="00000000" w:rsidRDefault="00000000">
            <w:pPr>
              <w:widowControl w:val="0"/>
              <w:autoSpaceDE w:val="0"/>
              <w:autoSpaceDN w:val="0"/>
              <w:adjustRightInd w:val="0"/>
              <w:spacing w:before="80" w:after="80"/>
              <w:jc w:val="center"/>
              <w:rPr>
                <w:sz w:val="20"/>
              </w:rPr>
            </w:pPr>
          </w:p>
        </w:tc>
        <w:tc>
          <w:tcPr>
            <w:tcW w:w="444" w:type="pct"/>
          </w:tcPr>
          <w:p w:rsidR="00000000" w:rsidRDefault="00000000">
            <w:pPr>
              <w:widowControl w:val="0"/>
              <w:autoSpaceDE w:val="0"/>
              <w:autoSpaceDN w:val="0"/>
              <w:adjustRightInd w:val="0"/>
              <w:spacing w:before="80" w:after="80"/>
              <w:jc w:val="center"/>
              <w:rPr>
                <w:sz w:val="20"/>
              </w:rPr>
            </w:pPr>
          </w:p>
        </w:tc>
        <w:tc>
          <w:tcPr>
            <w:tcW w:w="444" w:type="pct"/>
          </w:tcPr>
          <w:p w:rsidR="00000000" w:rsidRDefault="00000000">
            <w:pPr>
              <w:widowControl w:val="0"/>
              <w:autoSpaceDE w:val="0"/>
              <w:autoSpaceDN w:val="0"/>
              <w:adjustRightInd w:val="0"/>
              <w:spacing w:before="80" w:after="80"/>
              <w:jc w:val="center"/>
              <w:rPr>
                <w:sz w:val="20"/>
              </w:rPr>
            </w:pPr>
          </w:p>
        </w:tc>
        <w:tc>
          <w:tcPr>
            <w:tcW w:w="439" w:type="pct"/>
          </w:tcPr>
          <w:p w:rsidR="00000000" w:rsidRDefault="00000000">
            <w:pPr>
              <w:widowControl w:val="0"/>
              <w:autoSpaceDE w:val="0"/>
              <w:autoSpaceDN w:val="0"/>
              <w:adjustRightInd w:val="0"/>
              <w:spacing w:before="80" w:after="80"/>
              <w:jc w:val="center"/>
              <w:rPr>
                <w:sz w:val="20"/>
              </w:rPr>
            </w:pPr>
          </w:p>
        </w:tc>
        <w:tc>
          <w:tcPr>
            <w:tcW w:w="537" w:type="pct"/>
          </w:tcPr>
          <w:p w:rsidR="00000000" w:rsidRDefault="00000000">
            <w:pPr>
              <w:widowControl w:val="0"/>
              <w:autoSpaceDE w:val="0"/>
              <w:autoSpaceDN w:val="0"/>
              <w:adjustRightInd w:val="0"/>
              <w:spacing w:before="80" w:after="80"/>
              <w:jc w:val="center"/>
              <w:rPr>
                <w:sz w:val="20"/>
              </w:rPr>
            </w:pP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Very low</w:t>
            </w:r>
          </w:p>
        </w:tc>
        <w:tc>
          <w:tcPr>
            <w:tcW w:w="444" w:type="pct"/>
          </w:tcPr>
          <w:p w:rsidR="00000000" w:rsidRDefault="00000000">
            <w:pPr>
              <w:widowControl w:val="0"/>
              <w:autoSpaceDE w:val="0"/>
              <w:autoSpaceDN w:val="0"/>
              <w:adjustRightInd w:val="0"/>
              <w:spacing w:before="80" w:after="80"/>
              <w:jc w:val="center"/>
              <w:rPr>
                <w:sz w:val="20"/>
              </w:rPr>
            </w:pPr>
            <w:r>
              <w:rPr>
                <w:sz w:val="20"/>
              </w:rPr>
              <w:t>148</w:t>
            </w:r>
          </w:p>
        </w:tc>
        <w:tc>
          <w:tcPr>
            <w:tcW w:w="444" w:type="pct"/>
          </w:tcPr>
          <w:p w:rsidR="00000000" w:rsidRDefault="00000000">
            <w:pPr>
              <w:widowControl w:val="0"/>
              <w:autoSpaceDE w:val="0"/>
              <w:autoSpaceDN w:val="0"/>
              <w:adjustRightInd w:val="0"/>
              <w:spacing w:before="80" w:after="80"/>
              <w:jc w:val="center"/>
              <w:rPr>
                <w:sz w:val="20"/>
              </w:rPr>
            </w:pPr>
            <w:r>
              <w:rPr>
                <w:sz w:val="20"/>
              </w:rPr>
              <w:t>293</w:t>
            </w:r>
          </w:p>
        </w:tc>
        <w:tc>
          <w:tcPr>
            <w:tcW w:w="444" w:type="pct"/>
          </w:tcPr>
          <w:p w:rsidR="00000000" w:rsidRDefault="00000000">
            <w:pPr>
              <w:widowControl w:val="0"/>
              <w:autoSpaceDE w:val="0"/>
              <w:autoSpaceDN w:val="0"/>
              <w:adjustRightInd w:val="0"/>
              <w:spacing w:before="80" w:after="80"/>
              <w:jc w:val="center"/>
              <w:rPr>
                <w:sz w:val="20"/>
              </w:rPr>
            </w:pPr>
            <w:r>
              <w:rPr>
                <w:sz w:val="20"/>
              </w:rPr>
              <w:t>221</w:t>
            </w:r>
          </w:p>
        </w:tc>
        <w:tc>
          <w:tcPr>
            <w:tcW w:w="444" w:type="pct"/>
          </w:tcPr>
          <w:p w:rsidR="00000000" w:rsidRDefault="00000000">
            <w:pPr>
              <w:widowControl w:val="0"/>
              <w:autoSpaceDE w:val="0"/>
              <w:autoSpaceDN w:val="0"/>
              <w:adjustRightInd w:val="0"/>
              <w:spacing w:before="80" w:after="80"/>
              <w:jc w:val="center"/>
              <w:rPr>
                <w:sz w:val="20"/>
              </w:rPr>
            </w:pPr>
            <w:r>
              <w:rPr>
                <w:sz w:val="20"/>
              </w:rPr>
              <w:t>193</w:t>
            </w:r>
          </w:p>
        </w:tc>
        <w:tc>
          <w:tcPr>
            <w:tcW w:w="444" w:type="pct"/>
          </w:tcPr>
          <w:p w:rsidR="00000000" w:rsidRDefault="00000000">
            <w:pPr>
              <w:widowControl w:val="0"/>
              <w:autoSpaceDE w:val="0"/>
              <w:autoSpaceDN w:val="0"/>
              <w:adjustRightInd w:val="0"/>
              <w:spacing w:before="80" w:after="80"/>
              <w:jc w:val="center"/>
              <w:rPr>
                <w:sz w:val="20"/>
              </w:rPr>
            </w:pPr>
            <w:r>
              <w:rPr>
                <w:sz w:val="20"/>
              </w:rPr>
              <w:t>152</w:t>
            </w:r>
          </w:p>
        </w:tc>
        <w:tc>
          <w:tcPr>
            <w:tcW w:w="439" w:type="pct"/>
          </w:tcPr>
          <w:p w:rsidR="00000000" w:rsidRDefault="00000000">
            <w:pPr>
              <w:widowControl w:val="0"/>
              <w:autoSpaceDE w:val="0"/>
              <w:autoSpaceDN w:val="0"/>
              <w:adjustRightInd w:val="0"/>
              <w:spacing w:before="80" w:after="80"/>
              <w:jc w:val="center"/>
              <w:rPr>
                <w:sz w:val="20"/>
              </w:rPr>
            </w:pPr>
            <w:r>
              <w:rPr>
                <w:sz w:val="20"/>
              </w:rPr>
              <w:t>82</w:t>
            </w:r>
          </w:p>
        </w:tc>
        <w:tc>
          <w:tcPr>
            <w:tcW w:w="537" w:type="pct"/>
          </w:tcPr>
          <w:p w:rsidR="00000000" w:rsidRDefault="00000000">
            <w:pPr>
              <w:widowControl w:val="0"/>
              <w:autoSpaceDE w:val="0"/>
              <w:autoSpaceDN w:val="0"/>
              <w:adjustRightInd w:val="0"/>
              <w:spacing w:before="80" w:after="80"/>
              <w:jc w:val="center"/>
              <w:rPr>
                <w:sz w:val="20"/>
              </w:rPr>
            </w:pPr>
            <w:r>
              <w:rPr>
                <w:sz w:val="20"/>
              </w:rPr>
              <w:t>5.4</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Low</w:t>
            </w:r>
          </w:p>
        </w:tc>
        <w:tc>
          <w:tcPr>
            <w:tcW w:w="444" w:type="pct"/>
          </w:tcPr>
          <w:p w:rsidR="00000000" w:rsidRDefault="00000000">
            <w:pPr>
              <w:widowControl w:val="0"/>
              <w:autoSpaceDE w:val="0"/>
              <w:autoSpaceDN w:val="0"/>
              <w:adjustRightInd w:val="0"/>
              <w:spacing w:before="80" w:after="80"/>
              <w:jc w:val="center"/>
              <w:rPr>
                <w:sz w:val="20"/>
              </w:rPr>
            </w:pPr>
            <w:r>
              <w:rPr>
                <w:sz w:val="20"/>
              </w:rPr>
              <w:t>90</w:t>
            </w:r>
          </w:p>
        </w:tc>
        <w:tc>
          <w:tcPr>
            <w:tcW w:w="444" w:type="pct"/>
          </w:tcPr>
          <w:p w:rsidR="00000000" w:rsidRDefault="00000000">
            <w:pPr>
              <w:widowControl w:val="0"/>
              <w:autoSpaceDE w:val="0"/>
              <w:autoSpaceDN w:val="0"/>
              <w:adjustRightInd w:val="0"/>
              <w:spacing w:before="80" w:after="80"/>
              <w:jc w:val="center"/>
              <w:rPr>
                <w:sz w:val="20"/>
              </w:rPr>
            </w:pPr>
            <w:r>
              <w:rPr>
                <w:sz w:val="20"/>
              </w:rPr>
              <w:t>190</w:t>
            </w:r>
          </w:p>
        </w:tc>
        <w:tc>
          <w:tcPr>
            <w:tcW w:w="444" w:type="pct"/>
          </w:tcPr>
          <w:p w:rsidR="00000000" w:rsidRDefault="00000000">
            <w:pPr>
              <w:widowControl w:val="0"/>
              <w:autoSpaceDE w:val="0"/>
              <w:autoSpaceDN w:val="0"/>
              <w:adjustRightInd w:val="0"/>
              <w:spacing w:before="80" w:after="80"/>
              <w:jc w:val="center"/>
              <w:rPr>
                <w:sz w:val="20"/>
              </w:rPr>
            </w:pPr>
            <w:r>
              <w:rPr>
                <w:sz w:val="20"/>
              </w:rPr>
              <w:t>152</w:t>
            </w:r>
          </w:p>
        </w:tc>
        <w:tc>
          <w:tcPr>
            <w:tcW w:w="444" w:type="pct"/>
          </w:tcPr>
          <w:p w:rsidR="00000000" w:rsidRDefault="00000000">
            <w:pPr>
              <w:widowControl w:val="0"/>
              <w:autoSpaceDE w:val="0"/>
              <w:autoSpaceDN w:val="0"/>
              <w:adjustRightInd w:val="0"/>
              <w:spacing w:before="80" w:after="80"/>
              <w:jc w:val="center"/>
              <w:rPr>
                <w:sz w:val="20"/>
              </w:rPr>
            </w:pPr>
            <w:r>
              <w:rPr>
                <w:sz w:val="20"/>
              </w:rPr>
              <w:t>132</w:t>
            </w:r>
          </w:p>
        </w:tc>
        <w:tc>
          <w:tcPr>
            <w:tcW w:w="444" w:type="pct"/>
          </w:tcPr>
          <w:p w:rsidR="00000000" w:rsidRDefault="00000000">
            <w:pPr>
              <w:widowControl w:val="0"/>
              <w:autoSpaceDE w:val="0"/>
              <w:autoSpaceDN w:val="0"/>
              <w:adjustRightInd w:val="0"/>
              <w:spacing w:before="80" w:after="80"/>
              <w:jc w:val="center"/>
              <w:rPr>
                <w:sz w:val="20"/>
              </w:rPr>
            </w:pPr>
            <w:r>
              <w:rPr>
                <w:sz w:val="20"/>
              </w:rPr>
              <w:t>69</w:t>
            </w:r>
          </w:p>
        </w:tc>
        <w:tc>
          <w:tcPr>
            <w:tcW w:w="439" w:type="pct"/>
          </w:tcPr>
          <w:p w:rsidR="00000000" w:rsidRDefault="00000000">
            <w:pPr>
              <w:widowControl w:val="0"/>
              <w:spacing w:before="80" w:after="80"/>
              <w:jc w:val="center"/>
              <w:rPr>
                <w:sz w:val="20"/>
              </w:rPr>
            </w:pPr>
            <w:r>
              <w:rPr>
                <w:b/>
                <w:color w:val="000000"/>
                <w:sz w:val="20"/>
                <w:vertAlign w:val="superscript"/>
              </w:rPr>
              <w:t>*</w:t>
            </w:r>
          </w:p>
        </w:tc>
        <w:tc>
          <w:tcPr>
            <w:tcW w:w="537" w:type="pct"/>
          </w:tcPr>
          <w:p w:rsidR="00000000" w:rsidRDefault="00000000">
            <w:pPr>
              <w:widowControl w:val="0"/>
              <w:autoSpaceDE w:val="0"/>
              <w:autoSpaceDN w:val="0"/>
              <w:adjustRightInd w:val="0"/>
              <w:spacing w:before="80" w:after="80"/>
              <w:jc w:val="center"/>
              <w:rPr>
                <w:sz w:val="20"/>
              </w:rPr>
            </w:pPr>
            <w:r>
              <w:rPr>
                <w:sz w:val="20"/>
              </w:rPr>
              <w:t>3.4</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Medium</w:t>
            </w:r>
          </w:p>
        </w:tc>
        <w:tc>
          <w:tcPr>
            <w:tcW w:w="444" w:type="pct"/>
          </w:tcPr>
          <w:p w:rsidR="00000000" w:rsidRDefault="00000000">
            <w:pPr>
              <w:widowControl w:val="0"/>
              <w:autoSpaceDE w:val="0"/>
              <w:autoSpaceDN w:val="0"/>
              <w:adjustRightInd w:val="0"/>
              <w:spacing w:before="80" w:after="80"/>
              <w:jc w:val="center"/>
              <w:rPr>
                <w:sz w:val="20"/>
              </w:rPr>
            </w:pPr>
            <w:r>
              <w:rPr>
                <w:sz w:val="20"/>
              </w:rPr>
              <w:t>62</w:t>
            </w:r>
          </w:p>
        </w:tc>
        <w:tc>
          <w:tcPr>
            <w:tcW w:w="444" w:type="pct"/>
          </w:tcPr>
          <w:p w:rsidR="00000000" w:rsidRDefault="00000000">
            <w:pPr>
              <w:widowControl w:val="0"/>
              <w:autoSpaceDE w:val="0"/>
              <w:autoSpaceDN w:val="0"/>
              <w:adjustRightInd w:val="0"/>
              <w:spacing w:before="80" w:after="80"/>
              <w:jc w:val="center"/>
              <w:rPr>
                <w:sz w:val="20"/>
              </w:rPr>
            </w:pPr>
            <w:r>
              <w:rPr>
                <w:sz w:val="20"/>
              </w:rPr>
              <w:t>169</w:t>
            </w:r>
          </w:p>
        </w:tc>
        <w:tc>
          <w:tcPr>
            <w:tcW w:w="444" w:type="pct"/>
          </w:tcPr>
          <w:p w:rsidR="00000000" w:rsidRDefault="00000000">
            <w:pPr>
              <w:widowControl w:val="0"/>
              <w:autoSpaceDE w:val="0"/>
              <w:autoSpaceDN w:val="0"/>
              <w:adjustRightInd w:val="0"/>
              <w:spacing w:before="80" w:after="80"/>
              <w:jc w:val="center"/>
              <w:rPr>
                <w:sz w:val="20"/>
              </w:rPr>
            </w:pPr>
            <w:r>
              <w:rPr>
                <w:sz w:val="20"/>
              </w:rPr>
              <w:t>133</w:t>
            </w:r>
          </w:p>
        </w:tc>
        <w:tc>
          <w:tcPr>
            <w:tcW w:w="444" w:type="pct"/>
          </w:tcPr>
          <w:p w:rsidR="00000000" w:rsidRDefault="00000000">
            <w:pPr>
              <w:widowControl w:val="0"/>
              <w:autoSpaceDE w:val="0"/>
              <w:autoSpaceDN w:val="0"/>
              <w:adjustRightInd w:val="0"/>
              <w:spacing w:before="80" w:after="80"/>
              <w:jc w:val="center"/>
              <w:rPr>
                <w:sz w:val="20"/>
              </w:rPr>
            </w:pPr>
            <w:r>
              <w:rPr>
                <w:sz w:val="20"/>
              </w:rPr>
              <w:t>93</w:t>
            </w:r>
          </w:p>
        </w:tc>
        <w:tc>
          <w:tcPr>
            <w:tcW w:w="444" w:type="pct"/>
          </w:tcPr>
          <w:p w:rsidR="00000000" w:rsidRDefault="00000000">
            <w:pPr>
              <w:widowControl w:val="0"/>
              <w:autoSpaceDE w:val="0"/>
              <w:autoSpaceDN w:val="0"/>
              <w:adjustRightInd w:val="0"/>
              <w:spacing w:before="80" w:after="80"/>
              <w:jc w:val="center"/>
              <w:rPr>
                <w:sz w:val="20"/>
              </w:rPr>
            </w:pPr>
            <w:r>
              <w:rPr>
                <w:sz w:val="20"/>
              </w:rPr>
              <w:t>55</w:t>
            </w:r>
          </w:p>
        </w:tc>
        <w:tc>
          <w:tcPr>
            <w:tcW w:w="439" w:type="pct"/>
          </w:tcPr>
          <w:p w:rsidR="00000000" w:rsidRDefault="00000000">
            <w:pPr>
              <w:widowControl w:val="0"/>
              <w:spacing w:before="80" w:after="80"/>
              <w:jc w:val="center"/>
              <w:rPr>
                <w:sz w:val="20"/>
              </w:rPr>
            </w:pPr>
            <w:r>
              <w:rPr>
                <w:b/>
                <w:color w:val="000000"/>
                <w:sz w:val="20"/>
                <w:vertAlign w:val="superscript"/>
              </w:rPr>
              <w:t>*</w:t>
            </w:r>
          </w:p>
        </w:tc>
        <w:tc>
          <w:tcPr>
            <w:tcW w:w="537" w:type="pct"/>
          </w:tcPr>
          <w:p w:rsidR="00000000" w:rsidRDefault="00000000">
            <w:pPr>
              <w:widowControl w:val="0"/>
              <w:autoSpaceDE w:val="0"/>
              <w:autoSpaceDN w:val="0"/>
              <w:adjustRightInd w:val="0"/>
              <w:spacing w:before="80" w:after="80"/>
              <w:jc w:val="center"/>
              <w:rPr>
                <w:sz w:val="20"/>
              </w:rPr>
            </w:pPr>
            <w:r>
              <w:rPr>
                <w:sz w:val="20"/>
              </w:rPr>
              <w:t>2.7</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High</w:t>
            </w:r>
          </w:p>
        </w:tc>
        <w:tc>
          <w:tcPr>
            <w:tcW w:w="444" w:type="pct"/>
          </w:tcPr>
          <w:p w:rsidR="00000000" w:rsidRDefault="00000000">
            <w:pPr>
              <w:widowControl w:val="0"/>
              <w:autoSpaceDE w:val="0"/>
              <w:autoSpaceDN w:val="0"/>
              <w:adjustRightInd w:val="0"/>
              <w:spacing w:before="80" w:after="80"/>
              <w:jc w:val="center"/>
              <w:rPr>
                <w:sz w:val="20"/>
              </w:rPr>
            </w:pPr>
            <w:r>
              <w:rPr>
                <w:sz w:val="20"/>
              </w:rPr>
              <w:t>40</w:t>
            </w:r>
          </w:p>
        </w:tc>
        <w:tc>
          <w:tcPr>
            <w:tcW w:w="444" w:type="pct"/>
          </w:tcPr>
          <w:p w:rsidR="00000000" w:rsidRDefault="00000000">
            <w:pPr>
              <w:widowControl w:val="0"/>
              <w:autoSpaceDE w:val="0"/>
              <w:autoSpaceDN w:val="0"/>
              <w:adjustRightInd w:val="0"/>
              <w:spacing w:before="80" w:after="80"/>
              <w:jc w:val="center"/>
              <w:rPr>
                <w:sz w:val="20"/>
              </w:rPr>
            </w:pPr>
            <w:r>
              <w:rPr>
                <w:sz w:val="20"/>
              </w:rPr>
              <w:t>104</w:t>
            </w:r>
          </w:p>
        </w:tc>
        <w:tc>
          <w:tcPr>
            <w:tcW w:w="444" w:type="pct"/>
          </w:tcPr>
          <w:p w:rsidR="00000000" w:rsidRDefault="00000000">
            <w:pPr>
              <w:widowControl w:val="0"/>
              <w:autoSpaceDE w:val="0"/>
              <w:autoSpaceDN w:val="0"/>
              <w:adjustRightInd w:val="0"/>
              <w:spacing w:before="80" w:after="80"/>
              <w:jc w:val="center"/>
              <w:rPr>
                <w:sz w:val="20"/>
              </w:rPr>
            </w:pPr>
            <w:r>
              <w:rPr>
                <w:sz w:val="20"/>
              </w:rPr>
              <w:t>106</w:t>
            </w:r>
          </w:p>
        </w:tc>
        <w:tc>
          <w:tcPr>
            <w:tcW w:w="444" w:type="pct"/>
          </w:tcPr>
          <w:p w:rsidR="00000000" w:rsidRDefault="00000000">
            <w:pPr>
              <w:widowControl w:val="0"/>
              <w:autoSpaceDE w:val="0"/>
              <w:autoSpaceDN w:val="0"/>
              <w:adjustRightInd w:val="0"/>
              <w:spacing w:before="80" w:after="80"/>
              <w:jc w:val="center"/>
              <w:rPr>
                <w:sz w:val="20"/>
              </w:rPr>
            </w:pPr>
            <w:r>
              <w:rPr>
                <w:sz w:val="20"/>
              </w:rPr>
              <w:t>91</w:t>
            </w:r>
          </w:p>
        </w:tc>
        <w:tc>
          <w:tcPr>
            <w:tcW w:w="444" w:type="pct"/>
          </w:tcPr>
          <w:p w:rsidR="00000000" w:rsidRDefault="00000000">
            <w:pPr>
              <w:widowControl w:val="0"/>
              <w:autoSpaceDE w:val="0"/>
              <w:autoSpaceDN w:val="0"/>
              <w:adjustRightInd w:val="0"/>
              <w:spacing w:before="80" w:after="80"/>
              <w:jc w:val="center"/>
              <w:rPr>
                <w:sz w:val="20"/>
              </w:rPr>
            </w:pPr>
            <w:r>
              <w:rPr>
                <w:sz w:val="20"/>
              </w:rPr>
              <w:t>48</w:t>
            </w:r>
          </w:p>
        </w:tc>
        <w:tc>
          <w:tcPr>
            <w:tcW w:w="439" w:type="pct"/>
          </w:tcPr>
          <w:p w:rsidR="00000000" w:rsidRDefault="00000000">
            <w:pPr>
              <w:widowControl w:val="0"/>
              <w:spacing w:before="80" w:after="80"/>
              <w:jc w:val="center"/>
              <w:rPr>
                <w:sz w:val="20"/>
              </w:rPr>
            </w:pPr>
            <w:r>
              <w:rPr>
                <w:b/>
                <w:color w:val="000000"/>
                <w:sz w:val="20"/>
                <w:vertAlign w:val="superscript"/>
              </w:rPr>
              <w:t>*</w:t>
            </w:r>
          </w:p>
        </w:tc>
        <w:tc>
          <w:tcPr>
            <w:tcW w:w="537" w:type="pct"/>
          </w:tcPr>
          <w:p w:rsidR="00000000" w:rsidRDefault="00000000">
            <w:pPr>
              <w:widowControl w:val="0"/>
              <w:autoSpaceDE w:val="0"/>
              <w:autoSpaceDN w:val="0"/>
              <w:adjustRightInd w:val="0"/>
              <w:spacing w:before="80" w:after="80"/>
              <w:jc w:val="center"/>
              <w:rPr>
                <w:sz w:val="20"/>
              </w:rPr>
            </w:pPr>
            <w:r>
              <w:rPr>
                <w:sz w:val="20"/>
              </w:rPr>
              <w:t>2.1</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rPr>
            </w:pPr>
            <w:r>
              <w:rPr>
                <w:sz w:val="20"/>
              </w:rPr>
              <w:t>Very high</w:t>
            </w:r>
          </w:p>
        </w:tc>
        <w:tc>
          <w:tcPr>
            <w:tcW w:w="444" w:type="pct"/>
          </w:tcPr>
          <w:p w:rsidR="00000000" w:rsidRDefault="00000000">
            <w:pPr>
              <w:widowControl w:val="0"/>
              <w:autoSpaceDE w:val="0"/>
              <w:autoSpaceDN w:val="0"/>
              <w:adjustRightInd w:val="0"/>
              <w:spacing w:before="80" w:after="80"/>
              <w:jc w:val="center"/>
              <w:rPr>
                <w:sz w:val="20"/>
              </w:rPr>
            </w:pPr>
            <w:r>
              <w:rPr>
                <w:b/>
                <w:color w:val="000000"/>
                <w:sz w:val="20"/>
                <w:vertAlign w:val="superscript"/>
              </w:rPr>
              <w:t>*</w:t>
            </w:r>
          </w:p>
        </w:tc>
        <w:tc>
          <w:tcPr>
            <w:tcW w:w="444" w:type="pct"/>
          </w:tcPr>
          <w:p w:rsidR="00000000" w:rsidRDefault="00000000">
            <w:pPr>
              <w:widowControl w:val="0"/>
              <w:autoSpaceDE w:val="0"/>
              <w:autoSpaceDN w:val="0"/>
              <w:adjustRightInd w:val="0"/>
              <w:spacing w:before="80" w:after="80"/>
              <w:jc w:val="center"/>
              <w:rPr>
                <w:sz w:val="20"/>
              </w:rPr>
            </w:pPr>
            <w:r>
              <w:rPr>
                <w:sz w:val="20"/>
              </w:rPr>
              <w:t>72</w:t>
            </w:r>
          </w:p>
        </w:tc>
        <w:tc>
          <w:tcPr>
            <w:tcW w:w="444" w:type="pct"/>
          </w:tcPr>
          <w:p w:rsidR="00000000" w:rsidRDefault="00000000">
            <w:pPr>
              <w:widowControl w:val="0"/>
              <w:autoSpaceDE w:val="0"/>
              <w:autoSpaceDN w:val="0"/>
              <w:adjustRightInd w:val="0"/>
              <w:spacing w:before="80" w:after="80"/>
              <w:jc w:val="center"/>
              <w:rPr>
                <w:sz w:val="20"/>
              </w:rPr>
            </w:pPr>
            <w:r>
              <w:rPr>
                <w:sz w:val="20"/>
              </w:rPr>
              <w:t>115</w:t>
            </w:r>
          </w:p>
        </w:tc>
        <w:tc>
          <w:tcPr>
            <w:tcW w:w="444" w:type="pct"/>
          </w:tcPr>
          <w:p w:rsidR="00000000" w:rsidRDefault="00000000">
            <w:pPr>
              <w:widowControl w:val="0"/>
              <w:autoSpaceDE w:val="0"/>
              <w:autoSpaceDN w:val="0"/>
              <w:adjustRightInd w:val="0"/>
              <w:spacing w:before="80" w:after="80"/>
              <w:jc w:val="center"/>
              <w:rPr>
                <w:sz w:val="20"/>
              </w:rPr>
            </w:pPr>
            <w:r>
              <w:rPr>
                <w:sz w:val="20"/>
              </w:rPr>
              <w:t>111</w:t>
            </w:r>
          </w:p>
        </w:tc>
        <w:tc>
          <w:tcPr>
            <w:tcW w:w="444" w:type="pct"/>
          </w:tcPr>
          <w:p w:rsidR="00000000" w:rsidRDefault="00000000">
            <w:pPr>
              <w:widowControl w:val="0"/>
              <w:autoSpaceDE w:val="0"/>
              <w:autoSpaceDN w:val="0"/>
              <w:adjustRightInd w:val="0"/>
              <w:spacing w:before="80" w:after="80"/>
              <w:jc w:val="center"/>
              <w:rPr>
                <w:sz w:val="20"/>
              </w:rPr>
            </w:pPr>
            <w:r>
              <w:rPr>
                <w:sz w:val="20"/>
              </w:rPr>
              <w:t>41</w:t>
            </w:r>
          </w:p>
        </w:tc>
        <w:tc>
          <w:tcPr>
            <w:tcW w:w="439" w:type="pct"/>
          </w:tcPr>
          <w:p w:rsidR="00000000" w:rsidRDefault="00000000">
            <w:pPr>
              <w:widowControl w:val="0"/>
              <w:spacing w:before="80" w:after="80"/>
              <w:jc w:val="center"/>
              <w:rPr>
                <w:sz w:val="20"/>
              </w:rPr>
            </w:pPr>
            <w:r>
              <w:rPr>
                <w:b/>
                <w:color w:val="000000"/>
                <w:sz w:val="20"/>
                <w:vertAlign w:val="superscript"/>
              </w:rPr>
              <w:t>*</w:t>
            </w:r>
          </w:p>
        </w:tc>
        <w:tc>
          <w:tcPr>
            <w:tcW w:w="537" w:type="pct"/>
          </w:tcPr>
          <w:p w:rsidR="00000000" w:rsidRDefault="00000000">
            <w:pPr>
              <w:widowControl w:val="0"/>
              <w:autoSpaceDE w:val="0"/>
              <w:autoSpaceDN w:val="0"/>
              <w:adjustRightInd w:val="0"/>
              <w:spacing w:before="80" w:after="80"/>
              <w:jc w:val="center"/>
              <w:rPr>
                <w:sz w:val="20"/>
              </w:rPr>
            </w:pPr>
            <w:r>
              <w:rPr>
                <w:sz w:val="20"/>
              </w:rPr>
              <w:t>1.9</w:t>
            </w:r>
          </w:p>
        </w:tc>
      </w:tr>
      <w:tr w:rsidR="00000000">
        <w:tblPrEx>
          <w:tblCellMar>
            <w:top w:w="0" w:type="dxa"/>
            <w:bottom w:w="0" w:type="dxa"/>
          </w:tblCellMar>
        </w:tblPrEx>
        <w:tc>
          <w:tcPr>
            <w:tcW w:w="1804" w:type="pct"/>
            <w:tcBorders>
              <w:bottom w:val="single" w:sz="4" w:space="0" w:color="auto"/>
            </w:tcBorders>
          </w:tcPr>
          <w:p w:rsidR="00000000" w:rsidRDefault="00000000">
            <w:pPr>
              <w:widowControl w:val="0"/>
              <w:autoSpaceDE w:val="0"/>
              <w:autoSpaceDN w:val="0"/>
              <w:adjustRightInd w:val="0"/>
              <w:spacing w:before="80" w:after="80"/>
              <w:rPr>
                <w:b/>
                <w:bCs/>
                <w:sz w:val="20"/>
              </w:rPr>
            </w:pPr>
            <w:r>
              <w:rPr>
                <w:b/>
                <w:bCs/>
                <w:sz w:val="20"/>
              </w:rPr>
              <w:tab/>
              <w:t>Total</w:t>
            </w:r>
          </w:p>
        </w:tc>
        <w:tc>
          <w:tcPr>
            <w:tcW w:w="444" w:type="pct"/>
            <w:tcBorders>
              <w:bottom w:val="single" w:sz="4" w:space="0" w:color="auto"/>
            </w:tcBorders>
          </w:tcPr>
          <w:p w:rsidR="00000000" w:rsidRDefault="00000000">
            <w:pPr>
              <w:widowControl w:val="0"/>
              <w:autoSpaceDE w:val="0"/>
              <w:autoSpaceDN w:val="0"/>
              <w:adjustRightInd w:val="0"/>
              <w:spacing w:before="80" w:after="80"/>
              <w:jc w:val="center"/>
              <w:rPr>
                <w:b/>
                <w:bCs/>
                <w:sz w:val="20"/>
              </w:rPr>
            </w:pPr>
            <w:r>
              <w:rPr>
                <w:b/>
                <w:bCs/>
                <w:sz w:val="20"/>
              </w:rPr>
              <w:t>65</w:t>
            </w:r>
          </w:p>
        </w:tc>
        <w:tc>
          <w:tcPr>
            <w:tcW w:w="444" w:type="pct"/>
            <w:tcBorders>
              <w:bottom w:val="single" w:sz="4" w:space="0" w:color="auto"/>
            </w:tcBorders>
          </w:tcPr>
          <w:p w:rsidR="00000000" w:rsidRDefault="00000000">
            <w:pPr>
              <w:widowControl w:val="0"/>
              <w:autoSpaceDE w:val="0"/>
              <w:autoSpaceDN w:val="0"/>
              <w:adjustRightInd w:val="0"/>
              <w:spacing w:before="80" w:after="80"/>
              <w:jc w:val="center"/>
              <w:rPr>
                <w:b/>
                <w:bCs/>
                <w:sz w:val="20"/>
              </w:rPr>
            </w:pPr>
            <w:r>
              <w:rPr>
                <w:b/>
                <w:bCs/>
                <w:sz w:val="20"/>
              </w:rPr>
              <w:t>150</w:t>
            </w:r>
          </w:p>
        </w:tc>
        <w:tc>
          <w:tcPr>
            <w:tcW w:w="444" w:type="pct"/>
            <w:tcBorders>
              <w:bottom w:val="single" w:sz="4" w:space="0" w:color="auto"/>
            </w:tcBorders>
          </w:tcPr>
          <w:p w:rsidR="00000000" w:rsidRDefault="00000000">
            <w:pPr>
              <w:widowControl w:val="0"/>
              <w:autoSpaceDE w:val="0"/>
              <w:autoSpaceDN w:val="0"/>
              <w:adjustRightInd w:val="0"/>
              <w:spacing w:before="80" w:after="80"/>
              <w:jc w:val="center"/>
              <w:rPr>
                <w:b/>
                <w:bCs/>
                <w:sz w:val="20"/>
              </w:rPr>
            </w:pPr>
            <w:r>
              <w:rPr>
                <w:b/>
                <w:bCs/>
                <w:sz w:val="20"/>
              </w:rPr>
              <w:t>142</w:t>
            </w:r>
          </w:p>
        </w:tc>
        <w:tc>
          <w:tcPr>
            <w:tcW w:w="444" w:type="pct"/>
            <w:tcBorders>
              <w:bottom w:val="single" w:sz="4" w:space="0" w:color="auto"/>
            </w:tcBorders>
          </w:tcPr>
          <w:p w:rsidR="00000000" w:rsidRDefault="00000000">
            <w:pPr>
              <w:widowControl w:val="0"/>
              <w:autoSpaceDE w:val="0"/>
              <w:autoSpaceDN w:val="0"/>
              <w:adjustRightInd w:val="0"/>
              <w:spacing w:before="80" w:after="80"/>
              <w:jc w:val="center"/>
              <w:rPr>
                <w:b/>
                <w:bCs/>
                <w:sz w:val="20"/>
              </w:rPr>
            </w:pPr>
            <w:r>
              <w:rPr>
                <w:b/>
                <w:bCs/>
                <w:sz w:val="20"/>
              </w:rPr>
              <w:t>122</w:t>
            </w:r>
          </w:p>
        </w:tc>
        <w:tc>
          <w:tcPr>
            <w:tcW w:w="444" w:type="pct"/>
            <w:tcBorders>
              <w:bottom w:val="single" w:sz="4" w:space="0" w:color="auto"/>
            </w:tcBorders>
          </w:tcPr>
          <w:p w:rsidR="00000000" w:rsidRDefault="00000000">
            <w:pPr>
              <w:widowControl w:val="0"/>
              <w:autoSpaceDE w:val="0"/>
              <w:autoSpaceDN w:val="0"/>
              <w:adjustRightInd w:val="0"/>
              <w:spacing w:before="80" w:after="80"/>
              <w:jc w:val="center"/>
              <w:rPr>
                <w:b/>
                <w:bCs/>
                <w:sz w:val="20"/>
              </w:rPr>
            </w:pPr>
            <w:r>
              <w:rPr>
                <w:b/>
                <w:bCs/>
                <w:sz w:val="20"/>
              </w:rPr>
              <w:t>69</w:t>
            </w:r>
          </w:p>
        </w:tc>
        <w:tc>
          <w:tcPr>
            <w:tcW w:w="439" w:type="pct"/>
            <w:tcBorders>
              <w:bottom w:val="single" w:sz="4" w:space="0" w:color="auto"/>
            </w:tcBorders>
          </w:tcPr>
          <w:p w:rsidR="00000000" w:rsidRDefault="00000000">
            <w:pPr>
              <w:widowControl w:val="0"/>
              <w:autoSpaceDE w:val="0"/>
              <w:autoSpaceDN w:val="0"/>
              <w:adjustRightInd w:val="0"/>
              <w:spacing w:before="80" w:after="80"/>
              <w:jc w:val="center"/>
              <w:rPr>
                <w:b/>
                <w:bCs/>
                <w:sz w:val="20"/>
              </w:rPr>
            </w:pPr>
            <w:r>
              <w:rPr>
                <w:b/>
                <w:bCs/>
                <w:sz w:val="20"/>
              </w:rPr>
              <w:t>36</w:t>
            </w:r>
          </w:p>
        </w:tc>
        <w:tc>
          <w:tcPr>
            <w:tcW w:w="537" w:type="pct"/>
            <w:tcBorders>
              <w:bottom w:val="single" w:sz="4" w:space="0" w:color="auto"/>
            </w:tcBorders>
          </w:tcPr>
          <w:p w:rsidR="00000000" w:rsidRDefault="00000000">
            <w:pPr>
              <w:widowControl w:val="0"/>
              <w:autoSpaceDE w:val="0"/>
              <w:autoSpaceDN w:val="0"/>
              <w:adjustRightInd w:val="0"/>
              <w:spacing w:before="80" w:after="80"/>
              <w:jc w:val="center"/>
              <w:rPr>
                <w:b/>
                <w:bCs/>
                <w:sz w:val="20"/>
              </w:rPr>
            </w:pPr>
            <w:r>
              <w:rPr>
                <w:b/>
                <w:bCs/>
                <w:sz w:val="20"/>
              </w:rPr>
              <w:t>2.9</w:t>
            </w:r>
          </w:p>
        </w:tc>
      </w:tr>
    </w:tbl>
    <w:p w:rsidR="00000000" w:rsidRDefault="00000000">
      <w:pPr>
        <w:autoSpaceDE w:val="0"/>
        <w:autoSpaceDN w:val="0"/>
        <w:adjustRightInd w:val="0"/>
        <w:spacing w:beforeLines="40" w:before="96" w:afterLines="40" w:after="96"/>
        <w:sectPr w:rsidR="00000000">
          <w:headerReference w:type="even" r:id="rId12"/>
          <w:headerReference w:type="default" r:id="rId13"/>
          <w:type w:val="continuous"/>
          <w:pgSz w:w="11907" w:h="16840" w:code="9"/>
          <w:pgMar w:top="851" w:right="1247" w:bottom="1418" w:left="1247" w:header="720" w:footer="720" w:gutter="0"/>
          <w:cols w:space="720"/>
          <w:titlePg/>
          <w:docGrid w:linePitch="360"/>
        </w:sectPr>
      </w:pPr>
    </w:p>
    <w:p w:rsidR="00000000" w:rsidRDefault="00000000">
      <w:pPr>
        <w:pStyle w:val="BodyText3"/>
        <w:spacing w:after="180"/>
        <w:jc w:val="center"/>
        <w:rPr>
          <w:bCs/>
          <w:sz w:val="22"/>
        </w:rPr>
      </w:pPr>
      <w:r>
        <w:rPr>
          <w:b/>
          <w:bCs/>
          <w:sz w:val="22"/>
          <w:lang w:val="en-US"/>
        </w:rPr>
        <w:t>Paraguay: Projection of population under 15 years of age, by actual age. period 1994-2006</w:t>
      </w:r>
    </w:p>
    <w:tbl>
      <w:tblPr>
        <w:tblW w:w="5000" w:type="pct"/>
        <w:tblLayout w:type="fixed"/>
        <w:tblCellMar>
          <w:left w:w="0" w:type="dxa"/>
          <w:right w:w="0" w:type="dxa"/>
        </w:tblCellMar>
        <w:tblLook w:val="0000" w:firstRow="0" w:lastRow="0" w:firstColumn="0" w:lastColumn="0" w:noHBand="0" w:noVBand="0"/>
      </w:tblPr>
      <w:tblGrid>
        <w:gridCol w:w="2781"/>
        <w:gridCol w:w="912"/>
        <w:gridCol w:w="911"/>
        <w:gridCol w:w="896"/>
        <w:gridCol w:w="925"/>
        <w:gridCol w:w="912"/>
        <w:gridCol w:w="912"/>
        <w:gridCol w:w="927"/>
        <w:gridCol w:w="897"/>
        <w:gridCol w:w="897"/>
        <w:gridCol w:w="897"/>
        <w:gridCol w:w="911"/>
        <w:gridCol w:w="912"/>
        <w:gridCol w:w="897"/>
      </w:tblGrid>
      <w:tr w:rsidR="00000000">
        <w:tc>
          <w:tcPr>
            <w:tcW w:w="2780"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16"/>
              </w:rPr>
            </w:pPr>
            <w:r>
              <w:rPr>
                <w:b/>
                <w:bCs/>
                <w:i/>
                <w:iCs/>
                <w:sz w:val="20"/>
                <w:szCs w:val="16"/>
              </w:rPr>
              <w:t>Ages (actual)</w:t>
            </w:r>
          </w:p>
        </w:tc>
        <w:tc>
          <w:tcPr>
            <w:tcW w:w="911"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rPr>
            </w:pPr>
            <w:r>
              <w:rPr>
                <w:b/>
                <w:bCs/>
                <w:i/>
                <w:iCs/>
                <w:sz w:val="20"/>
                <w:szCs w:val="16"/>
              </w:rPr>
              <w:t>1994</w:t>
            </w:r>
          </w:p>
        </w:tc>
        <w:tc>
          <w:tcPr>
            <w:tcW w:w="911"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rPr>
            </w:pPr>
            <w:r>
              <w:rPr>
                <w:b/>
                <w:bCs/>
                <w:i/>
                <w:iCs/>
                <w:sz w:val="20"/>
                <w:szCs w:val="16"/>
              </w:rPr>
              <w:t>1995</w:t>
            </w:r>
          </w:p>
        </w:tc>
        <w:tc>
          <w:tcPr>
            <w:tcW w:w="896"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rPr>
            </w:pPr>
            <w:r>
              <w:rPr>
                <w:b/>
                <w:bCs/>
                <w:i/>
                <w:iCs/>
                <w:sz w:val="20"/>
                <w:szCs w:val="16"/>
              </w:rPr>
              <w:t>1996</w:t>
            </w:r>
          </w:p>
        </w:tc>
        <w:tc>
          <w:tcPr>
            <w:tcW w:w="925"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rPr>
            </w:pPr>
            <w:r>
              <w:rPr>
                <w:b/>
                <w:bCs/>
                <w:i/>
                <w:iCs/>
                <w:sz w:val="20"/>
                <w:szCs w:val="16"/>
              </w:rPr>
              <w:t>1997</w:t>
            </w:r>
          </w:p>
        </w:tc>
        <w:tc>
          <w:tcPr>
            <w:tcW w:w="912"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rPr>
            </w:pPr>
            <w:r>
              <w:rPr>
                <w:b/>
                <w:bCs/>
                <w:i/>
                <w:iCs/>
                <w:sz w:val="20"/>
                <w:szCs w:val="16"/>
              </w:rPr>
              <w:t>1998</w:t>
            </w:r>
          </w:p>
        </w:tc>
        <w:tc>
          <w:tcPr>
            <w:tcW w:w="912"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rPr>
            </w:pPr>
            <w:r>
              <w:rPr>
                <w:b/>
                <w:bCs/>
                <w:i/>
                <w:iCs/>
                <w:sz w:val="20"/>
                <w:szCs w:val="16"/>
              </w:rPr>
              <w:t>1999</w:t>
            </w:r>
          </w:p>
        </w:tc>
        <w:tc>
          <w:tcPr>
            <w:tcW w:w="927"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rPr>
            </w:pPr>
            <w:r>
              <w:rPr>
                <w:b/>
                <w:bCs/>
                <w:i/>
                <w:iCs/>
                <w:sz w:val="20"/>
                <w:szCs w:val="16"/>
              </w:rPr>
              <w:t>2000</w:t>
            </w:r>
          </w:p>
        </w:tc>
        <w:tc>
          <w:tcPr>
            <w:tcW w:w="897"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rPr>
            </w:pPr>
            <w:r>
              <w:rPr>
                <w:b/>
                <w:bCs/>
                <w:i/>
                <w:iCs/>
                <w:sz w:val="20"/>
                <w:szCs w:val="16"/>
              </w:rPr>
              <w:t>2001</w:t>
            </w:r>
          </w:p>
        </w:tc>
        <w:tc>
          <w:tcPr>
            <w:tcW w:w="897"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rPr>
            </w:pPr>
            <w:r>
              <w:rPr>
                <w:b/>
                <w:bCs/>
                <w:i/>
                <w:iCs/>
                <w:sz w:val="20"/>
                <w:szCs w:val="16"/>
              </w:rPr>
              <w:t>2002</w:t>
            </w:r>
          </w:p>
        </w:tc>
        <w:tc>
          <w:tcPr>
            <w:tcW w:w="897"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rPr>
            </w:pPr>
            <w:r>
              <w:rPr>
                <w:b/>
                <w:bCs/>
                <w:i/>
                <w:iCs/>
                <w:sz w:val="20"/>
                <w:szCs w:val="16"/>
              </w:rPr>
              <w:t>2003</w:t>
            </w:r>
          </w:p>
        </w:tc>
        <w:tc>
          <w:tcPr>
            <w:tcW w:w="911"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rPr>
            </w:pPr>
            <w:r>
              <w:rPr>
                <w:b/>
                <w:bCs/>
                <w:i/>
                <w:iCs/>
                <w:sz w:val="20"/>
                <w:szCs w:val="16"/>
              </w:rPr>
              <w:t>2004</w:t>
            </w:r>
          </w:p>
        </w:tc>
        <w:tc>
          <w:tcPr>
            <w:tcW w:w="912"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rPr>
            </w:pPr>
            <w:r>
              <w:rPr>
                <w:b/>
                <w:bCs/>
                <w:i/>
                <w:iCs/>
                <w:sz w:val="20"/>
                <w:szCs w:val="16"/>
              </w:rPr>
              <w:t>2005</w:t>
            </w:r>
          </w:p>
        </w:tc>
        <w:tc>
          <w:tcPr>
            <w:tcW w:w="897"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rPr>
            </w:pPr>
            <w:r>
              <w:rPr>
                <w:b/>
                <w:bCs/>
                <w:i/>
                <w:iCs/>
                <w:sz w:val="20"/>
                <w:szCs w:val="16"/>
              </w:rPr>
              <w:t>2006</w:t>
            </w:r>
          </w:p>
        </w:tc>
      </w:tr>
      <w:tr w:rsidR="00000000">
        <w:tc>
          <w:tcPr>
            <w:tcW w:w="2780" w:type="dxa"/>
            <w:tcBorders>
              <w:top w:val="single" w:sz="4" w:space="0" w:color="auto"/>
            </w:tcBorders>
            <w:noWrap/>
            <w:vAlign w:val="bottom"/>
          </w:tcPr>
          <w:p w:rsidR="00000000" w:rsidRDefault="00000000">
            <w:pPr>
              <w:pStyle w:val="FootnoteText"/>
              <w:widowControl w:val="0"/>
              <w:spacing w:before="60" w:after="60"/>
              <w:rPr>
                <w:szCs w:val="16"/>
              </w:rPr>
            </w:pPr>
            <w:r>
              <w:rPr>
                <w:szCs w:val="16"/>
              </w:rPr>
              <w:t>0 - 4 years</w:t>
            </w:r>
          </w:p>
        </w:tc>
        <w:tc>
          <w:tcPr>
            <w:tcW w:w="911" w:type="dxa"/>
            <w:tcBorders>
              <w:top w:val="single" w:sz="4" w:space="0" w:color="auto"/>
            </w:tcBorders>
            <w:noWrap/>
            <w:vAlign w:val="bottom"/>
          </w:tcPr>
          <w:p w:rsidR="00000000" w:rsidRDefault="00000000">
            <w:pPr>
              <w:widowControl w:val="0"/>
              <w:spacing w:before="60" w:after="60"/>
              <w:jc w:val="center"/>
              <w:rPr>
                <w:sz w:val="20"/>
                <w:szCs w:val="16"/>
              </w:rPr>
            </w:pPr>
            <w:r>
              <w:rPr>
                <w:sz w:val="20"/>
                <w:szCs w:val="16"/>
              </w:rPr>
              <w:t>683 586</w:t>
            </w:r>
          </w:p>
        </w:tc>
        <w:tc>
          <w:tcPr>
            <w:tcW w:w="911" w:type="dxa"/>
            <w:tcBorders>
              <w:top w:val="single" w:sz="4" w:space="0" w:color="auto"/>
            </w:tcBorders>
            <w:noWrap/>
            <w:vAlign w:val="bottom"/>
          </w:tcPr>
          <w:p w:rsidR="00000000" w:rsidRDefault="00000000">
            <w:pPr>
              <w:widowControl w:val="0"/>
              <w:spacing w:before="60" w:after="60"/>
              <w:jc w:val="center"/>
              <w:rPr>
                <w:sz w:val="20"/>
                <w:szCs w:val="16"/>
              </w:rPr>
            </w:pPr>
            <w:r>
              <w:rPr>
                <w:sz w:val="20"/>
                <w:szCs w:val="16"/>
              </w:rPr>
              <w:t>688 898</w:t>
            </w:r>
          </w:p>
        </w:tc>
        <w:tc>
          <w:tcPr>
            <w:tcW w:w="896" w:type="dxa"/>
            <w:tcBorders>
              <w:top w:val="single" w:sz="4" w:space="0" w:color="auto"/>
            </w:tcBorders>
            <w:noWrap/>
            <w:vAlign w:val="bottom"/>
          </w:tcPr>
          <w:p w:rsidR="00000000" w:rsidRDefault="00000000">
            <w:pPr>
              <w:widowControl w:val="0"/>
              <w:spacing w:before="60" w:after="60"/>
              <w:jc w:val="center"/>
              <w:rPr>
                <w:sz w:val="20"/>
                <w:szCs w:val="16"/>
              </w:rPr>
            </w:pPr>
            <w:r>
              <w:rPr>
                <w:sz w:val="20"/>
                <w:szCs w:val="16"/>
              </w:rPr>
              <w:t>693 928</w:t>
            </w:r>
          </w:p>
        </w:tc>
        <w:tc>
          <w:tcPr>
            <w:tcW w:w="925" w:type="dxa"/>
            <w:tcBorders>
              <w:top w:val="single" w:sz="4" w:space="0" w:color="auto"/>
            </w:tcBorders>
            <w:noWrap/>
            <w:vAlign w:val="bottom"/>
          </w:tcPr>
          <w:p w:rsidR="00000000" w:rsidRDefault="00000000">
            <w:pPr>
              <w:widowControl w:val="0"/>
              <w:spacing w:before="60" w:after="60"/>
              <w:jc w:val="center"/>
              <w:rPr>
                <w:sz w:val="20"/>
                <w:szCs w:val="16"/>
              </w:rPr>
            </w:pPr>
            <w:r>
              <w:rPr>
                <w:sz w:val="20"/>
                <w:szCs w:val="16"/>
              </w:rPr>
              <w:t>698 514</w:t>
            </w:r>
          </w:p>
        </w:tc>
        <w:tc>
          <w:tcPr>
            <w:tcW w:w="912" w:type="dxa"/>
            <w:tcBorders>
              <w:top w:val="single" w:sz="4" w:space="0" w:color="auto"/>
            </w:tcBorders>
            <w:noWrap/>
            <w:vAlign w:val="bottom"/>
          </w:tcPr>
          <w:p w:rsidR="00000000" w:rsidRDefault="00000000">
            <w:pPr>
              <w:widowControl w:val="0"/>
              <w:spacing w:before="60" w:after="60"/>
              <w:jc w:val="center"/>
              <w:rPr>
                <w:sz w:val="20"/>
                <w:szCs w:val="16"/>
              </w:rPr>
            </w:pPr>
            <w:r>
              <w:rPr>
                <w:sz w:val="20"/>
                <w:szCs w:val="16"/>
              </w:rPr>
              <w:t>702 777</w:t>
            </w:r>
          </w:p>
        </w:tc>
        <w:tc>
          <w:tcPr>
            <w:tcW w:w="912" w:type="dxa"/>
            <w:tcBorders>
              <w:top w:val="single" w:sz="4" w:space="0" w:color="auto"/>
            </w:tcBorders>
            <w:noWrap/>
            <w:vAlign w:val="bottom"/>
          </w:tcPr>
          <w:p w:rsidR="00000000" w:rsidRDefault="00000000">
            <w:pPr>
              <w:widowControl w:val="0"/>
              <w:spacing w:before="60" w:after="60"/>
              <w:jc w:val="center"/>
              <w:rPr>
                <w:sz w:val="20"/>
                <w:szCs w:val="16"/>
              </w:rPr>
            </w:pPr>
            <w:r>
              <w:rPr>
                <w:sz w:val="20"/>
                <w:szCs w:val="16"/>
              </w:rPr>
              <w:t>706 834</w:t>
            </w:r>
          </w:p>
        </w:tc>
        <w:tc>
          <w:tcPr>
            <w:tcW w:w="927" w:type="dxa"/>
            <w:tcBorders>
              <w:top w:val="single" w:sz="4" w:space="0" w:color="auto"/>
            </w:tcBorders>
            <w:noWrap/>
            <w:vAlign w:val="bottom"/>
          </w:tcPr>
          <w:p w:rsidR="00000000" w:rsidRDefault="00000000">
            <w:pPr>
              <w:widowControl w:val="0"/>
              <w:spacing w:before="60" w:after="60"/>
              <w:jc w:val="center"/>
              <w:rPr>
                <w:sz w:val="20"/>
                <w:szCs w:val="16"/>
              </w:rPr>
            </w:pPr>
            <w:r>
              <w:rPr>
                <w:sz w:val="20"/>
                <w:szCs w:val="16"/>
              </w:rPr>
              <w:t>710 803</w:t>
            </w:r>
          </w:p>
        </w:tc>
        <w:tc>
          <w:tcPr>
            <w:tcW w:w="897" w:type="dxa"/>
            <w:tcBorders>
              <w:top w:val="single" w:sz="4" w:space="0" w:color="auto"/>
            </w:tcBorders>
            <w:noWrap/>
            <w:vAlign w:val="bottom"/>
          </w:tcPr>
          <w:p w:rsidR="00000000" w:rsidRDefault="00000000">
            <w:pPr>
              <w:widowControl w:val="0"/>
              <w:spacing w:before="60" w:after="60"/>
              <w:jc w:val="center"/>
              <w:rPr>
                <w:sz w:val="20"/>
                <w:szCs w:val="16"/>
              </w:rPr>
            </w:pPr>
            <w:r>
              <w:rPr>
                <w:sz w:val="20"/>
                <w:szCs w:val="16"/>
              </w:rPr>
              <w:t>714 750</w:t>
            </w:r>
          </w:p>
        </w:tc>
        <w:tc>
          <w:tcPr>
            <w:tcW w:w="897" w:type="dxa"/>
            <w:tcBorders>
              <w:top w:val="single" w:sz="4" w:space="0" w:color="auto"/>
            </w:tcBorders>
            <w:noWrap/>
            <w:vAlign w:val="bottom"/>
          </w:tcPr>
          <w:p w:rsidR="00000000" w:rsidRDefault="00000000">
            <w:pPr>
              <w:widowControl w:val="0"/>
              <w:spacing w:before="60" w:after="60"/>
              <w:jc w:val="center"/>
              <w:rPr>
                <w:sz w:val="20"/>
                <w:szCs w:val="16"/>
              </w:rPr>
            </w:pPr>
            <w:r>
              <w:rPr>
                <w:sz w:val="20"/>
                <w:szCs w:val="16"/>
              </w:rPr>
              <w:t>718 594</w:t>
            </w:r>
          </w:p>
        </w:tc>
        <w:tc>
          <w:tcPr>
            <w:tcW w:w="897" w:type="dxa"/>
            <w:tcBorders>
              <w:top w:val="single" w:sz="4" w:space="0" w:color="auto"/>
            </w:tcBorders>
            <w:noWrap/>
            <w:vAlign w:val="bottom"/>
          </w:tcPr>
          <w:p w:rsidR="00000000" w:rsidRDefault="00000000">
            <w:pPr>
              <w:widowControl w:val="0"/>
              <w:spacing w:before="60" w:after="60"/>
              <w:jc w:val="center"/>
              <w:rPr>
                <w:sz w:val="20"/>
                <w:szCs w:val="16"/>
              </w:rPr>
            </w:pPr>
            <w:r>
              <w:rPr>
                <w:sz w:val="20"/>
                <w:szCs w:val="16"/>
              </w:rPr>
              <w:t>722 241</w:t>
            </w:r>
          </w:p>
        </w:tc>
        <w:tc>
          <w:tcPr>
            <w:tcW w:w="911" w:type="dxa"/>
            <w:tcBorders>
              <w:top w:val="single" w:sz="4" w:space="0" w:color="auto"/>
            </w:tcBorders>
            <w:noWrap/>
            <w:vAlign w:val="bottom"/>
          </w:tcPr>
          <w:p w:rsidR="00000000" w:rsidRDefault="00000000">
            <w:pPr>
              <w:widowControl w:val="0"/>
              <w:spacing w:before="60" w:after="60"/>
              <w:jc w:val="center"/>
              <w:rPr>
                <w:sz w:val="20"/>
                <w:szCs w:val="16"/>
              </w:rPr>
            </w:pPr>
            <w:r>
              <w:rPr>
                <w:sz w:val="20"/>
                <w:szCs w:val="16"/>
              </w:rPr>
              <w:t>725 592</w:t>
            </w:r>
          </w:p>
        </w:tc>
        <w:tc>
          <w:tcPr>
            <w:tcW w:w="912" w:type="dxa"/>
            <w:tcBorders>
              <w:top w:val="single" w:sz="4" w:space="0" w:color="auto"/>
            </w:tcBorders>
            <w:noWrap/>
            <w:vAlign w:val="bottom"/>
          </w:tcPr>
          <w:p w:rsidR="00000000" w:rsidRDefault="00000000">
            <w:pPr>
              <w:widowControl w:val="0"/>
              <w:spacing w:before="60" w:after="60"/>
              <w:jc w:val="center"/>
              <w:rPr>
                <w:sz w:val="20"/>
                <w:szCs w:val="16"/>
              </w:rPr>
            </w:pPr>
            <w:r>
              <w:rPr>
                <w:sz w:val="20"/>
                <w:szCs w:val="16"/>
              </w:rPr>
              <w:t>728 551</w:t>
            </w:r>
          </w:p>
        </w:tc>
        <w:tc>
          <w:tcPr>
            <w:tcW w:w="897" w:type="dxa"/>
            <w:tcBorders>
              <w:top w:val="single" w:sz="4" w:space="0" w:color="auto"/>
            </w:tcBorders>
            <w:noWrap/>
            <w:vAlign w:val="bottom"/>
          </w:tcPr>
          <w:p w:rsidR="00000000" w:rsidRDefault="00000000">
            <w:pPr>
              <w:widowControl w:val="0"/>
              <w:spacing w:before="60" w:after="60"/>
              <w:jc w:val="center"/>
              <w:rPr>
                <w:sz w:val="20"/>
                <w:szCs w:val="16"/>
              </w:rPr>
            </w:pPr>
            <w:r>
              <w:rPr>
                <w:sz w:val="20"/>
                <w:szCs w:val="16"/>
              </w:rPr>
              <w:t>731 068</w:t>
            </w:r>
          </w:p>
        </w:tc>
      </w:tr>
      <w:tr w:rsidR="00000000">
        <w:tc>
          <w:tcPr>
            <w:tcW w:w="2780" w:type="dxa"/>
            <w:noWrap/>
            <w:vAlign w:val="bottom"/>
          </w:tcPr>
          <w:p w:rsidR="00000000" w:rsidRDefault="00000000">
            <w:pPr>
              <w:widowControl w:val="0"/>
              <w:spacing w:before="60" w:after="60"/>
              <w:rPr>
                <w:sz w:val="20"/>
                <w:szCs w:val="16"/>
              </w:rPr>
            </w:pPr>
            <w:r>
              <w:rPr>
                <w:sz w:val="20"/>
                <w:szCs w:val="16"/>
              </w:rPr>
              <w:t>Under 1 year</w:t>
            </w:r>
          </w:p>
        </w:tc>
        <w:tc>
          <w:tcPr>
            <w:tcW w:w="911" w:type="dxa"/>
            <w:noWrap/>
            <w:vAlign w:val="bottom"/>
          </w:tcPr>
          <w:p w:rsidR="00000000" w:rsidRDefault="00000000">
            <w:pPr>
              <w:widowControl w:val="0"/>
              <w:spacing w:before="60" w:after="60"/>
              <w:jc w:val="center"/>
              <w:rPr>
                <w:sz w:val="20"/>
                <w:szCs w:val="16"/>
              </w:rPr>
            </w:pPr>
            <w:r>
              <w:rPr>
                <w:sz w:val="20"/>
                <w:szCs w:val="16"/>
              </w:rPr>
              <w:t>140 244</w:t>
            </w:r>
          </w:p>
        </w:tc>
        <w:tc>
          <w:tcPr>
            <w:tcW w:w="911" w:type="dxa"/>
            <w:noWrap/>
            <w:vAlign w:val="bottom"/>
          </w:tcPr>
          <w:p w:rsidR="00000000" w:rsidRDefault="00000000">
            <w:pPr>
              <w:widowControl w:val="0"/>
              <w:spacing w:before="60" w:after="60"/>
              <w:jc w:val="center"/>
              <w:rPr>
                <w:sz w:val="20"/>
                <w:szCs w:val="16"/>
              </w:rPr>
            </w:pPr>
            <w:r>
              <w:rPr>
                <w:sz w:val="20"/>
                <w:szCs w:val="16"/>
              </w:rPr>
              <w:t>141 180</w:t>
            </w:r>
          </w:p>
        </w:tc>
        <w:tc>
          <w:tcPr>
            <w:tcW w:w="896" w:type="dxa"/>
            <w:noWrap/>
            <w:vAlign w:val="bottom"/>
          </w:tcPr>
          <w:p w:rsidR="00000000" w:rsidRDefault="00000000">
            <w:pPr>
              <w:widowControl w:val="0"/>
              <w:spacing w:before="60" w:after="60"/>
              <w:jc w:val="center"/>
              <w:rPr>
                <w:sz w:val="20"/>
                <w:szCs w:val="16"/>
              </w:rPr>
            </w:pPr>
            <w:r>
              <w:rPr>
                <w:sz w:val="20"/>
                <w:szCs w:val="16"/>
              </w:rPr>
              <w:t>142 028</w:t>
            </w:r>
          </w:p>
        </w:tc>
        <w:tc>
          <w:tcPr>
            <w:tcW w:w="925" w:type="dxa"/>
            <w:noWrap/>
            <w:vAlign w:val="bottom"/>
          </w:tcPr>
          <w:p w:rsidR="00000000" w:rsidRDefault="00000000">
            <w:pPr>
              <w:widowControl w:val="0"/>
              <w:spacing w:before="60" w:after="60"/>
              <w:jc w:val="center"/>
              <w:rPr>
                <w:sz w:val="20"/>
                <w:szCs w:val="16"/>
              </w:rPr>
            </w:pPr>
            <w:r>
              <w:rPr>
                <w:sz w:val="20"/>
                <w:szCs w:val="16"/>
              </w:rPr>
              <w:t>142 802</w:t>
            </w:r>
          </w:p>
        </w:tc>
        <w:tc>
          <w:tcPr>
            <w:tcW w:w="912" w:type="dxa"/>
            <w:noWrap/>
            <w:vAlign w:val="bottom"/>
          </w:tcPr>
          <w:p w:rsidR="00000000" w:rsidRDefault="00000000">
            <w:pPr>
              <w:widowControl w:val="0"/>
              <w:spacing w:before="60" w:after="60"/>
              <w:jc w:val="center"/>
              <w:rPr>
                <w:sz w:val="20"/>
                <w:szCs w:val="16"/>
              </w:rPr>
            </w:pPr>
            <w:r>
              <w:rPr>
                <w:sz w:val="20"/>
                <w:szCs w:val="16"/>
              </w:rPr>
              <w:t>143 522</w:t>
            </w:r>
          </w:p>
        </w:tc>
        <w:tc>
          <w:tcPr>
            <w:tcW w:w="912" w:type="dxa"/>
            <w:noWrap/>
            <w:vAlign w:val="bottom"/>
          </w:tcPr>
          <w:p w:rsidR="00000000" w:rsidRDefault="00000000">
            <w:pPr>
              <w:widowControl w:val="0"/>
              <w:spacing w:before="60" w:after="60"/>
              <w:jc w:val="center"/>
              <w:rPr>
                <w:sz w:val="20"/>
                <w:szCs w:val="16"/>
              </w:rPr>
            </w:pPr>
            <w:r>
              <w:rPr>
                <w:sz w:val="20"/>
                <w:szCs w:val="16"/>
              </w:rPr>
              <w:t>144 206</w:t>
            </w:r>
          </w:p>
        </w:tc>
        <w:tc>
          <w:tcPr>
            <w:tcW w:w="927" w:type="dxa"/>
            <w:noWrap/>
            <w:vAlign w:val="bottom"/>
          </w:tcPr>
          <w:p w:rsidR="00000000" w:rsidRDefault="00000000">
            <w:pPr>
              <w:widowControl w:val="0"/>
              <w:spacing w:before="60" w:after="60"/>
              <w:jc w:val="center"/>
              <w:rPr>
                <w:sz w:val="20"/>
                <w:szCs w:val="16"/>
              </w:rPr>
            </w:pPr>
            <w:r>
              <w:rPr>
                <w:sz w:val="20"/>
                <w:szCs w:val="16"/>
              </w:rPr>
              <w:t>144 876</w:t>
            </w:r>
          </w:p>
        </w:tc>
        <w:tc>
          <w:tcPr>
            <w:tcW w:w="897" w:type="dxa"/>
            <w:noWrap/>
            <w:vAlign w:val="bottom"/>
          </w:tcPr>
          <w:p w:rsidR="00000000" w:rsidRDefault="00000000">
            <w:pPr>
              <w:widowControl w:val="0"/>
              <w:spacing w:before="60" w:after="60"/>
              <w:jc w:val="center"/>
              <w:rPr>
                <w:sz w:val="20"/>
                <w:szCs w:val="16"/>
              </w:rPr>
            </w:pPr>
            <w:r>
              <w:rPr>
                <w:sz w:val="20"/>
                <w:szCs w:val="16"/>
              </w:rPr>
              <w:t>145 548</w:t>
            </w:r>
          </w:p>
        </w:tc>
        <w:tc>
          <w:tcPr>
            <w:tcW w:w="897" w:type="dxa"/>
            <w:noWrap/>
            <w:vAlign w:val="bottom"/>
          </w:tcPr>
          <w:p w:rsidR="00000000" w:rsidRDefault="00000000">
            <w:pPr>
              <w:widowControl w:val="0"/>
              <w:spacing w:before="60" w:after="60"/>
              <w:jc w:val="center"/>
              <w:rPr>
                <w:sz w:val="20"/>
                <w:szCs w:val="16"/>
              </w:rPr>
            </w:pPr>
            <w:r>
              <w:rPr>
                <w:sz w:val="20"/>
                <w:szCs w:val="16"/>
              </w:rPr>
              <w:t>146 210</w:t>
            </w:r>
          </w:p>
        </w:tc>
        <w:tc>
          <w:tcPr>
            <w:tcW w:w="897" w:type="dxa"/>
            <w:noWrap/>
            <w:vAlign w:val="bottom"/>
          </w:tcPr>
          <w:p w:rsidR="00000000" w:rsidRDefault="00000000">
            <w:pPr>
              <w:widowControl w:val="0"/>
              <w:spacing w:before="60" w:after="60"/>
              <w:jc w:val="center"/>
              <w:rPr>
                <w:sz w:val="20"/>
                <w:szCs w:val="16"/>
              </w:rPr>
            </w:pPr>
            <w:r>
              <w:rPr>
                <w:sz w:val="20"/>
                <w:szCs w:val="16"/>
              </w:rPr>
              <w:t>146 835</w:t>
            </w:r>
          </w:p>
        </w:tc>
        <w:tc>
          <w:tcPr>
            <w:tcW w:w="911" w:type="dxa"/>
            <w:noWrap/>
            <w:vAlign w:val="bottom"/>
          </w:tcPr>
          <w:p w:rsidR="00000000" w:rsidRDefault="00000000">
            <w:pPr>
              <w:widowControl w:val="0"/>
              <w:spacing w:before="60" w:after="60"/>
              <w:jc w:val="center"/>
              <w:rPr>
                <w:sz w:val="20"/>
                <w:szCs w:val="16"/>
              </w:rPr>
            </w:pPr>
            <w:r>
              <w:rPr>
                <w:sz w:val="20"/>
                <w:szCs w:val="16"/>
              </w:rPr>
              <w:t>147 397</w:t>
            </w:r>
          </w:p>
        </w:tc>
        <w:tc>
          <w:tcPr>
            <w:tcW w:w="912" w:type="dxa"/>
            <w:noWrap/>
            <w:vAlign w:val="bottom"/>
          </w:tcPr>
          <w:p w:rsidR="00000000" w:rsidRDefault="00000000">
            <w:pPr>
              <w:widowControl w:val="0"/>
              <w:spacing w:before="60" w:after="60"/>
              <w:jc w:val="center"/>
              <w:rPr>
                <w:sz w:val="20"/>
                <w:szCs w:val="16"/>
              </w:rPr>
            </w:pPr>
            <w:r>
              <w:rPr>
                <w:sz w:val="20"/>
                <w:szCs w:val="16"/>
              </w:rPr>
              <w:t>147 870</w:t>
            </w:r>
          </w:p>
        </w:tc>
        <w:tc>
          <w:tcPr>
            <w:tcW w:w="897" w:type="dxa"/>
            <w:noWrap/>
            <w:vAlign w:val="bottom"/>
          </w:tcPr>
          <w:p w:rsidR="00000000" w:rsidRDefault="00000000">
            <w:pPr>
              <w:widowControl w:val="0"/>
              <w:spacing w:before="60" w:after="60"/>
              <w:jc w:val="center"/>
              <w:rPr>
                <w:sz w:val="20"/>
                <w:szCs w:val="16"/>
              </w:rPr>
            </w:pPr>
            <w:r>
              <w:rPr>
                <w:sz w:val="20"/>
                <w:szCs w:val="16"/>
              </w:rPr>
              <w:t>148 238</w:t>
            </w:r>
          </w:p>
        </w:tc>
      </w:tr>
      <w:tr w:rsidR="00000000">
        <w:tc>
          <w:tcPr>
            <w:tcW w:w="2780" w:type="dxa"/>
            <w:noWrap/>
            <w:vAlign w:val="bottom"/>
          </w:tcPr>
          <w:p w:rsidR="00000000" w:rsidRDefault="00000000">
            <w:pPr>
              <w:widowControl w:val="0"/>
              <w:spacing w:before="60" w:after="60"/>
              <w:rPr>
                <w:sz w:val="20"/>
                <w:szCs w:val="16"/>
              </w:rPr>
            </w:pPr>
            <w:r>
              <w:rPr>
                <w:sz w:val="20"/>
                <w:szCs w:val="16"/>
              </w:rPr>
              <w:t>1 year</w:t>
            </w:r>
          </w:p>
        </w:tc>
        <w:tc>
          <w:tcPr>
            <w:tcW w:w="911" w:type="dxa"/>
            <w:noWrap/>
            <w:vAlign w:val="bottom"/>
          </w:tcPr>
          <w:p w:rsidR="00000000" w:rsidRDefault="00000000">
            <w:pPr>
              <w:widowControl w:val="0"/>
              <w:spacing w:before="60" w:after="60"/>
              <w:jc w:val="center"/>
              <w:rPr>
                <w:sz w:val="20"/>
                <w:szCs w:val="16"/>
              </w:rPr>
            </w:pPr>
            <w:r>
              <w:rPr>
                <w:sz w:val="20"/>
                <w:szCs w:val="16"/>
              </w:rPr>
              <w:t>137 982</w:t>
            </w:r>
          </w:p>
        </w:tc>
        <w:tc>
          <w:tcPr>
            <w:tcW w:w="911" w:type="dxa"/>
            <w:noWrap/>
            <w:vAlign w:val="bottom"/>
          </w:tcPr>
          <w:p w:rsidR="00000000" w:rsidRDefault="00000000">
            <w:pPr>
              <w:widowControl w:val="0"/>
              <w:spacing w:before="60" w:after="60"/>
              <w:jc w:val="center"/>
              <w:rPr>
                <w:sz w:val="20"/>
                <w:szCs w:val="16"/>
              </w:rPr>
            </w:pPr>
            <w:r>
              <w:rPr>
                <w:sz w:val="20"/>
                <w:szCs w:val="16"/>
              </w:rPr>
              <w:t>138 997</w:t>
            </w:r>
          </w:p>
        </w:tc>
        <w:tc>
          <w:tcPr>
            <w:tcW w:w="896" w:type="dxa"/>
            <w:noWrap/>
            <w:vAlign w:val="bottom"/>
          </w:tcPr>
          <w:p w:rsidR="00000000" w:rsidRDefault="00000000">
            <w:pPr>
              <w:widowControl w:val="0"/>
              <w:spacing w:before="60" w:after="60"/>
              <w:jc w:val="center"/>
              <w:rPr>
                <w:sz w:val="20"/>
                <w:szCs w:val="16"/>
              </w:rPr>
            </w:pPr>
            <w:r>
              <w:rPr>
                <w:sz w:val="20"/>
                <w:szCs w:val="16"/>
              </w:rPr>
              <w:t>139 939</w:t>
            </w:r>
          </w:p>
        </w:tc>
        <w:tc>
          <w:tcPr>
            <w:tcW w:w="925" w:type="dxa"/>
            <w:noWrap/>
            <w:vAlign w:val="bottom"/>
          </w:tcPr>
          <w:p w:rsidR="00000000" w:rsidRDefault="00000000">
            <w:pPr>
              <w:widowControl w:val="0"/>
              <w:spacing w:before="60" w:after="60"/>
              <w:jc w:val="center"/>
              <w:rPr>
                <w:sz w:val="20"/>
                <w:szCs w:val="16"/>
              </w:rPr>
            </w:pPr>
            <w:r>
              <w:rPr>
                <w:sz w:val="20"/>
                <w:szCs w:val="16"/>
              </w:rPr>
              <w:t>140 802</w:t>
            </w:r>
          </w:p>
        </w:tc>
        <w:tc>
          <w:tcPr>
            <w:tcW w:w="912" w:type="dxa"/>
            <w:noWrap/>
            <w:vAlign w:val="bottom"/>
          </w:tcPr>
          <w:p w:rsidR="00000000" w:rsidRDefault="00000000">
            <w:pPr>
              <w:widowControl w:val="0"/>
              <w:spacing w:before="60" w:after="60"/>
              <w:jc w:val="center"/>
              <w:rPr>
                <w:sz w:val="20"/>
                <w:szCs w:val="16"/>
              </w:rPr>
            </w:pPr>
            <w:r>
              <w:rPr>
                <w:sz w:val="20"/>
                <w:szCs w:val="16"/>
              </w:rPr>
              <w:t>141 608</w:t>
            </w:r>
          </w:p>
        </w:tc>
        <w:tc>
          <w:tcPr>
            <w:tcW w:w="912" w:type="dxa"/>
            <w:noWrap/>
            <w:vAlign w:val="bottom"/>
          </w:tcPr>
          <w:p w:rsidR="00000000" w:rsidRDefault="00000000">
            <w:pPr>
              <w:widowControl w:val="0"/>
              <w:spacing w:before="60" w:after="60"/>
              <w:jc w:val="center"/>
              <w:rPr>
                <w:sz w:val="20"/>
                <w:szCs w:val="16"/>
              </w:rPr>
            </w:pPr>
            <w:r>
              <w:rPr>
                <w:sz w:val="20"/>
                <w:szCs w:val="16"/>
              </w:rPr>
              <w:t>142 374</w:t>
            </w:r>
          </w:p>
        </w:tc>
        <w:tc>
          <w:tcPr>
            <w:tcW w:w="927" w:type="dxa"/>
            <w:noWrap/>
            <w:vAlign w:val="bottom"/>
          </w:tcPr>
          <w:p w:rsidR="00000000" w:rsidRDefault="00000000">
            <w:pPr>
              <w:widowControl w:val="0"/>
              <w:spacing w:before="60" w:after="60"/>
              <w:jc w:val="center"/>
              <w:rPr>
                <w:sz w:val="20"/>
                <w:szCs w:val="16"/>
              </w:rPr>
            </w:pPr>
            <w:r>
              <w:rPr>
                <w:sz w:val="20"/>
                <w:szCs w:val="16"/>
              </w:rPr>
              <w:t>143 123</w:t>
            </w:r>
          </w:p>
        </w:tc>
        <w:tc>
          <w:tcPr>
            <w:tcW w:w="897" w:type="dxa"/>
            <w:noWrap/>
            <w:vAlign w:val="bottom"/>
          </w:tcPr>
          <w:p w:rsidR="00000000" w:rsidRDefault="00000000">
            <w:pPr>
              <w:widowControl w:val="0"/>
              <w:spacing w:before="60" w:after="60"/>
              <w:jc w:val="center"/>
              <w:rPr>
                <w:sz w:val="20"/>
                <w:szCs w:val="16"/>
              </w:rPr>
            </w:pPr>
            <w:r>
              <w:rPr>
                <w:sz w:val="20"/>
                <w:szCs w:val="16"/>
              </w:rPr>
              <w:t>143 868</w:t>
            </w:r>
          </w:p>
        </w:tc>
        <w:tc>
          <w:tcPr>
            <w:tcW w:w="897" w:type="dxa"/>
            <w:noWrap/>
            <w:vAlign w:val="bottom"/>
          </w:tcPr>
          <w:p w:rsidR="00000000" w:rsidRDefault="00000000">
            <w:pPr>
              <w:widowControl w:val="0"/>
              <w:spacing w:before="60" w:after="60"/>
              <w:jc w:val="center"/>
              <w:rPr>
                <w:sz w:val="20"/>
                <w:szCs w:val="16"/>
              </w:rPr>
            </w:pPr>
            <w:r>
              <w:rPr>
                <w:sz w:val="20"/>
                <w:szCs w:val="16"/>
              </w:rPr>
              <w:t>144 597</w:t>
            </w:r>
          </w:p>
        </w:tc>
        <w:tc>
          <w:tcPr>
            <w:tcW w:w="897" w:type="dxa"/>
            <w:noWrap/>
            <w:vAlign w:val="bottom"/>
          </w:tcPr>
          <w:p w:rsidR="00000000" w:rsidRDefault="00000000">
            <w:pPr>
              <w:widowControl w:val="0"/>
              <w:spacing w:before="60" w:after="60"/>
              <w:jc w:val="center"/>
              <w:rPr>
                <w:sz w:val="20"/>
                <w:szCs w:val="16"/>
              </w:rPr>
            </w:pPr>
            <w:r>
              <w:rPr>
                <w:sz w:val="20"/>
                <w:szCs w:val="16"/>
              </w:rPr>
              <w:t>145 287</w:t>
            </w:r>
          </w:p>
        </w:tc>
        <w:tc>
          <w:tcPr>
            <w:tcW w:w="911" w:type="dxa"/>
            <w:noWrap/>
            <w:vAlign w:val="bottom"/>
          </w:tcPr>
          <w:p w:rsidR="00000000" w:rsidRDefault="00000000">
            <w:pPr>
              <w:widowControl w:val="0"/>
              <w:spacing w:before="60" w:after="60"/>
              <w:jc w:val="center"/>
              <w:rPr>
                <w:sz w:val="20"/>
                <w:szCs w:val="16"/>
              </w:rPr>
            </w:pPr>
            <w:r>
              <w:rPr>
                <w:sz w:val="20"/>
                <w:szCs w:val="16"/>
              </w:rPr>
              <w:t>145 913</w:t>
            </w:r>
          </w:p>
        </w:tc>
        <w:tc>
          <w:tcPr>
            <w:tcW w:w="912" w:type="dxa"/>
            <w:noWrap/>
            <w:vAlign w:val="bottom"/>
          </w:tcPr>
          <w:p w:rsidR="00000000" w:rsidRDefault="00000000">
            <w:pPr>
              <w:widowControl w:val="0"/>
              <w:spacing w:before="60" w:after="60"/>
              <w:jc w:val="center"/>
              <w:rPr>
                <w:sz w:val="20"/>
                <w:szCs w:val="16"/>
              </w:rPr>
            </w:pPr>
            <w:r>
              <w:rPr>
                <w:sz w:val="20"/>
                <w:szCs w:val="16"/>
              </w:rPr>
              <w:t>146 453</w:t>
            </w:r>
          </w:p>
        </w:tc>
        <w:tc>
          <w:tcPr>
            <w:tcW w:w="897" w:type="dxa"/>
            <w:noWrap/>
            <w:vAlign w:val="bottom"/>
          </w:tcPr>
          <w:p w:rsidR="00000000" w:rsidRDefault="00000000">
            <w:pPr>
              <w:widowControl w:val="0"/>
              <w:spacing w:before="60" w:after="60"/>
              <w:jc w:val="center"/>
              <w:rPr>
                <w:sz w:val="20"/>
                <w:szCs w:val="16"/>
              </w:rPr>
            </w:pPr>
            <w:r>
              <w:rPr>
                <w:sz w:val="20"/>
                <w:szCs w:val="16"/>
              </w:rPr>
              <w:t>146 892</w:t>
            </w:r>
          </w:p>
        </w:tc>
      </w:tr>
      <w:tr w:rsidR="00000000">
        <w:tc>
          <w:tcPr>
            <w:tcW w:w="2780" w:type="dxa"/>
            <w:noWrap/>
            <w:vAlign w:val="bottom"/>
          </w:tcPr>
          <w:p w:rsidR="00000000" w:rsidRDefault="00000000">
            <w:pPr>
              <w:widowControl w:val="0"/>
              <w:spacing w:before="60" w:after="60"/>
              <w:rPr>
                <w:sz w:val="20"/>
                <w:szCs w:val="16"/>
              </w:rPr>
            </w:pPr>
            <w:r>
              <w:rPr>
                <w:sz w:val="20"/>
                <w:szCs w:val="16"/>
              </w:rPr>
              <w:t>2 years</w:t>
            </w:r>
          </w:p>
        </w:tc>
        <w:tc>
          <w:tcPr>
            <w:tcW w:w="911" w:type="dxa"/>
            <w:noWrap/>
            <w:vAlign w:val="bottom"/>
          </w:tcPr>
          <w:p w:rsidR="00000000" w:rsidRDefault="00000000">
            <w:pPr>
              <w:widowControl w:val="0"/>
              <w:spacing w:before="60" w:after="60"/>
              <w:jc w:val="center"/>
              <w:rPr>
                <w:sz w:val="20"/>
                <w:szCs w:val="16"/>
              </w:rPr>
            </w:pPr>
            <w:r>
              <w:rPr>
                <w:sz w:val="20"/>
                <w:szCs w:val="16"/>
              </w:rPr>
              <w:t>136 525</w:t>
            </w:r>
          </w:p>
        </w:tc>
        <w:tc>
          <w:tcPr>
            <w:tcW w:w="911" w:type="dxa"/>
            <w:noWrap/>
            <w:vAlign w:val="bottom"/>
          </w:tcPr>
          <w:p w:rsidR="00000000" w:rsidRDefault="00000000">
            <w:pPr>
              <w:widowControl w:val="0"/>
              <w:spacing w:before="60" w:after="60"/>
              <w:jc w:val="center"/>
              <w:rPr>
                <w:sz w:val="20"/>
                <w:szCs w:val="16"/>
              </w:rPr>
            </w:pPr>
            <w:r>
              <w:rPr>
                <w:sz w:val="20"/>
                <w:szCs w:val="16"/>
              </w:rPr>
              <w:t>137 587</w:t>
            </w:r>
          </w:p>
        </w:tc>
        <w:tc>
          <w:tcPr>
            <w:tcW w:w="896" w:type="dxa"/>
            <w:noWrap/>
            <w:vAlign w:val="bottom"/>
          </w:tcPr>
          <w:p w:rsidR="00000000" w:rsidRDefault="00000000">
            <w:pPr>
              <w:widowControl w:val="0"/>
              <w:spacing w:before="60" w:after="60"/>
              <w:jc w:val="center"/>
              <w:rPr>
                <w:sz w:val="20"/>
                <w:szCs w:val="16"/>
              </w:rPr>
            </w:pPr>
            <w:r>
              <w:rPr>
                <w:sz w:val="20"/>
                <w:szCs w:val="16"/>
              </w:rPr>
              <w:t>138 594</w:t>
            </w:r>
          </w:p>
        </w:tc>
        <w:tc>
          <w:tcPr>
            <w:tcW w:w="925" w:type="dxa"/>
            <w:noWrap/>
            <w:vAlign w:val="bottom"/>
          </w:tcPr>
          <w:p w:rsidR="00000000" w:rsidRDefault="00000000">
            <w:pPr>
              <w:widowControl w:val="0"/>
              <w:spacing w:before="60" w:after="60"/>
              <w:jc w:val="center"/>
              <w:rPr>
                <w:sz w:val="20"/>
                <w:szCs w:val="16"/>
              </w:rPr>
            </w:pPr>
            <w:r>
              <w:rPr>
                <w:sz w:val="20"/>
                <w:szCs w:val="16"/>
              </w:rPr>
              <w:t>139 514</w:t>
            </w:r>
          </w:p>
        </w:tc>
        <w:tc>
          <w:tcPr>
            <w:tcW w:w="912" w:type="dxa"/>
            <w:noWrap/>
            <w:vAlign w:val="bottom"/>
          </w:tcPr>
          <w:p w:rsidR="00000000" w:rsidRDefault="00000000">
            <w:pPr>
              <w:widowControl w:val="0"/>
              <w:spacing w:before="60" w:after="60"/>
              <w:jc w:val="center"/>
              <w:rPr>
                <w:sz w:val="20"/>
                <w:szCs w:val="16"/>
              </w:rPr>
            </w:pPr>
            <w:r>
              <w:rPr>
                <w:sz w:val="20"/>
                <w:szCs w:val="16"/>
              </w:rPr>
              <w:t>140 370</w:t>
            </w:r>
          </w:p>
        </w:tc>
        <w:tc>
          <w:tcPr>
            <w:tcW w:w="912" w:type="dxa"/>
            <w:noWrap/>
            <w:vAlign w:val="bottom"/>
          </w:tcPr>
          <w:p w:rsidR="00000000" w:rsidRDefault="00000000">
            <w:pPr>
              <w:widowControl w:val="0"/>
              <w:spacing w:before="60" w:after="60"/>
              <w:jc w:val="center"/>
              <w:rPr>
                <w:sz w:val="20"/>
                <w:szCs w:val="16"/>
              </w:rPr>
            </w:pPr>
            <w:r>
              <w:rPr>
                <w:sz w:val="20"/>
                <w:szCs w:val="16"/>
              </w:rPr>
              <w:t>141 187</w:t>
            </w:r>
          </w:p>
        </w:tc>
        <w:tc>
          <w:tcPr>
            <w:tcW w:w="927" w:type="dxa"/>
            <w:noWrap/>
            <w:vAlign w:val="bottom"/>
          </w:tcPr>
          <w:p w:rsidR="00000000" w:rsidRDefault="00000000">
            <w:pPr>
              <w:widowControl w:val="0"/>
              <w:spacing w:before="60" w:after="60"/>
              <w:jc w:val="center"/>
              <w:rPr>
                <w:sz w:val="20"/>
                <w:szCs w:val="16"/>
              </w:rPr>
            </w:pPr>
            <w:r>
              <w:rPr>
                <w:sz w:val="20"/>
                <w:szCs w:val="16"/>
              </w:rPr>
              <w:t>141 988</w:t>
            </w:r>
          </w:p>
        </w:tc>
        <w:tc>
          <w:tcPr>
            <w:tcW w:w="897" w:type="dxa"/>
            <w:noWrap/>
            <w:vAlign w:val="bottom"/>
          </w:tcPr>
          <w:p w:rsidR="00000000" w:rsidRDefault="00000000">
            <w:pPr>
              <w:widowControl w:val="0"/>
              <w:spacing w:before="60" w:after="60"/>
              <w:jc w:val="center"/>
              <w:rPr>
                <w:sz w:val="20"/>
                <w:szCs w:val="16"/>
              </w:rPr>
            </w:pPr>
            <w:r>
              <w:rPr>
                <w:sz w:val="20"/>
                <w:szCs w:val="16"/>
              </w:rPr>
              <w:t>142 785</w:t>
            </w:r>
          </w:p>
        </w:tc>
        <w:tc>
          <w:tcPr>
            <w:tcW w:w="897" w:type="dxa"/>
            <w:noWrap/>
            <w:vAlign w:val="bottom"/>
          </w:tcPr>
          <w:p w:rsidR="00000000" w:rsidRDefault="00000000">
            <w:pPr>
              <w:widowControl w:val="0"/>
              <w:spacing w:before="60" w:after="60"/>
              <w:jc w:val="center"/>
              <w:rPr>
                <w:sz w:val="20"/>
                <w:szCs w:val="16"/>
              </w:rPr>
            </w:pPr>
            <w:r>
              <w:rPr>
                <w:sz w:val="20"/>
                <w:szCs w:val="16"/>
              </w:rPr>
              <w:t>143 564</w:t>
            </w:r>
          </w:p>
        </w:tc>
        <w:tc>
          <w:tcPr>
            <w:tcW w:w="897" w:type="dxa"/>
            <w:noWrap/>
            <w:vAlign w:val="bottom"/>
          </w:tcPr>
          <w:p w:rsidR="00000000" w:rsidRDefault="00000000">
            <w:pPr>
              <w:widowControl w:val="0"/>
              <w:spacing w:before="60" w:after="60"/>
              <w:jc w:val="center"/>
              <w:rPr>
                <w:sz w:val="20"/>
                <w:szCs w:val="16"/>
              </w:rPr>
            </w:pPr>
            <w:r>
              <w:rPr>
                <w:sz w:val="20"/>
                <w:szCs w:val="16"/>
              </w:rPr>
              <w:t>144 304</w:t>
            </w:r>
          </w:p>
        </w:tc>
        <w:tc>
          <w:tcPr>
            <w:tcW w:w="911" w:type="dxa"/>
            <w:noWrap/>
            <w:vAlign w:val="bottom"/>
          </w:tcPr>
          <w:p w:rsidR="00000000" w:rsidRDefault="00000000">
            <w:pPr>
              <w:widowControl w:val="0"/>
              <w:spacing w:before="60" w:after="60"/>
              <w:jc w:val="center"/>
              <w:rPr>
                <w:sz w:val="20"/>
                <w:szCs w:val="16"/>
              </w:rPr>
            </w:pPr>
            <w:r>
              <w:rPr>
                <w:sz w:val="20"/>
                <w:szCs w:val="16"/>
              </w:rPr>
              <w:t>144 984</w:t>
            </w:r>
          </w:p>
        </w:tc>
        <w:tc>
          <w:tcPr>
            <w:tcW w:w="912" w:type="dxa"/>
            <w:noWrap/>
            <w:vAlign w:val="bottom"/>
          </w:tcPr>
          <w:p w:rsidR="00000000" w:rsidRDefault="00000000">
            <w:pPr>
              <w:widowControl w:val="0"/>
              <w:spacing w:before="60" w:after="60"/>
              <w:jc w:val="center"/>
              <w:rPr>
                <w:sz w:val="20"/>
                <w:szCs w:val="16"/>
              </w:rPr>
            </w:pPr>
            <w:r>
              <w:rPr>
                <w:sz w:val="20"/>
                <w:szCs w:val="16"/>
              </w:rPr>
              <w:t>145 582</w:t>
            </w:r>
          </w:p>
        </w:tc>
        <w:tc>
          <w:tcPr>
            <w:tcW w:w="897" w:type="dxa"/>
            <w:noWrap/>
            <w:vAlign w:val="bottom"/>
          </w:tcPr>
          <w:p w:rsidR="00000000" w:rsidRDefault="00000000">
            <w:pPr>
              <w:widowControl w:val="0"/>
              <w:spacing w:before="60" w:after="60"/>
              <w:jc w:val="center"/>
              <w:rPr>
                <w:sz w:val="20"/>
                <w:szCs w:val="16"/>
              </w:rPr>
            </w:pPr>
            <w:r>
              <w:rPr>
                <w:sz w:val="20"/>
                <w:szCs w:val="16"/>
              </w:rPr>
              <w:t>146 086</w:t>
            </w:r>
          </w:p>
        </w:tc>
      </w:tr>
      <w:tr w:rsidR="00000000">
        <w:tc>
          <w:tcPr>
            <w:tcW w:w="2780" w:type="dxa"/>
            <w:noWrap/>
            <w:vAlign w:val="bottom"/>
          </w:tcPr>
          <w:p w:rsidR="00000000" w:rsidRDefault="00000000">
            <w:pPr>
              <w:widowControl w:val="0"/>
              <w:spacing w:before="60" w:after="60"/>
              <w:rPr>
                <w:sz w:val="20"/>
                <w:szCs w:val="16"/>
              </w:rPr>
            </w:pPr>
            <w:r>
              <w:rPr>
                <w:sz w:val="20"/>
                <w:szCs w:val="16"/>
              </w:rPr>
              <w:t>3 years</w:t>
            </w:r>
          </w:p>
        </w:tc>
        <w:tc>
          <w:tcPr>
            <w:tcW w:w="911" w:type="dxa"/>
            <w:noWrap/>
            <w:vAlign w:val="bottom"/>
          </w:tcPr>
          <w:p w:rsidR="00000000" w:rsidRDefault="00000000">
            <w:pPr>
              <w:widowControl w:val="0"/>
              <w:spacing w:before="60" w:after="60"/>
              <w:jc w:val="center"/>
              <w:rPr>
                <w:sz w:val="20"/>
                <w:szCs w:val="16"/>
              </w:rPr>
            </w:pPr>
            <w:r>
              <w:rPr>
                <w:sz w:val="20"/>
                <w:szCs w:val="16"/>
              </w:rPr>
              <w:t>135 137</w:t>
            </w:r>
          </w:p>
        </w:tc>
        <w:tc>
          <w:tcPr>
            <w:tcW w:w="911" w:type="dxa"/>
            <w:noWrap/>
            <w:vAlign w:val="bottom"/>
          </w:tcPr>
          <w:p w:rsidR="00000000" w:rsidRDefault="00000000">
            <w:pPr>
              <w:widowControl w:val="0"/>
              <w:spacing w:before="60" w:after="60"/>
              <w:jc w:val="center"/>
              <w:rPr>
                <w:sz w:val="20"/>
                <w:szCs w:val="16"/>
              </w:rPr>
            </w:pPr>
            <w:r>
              <w:rPr>
                <w:sz w:val="20"/>
                <w:szCs w:val="16"/>
              </w:rPr>
              <w:t>136 252</w:t>
            </w:r>
          </w:p>
        </w:tc>
        <w:tc>
          <w:tcPr>
            <w:tcW w:w="896" w:type="dxa"/>
            <w:noWrap/>
            <w:vAlign w:val="bottom"/>
          </w:tcPr>
          <w:p w:rsidR="00000000" w:rsidRDefault="00000000">
            <w:pPr>
              <w:widowControl w:val="0"/>
              <w:spacing w:before="60" w:after="60"/>
              <w:jc w:val="center"/>
              <w:rPr>
                <w:sz w:val="20"/>
                <w:szCs w:val="16"/>
              </w:rPr>
            </w:pPr>
            <w:r>
              <w:rPr>
                <w:sz w:val="20"/>
                <w:szCs w:val="16"/>
              </w:rPr>
              <w:t>137 327</w:t>
            </w:r>
          </w:p>
        </w:tc>
        <w:tc>
          <w:tcPr>
            <w:tcW w:w="925" w:type="dxa"/>
            <w:noWrap/>
            <w:vAlign w:val="bottom"/>
          </w:tcPr>
          <w:p w:rsidR="00000000" w:rsidRDefault="00000000">
            <w:pPr>
              <w:widowControl w:val="0"/>
              <w:spacing w:before="60" w:after="60"/>
              <w:jc w:val="center"/>
              <w:rPr>
                <w:sz w:val="20"/>
                <w:szCs w:val="16"/>
              </w:rPr>
            </w:pPr>
            <w:r>
              <w:rPr>
                <w:sz w:val="20"/>
                <w:szCs w:val="16"/>
              </w:rPr>
              <w:t>138 308</w:t>
            </w:r>
          </w:p>
        </w:tc>
        <w:tc>
          <w:tcPr>
            <w:tcW w:w="912" w:type="dxa"/>
            <w:noWrap/>
            <w:vAlign w:val="bottom"/>
          </w:tcPr>
          <w:p w:rsidR="00000000" w:rsidRDefault="00000000">
            <w:pPr>
              <w:widowControl w:val="0"/>
              <w:spacing w:before="60" w:after="60"/>
              <w:jc w:val="center"/>
              <w:rPr>
                <w:sz w:val="20"/>
                <w:szCs w:val="16"/>
              </w:rPr>
            </w:pPr>
            <w:r>
              <w:rPr>
                <w:sz w:val="20"/>
                <w:szCs w:val="16"/>
              </w:rPr>
              <w:t>139 218</w:t>
            </w:r>
          </w:p>
        </w:tc>
        <w:tc>
          <w:tcPr>
            <w:tcW w:w="912" w:type="dxa"/>
            <w:noWrap/>
            <w:vAlign w:val="bottom"/>
          </w:tcPr>
          <w:p w:rsidR="00000000" w:rsidRDefault="00000000">
            <w:pPr>
              <w:widowControl w:val="0"/>
              <w:spacing w:before="60" w:after="60"/>
              <w:jc w:val="center"/>
              <w:rPr>
                <w:sz w:val="20"/>
                <w:szCs w:val="16"/>
              </w:rPr>
            </w:pPr>
            <w:r>
              <w:rPr>
                <w:sz w:val="20"/>
                <w:szCs w:val="16"/>
              </w:rPr>
              <w:t>140 085</w:t>
            </w:r>
          </w:p>
        </w:tc>
        <w:tc>
          <w:tcPr>
            <w:tcW w:w="927" w:type="dxa"/>
            <w:noWrap/>
            <w:vAlign w:val="bottom"/>
          </w:tcPr>
          <w:p w:rsidR="00000000" w:rsidRDefault="00000000">
            <w:pPr>
              <w:widowControl w:val="0"/>
              <w:spacing w:before="60" w:after="60"/>
              <w:jc w:val="center"/>
              <w:rPr>
                <w:sz w:val="20"/>
                <w:szCs w:val="16"/>
              </w:rPr>
            </w:pPr>
            <w:r>
              <w:rPr>
                <w:sz w:val="20"/>
                <w:szCs w:val="16"/>
              </w:rPr>
              <w:t>140 935</w:t>
            </w:r>
          </w:p>
        </w:tc>
        <w:tc>
          <w:tcPr>
            <w:tcW w:w="897" w:type="dxa"/>
            <w:noWrap/>
            <w:vAlign w:val="bottom"/>
          </w:tcPr>
          <w:p w:rsidR="00000000" w:rsidRDefault="00000000">
            <w:pPr>
              <w:widowControl w:val="0"/>
              <w:spacing w:before="60" w:after="60"/>
              <w:jc w:val="center"/>
              <w:rPr>
                <w:sz w:val="20"/>
                <w:szCs w:val="16"/>
              </w:rPr>
            </w:pPr>
            <w:r>
              <w:rPr>
                <w:sz w:val="20"/>
                <w:szCs w:val="16"/>
              </w:rPr>
              <w:t>141 778</w:t>
            </w:r>
          </w:p>
        </w:tc>
        <w:tc>
          <w:tcPr>
            <w:tcW w:w="897" w:type="dxa"/>
            <w:noWrap/>
            <w:vAlign w:val="bottom"/>
          </w:tcPr>
          <w:p w:rsidR="00000000" w:rsidRDefault="00000000">
            <w:pPr>
              <w:widowControl w:val="0"/>
              <w:spacing w:before="60" w:after="60"/>
              <w:jc w:val="center"/>
              <w:rPr>
                <w:sz w:val="20"/>
                <w:szCs w:val="16"/>
              </w:rPr>
            </w:pPr>
            <w:r>
              <w:rPr>
                <w:sz w:val="20"/>
                <w:szCs w:val="16"/>
              </w:rPr>
              <w:t>142 598</w:t>
            </w:r>
          </w:p>
        </w:tc>
        <w:tc>
          <w:tcPr>
            <w:tcW w:w="897" w:type="dxa"/>
            <w:noWrap/>
            <w:vAlign w:val="bottom"/>
          </w:tcPr>
          <w:p w:rsidR="00000000" w:rsidRDefault="00000000">
            <w:pPr>
              <w:widowControl w:val="0"/>
              <w:spacing w:before="60" w:after="60"/>
              <w:jc w:val="center"/>
              <w:rPr>
                <w:sz w:val="20"/>
                <w:szCs w:val="16"/>
              </w:rPr>
            </w:pPr>
            <w:r>
              <w:rPr>
                <w:sz w:val="20"/>
                <w:szCs w:val="16"/>
              </w:rPr>
              <w:t>143 377</w:t>
            </w:r>
          </w:p>
        </w:tc>
        <w:tc>
          <w:tcPr>
            <w:tcW w:w="911" w:type="dxa"/>
            <w:noWrap/>
            <w:vAlign w:val="bottom"/>
          </w:tcPr>
          <w:p w:rsidR="00000000" w:rsidRDefault="00000000">
            <w:pPr>
              <w:widowControl w:val="0"/>
              <w:spacing w:before="60" w:after="60"/>
              <w:jc w:val="center"/>
              <w:rPr>
                <w:sz w:val="20"/>
                <w:szCs w:val="16"/>
              </w:rPr>
            </w:pPr>
            <w:r>
              <w:rPr>
                <w:sz w:val="20"/>
                <w:szCs w:val="16"/>
              </w:rPr>
              <w:t>144 100</w:t>
            </w:r>
          </w:p>
        </w:tc>
        <w:tc>
          <w:tcPr>
            <w:tcW w:w="912" w:type="dxa"/>
            <w:noWrap/>
            <w:vAlign w:val="bottom"/>
          </w:tcPr>
          <w:p w:rsidR="00000000" w:rsidRDefault="00000000">
            <w:pPr>
              <w:widowControl w:val="0"/>
              <w:spacing w:before="60" w:after="60"/>
              <w:jc w:val="center"/>
              <w:rPr>
                <w:sz w:val="20"/>
                <w:szCs w:val="16"/>
              </w:rPr>
            </w:pPr>
            <w:r>
              <w:rPr>
                <w:sz w:val="20"/>
                <w:szCs w:val="16"/>
              </w:rPr>
              <w:t>144 750</w:t>
            </w:r>
          </w:p>
        </w:tc>
        <w:tc>
          <w:tcPr>
            <w:tcW w:w="897" w:type="dxa"/>
            <w:noWrap/>
            <w:vAlign w:val="bottom"/>
          </w:tcPr>
          <w:p w:rsidR="00000000" w:rsidRDefault="00000000">
            <w:pPr>
              <w:widowControl w:val="0"/>
              <w:spacing w:before="60" w:after="60"/>
              <w:jc w:val="center"/>
              <w:rPr>
                <w:sz w:val="20"/>
                <w:szCs w:val="16"/>
              </w:rPr>
            </w:pPr>
            <w:r>
              <w:rPr>
                <w:sz w:val="20"/>
                <w:szCs w:val="16"/>
              </w:rPr>
              <w:t>145 319</w:t>
            </w:r>
          </w:p>
        </w:tc>
      </w:tr>
      <w:tr w:rsidR="00000000">
        <w:tc>
          <w:tcPr>
            <w:tcW w:w="2780" w:type="dxa"/>
            <w:noWrap/>
            <w:vAlign w:val="bottom"/>
          </w:tcPr>
          <w:p w:rsidR="00000000" w:rsidRDefault="00000000">
            <w:pPr>
              <w:widowControl w:val="0"/>
              <w:spacing w:before="60" w:after="60"/>
              <w:rPr>
                <w:sz w:val="20"/>
                <w:szCs w:val="16"/>
              </w:rPr>
            </w:pPr>
            <w:r>
              <w:rPr>
                <w:sz w:val="20"/>
                <w:szCs w:val="16"/>
              </w:rPr>
              <w:t>4 years</w:t>
            </w:r>
          </w:p>
        </w:tc>
        <w:tc>
          <w:tcPr>
            <w:tcW w:w="911" w:type="dxa"/>
            <w:noWrap/>
            <w:vAlign w:val="bottom"/>
          </w:tcPr>
          <w:p w:rsidR="00000000" w:rsidRDefault="00000000">
            <w:pPr>
              <w:widowControl w:val="0"/>
              <w:spacing w:before="60" w:after="60"/>
              <w:jc w:val="center"/>
              <w:rPr>
                <w:sz w:val="20"/>
                <w:szCs w:val="16"/>
              </w:rPr>
            </w:pPr>
            <w:r>
              <w:rPr>
                <w:sz w:val="20"/>
                <w:szCs w:val="16"/>
              </w:rPr>
              <w:t>133 698</w:t>
            </w:r>
          </w:p>
        </w:tc>
        <w:tc>
          <w:tcPr>
            <w:tcW w:w="911" w:type="dxa"/>
            <w:noWrap/>
            <w:vAlign w:val="bottom"/>
          </w:tcPr>
          <w:p w:rsidR="00000000" w:rsidRDefault="00000000">
            <w:pPr>
              <w:widowControl w:val="0"/>
              <w:spacing w:before="60" w:after="60"/>
              <w:jc w:val="center"/>
              <w:rPr>
                <w:sz w:val="20"/>
                <w:szCs w:val="16"/>
              </w:rPr>
            </w:pPr>
            <w:r>
              <w:rPr>
                <w:sz w:val="20"/>
                <w:szCs w:val="16"/>
              </w:rPr>
              <w:t>134 883</w:t>
            </w:r>
          </w:p>
        </w:tc>
        <w:tc>
          <w:tcPr>
            <w:tcW w:w="896" w:type="dxa"/>
            <w:noWrap/>
            <w:vAlign w:val="bottom"/>
          </w:tcPr>
          <w:p w:rsidR="00000000" w:rsidRDefault="00000000">
            <w:pPr>
              <w:widowControl w:val="0"/>
              <w:spacing w:before="60" w:after="60"/>
              <w:jc w:val="center"/>
              <w:rPr>
                <w:sz w:val="20"/>
                <w:szCs w:val="16"/>
              </w:rPr>
            </w:pPr>
            <w:r>
              <w:rPr>
                <w:sz w:val="20"/>
                <w:szCs w:val="16"/>
              </w:rPr>
              <w:t>136 040</w:t>
            </w:r>
          </w:p>
        </w:tc>
        <w:tc>
          <w:tcPr>
            <w:tcW w:w="925" w:type="dxa"/>
            <w:noWrap/>
            <w:vAlign w:val="bottom"/>
          </w:tcPr>
          <w:p w:rsidR="00000000" w:rsidRDefault="00000000">
            <w:pPr>
              <w:widowControl w:val="0"/>
              <w:spacing w:before="60" w:after="60"/>
              <w:jc w:val="center"/>
              <w:rPr>
                <w:sz w:val="20"/>
                <w:szCs w:val="16"/>
              </w:rPr>
            </w:pPr>
            <w:r>
              <w:rPr>
                <w:sz w:val="20"/>
                <w:szCs w:val="16"/>
              </w:rPr>
              <w:t>137 089</w:t>
            </w:r>
          </w:p>
        </w:tc>
        <w:tc>
          <w:tcPr>
            <w:tcW w:w="912" w:type="dxa"/>
            <w:noWrap/>
            <w:vAlign w:val="bottom"/>
          </w:tcPr>
          <w:p w:rsidR="00000000" w:rsidRDefault="00000000">
            <w:pPr>
              <w:widowControl w:val="0"/>
              <w:spacing w:before="60" w:after="60"/>
              <w:jc w:val="center"/>
              <w:rPr>
                <w:sz w:val="20"/>
                <w:szCs w:val="16"/>
              </w:rPr>
            </w:pPr>
            <w:r>
              <w:rPr>
                <w:sz w:val="20"/>
                <w:szCs w:val="16"/>
              </w:rPr>
              <w:t>138 059</w:t>
            </w:r>
          </w:p>
        </w:tc>
        <w:tc>
          <w:tcPr>
            <w:tcW w:w="912" w:type="dxa"/>
            <w:noWrap/>
            <w:vAlign w:val="bottom"/>
          </w:tcPr>
          <w:p w:rsidR="00000000" w:rsidRDefault="00000000">
            <w:pPr>
              <w:widowControl w:val="0"/>
              <w:spacing w:before="60" w:after="60"/>
              <w:jc w:val="center"/>
              <w:rPr>
                <w:sz w:val="20"/>
                <w:szCs w:val="16"/>
              </w:rPr>
            </w:pPr>
            <w:r>
              <w:rPr>
                <w:sz w:val="20"/>
                <w:szCs w:val="16"/>
              </w:rPr>
              <w:t>138 980</w:t>
            </w:r>
          </w:p>
        </w:tc>
        <w:tc>
          <w:tcPr>
            <w:tcW w:w="927" w:type="dxa"/>
            <w:noWrap/>
            <w:vAlign w:val="bottom"/>
          </w:tcPr>
          <w:p w:rsidR="00000000" w:rsidRDefault="00000000">
            <w:pPr>
              <w:widowControl w:val="0"/>
              <w:spacing w:before="60" w:after="60"/>
              <w:jc w:val="center"/>
              <w:rPr>
                <w:sz w:val="20"/>
                <w:szCs w:val="16"/>
              </w:rPr>
            </w:pPr>
            <w:r>
              <w:rPr>
                <w:sz w:val="20"/>
                <w:szCs w:val="16"/>
              </w:rPr>
              <w:t>139 882</w:t>
            </w:r>
          </w:p>
        </w:tc>
        <w:tc>
          <w:tcPr>
            <w:tcW w:w="897" w:type="dxa"/>
            <w:noWrap/>
            <w:vAlign w:val="bottom"/>
          </w:tcPr>
          <w:p w:rsidR="00000000" w:rsidRDefault="00000000">
            <w:pPr>
              <w:widowControl w:val="0"/>
              <w:spacing w:before="60" w:after="60"/>
              <w:jc w:val="center"/>
              <w:rPr>
                <w:sz w:val="20"/>
                <w:szCs w:val="16"/>
              </w:rPr>
            </w:pPr>
            <w:r>
              <w:rPr>
                <w:sz w:val="20"/>
                <w:szCs w:val="16"/>
              </w:rPr>
              <w:t>140 770</w:t>
            </w:r>
          </w:p>
        </w:tc>
        <w:tc>
          <w:tcPr>
            <w:tcW w:w="897" w:type="dxa"/>
            <w:noWrap/>
            <w:vAlign w:val="bottom"/>
          </w:tcPr>
          <w:p w:rsidR="00000000" w:rsidRDefault="00000000">
            <w:pPr>
              <w:widowControl w:val="0"/>
              <w:spacing w:before="60" w:after="60"/>
              <w:jc w:val="center"/>
              <w:rPr>
                <w:sz w:val="20"/>
                <w:szCs w:val="16"/>
              </w:rPr>
            </w:pPr>
            <w:r>
              <w:rPr>
                <w:sz w:val="20"/>
                <w:szCs w:val="16"/>
              </w:rPr>
              <w:t>141 625</w:t>
            </w:r>
          </w:p>
        </w:tc>
        <w:tc>
          <w:tcPr>
            <w:tcW w:w="897" w:type="dxa"/>
            <w:noWrap/>
            <w:vAlign w:val="bottom"/>
          </w:tcPr>
          <w:p w:rsidR="00000000" w:rsidRDefault="00000000">
            <w:pPr>
              <w:widowControl w:val="0"/>
              <w:spacing w:before="60" w:after="60"/>
              <w:jc w:val="center"/>
              <w:rPr>
                <w:sz w:val="20"/>
                <w:szCs w:val="16"/>
              </w:rPr>
            </w:pPr>
            <w:r>
              <w:rPr>
                <w:sz w:val="20"/>
                <w:szCs w:val="16"/>
              </w:rPr>
              <w:t>142 438</w:t>
            </w:r>
          </w:p>
        </w:tc>
        <w:tc>
          <w:tcPr>
            <w:tcW w:w="911" w:type="dxa"/>
            <w:noWrap/>
            <w:vAlign w:val="bottom"/>
          </w:tcPr>
          <w:p w:rsidR="00000000" w:rsidRDefault="00000000">
            <w:pPr>
              <w:widowControl w:val="0"/>
              <w:spacing w:before="60" w:after="60"/>
              <w:jc w:val="center"/>
              <w:rPr>
                <w:sz w:val="20"/>
                <w:szCs w:val="16"/>
              </w:rPr>
            </w:pPr>
            <w:r>
              <w:rPr>
                <w:sz w:val="20"/>
                <w:szCs w:val="16"/>
              </w:rPr>
              <w:t>143 198</w:t>
            </w:r>
          </w:p>
        </w:tc>
        <w:tc>
          <w:tcPr>
            <w:tcW w:w="912" w:type="dxa"/>
            <w:noWrap/>
            <w:vAlign w:val="bottom"/>
          </w:tcPr>
          <w:p w:rsidR="00000000" w:rsidRDefault="00000000">
            <w:pPr>
              <w:widowControl w:val="0"/>
              <w:spacing w:before="60" w:after="60"/>
              <w:jc w:val="center"/>
              <w:rPr>
                <w:sz w:val="20"/>
                <w:szCs w:val="16"/>
              </w:rPr>
            </w:pPr>
            <w:r>
              <w:rPr>
                <w:sz w:val="20"/>
                <w:szCs w:val="16"/>
              </w:rPr>
              <w:t>143 897</w:t>
            </w:r>
          </w:p>
        </w:tc>
        <w:tc>
          <w:tcPr>
            <w:tcW w:w="897" w:type="dxa"/>
            <w:noWrap/>
            <w:vAlign w:val="bottom"/>
          </w:tcPr>
          <w:p w:rsidR="00000000" w:rsidRDefault="00000000">
            <w:pPr>
              <w:widowControl w:val="0"/>
              <w:spacing w:before="60" w:after="60"/>
              <w:jc w:val="center"/>
              <w:rPr>
                <w:sz w:val="20"/>
                <w:szCs w:val="16"/>
              </w:rPr>
            </w:pPr>
            <w:r>
              <w:rPr>
                <w:sz w:val="20"/>
                <w:szCs w:val="16"/>
              </w:rPr>
              <w:t>144 532</w:t>
            </w:r>
          </w:p>
        </w:tc>
      </w:tr>
      <w:tr w:rsidR="00000000">
        <w:tc>
          <w:tcPr>
            <w:tcW w:w="2780" w:type="dxa"/>
            <w:noWrap/>
            <w:vAlign w:val="bottom"/>
          </w:tcPr>
          <w:p w:rsidR="00000000" w:rsidRDefault="00000000">
            <w:pPr>
              <w:widowControl w:val="0"/>
              <w:spacing w:before="60" w:after="60"/>
              <w:rPr>
                <w:sz w:val="20"/>
                <w:szCs w:val="16"/>
              </w:rPr>
            </w:pPr>
            <w:r>
              <w:rPr>
                <w:sz w:val="20"/>
                <w:szCs w:val="16"/>
              </w:rPr>
              <w:t>5 - 11 years</w:t>
            </w:r>
          </w:p>
        </w:tc>
        <w:tc>
          <w:tcPr>
            <w:tcW w:w="911" w:type="dxa"/>
            <w:noWrap/>
            <w:vAlign w:val="bottom"/>
          </w:tcPr>
          <w:p w:rsidR="00000000" w:rsidRDefault="00000000">
            <w:pPr>
              <w:widowControl w:val="0"/>
              <w:spacing w:before="60" w:after="60"/>
              <w:jc w:val="center"/>
              <w:rPr>
                <w:sz w:val="20"/>
                <w:szCs w:val="16"/>
              </w:rPr>
            </w:pPr>
            <w:r>
              <w:rPr>
                <w:sz w:val="20"/>
                <w:szCs w:val="16"/>
              </w:rPr>
              <w:t>643 170</w:t>
            </w:r>
          </w:p>
        </w:tc>
        <w:tc>
          <w:tcPr>
            <w:tcW w:w="911" w:type="dxa"/>
            <w:noWrap/>
            <w:vAlign w:val="bottom"/>
          </w:tcPr>
          <w:p w:rsidR="00000000" w:rsidRDefault="00000000">
            <w:pPr>
              <w:widowControl w:val="0"/>
              <w:spacing w:before="60" w:after="60"/>
              <w:jc w:val="center"/>
              <w:rPr>
                <w:sz w:val="20"/>
                <w:szCs w:val="16"/>
              </w:rPr>
            </w:pPr>
            <w:r>
              <w:rPr>
                <w:sz w:val="20"/>
                <w:szCs w:val="16"/>
              </w:rPr>
              <w:t>651 372</w:t>
            </w:r>
          </w:p>
        </w:tc>
        <w:tc>
          <w:tcPr>
            <w:tcW w:w="896" w:type="dxa"/>
            <w:noWrap/>
            <w:vAlign w:val="bottom"/>
          </w:tcPr>
          <w:p w:rsidR="00000000" w:rsidRDefault="00000000">
            <w:pPr>
              <w:widowControl w:val="0"/>
              <w:spacing w:before="60" w:after="60"/>
              <w:jc w:val="center"/>
              <w:rPr>
                <w:sz w:val="20"/>
                <w:szCs w:val="16"/>
              </w:rPr>
            </w:pPr>
            <w:r>
              <w:rPr>
                <w:sz w:val="20"/>
                <w:szCs w:val="16"/>
              </w:rPr>
              <w:t>659 086</w:t>
            </w:r>
          </w:p>
        </w:tc>
        <w:tc>
          <w:tcPr>
            <w:tcW w:w="925" w:type="dxa"/>
            <w:noWrap/>
            <w:vAlign w:val="bottom"/>
          </w:tcPr>
          <w:p w:rsidR="00000000" w:rsidRDefault="00000000">
            <w:pPr>
              <w:widowControl w:val="0"/>
              <w:spacing w:before="60" w:after="60"/>
              <w:jc w:val="center"/>
              <w:rPr>
                <w:sz w:val="20"/>
                <w:szCs w:val="16"/>
              </w:rPr>
            </w:pPr>
            <w:r>
              <w:rPr>
                <w:sz w:val="20"/>
                <w:szCs w:val="16"/>
              </w:rPr>
              <w:t>665 886</w:t>
            </w:r>
          </w:p>
        </w:tc>
        <w:tc>
          <w:tcPr>
            <w:tcW w:w="912" w:type="dxa"/>
            <w:noWrap/>
            <w:vAlign w:val="bottom"/>
          </w:tcPr>
          <w:p w:rsidR="00000000" w:rsidRDefault="00000000">
            <w:pPr>
              <w:widowControl w:val="0"/>
              <w:spacing w:before="60" w:after="60"/>
              <w:jc w:val="center"/>
              <w:rPr>
                <w:sz w:val="20"/>
                <w:szCs w:val="16"/>
              </w:rPr>
            </w:pPr>
            <w:r>
              <w:rPr>
                <w:sz w:val="20"/>
                <w:szCs w:val="16"/>
              </w:rPr>
              <w:t>672 012</w:t>
            </w:r>
          </w:p>
        </w:tc>
        <w:tc>
          <w:tcPr>
            <w:tcW w:w="912" w:type="dxa"/>
            <w:noWrap/>
            <w:vAlign w:val="bottom"/>
          </w:tcPr>
          <w:p w:rsidR="00000000" w:rsidRDefault="00000000">
            <w:pPr>
              <w:widowControl w:val="0"/>
              <w:spacing w:before="60" w:after="60"/>
              <w:jc w:val="center"/>
              <w:rPr>
                <w:sz w:val="20"/>
                <w:szCs w:val="16"/>
              </w:rPr>
            </w:pPr>
            <w:r>
              <w:rPr>
                <w:sz w:val="20"/>
                <w:szCs w:val="16"/>
              </w:rPr>
              <w:t>677 704</w:t>
            </w:r>
          </w:p>
        </w:tc>
        <w:tc>
          <w:tcPr>
            <w:tcW w:w="927" w:type="dxa"/>
            <w:noWrap/>
            <w:vAlign w:val="bottom"/>
          </w:tcPr>
          <w:p w:rsidR="00000000" w:rsidRDefault="00000000">
            <w:pPr>
              <w:widowControl w:val="0"/>
              <w:spacing w:before="60" w:after="60"/>
              <w:jc w:val="center"/>
              <w:rPr>
                <w:sz w:val="20"/>
                <w:szCs w:val="16"/>
              </w:rPr>
            </w:pPr>
            <w:r>
              <w:rPr>
                <w:sz w:val="20"/>
                <w:szCs w:val="16"/>
              </w:rPr>
              <w:t>683 201</w:t>
            </w:r>
          </w:p>
        </w:tc>
        <w:tc>
          <w:tcPr>
            <w:tcW w:w="897" w:type="dxa"/>
            <w:noWrap/>
            <w:vAlign w:val="bottom"/>
          </w:tcPr>
          <w:p w:rsidR="00000000" w:rsidRDefault="00000000">
            <w:pPr>
              <w:widowControl w:val="0"/>
              <w:spacing w:before="60" w:after="60"/>
              <w:jc w:val="center"/>
              <w:rPr>
                <w:sz w:val="20"/>
                <w:szCs w:val="16"/>
              </w:rPr>
            </w:pPr>
            <w:r>
              <w:rPr>
                <w:sz w:val="20"/>
                <w:szCs w:val="16"/>
              </w:rPr>
              <w:t>688 441</w:t>
            </w:r>
          </w:p>
        </w:tc>
        <w:tc>
          <w:tcPr>
            <w:tcW w:w="897" w:type="dxa"/>
            <w:noWrap/>
            <w:vAlign w:val="bottom"/>
          </w:tcPr>
          <w:p w:rsidR="00000000" w:rsidRDefault="00000000">
            <w:pPr>
              <w:widowControl w:val="0"/>
              <w:spacing w:before="60" w:after="60"/>
              <w:jc w:val="center"/>
              <w:rPr>
                <w:sz w:val="20"/>
                <w:szCs w:val="16"/>
              </w:rPr>
            </w:pPr>
            <w:r>
              <w:rPr>
                <w:sz w:val="20"/>
                <w:szCs w:val="16"/>
              </w:rPr>
              <w:t>693 265</w:t>
            </w:r>
          </w:p>
        </w:tc>
        <w:tc>
          <w:tcPr>
            <w:tcW w:w="897" w:type="dxa"/>
            <w:noWrap/>
            <w:vAlign w:val="bottom"/>
          </w:tcPr>
          <w:p w:rsidR="00000000" w:rsidRDefault="00000000">
            <w:pPr>
              <w:widowControl w:val="0"/>
              <w:spacing w:before="60" w:after="60"/>
              <w:jc w:val="center"/>
              <w:rPr>
                <w:sz w:val="20"/>
                <w:szCs w:val="16"/>
              </w:rPr>
            </w:pPr>
            <w:r>
              <w:rPr>
                <w:sz w:val="20"/>
                <w:szCs w:val="16"/>
              </w:rPr>
              <w:t>697 765</w:t>
            </w:r>
          </w:p>
        </w:tc>
        <w:tc>
          <w:tcPr>
            <w:tcW w:w="911" w:type="dxa"/>
            <w:noWrap/>
            <w:vAlign w:val="bottom"/>
          </w:tcPr>
          <w:p w:rsidR="00000000" w:rsidRDefault="00000000">
            <w:pPr>
              <w:widowControl w:val="0"/>
              <w:spacing w:before="60" w:after="60"/>
              <w:jc w:val="center"/>
              <w:rPr>
                <w:sz w:val="20"/>
                <w:szCs w:val="16"/>
              </w:rPr>
            </w:pPr>
            <w:r>
              <w:rPr>
                <w:sz w:val="20"/>
                <w:szCs w:val="16"/>
              </w:rPr>
              <w:t>702 037</w:t>
            </w:r>
          </w:p>
        </w:tc>
        <w:tc>
          <w:tcPr>
            <w:tcW w:w="912" w:type="dxa"/>
            <w:noWrap/>
            <w:vAlign w:val="bottom"/>
          </w:tcPr>
          <w:p w:rsidR="00000000" w:rsidRDefault="00000000">
            <w:pPr>
              <w:widowControl w:val="0"/>
              <w:spacing w:before="60" w:after="60"/>
              <w:jc w:val="center"/>
              <w:rPr>
                <w:sz w:val="20"/>
                <w:szCs w:val="16"/>
              </w:rPr>
            </w:pPr>
            <w:r>
              <w:rPr>
                <w:sz w:val="20"/>
                <w:szCs w:val="16"/>
              </w:rPr>
              <w:t>706 173</w:t>
            </w:r>
          </w:p>
        </w:tc>
        <w:tc>
          <w:tcPr>
            <w:tcW w:w="897" w:type="dxa"/>
            <w:noWrap/>
            <w:vAlign w:val="bottom"/>
          </w:tcPr>
          <w:p w:rsidR="00000000" w:rsidRDefault="00000000">
            <w:pPr>
              <w:widowControl w:val="0"/>
              <w:spacing w:before="60" w:after="60"/>
              <w:jc w:val="center"/>
              <w:rPr>
                <w:sz w:val="20"/>
                <w:szCs w:val="16"/>
              </w:rPr>
            </w:pPr>
            <w:r>
              <w:rPr>
                <w:sz w:val="20"/>
                <w:szCs w:val="16"/>
              </w:rPr>
              <w:t>710 225</w:t>
            </w:r>
          </w:p>
        </w:tc>
      </w:tr>
      <w:tr w:rsidR="00000000">
        <w:tc>
          <w:tcPr>
            <w:tcW w:w="2780" w:type="dxa"/>
            <w:noWrap/>
            <w:vAlign w:val="bottom"/>
          </w:tcPr>
          <w:p w:rsidR="00000000" w:rsidRDefault="00000000">
            <w:pPr>
              <w:widowControl w:val="0"/>
              <w:spacing w:before="60" w:after="60"/>
              <w:rPr>
                <w:sz w:val="20"/>
                <w:szCs w:val="16"/>
              </w:rPr>
            </w:pPr>
            <w:r>
              <w:rPr>
                <w:sz w:val="20"/>
                <w:szCs w:val="16"/>
              </w:rPr>
              <w:t>5 years</w:t>
            </w:r>
          </w:p>
        </w:tc>
        <w:tc>
          <w:tcPr>
            <w:tcW w:w="911" w:type="dxa"/>
            <w:noWrap/>
            <w:vAlign w:val="bottom"/>
          </w:tcPr>
          <w:p w:rsidR="00000000" w:rsidRDefault="00000000">
            <w:pPr>
              <w:widowControl w:val="0"/>
              <w:spacing w:before="60" w:after="60"/>
              <w:jc w:val="center"/>
              <w:rPr>
                <w:sz w:val="20"/>
                <w:szCs w:val="16"/>
              </w:rPr>
            </w:pPr>
            <w:r>
              <w:rPr>
                <w:sz w:val="20"/>
                <w:szCs w:val="16"/>
              </w:rPr>
              <w:t>132 282</w:t>
            </w:r>
          </w:p>
        </w:tc>
        <w:tc>
          <w:tcPr>
            <w:tcW w:w="911" w:type="dxa"/>
            <w:noWrap/>
            <w:vAlign w:val="bottom"/>
          </w:tcPr>
          <w:p w:rsidR="00000000" w:rsidRDefault="00000000">
            <w:pPr>
              <w:widowControl w:val="0"/>
              <w:spacing w:before="60" w:after="60"/>
              <w:jc w:val="center"/>
              <w:rPr>
                <w:sz w:val="20"/>
                <w:szCs w:val="16"/>
              </w:rPr>
            </w:pPr>
            <w:r>
              <w:rPr>
                <w:sz w:val="20"/>
                <w:szCs w:val="16"/>
              </w:rPr>
              <w:t>133 290</w:t>
            </w:r>
          </w:p>
        </w:tc>
        <w:tc>
          <w:tcPr>
            <w:tcW w:w="896" w:type="dxa"/>
            <w:noWrap/>
            <w:vAlign w:val="bottom"/>
          </w:tcPr>
          <w:p w:rsidR="00000000" w:rsidRDefault="00000000">
            <w:pPr>
              <w:widowControl w:val="0"/>
              <w:spacing w:before="60" w:after="60"/>
              <w:jc w:val="center"/>
              <w:rPr>
                <w:sz w:val="20"/>
                <w:szCs w:val="16"/>
              </w:rPr>
            </w:pPr>
            <w:r>
              <w:rPr>
                <w:sz w:val="20"/>
                <w:szCs w:val="16"/>
              </w:rPr>
              <w:t>134 474</w:t>
            </w:r>
          </w:p>
        </w:tc>
        <w:tc>
          <w:tcPr>
            <w:tcW w:w="925" w:type="dxa"/>
            <w:noWrap/>
            <w:vAlign w:val="bottom"/>
          </w:tcPr>
          <w:p w:rsidR="00000000" w:rsidRDefault="00000000">
            <w:pPr>
              <w:widowControl w:val="0"/>
              <w:spacing w:before="60" w:after="60"/>
              <w:jc w:val="center"/>
              <w:rPr>
                <w:sz w:val="20"/>
                <w:szCs w:val="16"/>
              </w:rPr>
            </w:pPr>
            <w:r>
              <w:rPr>
                <w:sz w:val="20"/>
                <w:szCs w:val="16"/>
              </w:rPr>
              <w:t>135 644</w:t>
            </w:r>
          </w:p>
        </w:tc>
        <w:tc>
          <w:tcPr>
            <w:tcW w:w="912" w:type="dxa"/>
            <w:noWrap/>
            <w:vAlign w:val="bottom"/>
          </w:tcPr>
          <w:p w:rsidR="00000000" w:rsidRDefault="00000000">
            <w:pPr>
              <w:widowControl w:val="0"/>
              <w:spacing w:before="60" w:after="60"/>
              <w:jc w:val="center"/>
              <w:rPr>
                <w:sz w:val="20"/>
                <w:szCs w:val="16"/>
              </w:rPr>
            </w:pPr>
            <w:r>
              <w:rPr>
                <w:sz w:val="20"/>
                <w:szCs w:val="16"/>
              </w:rPr>
              <w:t>136 783</w:t>
            </w:r>
          </w:p>
        </w:tc>
        <w:tc>
          <w:tcPr>
            <w:tcW w:w="912" w:type="dxa"/>
            <w:noWrap/>
            <w:vAlign w:val="bottom"/>
          </w:tcPr>
          <w:p w:rsidR="00000000" w:rsidRDefault="00000000">
            <w:pPr>
              <w:widowControl w:val="0"/>
              <w:spacing w:before="60" w:after="60"/>
              <w:jc w:val="center"/>
              <w:rPr>
                <w:sz w:val="20"/>
                <w:szCs w:val="16"/>
              </w:rPr>
            </w:pPr>
            <w:r>
              <w:rPr>
                <w:sz w:val="20"/>
                <w:szCs w:val="16"/>
              </w:rPr>
              <w:t>137 869</w:t>
            </w:r>
          </w:p>
        </w:tc>
        <w:tc>
          <w:tcPr>
            <w:tcW w:w="927" w:type="dxa"/>
            <w:noWrap/>
            <w:vAlign w:val="bottom"/>
          </w:tcPr>
          <w:p w:rsidR="00000000" w:rsidRDefault="00000000">
            <w:pPr>
              <w:widowControl w:val="0"/>
              <w:spacing w:before="60" w:after="60"/>
              <w:jc w:val="center"/>
              <w:rPr>
                <w:sz w:val="20"/>
                <w:szCs w:val="16"/>
              </w:rPr>
            </w:pPr>
            <w:r>
              <w:rPr>
                <w:sz w:val="20"/>
                <w:szCs w:val="16"/>
              </w:rPr>
              <w:t>138 884</w:t>
            </w:r>
          </w:p>
        </w:tc>
        <w:tc>
          <w:tcPr>
            <w:tcW w:w="897" w:type="dxa"/>
            <w:noWrap/>
            <w:vAlign w:val="bottom"/>
          </w:tcPr>
          <w:p w:rsidR="00000000" w:rsidRDefault="00000000">
            <w:pPr>
              <w:widowControl w:val="0"/>
              <w:spacing w:before="60" w:after="60"/>
              <w:jc w:val="center"/>
              <w:rPr>
                <w:sz w:val="20"/>
                <w:szCs w:val="16"/>
              </w:rPr>
            </w:pPr>
            <w:r>
              <w:rPr>
                <w:sz w:val="20"/>
                <w:szCs w:val="16"/>
              </w:rPr>
              <w:t>139 820</w:t>
            </w:r>
          </w:p>
        </w:tc>
        <w:tc>
          <w:tcPr>
            <w:tcW w:w="897" w:type="dxa"/>
            <w:noWrap/>
            <w:vAlign w:val="bottom"/>
          </w:tcPr>
          <w:p w:rsidR="00000000" w:rsidRDefault="00000000">
            <w:pPr>
              <w:widowControl w:val="0"/>
              <w:spacing w:before="60" w:after="60"/>
              <w:jc w:val="center"/>
              <w:rPr>
                <w:sz w:val="20"/>
                <w:szCs w:val="16"/>
              </w:rPr>
            </w:pPr>
            <w:r>
              <w:rPr>
                <w:sz w:val="20"/>
                <w:szCs w:val="16"/>
              </w:rPr>
              <w:t>140 690</w:t>
            </w:r>
          </w:p>
        </w:tc>
        <w:tc>
          <w:tcPr>
            <w:tcW w:w="897" w:type="dxa"/>
            <w:noWrap/>
            <w:vAlign w:val="bottom"/>
          </w:tcPr>
          <w:p w:rsidR="00000000" w:rsidRDefault="00000000">
            <w:pPr>
              <w:widowControl w:val="0"/>
              <w:spacing w:before="60" w:after="60"/>
              <w:jc w:val="center"/>
              <w:rPr>
                <w:sz w:val="20"/>
                <w:szCs w:val="16"/>
              </w:rPr>
            </w:pPr>
            <w:r>
              <w:rPr>
                <w:sz w:val="20"/>
                <w:szCs w:val="16"/>
              </w:rPr>
              <w:t>141 505</w:t>
            </w:r>
          </w:p>
        </w:tc>
        <w:tc>
          <w:tcPr>
            <w:tcW w:w="911" w:type="dxa"/>
            <w:noWrap/>
            <w:vAlign w:val="bottom"/>
          </w:tcPr>
          <w:p w:rsidR="00000000" w:rsidRDefault="00000000">
            <w:pPr>
              <w:widowControl w:val="0"/>
              <w:spacing w:before="60" w:after="60"/>
              <w:jc w:val="center"/>
              <w:rPr>
                <w:sz w:val="20"/>
                <w:szCs w:val="16"/>
              </w:rPr>
            </w:pPr>
            <w:r>
              <w:rPr>
                <w:sz w:val="20"/>
                <w:szCs w:val="16"/>
              </w:rPr>
              <w:t>142 277</w:t>
            </w:r>
          </w:p>
        </w:tc>
        <w:tc>
          <w:tcPr>
            <w:tcW w:w="912" w:type="dxa"/>
            <w:noWrap/>
            <w:vAlign w:val="bottom"/>
          </w:tcPr>
          <w:p w:rsidR="00000000" w:rsidRDefault="00000000">
            <w:pPr>
              <w:widowControl w:val="0"/>
              <w:spacing w:before="60" w:after="60"/>
              <w:jc w:val="center"/>
              <w:rPr>
                <w:sz w:val="20"/>
                <w:szCs w:val="16"/>
              </w:rPr>
            </w:pPr>
            <w:r>
              <w:rPr>
                <w:sz w:val="20"/>
                <w:szCs w:val="16"/>
              </w:rPr>
              <w:t>143 017</w:t>
            </w:r>
          </w:p>
        </w:tc>
        <w:tc>
          <w:tcPr>
            <w:tcW w:w="897" w:type="dxa"/>
            <w:noWrap/>
            <w:vAlign w:val="bottom"/>
          </w:tcPr>
          <w:p w:rsidR="00000000" w:rsidRDefault="00000000">
            <w:pPr>
              <w:widowControl w:val="0"/>
              <w:spacing w:before="60" w:after="60"/>
              <w:jc w:val="center"/>
              <w:rPr>
                <w:sz w:val="20"/>
                <w:szCs w:val="16"/>
              </w:rPr>
            </w:pPr>
            <w:r>
              <w:rPr>
                <w:sz w:val="20"/>
                <w:szCs w:val="16"/>
              </w:rPr>
              <w:t>143 737</w:t>
            </w:r>
          </w:p>
        </w:tc>
      </w:tr>
      <w:tr w:rsidR="00000000">
        <w:tc>
          <w:tcPr>
            <w:tcW w:w="2780" w:type="dxa"/>
            <w:noWrap/>
            <w:vAlign w:val="bottom"/>
          </w:tcPr>
          <w:p w:rsidR="00000000" w:rsidRDefault="00000000">
            <w:pPr>
              <w:widowControl w:val="0"/>
              <w:spacing w:before="60" w:after="60"/>
              <w:rPr>
                <w:sz w:val="20"/>
                <w:szCs w:val="16"/>
              </w:rPr>
            </w:pPr>
            <w:r>
              <w:rPr>
                <w:sz w:val="20"/>
                <w:szCs w:val="16"/>
              </w:rPr>
              <w:t>6 years</w:t>
            </w:r>
          </w:p>
        </w:tc>
        <w:tc>
          <w:tcPr>
            <w:tcW w:w="911" w:type="dxa"/>
            <w:noWrap/>
            <w:vAlign w:val="bottom"/>
          </w:tcPr>
          <w:p w:rsidR="00000000" w:rsidRDefault="00000000">
            <w:pPr>
              <w:widowControl w:val="0"/>
              <w:spacing w:before="60" w:after="60"/>
              <w:jc w:val="center"/>
              <w:rPr>
                <w:sz w:val="20"/>
                <w:szCs w:val="16"/>
              </w:rPr>
            </w:pPr>
            <w:r>
              <w:rPr>
                <w:sz w:val="20"/>
                <w:szCs w:val="16"/>
              </w:rPr>
              <w:t>130 617</w:t>
            </w:r>
          </w:p>
        </w:tc>
        <w:tc>
          <w:tcPr>
            <w:tcW w:w="911" w:type="dxa"/>
            <w:noWrap/>
            <w:vAlign w:val="bottom"/>
          </w:tcPr>
          <w:p w:rsidR="00000000" w:rsidRDefault="00000000">
            <w:pPr>
              <w:widowControl w:val="0"/>
              <w:spacing w:before="60" w:after="60"/>
              <w:jc w:val="center"/>
              <w:rPr>
                <w:sz w:val="20"/>
                <w:szCs w:val="16"/>
              </w:rPr>
            </w:pPr>
            <w:r>
              <w:rPr>
                <w:sz w:val="20"/>
                <w:szCs w:val="16"/>
              </w:rPr>
              <w:t>131 883</w:t>
            </w:r>
          </w:p>
        </w:tc>
        <w:tc>
          <w:tcPr>
            <w:tcW w:w="896" w:type="dxa"/>
            <w:noWrap/>
            <w:vAlign w:val="bottom"/>
          </w:tcPr>
          <w:p w:rsidR="00000000" w:rsidRDefault="00000000">
            <w:pPr>
              <w:widowControl w:val="0"/>
              <w:spacing w:before="60" w:after="60"/>
              <w:jc w:val="center"/>
              <w:rPr>
                <w:sz w:val="20"/>
                <w:szCs w:val="16"/>
              </w:rPr>
            </w:pPr>
            <w:r>
              <w:rPr>
                <w:sz w:val="20"/>
                <w:szCs w:val="16"/>
              </w:rPr>
              <w:t>133 219</w:t>
            </w:r>
          </w:p>
        </w:tc>
        <w:tc>
          <w:tcPr>
            <w:tcW w:w="925" w:type="dxa"/>
            <w:noWrap/>
            <w:vAlign w:val="bottom"/>
          </w:tcPr>
          <w:p w:rsidR="00000000" w:rsidRDefault="00000000">
            <w:pPr>
              <w:widowControl w:val="0"/>
              <w:spacing w:before="60" w:after="60"/>
              <w:jc w:val="center"/>
              <w:rPr>
                <w:sz w:val="20"/>
                <w:szCs w:val="16"/>
              </w:rPr>
            </w:pPr>
            <w:r>
              <w:rPr>
                <w:sz w:val="20"/>
                <w:szCs w:val="16"/>
              </w:rPr>
              <w:t>134 471</w:t>
            </w:r>
          </w:p>
        </w:tc>
        <w:tc>
          <w:tcPr>
            <w:tcW w:w="912" w:type="dxa"/>
            <w:noWrap/>
            <w:vAlign w:val="bottom"/>
          </w:tcPr>
          <w:p w:rsidR="00000000" w:rsidRDefault="00000000">
            <w:pPr>
              <w:widowControl w:val="0"/>
              <w:spacing w:before="60" w:after="60"/>
              <w:jc w:val="center"/>
              <w:rPr>
                <w:sz w:val="20"/>
                <w:szCs w:val="16"/>
              </w:rPr>
            </w:pPr>
            <w:r>
              <w:rPr>
                <w:sz w:val="20"/>
                <w:szCs w:val="16"/>
              </w:rPr>
              <w:t>135 647</w:t>
            </w:r>
          </w:p>
        </w:tc>
        <w:tc>
          <w:tcPr>
            <w:tcW w:w="912" w:type="dxa"/>
            <w:noWrap/>
            <w:vAlign w:val="bottom"/>
          </w:tcPr>
          <w:p w:rsidR="00000000" w:rsidRDefault="00000000">
            <w:pPr>
              <w:widowControl w:val="0"/>
              <w:spacing w:before="60" w:after="60"/>
              <w:jc w:val="center"/>
              <w:rPr>
                <w:sz w:val="20"/>
                <w:szCs w:val="16"/>
              </w:rPr>
            </w:pPr>
            <w:r>
              <w:rPr>
                <w:sz w:val="20"/>
                <w:szCs w:val="16"/>
              </w:rPr>
              <w:t>136 757</w:t>
            </w:r>
          </w:p>
        </w:tc>
        <w:tc>
          <w:tcPr>
            <w:tcW w:w="927" w:type="dxa"/>
            <w:noWrap/>
            <w:vAlign w:val="bottom"/>
          </w:tcPr>
          <w:p w:rsidR="00000000" w:rsidRDefault="00000000">
            <w:pPr>
              <w:widowControl w:val="0"/>
              <w:spacing w:before="60" w:after="60"/>
              <w:jc w:val="center"/>
              <w:rPr>
                <w:sz w:val="20"/>
                <w:szCs w:val="16"/>
              </w:rPr>
            </w:pPr>
            <w:r>
              <w:rPr>
                <w:sz w:val="20"/>
                <w:szCs w:val="16"/>
              </w:rPr>
              <w:t>137 809</w:t>
            </w:r>
          </w:p>
        </w:tc>
        <w:tc>
          <w:tcPr>
            <w:tcW w:w="897" w:type="dxa"/>
            <w:noWrap/>
            <w:vAlign w:val="bottom"/>
          </w:tcPr>
          <w:p w:rsidR="00000000" w:rsidRDefault="00000000">
            <w:pPr>
              <w:widowControl w:val="0"/>
              <w:spacing w:before="60" w:after="60"/>
              <w:jc w:val="center"/>
              <w:rPr>
                <w:sz w:val="20"/>
                <w:szCs w:val="16"/>
              </w:rPr>
            </w:pPr>
            <w:r>
              <w:rPr>
                <w:sz w:val="20"/>
                <w:szCs w:val="16"/>
              </w:rPr>
              <w:t>138 793</w:t>
            </w:r>
          </w:p>
        </w:tc>
        <w:tc>
          <w:tcPr>
            <w:tcW w:w="897" w:type="dxa"/>
            <w:noWrap/>
            <w:vAlign w:val="bottom"/>
          </w:tcPr>
          <w:p w:rsidR="00000000" w:rsidRDefault="00000000">
            <w:pPr>
              <w:widowControl w:val="0"/>
              <w:spacing w:before="60" w:after="60"/>
              <w:jc w:val="center"/>
              <w:rPr>
                <w:sz w:val="20"/>
                <w:szCs w:val="16"/>
              </w:rPr>
            </w:pPr>
            <w:r>
              <w:rPr>
                <w:sz w:val="20"/>
                <w:szCs w:val="16"/>
              </w:rPr>
              <w:t>139 703</w:t>
            </w:r>
          </w:p>
        </w:tc>
        <w:tc>
          <w:tcPr>
            <w:tcW w:w="897" w:type="dxa"/>
            <w:noWrap/>
            <w:vAlign w:val="bottom"/>
          </w:tcPr>
          <w:p w:rsidR="00000000" w:rsidRDefault="00000000">
            <w:pPr>
              <w:widowControl w:val="0"/>
              <w:spacing w:before="60" w:after="60"/>
              <w:jc w:val="center"/>
              <w:rPr>
                <w:sz w:val="20"/>
                <w:szCs w:val="16"/>
              </w:rPr>
            </w:pPr>
            <w:r>
              <w:rPr>
                <w:sz w:val="20"/>
                <w:szCs w:val="16"/>
              </w:rPr>
              <w:t>140 555</w:t>
            </w:r>
          </w:p>
        </w:tc>
        <w:tc>
          <w:tcPr>
            <w:tcW w:w="911" w:type="dxa"/>
            <w:noWrap/>
            <w:vAlign w:val="bottom"/>
          </w:tcPr>
          <w:p w:rsidR="00000000" w:rsidRDefault="00000000">
            <w:pPr>
              <w:widowControl w:val="0"/>
              <w:spacing w:before="60" w:after="60"/>
              <w:jc w:val="center"/>
              <w:rPr>
                <w:sz w:val="20"/>
                <w:szCs w:val="16"/>
              </w:rPr>
            </w:pPr>
            <w:r>
              <w:rPr>
                <w:sz w:val="20"/>
                <w:szCs w:val="16"/>
              </w:rPr>
              <w:t>141 364</w:t>
            </w:r>
          </w:p>
        </w:tc>
        <w:tc>
          <w:tcPr>
            <w:tcW w:w="912" w:type="dxa"/>
            <w:noWrap/>
            <w:vAlign w:val="bottom"/>
          </w:tcPr>
          <w:p w:rsidR="00000000" w:rsidRDefault="00000000">
            <w:pPr>
              <w:widowControl w:val="0"/>
              <w:spacing w:before="60" w:after="60"/>
              <w:jc w:val="center"/>
              <w:rPr>
                <w:sz w:val="20"/>
                <w:szCs w:val="16"/>
              </w:rPr>
            </w:pPr>
            <w:r>
              <w:rPr>
                <w:sz w:val="20"/>
                <w:szCs w:val="16"/>
              </w:rPr>
              <w:t>142 146</w:t>
            </w:r>
          </w:p>
        </w:tc>
        <w:tc>
          <w:tcPr>
            <w:tcW w:w="897" w:type="dxa"/>
            <w:noWrap/>
            <w:vAlign w:val="bottom"/>
          </w:tcPr>
          <w:p w:rsidR="00000000" w:rsidRDefault="00000000">
            <w:pPr>
              <w:widowControl w:val="0"/>
              <w:spacing w:before="60" w:after="60"/>
              <w:jc w:val="center"/>
              <w:rPr>
                <w:sz w:val="20"/>
                <w:szCs w:val="16"/>
              </w:rPr>
            </w:pPr>
            <w:r>
              <w:rPr>
                <w:sz w:val="20"/>
                <w:szCs w:val="16"/>
              </w:rPr>
              <w:t>142 915</w:t>
            </w:r>
          </w:p>
        </w:tc>
      </w:tr>
      <w:tr w:rsidR="00000000">
        <w:tc>
          <w:tcPr>
            <w:tcW w:w="2780" w:type="dxa"/>
            <w:noWrap/>
            <w:vAlign w:val="bottom"/>
          </w:tcPr>
          <w:p w:rsidR="00000000" w:rsidRDefault="00000000">
            <w:pPr>
              <w:widowControl w:val="0"/>
              <w:spacing w:before="60" w:after="60"/>
              <w:rPr>
                <w:sz w:val="20"/>
                <w:szCs w:val="16"/>
              </w:rPr>
            </w:pPr>
            <w:r>
              <w:rPr>
                <w:sz w:val="20"/>
                <w:szCs w:val="16"/>
              </w:rPr>
              <w:t>7 years</w:t>
            </w:r>
          </w:p>
        </w:tc>
        <w:tc>
          <w:tcPr>
            <w:tcW w:w="911" w:type="dxa"/>
            <w:noWrap/>
            <w:vAlign w:val="bottom"/>
          </w:tcPr>
          <w:p w:rsidR="00000000" w:rsidRDefault="00000000">
            <w:pPr>
              <w:widowControl w:val="0"/>
              <w:spacing w:before="60" w:after="60"/>
              <w:jc w:val="center"/>
              <w:rPr>
                <w:sz w:val="20"/>
                <w:szCs w:val="16"/>
              </w:rPr>
            </w:pPr>
            <w:r>
              <w:rPr>
                <w:sz w:val="20"/>
                <w:szCs w:val="16"/>
              </w:rPr>
              <w:t>128 809</w:t>
            </w:r>
          </w:p>
        </w:tc>
        <w:tc>
          <w:tcPr>
            <w:tcW w:w="911" w:type="dxa"/>
            <w:noWrap/>
            <w:vAlign w:val="bottom"/>
          </w:tcPr>
          <w:p w:rsidR="00000000" w:rsidRDefault="00000000">
            <w:pPr>
              <w:widowControl w:val="0"/>
              <w:spacing w:before="60" w:after="60"/>
              <w:jc w:val="center"/>
              <w:rPr>
                <w:sz w:val="20"/>
                <w:szCs w:val="16"/>
              </w:rPr>
            </w:pPr>
            <w:r>
              <w:rPr>
                <w:sz w:val="20"/>
                <w:szCs w:val="16"/>
              </w:rPr>
              <w:t>130 403</w:t>
            </w:r>
          </w:p>
        </w:tc>
        <w:tc>
          <w:tcPr>
            <w:tcW w:w="896" w:type="dxa"/>
            <w:noWrap/>
            <w:vAlign w:val="bottom"/>
          </w:tcPr>
          <w:p w:rsidR="00000000" w:rsidRDefault="00000000">
            <w:pPr>
              <w:widowControl w:val="0"/>
              <w:spacing w:before="60" w:after="60"/>
              <w:jc w:val="center"/>
              <w:rPr>
                <w:sz w:val="20"/>
                <w:szCs w:val="16"/>
              </w:rPr>
            </w:pPr>
            <w:r>
              <w:rPr>
                <w:sz w:val="20"/>
                <w:szCs w:val="16"/>
              </w:rPr>
              <w:t>131 921</w:t>
            </w:r>
          </w:p>
        </w:tc>
        <w:tc>
          <w:tcPr>
            <w:tcW w:w="925" w:type="dxa"/>
            <w:noWrap/>
            <w:vAlign w:val="bottom"/>
          </w:tcPr>
          <w:p w:rsidR="00000000" w:rsidRDefault="00000000">
            <w:pPr>
              <w:widowControl w:val="0"/>
              <w:spacing w:before="60" w:after="60"/>
              <w:jc w:val="center"/>
              <w:rPr>
                <w:sz w:val="20"/>
                <w:szCs w:val="16"/>
              </w:rPr>
            </w:pPr>
            <w:r>
              <w:rPr>
                <w:sz w:val="20"/>
                <w:szCs w:val="16"/>
              </w:rPr>
              <w:t>133 265</w:t>
            </w:r>
          </w:p>
        </w:tc>
        <w:tc>
          <w:tcPr>
            <w:tcW w:w="912" w:type="dxa"/>
            <w:noWrap/>
            <w:vAlign w:val="bottom"/>
          </w:tcPr>
          <w:p w:rsidR="00000000" w:rsidRDefault="00000000">
            <w:pPr>
              <w:widowControl w:val="0"/>
              <w:spacing w:before="60" w:after="60"/>
              <w:jc w:val="center"/>
              <w:rPr>
                <w:sz w:val="20"/>
                <w:szCs w:val="16"/>
              </w:rPr>
            </w:pPr>
            <w:r>
              <w:rPr>
                <w:sz w:val="20"/>
                <w:szCs w:val="16"/>
              </w:rPr>
              <w:t>134 478</w:t>
            </w:r>
          </w:p>
        </w:tc>
        <w:tc>
          <w:tcPr>
            <w:tcW w:w="912" w:type="dxa"/>
            <w:noWrap/>
            <w:vAlign w:val="bottom"/>
          </w:tcPr>
          <w:p w:rsidR="00000000" w:rsidRDefault="00000000">
            <w:pPr>
              <w:widowControl w:val="0"/>
              <w:spacing w:before="60" w:after="60"/>
              <w:jc w:val="center"/>
              <w:rPr>
                <w:sz w:val="20"/>
                <w:szCs w:val="16"/>
              </w:rPr>
            </w:pPr>
            <w:r>
              <w:rPr>
                <w:sz w:val="20"/>
                <w:szCs w:val="16"/>
              </w:rPr>
              <w:t>135 608</w:t>
            </w:r>
          </w:p>
        </w:tc>
        <w:tc>
          <w:tcPr>
            <w:tcW w:w="927" w:type="dxa"/>
            <w:noWrap/>
            <w:vAlign w:val="bottom"/>
          </w:tcPr>
          <w:p w:rsidR="00000000" w:rsidRDefault="00000000">
            <w:pPr>
              <w:widowControl w:val="0"/>
              <w:spacing w:before="60" w:after="60"/>
              <w:jc w:val="center"/>
              <w:rPr>
                <w:sz w:val="20"/>
                <w:szCs w:val="16"/>
              </w:rPr>
            </w:pPr>
            <w:r>
              <w:rPr>
                <w:sz w:val="20"/>
                <w:szCs w:val="16"/>
              </w:rPr>
              <w:t>136 698</w:t>
            </w:r>
          </w:p>
        </w:tc>
        <w:tc>
          <w:tcPr>
            <w:tcW w:w="897" w:type="dxa"/>
            <w:noWrap/>
            <w:vAlign w:val="bottom"/>
          </w:tcPr>
          <w:p w:rsidR="00000000" w:rsidRDefault="00000000">
            <w:pPr>
              <w:widowControl w:val="0"/>
              <w:spacing w:before="60" w:after="60"/>
              <w:jc w:val="center"/>
              <w:rPr>
                <w:sz w:val="20"/>
                <w:szCs w:val="16"/>
              </w:rPr>
            </w:pPr>
            <w:r>
              <w:rPr>
                <w:sz w:val="20"/>
                <w:szCs w:val="16"/>
              </w:rPr>
              <w:t>137 736</w:t>
            </w:r>
          </w:p>
        </w:tc>
        <w:tc>
          <w:tcPr>
            <w:tcW w:w="897" w:type="dxa"/>
            <w:noWrap/>
            <w:vAlign w:val="bottom"/>
          </w:tcPr>
          <w:p w:rsidR="00000000" w:rsidRDefault="00000000">
            <w:pPr>
              <w:widowControl w:val="0"/>
              <w:spacing w:before="60" w:after="60"/>
              <w:jc w:val="center"/>
              <w:rPr>
                <w:sz w:val="20"/>
                <w:szCs w:val="16"/>
              </w:rPr>
            </w:pPr>
            <w:r>
              <w:rPr>
                <w:sz w:val="20"/>
                <w:szCs w:val="16"/>
              </w:rPr>
              <w:t>138 693</w:t>
            </w:r>
          </w:p>
        </w:tc>
        <w:tc>
          <w:tcPr>
            <w:tcW w:w="897" w:type="dxa"/>
            <w:noWrap/>
            <w:vAlign w:val="bottom"/>
          </w:tcPr>
          <w:p w:rsidR="00000000" w:rsidRDefault="00000000">
            <w:pPr>
              <w:widowControl w:val="0"/>
              <w:spacing w:before="60" w:after="60"/>
              <w:jc w:val="center"/>
              <w:rPr>
                <w:sz w:val="20"/>
                <w:szCs w:val="16"/>
              </w:rPr>
            </w:pPr>
            <w:r>
              <w:rPr>
                <w:sz w:val="20"/>
                <w:szCs w:val="16"/>
              </w:rPr>
              <w:t>139 586</w:t>
            </w:r>
          </w:p>
        </w:tc>
        <w:tc>
          <w:tcPr>
            <w:tcW w:w="911" w:type="dxa"/>
            <w:noWrap/>
            <w:vAlign w:val="bottom"/>
          </w:tcPr>
          <w:p w:rsidR="00000000" w:rsidRDefault="00000000">
            <w:pPr>
              <w:widowControl w:val="0"/>
              <w:spacing w:before="60" w:after="60"/>
              <w:jc w:val="center"/>
              <w:rPr>
                <w:sz w:val="20"/>
                <w:szCs w:val="16"/>
              </w:rPr>
            </w:pPr>
            <w:r>
              <w:rPr>
                <w:sz w:val="20"/>
                <w:szCs w:val="16"/>
              </w:rPr>
              <w:t>140 436</w:t>
            </w:r>
          </w:p>
        </w:tc>
        <w:tc>
          <w:tcPr>
            <w:tcW w:w="912" w:type="dxa"/>
            <w:noWrap/>
            <w:vAlign w:val="bottom"/>
          </w:tcPr>
          <w:p w:rsidR="00000000" w:rsidRDefault="00000000">
            <w:pPr>
              <w:widowControl w:val="0"/>
              <w:spacing w:before="60" w:after="60"/>
              <w:jc w:val="center"/>
              <w:rPr>
                <w:sz w:val="20"/>
                <w:szCs w:val="16"/>
              </w:rPr>
            </w:pPr>
            <w:r>
              <w:rPr>
                <w:sz w:val="20"/>
                <w:szCs w:val="16"/>
              </w:rPr>
              <w:t>141 262</w:t>
            </w:r>
          </w:p>
        </w:tc>
        <w:tc>
          <w:tcPr>
            <w:tcW w:w="897" w:type="dxa"/>
            <w:noWrap/>
            <w:vAlign w:val="bottom"/>
          </w:tcPr>
          <w:p w:rsidR="00000000" w:rsidRDefault="00000000">
            <w:pPr>
              <w:widowControl w:val="0"/>
              <w:spacing w:before="60" w:after="60"/>
              <w:jc w:val="center"/>
              <w:rPr>
                <w:sz w:val="20"/>
                <w:szCs w:val="16"/>
              </w:rPr>
            </w:pPr>
            <w:r>
              <w:rPr>
                <w:sz w:val="20"/>
                <w:szCs w:val="16"/>
              </w:rPr>
              <w:t>142 075</w:t>
            </w:r>
          </w:p>
        </w:tc>
      </w:tr>
      <w:tr w:rsidR="00000000">
        <w:tc>
          <w:tcPr>
            <w:tcW w:w="2780" w:type="dxa"/>
            <w:noWrap/>
            <w:vAlign w:val="bottom"/>
          </w:tcPr>
          <w:p w:rsidR="00000000" w:rsidRDefault="00000000">
            <w:pPr>
              <w:widowControl w:val="0"/>
              <w:spacing w:before="60" w:after="60"/>
              <w:rPr>
                <w:sz w:val="20"/>
                <w:szCs w:val="16"/>
              </w:rPr>
            </w:pPr>
            <w:r>
              <w:rPr>
                <w:sz w:val="20"/>
                <w:szCs w:val="16"/>
              </w:rPr>
              <w:t>8 years</w:t>
            </w:r>
          </w:p>
        </w:tc>
        <w:tc>
          <w:tcPr>
            <w:tcW w:w="911" w:type="dxa"/>
            <w:noWrap/>
            <w:vAlign w:val="bottom"/>
          </w:tcPr>
          <w:p w:rsidR="00000000" w:rsidRDefault="00000000">
            <w:pPr>
              <w:widowControl w:val="0"/>
              <w:spacing w:before="60" w:after="60"/>
              <w:jc w:val="center"/>
              <w:rPr>
                <w:sz w:val="20"/>
                <w:szCs w:val="16"/>
              </w:rPr>
            </w:pPr>
            <w:r>
              <w:rPr>
                <w:sz w:val="20"/>
                <w:szCs w:val="16"/>
              </w:rPr>
              <w:t>126 826</w:t>
            </w:r>
          </w:p>
        </w:tc>
        <w:tc>
          <w:tcPr>
            <w:tcW w:w="911" w:type="dxa"/>
            <w:noWrap/>
            <w:vAlign w:val="bottom"/>
          </w:tcPr>
          <w:p w:rsidR="00000000" w:rsidRDefault="00000000">
            <w:pPr>
              <w:widowControl w:val="0"/>
              <w:spacing w:before="60" w:after="60"/>
              <w:jc w:val="center"/>
              <w:rPr>
                <w:sz w:val="20"/>
                <w:szCs w:val="16"/>
              </w:rPr>
            </w:pPr>
            <w:r>
              <w:rPr>
                <w:sz w:val="20"/>
                <w:szCs w:val="16"/>
              </w:rPr>
              <w:t>128 794</w:t>
            </w:r>
          </w:p>
        </w:tc>
        <w:tc>
          <w:tcPr>
            <w:tcW w:w="896" w:type="dxa"/>
            <w:noWrap/>
            <w:vAlign w:val="bottom"/>
          </w:tcPr>
          <w:p w:rsidR="00000000" w:rsidRDefault="00000000">
            <w:pPr>
              <w:widowControl w:val="0"/>
              <w:spacing w:before="60" w:after="60"/>
              <w:jc w:val="center"/>
              <w:rPr>
                <w:sz w:val="20"/>
                <w:szCs w:val="16"/>
              </w:rPr>
            </w:pPr>
            <w:r>
              <w:rPr>
                <w:sz w:val="20"/>
                <w:szCs w:val="16"/>
              </w:rPr>
              <w:t>130 519</w:t>
            </w:r>
          </w:p>
        </w:tc>
        <w:tc>
          <w:tcPr>
            <w:tcW w:w="925" w:type="dxa"/>
            <w:noWrap/>
            <w:vAlign w:val="bottom"/>
          </w:tcPr>
          <w:p w:rsidR="00000000" w:rsidRDefault="00000000">
            <w:pPr>
              <w:widowControl w:val="0"/>
              <w:spacing w:before="60" w:after="60"/>
              <w:jc w:val="center"/>
              <w:rPr>
                <w:sz w:val="20"/>
                <w:szCs w:val="16"/>
              </w:rPr>
            </w:pPr>
            <w:r>
              <w:rPr>
                <w:sz w:val="20"/>
                <w:szCs w:val="16"/>
              </w:rPr>
              <w:t>131 971</w:t>
            </w:r>
          </w:p>
        </w:tc>
        <w:tc>
          <w:tcPr>
            <w:tcW w:w="912" w:type="dxa"/>
            <w:noWrap/>
            <w:vAlign w:val="bottom"/>
          </w:tcPr>
          <w:p w:rsidR="00000000" w:rsidRDefault="00000000">
            <w:pPr>
              <w:widowControl w:val="0"/>
              <w:spacing w:before="60" w:after="60"/>
              <w:jc w:val="center"/>
              <w:rPr>
                <w:sz w:val="20"/>
                <w:szCs w:val="16"/>
              </w:rPr>
            </w:pPr>
            <w:r>
              <w:rPr>
                <w:sz w:val="20"/>
                <w:szCs w:val="16"/>
              </w:rPr>
              <w:t>133 234</w:t>
            </w:r>
          </w:p>
        </w:tc>
        <w:tc>
          <w:tcPr>
            <w:tcW w:w="912" w:type="dxa"/>
            <w:noWrap/>
            <w:vAlign w:val="bottom"/>
          </w:tcPr>
          <w:p w:rsidR="00000000" w:rsidRDefault="00000000">
            <w:pPr>
              <w:widowControl w:val="0"/>
              <w:spacing w:before="60" w:after="60"/>
              <w:jc w:val="center"/>
              <w:rPr>
                <w:sz w:val="20"/>
                <w:szCs w:val="16"/>
              </w:rPr>
            </w:pPr>
            <w:r>
              <w:rPr>
                <w:sz w:val="20"/>
                <w:szCs w:val="16"/>
              </w:rPr>
              <w:t>134 392</w:t>
            </w:r>
          </w:p>
        </w:tc>
        <w:tc>
          <w:tcPr>
            <w:tcW w:w="927" w:type="dxa"/>
            <w:noWrap/>
            <w:vAlign w:val="bottom"/>
          </w:tcPr>
          <w:p w:rsidR="00000000" w:rsidRDefault="00000000">
            <w:pPr>
              <w:widowControl w:val="0"/>
              <w:spacing w:before="60" w:after="60"/>
              <w:jc w:val="center"/>
              <w:rPr>
                <w:sz w:val="20"/>
                <w:szCs w:val="16"/>
              </w:rPr>
            </w:pPr>
            <w:r>
              <w:rPr>
                <w:sz w:val="20"/>
                <w:szCs w:val="16"/>
              </w:rPr>
              <w:t>135 529</w:t>
            </w:r>
          </w:p>
        </w:tc>
        <w:tc>
          <w:tcPr>
            <w:tcW w:w="897" w:type="dxa"/>
            <w:noWrap/>
            <w:vAlign w:val="bottom"/>
          </w:tcPr>
          <w:p w:rsidR="00000000" w:rsidRDefault="00000000">
            <w:pPr>
              <w:widowControl w:val="0"/>
              <w:spacing w:before="60" w:after="60"/>
              <w:jc w:val="center"/>
              <w:rPr>
                <w:sz w:val="20"/>
                <w:szCs w:val="16"/>
              </w:rPr>
            </w:pPr>
            <w:r>
              <w:rPr>
                <w:sz w:val="20"/>
                <w:szCs w:val="16"/>
              </w:rPr>
              <w:t>136 632</w:t>
            </w:r>
          </w:p>
        </w:tc>
        <w:tc>
          <w:tcPr>
            <w:tcW w:w="897" w:type="dxa"/>
            <w:noWrap/>
            <w:vAlign w:val="bottom"/>
          </w:tcPr>
          <w:p w:rsidR="00000000" w:rsidRDefault="00000000">
            <w:pPr>
              <w:widowControl w:val="0"/>
              <w:spacing w:before="60" w:after="60"/>
              <w:jc w:val="center"/>
              <w:rPr>
                <w:sz w:val="20"/>
                <w:szCs w:val="16"/>
              </w:rPr>
            </w:pPr>
            <w:r>
              <w:rPr>
                <w:sz w:val="20"/>
                <w:szCs w:val="16"/>
              </w:rPr>
              <w:t>137 643</w:t>
            </w:r>
          </w:p>
        </w:tc>
        <w:tc>
          <w:tcPr>
            <w:tcW w:w="897" w:type="dxa"/>
            <w:noWrap/>
            <w:vAlign w:val="bottom"/>
          </w:tcPr>
          <w:p w:rsidR="00000000" w:rsidRDefault="00000000">
            <w:pPr>
              <w:widowControl w:val="0"/>
              <w:spacing w:before="60" w:after="60"/>
              <w:jc w:val="center"/>
              <w:rPr>
                <w:sz w:val="20"/>
                <w:szCs w:val="16"/>
              </w:rPr>
            </w:pPr>
            <w:r>
              <w:rPr>
                <w:sz w:val="20"/>
                <w:szCs w:val="16"/>
              </w:rPr>
              <w:t>138 585</w:t>
            </w:r>
          </w:p>
        </w:tc>
        <w:tc>
          <w:tcPr>
            <w:tcW w:w="911" w:type="dxa"/>
            <w:noWrap/>
            <w:vAlign w:val="bottom"/>
          </w:tcPr>
          <w:p w:rsidR="00000000" w:rsidRDefault="00000000">
            <w:pPr>
              <w:widowControl w:val="0"/>
              <w:spacing w:before="60" w:after="60"/>
              <w:jc w:val="center"/>
              <w:rPr>
                <w:sz w:val="20"/>
                <w:szCs w:val="16"/>
              </w:rPr>
            </w:pPr>
            <w:r>
              <w:rPr>
                <w:sz w:val="20"/>
                <w:szCs w:val="16"/>
              </w:rPr>
              <w:t>139 480</w:t>
            </w:r>
          </w:p>
        </w:tc>
        <w:tc>
          <w:tcPr>
            <w:tcW w:w="912" w:type="dxa"/>
            <w:noWrap/>
            <w:vAlign w:val="bottom"/>
          </w:tcPr>
          <w:p w:rsidR="00000000" w:rsidRDefault="00000000">
            <w:pPr>
              <w:widowControl w:val="0"/>
              <w:spacing w:before="60" w:after="60"/>
              <w:jc w:val="center"/>
              <w:rPr>
                <w:sz w:val="20"/>
                <w:szCs w:val="16"/>
              </w:rPr>
            </w:pPr>
            <w:r>
              <w:rPr>
                <w:sz w:val="20"/>
                <w:szCs w:val="16"/>
              </w:rPr>
              <w:t>140 350</w:t>
            </w:r>
          </w:p>
        </w:tc>
        <w:tc>
          <w:tcPr>
            <w:tcW w:w="897" w:type="dxa"/>
            <w:noWrap/>
            <w:vAlign w:val="bottom"/>
          </w:tcPr>
          <w:p w:rsidR="00000000" w:rsidRDefault="00000000">
            <w:pPr>
              <w:widowControl w:val="0"/>
              <w:spacing w:before="60" w:after="60"/>
              <w:jc w:val="center"/>
              <w:rPr>
                <w:sz w:val="20"/>
                <w:szCs w:val="16"/>
              </w:rPr>
            </w:pPr>
            <w:r>
              <w:rPr>
                <w:sz w:val="20"/>
                <w:szCs w:val="16"/>
              </w:rPr>
              <w:t>141 204</w:t>
            </w:r>
          </w:p>
        </w:tc>
      </w:tr>
      <w:tr w:rsidR="00000000">
        <w:tc>
          <w:tcPr>
            <w:tcW w:w="2780" w:type="dxa"/>
            <w:noWrap/>
            <w:vAlign w:val="bottom"/>
          </w:tcPr>
          <w:p w:rsidR="00000000" w:rsidRDefault="00000000">
            <w:pPr>
              <w:widowControl w:val="0"/>
              <w:spacing w:before="60" w:after="60"/>
              <w:rPr>
                <w:sz w:val="20"/>
                <w:szCs w:val="16"/>
              </w:rPr>
            </w:pPr>
            <w:r>
              <w:rPr>
                <w:sz w:val="20"/>
                <w:szCs w:val="16"/>
              </w:rPr>
              <w:t>9 years</w:t>
            </w:r>
          </w:p>
        </w:tc>
        <w:tc>
          <w:tcPr>
            <w:tcW w:w="911" w:type="dxa"/>
            <w:noWrap/>
            <w:vAlign w:val="bottom"/>
          </w:tcPr>
          <w:p w:rsidR="00000000" w:rsidRDefault="00000000">
            <w:pPr>
              <w:widowControl w:val="0"/>
              <w:spacing w:before="60" w:after="60"/>
              <w:jc w:val="center"/>
              <w:rPr>
                <w:sz w:val="20"/>
                <w:szCs w:val="16"/>
              </w:rPr>
            </w:pPr>
            <w:r>
              <w:rPr>
                <w:sz w:val="20"/>
                <w:szCs w:val="16"/>
              </w:rPr>
              <w:t>124 636</w:t>
            </w:r>
          </w:p>
        </w:tc>
        <w:tc>
          <w:tcPr>
            <w:tcW w:w="911" w:type="dxa"/>
            <w:noWrap/>
            <w:vAlign w:val="bottom"/>
          </w:tcPr>
          <w:p w:rsidR="00000000" w:rsidRDefault="00000000">
            <w:pPr>
              <w:widowControl w:val="0"/>
              <w:spacing w:before="60" w:after="60"/>
              <w:jc w:val="center"/>
              <w:rPr>
                <w:sz w:val="20"/>
                <w:szCs w:val="16"/>
              </w:rPr>
            </w:pPr>
            <w:r>
              <w:rPr>
                <w:sz w:val="20"/>
                <w:szCs w:val="16"/>
              </w:rPr>
              <w:t>127 002</w:t>
            </w:r>
          </w:p>
        </w:tc>
        <w:tc>
          <w:tcPr>
            <w:tcW w:w="896" w:type="dxa"/>
            <w:noWrap/>
            <w:vAlign w:val="bottom"/>
          </w:tcPr>
          <w:p w:rsidR="00000000" w:rsidRDefault="00000000">
            <w:pPr>
              <w:widowControl w:val="0"/>
              <w:spacing w:before="60" w:after="60"/>
              <w:jc w:val="center"/>
              <w:rPr>
                <w:sz w:val="20"/>
                <w:szCs w:val="16"/>
              </w:rPr>
            </w:pPr>
            <w:r>
              <w:rPr>
                <w:sz w:val="20"/>
                <w:szCs w:val="16"/>
              </w:rPr>
              <w:t>128 952</w:t>
            </w:r>
          </w:p>
        </w:tc>
        <w:tc>
          <w:tcPr>
            <w:tcW w:w="925" w:type="dxa"/>
            <w:noWrap/>
            <w:vAlign w:val="bottom"/>
          </w:tcPr>
          <w:p w:rsidR="00000000" w:rsidRDefault="00000000">
            <w:pPr>
              <w:widowControl w:val="0"/>
              <w:spacing w:before="60" w:after="60"/>
              <w:jc w:val="center"/>
              <w:rPr>
                <w:sz w:val="20"/>
                <w:szCs w:val="16"/>
              </w:rPr>
            </w:pPr>
            <w:r>
              <w:rPr>
                <w:sz w:val="20"/>
                <w:szCs w:val="16"/>
              </w:rPr>
              <w:t>130 535</w:t>
            </w:r>
          </w:p>
        </w:tc>
        <w:tc>
          <w:tcPr>
            <w:tcW w:w="912" w:type="dxa"/>
            <w:noWrap/>
            <w:vAlign w:val="bottom"/>
          </w:tcPr>
          <w:p w:rsidR="00000000" w:rsidRDefault="00000000">
            <w:pPr>
              <w:widowControl w:val="0"/>
              <w:spacing w:before="60" w:after="60"/>
              <w:jc w:val="center"/>
              <w:rPr>
                <w:sz w:val="20"/>
                <w:szCs w:val="16"/>
              </w:rPr>
            </w:pPr>
            <w:r>
              <w:rPr>
                <w:sz w:val="20"/>
                <w:szCs w:val="16"/>
              </w:rPr>
              <w:t>131 870</w:t>
            </w:r>
          </w:p>
        </w:tc>
        <w:tc>
          <w:tcPr>
            <w:tcW w:w="912" w:type="dxa"/>
            <w:noWrap/>
            <w:vAlign w:val="bottom"/>
          </w:tcPr>
          <w:p w:rsidR="00000000" w:rsidRDefault="00000000">
            <w:pPr>
              <w:widowControl w:val="0"/>
              <w:spacing w:before="60" w:after="60"/>
              <w:jc w:val="center"/>
              <w:rPr>
                <w:sz w:val="20"/>
                <w:szCs w:val="16"/>
              </w:rPr>
            </w:pPr>
            <w:r>
              <w:rPr>
                <w:sz w:val="20"/>
                <w:szCs w:val="16"/>
              </w:rPr>
              <w:t>133 078</w:t>
            </w:r>
          </w:p>
        </w:tc>
        <w:tc>
          <w:tcPr>
            <w:tcW w:w="927" w:type="dxa"/>
            <w:noWrap/>
            <w:vAlign w:val="bottom"/>
          </w:tcPr>
          <w:p w:rsidR="00000000" w:rsidRDefault="00000000">
            <w:pPr>
              <w:widowControl w:val="0"/>
              <w:spacing w:before="60" w:after="60"/>
              <w:jc w:val="center"/>
              <w:rPr>
                <w:sz w:val="20"/>
                <w:szCs w:val="16"/>
              </w:rPr>
            </w:pPr>
            <w:r>
              <w:rPr>
                <w:sz w:val="20"/>
                <w:szCs w:val="16"/>
              </w:rPr>
              <w:t>134 281</w:t>
            </w:r>
          </w:p>
        </w:tc>
        <w:tc>
          <w:tcPr>
            <w:tcW w:w="897" w:type="dxa"/>
            <w:noWrap/>
            <w:vAlign w:val="bottom"/>
          </w:tcPr>
          <w:p w:rsidR="00000000" w:rsidRDefault="00000000">
            <w:pPr>
              <w:widowControl w:val="0"/>
              <w:spacing w:before="60" w:after="60"/>
              <w:jc w:val="center"/>
              <w:rPr>
                <w:sz w:val="20"/>
                <w:szCs w:val="16"/>
              </w:rPr>
            </w:pPr>
            <w:r>
              <w:rPr>
                <w:sz w:val="20"/>
                <w:szCs w:val="16"/>
              </w:rPr>
              <w:t>135 460</w:t>
            </w:r>
          </w:p>
        </w:tc>
        <w:tc>
          <w:tcPr>
            <w:tcW w:w="897" w:type="dxa"/>
            <w:noWrap/>
            <w:vAlign w:val="bottom"/>
          </w:tcPr>
          <w:p w:rsidR="00000000" w:rsidRDefault="00000000">
            <w:pPr>
              <w:widowControl w:val="0"/>
              <w:spacing w:before="60" w:after="60"/>
              <w:jc w:val="center"/>
              <w:rPr>
                <w:sz w:val="20"/>
                <w:szCs w:val="16"/>
              </w:rPr>
            </w:pPr>
            <w:r>
              <w:rPr>
                <w:sz w:val="20"/>
                <w:szCs w:val="16"/>
              </w:rPr>
              <w:t>136 536</w:t>
            </w:r>
          </w:p>
        </w:tc>
        <w:tc>
          <w:tcPr>
            <w:tcW w:w="897" w:type="dxa"/>
            <w:noWrap/>
            <w:vAlign w:val="bottom"/>
          </w:tcPr>
          <w:p w:rsidR="00000000" w:rsidRDefault="00000000">
            <w:pPr>
              <w:widowControl w:val="0"/>
              <w:spacing w:before="60" w:after="60"/>
              <w:jc w:val="center"/>
              <w:rPr>
                <w:sz w:val="20"/>
                <w:szCs w:val="16"/>
              </w:rPr>
            </w:pPr>
            <w:r>
              <w:rPr>
                <w:sz w:val="20"/>
                <w:szCs w:val="16"/>
              </w:rPr>
              <w:t>137 534</w:t>
            </w:r>
          </w:p>
        </w:tc>
        <w:tc>
          <w:tcPr>
            <w:tcW w:w="911" w:type="dxa"/>
            <w:noWrap/>
            <w:vAlign w:val="bottom"/>
          </w:tcPr>
          <w:p w:rsidR="00000000" w:rsidRDefault="00000000">
            <w:pPr>
              <w:widowControl w:val="0"/>
              <w:spacing w:before="60" w:after="60"/>
              <w:jc w:val="center"/>
              <w:rPr>
                <w:sz w:val="20"/>
                <w:szCs w:val="16"/>
              </w:rPr>
            </w:pPr>
            <w:r>
              <w:rPr>
                <w:sz w:val="20"/>
                <w:szCs w:val="16"/>
              </w:rPr>
              <w:t>138 480</w:t>
            </w:r>
          </w:p>
        </w:tc>
        <w:tc>
          <w:tcPr>
            <w:tcW w:w="912" w:type="dxa"/>
            <w:noWrap/>
            <w:vAlign w:val="bottom"/>
          </w:tcPr>
          <w:p w:rsidR="00000000" w:rsidRDefault="00000000">
            <w:pPr>
              <w:widowControl w:val="0"/>
              <w:spacing w:before="60" w:after="60"/>
              <w:jc w:val="center"/>
              <w:rPr>
                <w:sz w:val="20"/>
                <w:szCs w:val="16"/>
              </w:rPr>
            </w:pPr>
            <w:r>
              <w:rPr>
                <w:sz w:val="20"/>
                <w:szCs w:val="16"/>
              </w:rPr>
              <w:t>139 398</w:t>
            </w:r>
          </w:p>
        </w:tc>
        <w:tc>
          <w:tcPr>
            <w:tcW w:w="897" w:type="dxa"/>
            <w:noWrap/>
            <w:vAlign w:val="bottom"/>
          </w:tcPr>
          <w:p w:rsidR="00000000" w:rsidRDefault="00000000">
            <w:pPr>
              <w:widowControl w:val="0"/>
              <w:spacing w:before="60" w:after="60"/>
              <w:jc w:val="center"/>
              <w:rPr>
                <w:sz w:val="20"/>
                <w:szCs w:val="16"/>
              </w:rPr>
            </w:pPr>
            <w:r>
              <w:rPr>
                <w:sz w:val="20"/>
                <w:szCs w:val="16"/>
              </w:rPr>
              <w:t>140 294</w:t>
            </w:r>
          </w:p>
        </w:tc>
      </w:tr>
      <w:tr w:rsidR="00000000">
        <w:tc>
          <w:tcPr>
            <w:tcW w:w="2780" w:type="dxa"/>
            <w:noWrap/>
            <w:vAlign w:val="bottom"/>
          </w:tcPr>
          <w:p w:rsidR="00000000" w:rsidRDefault="00000000">
            <w:pPr>
              <w:widowControl w:val="0"/>
              <w:spacing w:before="60" w:after="60"/>
              <w:rPr>
                <w:sz w:val="20"/>
                <w:szCs w:val="16"/>
              </w:rPr>
            </w:pPr>
            <w:r>
              <w:rPr>
                <w:sz w:val="20"/>
                <w:szCs w:val="16"/>
              </w:rPr>
              <w:t>12 - 14 years</w:t>
            </w:r>
          </w:p>
        </w:tc>
        <w:tc>
          <w:tcPr>
            <w:tcW w:w="911" w:type="dxa"/>
            <w:noWrap/>
            <w:vAlign w:val="bottom"/>
          </w:tcPr>
          <w:p w:rsidR="00000000" w:rsidRDefault="00000000">
            <w:pPr>
              <w:widowControl w:val="0"/>
              <w:spacing w:before="60" w:after="60"/>
              <w:jc w:val="center"/>
              <w:rPr>
                <w:sz w:val="20"/>
                <w:szCs w:val="16"/>
              </w:rPr>
            </w:pPr>
            <w:r>
              <w:rPr>
                <w:sz w:val="20"/>
                <w:szCs w:val="16"/>
              </w:rPr>
              <w:t>580 881</w:t>
            </w:r>
          </w:p>
        </w:tc>
        <w:tc>
          <w:tcPr>
            <w:tcW w:w="911" w:type="dxa"/>
            <w:noWrap/>
            <w:vAlign w:val="bottom"/>
          </w:tcPr>
          <w:p w:rsidR="00000000" w:rsidRDefault="00000000">
            <w:pPr>
              <w:widowControl w:val="0"/>
              <w:spacing w:before="60" w:after="60"/>
              <w:jc w:val="center"/>
              <w:rPr>
                <w:sz w:val="20"/>
                <w:szCs w:val="16"/>
              </w:rPr>
            </w:pPr>
            <w:r>
              <w:rPr>
                <w:sz w:val="20"/>
                <w:szCs w:val="16"/>
              </w:rPr>
              <w:t>597 813</w:t>
            </w:r>
          </w:p>
        </w:tc>
        <w:tc>
          <w:tcPr>
            <w:tcW w:w="896" w:type="dxa"/>
            <w:noWrap/>
            <w:vAlign w:val="bottom"/>
          </w:tcPr>
          <w:p w:rsidR="00000000" w:rsidRDefault="00000000">
            <w:pPr>
              <w:widowControl w:val="0"/>
              <w:spacing w:before="60" w:after="60"/>
              <w:jc w:val="center"/>
              <w:rPr>
                <w:sz w:val="20"/>
                <w:szCs w:val="16"/>
              </w:rPr>
            </w:pPr>
            <w:r>
              <w:rPr>
                <w:sz w:val="20"/>
                <w:szCs w:val="16"/>
              </w:rPr>
              <w:t>611 223</w:t>
            </w:r>
          </w:p>
        </w:tc>
        <w:tc>
          <w:tcPr>
            <w:tcW w:w="925" w:type="dxa"/>
            <w:noWrap/>
            <w:vAlign w:val="bottom"/>
          </w:tcPr>
          <w:p w:rsidR="00000000" w:rsidRDefault="00000000">
            <w:pPr>
              <w:widowControl w:val="0"/>
              <w:spacing w:before="60" w:after="60"/>
              <w:jc w:val="center"/>
              <w:rPr>
                <w:sz w:val="20"/>
                <w:szCs w:val="16"/>
              </w:rPr>
            </w:pPr>
            <w:r>
              <w:rPr>
                <w:sz w:val="20"/>
                <w:szCs w:val="16"/>
              </w:rPr>
              <w:t>622 303</w:t>
            </w:r>
          </w:p>
        </w:tc>
        <w:tc>
          <w:tcPr>
            <w:tcW w:w="912" w:type="dxa"/>
            <w:noWrap/>
            <w:vAlign w:val="bottom"/>
          </w:tcPr>
          <w:p w:rsidR="00000000" w:rsidRDefault="00000000">
            <w:pPr>
              <w:widowControl w:val="0"/>
              <w:spacing w:before="60" w:after="60"/>
              <w:jc w:val="center"/>
              <w:rPr>
                <w:sz w:val="20"/>
                <w:szCs w:val="16"/>
              </w:rPr>
            </w:pPr>
            <w:r>
              <w:rPr>
                <w:sz w:val="20"/>
                <w:szCs w:val="16"/>
              </w:rPr>
              <w:t>631 733</w:t>
            </w:r>
          </w:p>
        </w:tc>
        <w:tc>
          <w:tcPr>
            <w:tcW w:w="912" w:type="dxa"/>
            <w:noWrap/>
            <w:vAlign w:val="bottom"/>
          </w:tcPr>
          <w:p w:rsidR="00000000" w:rsidRDefault="00000000">
            <w:pPr>
              <w:widowControl w:val="0"/>
              <w:spacing w:before="60" w:after="60"/>
              <w:jc w:val="center"/>
              <w:rPr>
                <w:sz w:val="20"/>
                <w:szCs w:val="16"/>
              </w:rPr>
            </w:pPr>
            <w:r>
              <w:rPr>
                <w:sz w:val="20"/>
                <w:szCs w:val="16"/>
              </w:rPr>
              <w:t>640 195</w:t>
            </w:r>
          </w:p>
        </w:tc>
        <w:tc>
          <w:tcPr>
            <w:tcW w:w="927" w:type="dxa"/>
            <w:noWrap/>
            <w:vAlign w:val="bottom"/>
          </w:tcPr>
          <w:p w:rsidR="00000000" w:rsidRDefault="00000000">
            <w:pPr>
              <w:widowControl w:val="0"/>
              <w:spacing w:before="60" w:after="60"/>
              <w:jc w:val="center"/>
              <w:rPr>
                <w:sz w:val="20"/>
                <w:szCs w:val="16"/>
              </w:rPr>
            </w:pPr>
            <w:r>
              <w:rPr>
                <w:sz w:val="20"/>
                <w:szCs w:val="16"/>
              </w:rPr>
              <w:t>648 371</w:t>
            </w:r>
          </w:p>
        </w:tc>
        <w:tc>
          <w:tcPr>
            <w:tcW w:w="897" w:type="dxa"/>
            <w:noWrap/>
            <w:vAlign w:val="bottom"/>
          </w:tcPr>
          <w:p w:rsidR="00000000" w:rsidRDefault="00000000">
            <w:pPr>
              <w:widowControl w:val="0"/>
              <w:spacing w:before="60" w:after="60"/>
              <w:jc w:val="center"/>
              <w:rPr>
                <w:sz w:val="20"/>
                <w:szCs w:val="16"/>
              </w:rPr>
            </w:pPr>
            <w:r>
              <w:rPr>
                <w:sz w:val="20"/>
                <w:szCs w:val="16"/>
              </w:rPr>
              <w:t>656 107</w:t>
            </w:r>
          </w:p>
        </w:tc>
        <w:tc>
          <w:tcPr>
            <w:tcW w:w="897" w:type="dxa"/>
            <w:noWrap/>
            <w:vAlign w:val="bottom"/>
          </w:tcPr>
          <w:p w:rsidR="00000000" w:rsidRDefault="00000000">
            <w:pPr>
              <w:widowControl w:val="0"/>
              <w:spacing w:before="60" w:after="60"/>
              <w:jc w:val="center"/>
              <w:rPr>
                <w:sz w:val="20"/>
                <w:szCs w:val="16"/>
              </w:rPr>
            </w:pPr>
            <w:r>
              <w:rPr>
                <w:sz w:val="20"/>
                <w:szCs w:val="16"/>
              </w:rPr>
              <w:t>662 948</w:t>
            </w:r>
          </w:p>
        </w:tc>
        <w:tc>
          <w:tcPr>
            <w:tcW w:w="897" w:type="dxa"/>
            <w:noWrap/>
            <w:vAlign w:val="bottom"/>
          </w:tcPr>
          <w:p w:rsidR="00000000" w:rsidRDefault="00000000">
            <w:pPr>
              <w:widowControl w:val="0"/>
              <w:spacing w:before="60" w:after="60"/>
              <w:jc w:val="center"/>
              <w:rPr>
                <w:sz w:val="20"/>
                <w:szCs w:val="16"/>
              </w:rPr>
            </w:pPr>
            <w:r>
              <w:rPr>
                <w:sz w:val="20"/>
                <w:szCs w:val="16"/>
              </w:rPr>
              <w:t>669 125</w:t>
            </w:r>
          </w:p>
        </w:tc>
        <w:tc>
          <w:tcPr>
            <w:tcW w:w="911" w:type="dxa"/>
            <w:noWrap/>
            <w:vAlign w:val="bottom"/>
          </w:tcPr>
          <w:p w:rsidR="00000000" w:rsidRDefault="00000000">
            <w:pPr>
              <w:widowControl w:val="0"/>
              <w:spacing w:before="60" w:after="60"/>
              <w:jc w:val="center"/>
              <w:rPr>
                <w:sz w:val="20"/>
                <w:szCs w:val="16"/>
              </w:rPr>
            </w:pPr>
            <w:r>
              <w:rPr>
                <w:sz w:val="20"/>
                <w:szCs w:val="16"/>
              </w:rPr>
              <w:t>674 870</w:t>
            </w:r>
          </w:p>
        </w:tc>
        <w:tc>
          <w:tcPr>
            <w:tcW w:w="912" w:type="dxa"/>
            <w:noWrap/>
            <w:vAlign w:val="bottom"/>
          </w:tcPr>
          <w:p w:rsidR="00000000" w:rsidRDefault="00000000">
            <w:pPr>
              <w:widowControl w:val="0"/>
              <w:spacing w:before="60" w:after="60"/>
              <w:jc w:val="center"/>
              <w:rPr>
                <w:sz w:val="20"/>
                <w:szCs w:val="16"/>
              </w:rPr>
            </w:pPr>
            <w:r>
              <w:rPr>
                <w:sz w:val="20"/>
                <w:szCs w:val="16"/>
              </w:rPr>
              <w:t>680 414</w:t>
            </w:r>
          </w:p>
        </w:tc>
        <w:tc>
          <w:tcPr>
            <w:tcW w:w="897" w:type="dxa"/>
            <w:noWrap/>
            <w:vAlign w:val="bottom"/>
          </w:tcPr>
          <w:p w:rsidR="00000000" w:rsidRDefault="00000000">
            <w:pPr>
              <w:widowControl w:val="0"/>
              <w:spacing w:before="60" w:after="60"/>
              <w:jc w:val="center"/>
              <w:rPr>
                <w:sz w:val="20"/>
                <w:szCs w:val="16"/>
              </w:rPr>
            </w:pPr>
            <w:r>
              <w:rPr>
                <w:sz w:val="20"/>
                <w:szCs w:val="16"/>
              </w:rPr>
              <w:t>685 692</w:t>
            </w:r>
          </w:p>
        </w:tc>
      </w:tr>
      <w:tr w:rsidR="00000000">
        <w:tc>
          <w:tcPr>
            <w:tcW w:w="2780" w:type="dxa"/>
            <w:noWrap/>
            <w:vAlign w:val="bottom"/>
          </w:tcPr>
          <w:p w:rsidR="00000000" w:rsidRDefault="00000000">
            <w:pPr>
              <w:widowControl w:val="0"/>
              <w:spacing w:before="60" w:after="60"/>
              <w:rPr>
                <w:sz w:val="20"/>
                <w:szCs w:val="16"/>
              </w:rPr>
            </w:pPr>
            <w:r>
              <w:rPr>
                <w:sz w:val="20"/>
                <w:szCs w:val="16"/>
              </w:rPr>
              <w:t>10 years</w:t>
            </w:r>
          </w:p>
        </w:tc>
        <w:tc>
          <w:tcPr>
            <w:tcW w:w="911" w:type="dxa"/>
            <w:noWrap/>
            <w:vAlign w:val="bottom"/>
          </w:tcPr>
          <w:p w:rsidR="00000000" w:rsidRDefault="00000000">
            <w:pPr>
              <w:widowControl w:val="0"/>
              <w:spacing w:before="60" w:after="60"/>
              <w:jc w:val="center"/>
              <w:rPr>
                <w:sz w:val="20"/>
                <w:szCs w:val="16"/>
              </w:rPr>
            </w:pPr>
            <w:r>
              <w:rPr>
                <w:sz w:val="20"/>
                <w:szCs w:val="16"/>
              </w:rPr>
              <w:t>122 358</w:t>
            </w:r>
          </w:p>
        </w:tc>
        <w:tc>
          <w:tcPr>
            <w:tcW w:w="911" w:type="dxa"/>
            <w:noWrap/>
            <w:vAlign w:val="bottom"/>
          </w:tcPr>
          <w:p w:rsidR="00000000" w:rsidRDefault="00000000">
            <w:pPr>
              <w:widowControl w:val="0"/>
              <w:spacing w:before="60" w:after="60"/>
              <w:jc w:val="center"/>
              <w:rPr>
                <w:sz w:val="20"/>
                <w:szCs w:val="16"/>
              </w:rPr>
            </w:pPr>
            <w:r>
              <w:rPr>
                <w:sz w:val="20"/>
                <w:szCs w:val="16"/>
              </w:rPr>
              <w:t>125 143</w:t>
            </w:r>
          </w:p>
        </w:tc>
        <w:tc>
          <w:tcPr>
            <w:tcW w:w="896" w:type="dxa"/>
            <w:noWrap/>
            <w:vAlign w:val="bottom"/>
          </w:tcPr>
          <w:p w:rsidR="00000000" w:rsidRDefault="00000000">
            <w:pPr>
              <w:widowControl w:val="0"/>
              <w:spacing w:before="60" w:after="60"/>
              <w:jc w:val="center"/>
              <w:rPr>
                <w:sz w:val="20"/>
                <w:szCs w:val="16"/>
              </w:rPr>
            </w:pPr>
            <w:r>
              <w:rPr>
                <w:sz w:val="20"/>
                <w:szCs w:val="16"/>
              </w:rPr>
              <w:t>127 317</w:t>
            </w:r>
          </w:p>
        </w:tc>
        <w:tc>
          <w:tcPr>
            <w:tcW w:w="925" w:type="dxa"/>
            <w:noWrap/>
            <w:vAlign w:val="bottom"/>
          </w:tcPr>
          <w:p w:rsidR="00000000" w:rsidRDefault="00000000">
            <w:pPr>
              <w:widowControl w:val="0"/>
              <w:spacing w:before="60" w:after="60"/>
              <w:jc w:val="center"/>
              <w:rPr>
                <w:sz w:val="20"/>
                <w:szCs w:val="16"/>
              </w:rPr>
            </w:pPr>
            <w:r>
              <w:rPr>
                <w:sz w:val="20"/>
                <w:szCs w:val="16"/>
              </w:rPr>
              <w:t>129 014</w:t>
            </w:r>
          </w:p>
        </w:tc>
        <w:tc>
          <w:tcPr>
            <w:tcW w:w="912" w:type="dxa"/>
            <w:noWrap/>
            <w:vAlign w:val="bottom"/>
          </w:tcPr>
          <w:p w:rsidR="00000000" w:rsidRDefault="00000000">
            <w:pPr>
              <w:widowControl w:val="0"/>
              <w:spacing w:before="60" w:after="60"/>
              <w:jc w:val="center"/>
              <w:rPr>
                <w:sz w:val="20"/>
                <w:szCs w:val="16"/>
              </w:rPr>
            </w:pPr>
            <w:r>
              <w:rPr>
                <w:sz w:val="20"/>
                <w:szCs w:val="16"/>
              </w:rPr>
              <w:t>130 400</w:t>
            </w:r>
          </w:p>
        </w:tc>
        <w:tc>
          <w:tcPr>
            <w:tcW w:w="912" w:type="dxa"/>
            <w:noWrap/>
            <w:vAlign w:val="bottom"/>
          </w:tcPr>
          <w:p w:rsidR="00000000" w:rsidRDefault="00000000">
            <w:pPr>
              <w:widowControl w:val="0"/>
              <w:spacing w:before="60" w:after="60"/>
              <w:jc w:val="center"/>
              <w:rPr>
                <w:sz w:val="20"/>
                <w:szCs w:val="16"/>
              </w:rPr>
            </w:pPr>
            <w:r>
              <w:rPr>
                <w:sz w:val="20"/>
                <w:szCs w:val="16"/>
              </w:rPr>
              <w:t>131 640</w:t>
            </w:r>
          </w:p>
        </w:tc>
        <w:tc>
          <w:tcPr>
            <w:tcW w:w="927" w:type="dxa"/>
            <w:noWrap/>
            <w:vAlign w:val="bottom"/>
          </w:tcPr>
          <w:p w:rsidR="00000000" w:rsidRDefault="00000000">
            <w:pPr>
              <w:widowControl w:val="0"/>
              <w:spacing w:before="60" w:after="60"/>
              <w:jc w:val="center"/>
              <w:rPr>
                <w:sz w:val="20"/>
                <w:szCs w:val="16"/>
              </w:rPr>
            </w:pPr>
            <w:r>
              <w:rPr>
                <w:sz w:val="20"/>
                <w:szCs w:val="16"/>
              </w:rPr>
              <w:t>132 900</w:t>
            </w:r>
          </w:p>
        </w:tc>
        <w:tc>
          <w:tcPr>
            <w:tcW w:w="897" w:type="dxa"/>
            <w:noWrap/>
            <w:vAlign w:val="bottom"/>
          </w:tcPr>
          <w:p w:rsidR="00000000" w:rsidRDefault="00000000">
            <w:pPr>
              <w:widowControl w:val="0"/>
              <w:spacing w:before="60" w:after="60"/>
              <w:jc w:val="center"/>
              <w:rPr>
                <w:sz w:val="20"/>
                <w:szCs w:val="16"/>
              </w:rPr>
            </w:pPr>
            <w:r>
              <w:rPr>
                <w:sz w:val="20"/>
                <w:szCs w:val="16"/>
              </w:rPr>
              <w:t>134 163</w:t>
            </w:r>
          </w:p>
        </w:tc>
        <w:tc>
          <w:tcPr>
            <w:tcW w:w="897" w:type="dxa"/>
            <w:noWrap/>
            <w:vAlign w:val="bottom"/>
          </w:tcPr>
          <w:p w:rsidR="00000000" w:rsidRDefault="00000000">
            <w:pPr>
              <w:widowControl w:val="0"/>
              <w:spacing w:before="60" w:after="60"/>
              <w:jc w:val="center"/>
              <w:rPr>
                <w:sz w:val="20"/>
                <w:szCs w:val="16"/>
              </w:rPr>
            </w:pPr>
            <w:r>
              <w:rPr>
                <w:sz w:val="20"/>
                <w:szCs w:val="16"/>
              </w:rPr>
              <w:t>135 319</w:t>
            </w:r>
          </w:p>
        </w:tc>
        <w:tc>
          <w:tcPr>
            <w:tcW w:w="897" w:type="dxa"/>
            <w:noWrap/>
            <w:vAlign w:val="bottom"/>
          </w:tcPr>
          <w:p w:rsidR="00000000" w:rsidRDefault="00000000">
            <w:pPr>
              <w:widowControl w:val="0"/>
              <w:spacing w:before="60" w:after="60"/>
              <w:jc w:val="center"/>
              <w:rPr>
                <w:sz w:val="20"/>
                <w:szCs w:val="16"/>
              </w:rPr>
            </w:pPr>
            <w:r>
              <w:rPr>
                <w:sz w:val="20"/>
                <w:szCs w:val="16"/>
              </w:rPr>
              <w:t>136 393</w:t>
            </w:r>
          </w:p>
        </w:tc>
        <w:tc>
          <w:tcPr>
            <w:tcW w:w="911" w:type="dxa"/>
            <w:noWrap/>
            <w:vAlign w:val="bottom"/>
          </w:tcPr>
          <w:p w:rsidR="00000000" w:rsidRDefault="00000000">
            <w:pPr>
              <w:widowControl w:val="0"/>
              <w:spacing w:before="60" w:after="60"/>
              <w:jc w:val="center"/>
              <w:rPr>
                <w:sz w:val="20"/>
                <w:szCs w:val="16"/>
              </w:rPr>
            </w:pPr>
            <w:r>
              <w:rPr>
                <w:sz w:val="20"/>
                <w:szCs w:val="16"/>
              </w:rPr>
              <w:t>137 407</w:t>
            </w:r>
          </w:p>
        </w:tc>
        <w:tc>
          <w:tcPr>
            <w:tcW w:w="912" w:type="dxa"/>
            <w:noWrap/>
            <w:vAlign w:val="bottom"/>
          </w:tcPr>
          <w:p w:rsidR="00000000" w:rsidRDefault="00000000">
            <w:pPr>
              <w:widowControl w:val="0"/>
              <w:spacing w:before="60" w:after="60"/>
              <w:jc w:val="center"/>
              <w:rPr>
                <w:sz w:val="20"/>
                <w:szCs w:val="16"/>
              </w:rPr>
            </w:pPr>
            <w:r>
              <w:rPr>
                <w:sz w:val="20"/>
                <w:szCs w:val="16"/>
              </w:rPr>
              <w:t>138 385</w:t>
            </w:r>
          </w:p>
        </w:tc>
        <w:tc>
          <w:tcPr>
            <w:tcW w:w="897" w:type="dxa"/>
            <w:noWrap/>
            <w:vAlign w:val="bottom"/>
          </w:tcPr>
          <w:p w:rsidR="00000000" w:rsidRDefault="00000000">
            <w:pPr>
              <w:widowControl w:val="0"/>
              <w:spacing w:before="60" w:after="60"/>
              <w:jc w:val="center"/>
              <w:rPr>
                <w:sz w:val="20"/>
                <w:szCs w:val="16"/>
              </w:rPr>
            </w:pPr>
            <w:r>
              <w:rPr>
                <w:sz w:val="20"/>
                <w:szCs w:val="16"/>
              </w:rPr>
              <w:t>139 326</w:t>
            </w:r>
          </w:p>
        </w:tc>
      </w:tr>
      <w:tr w:rsidR="00000000">
        <w:tc>
          <w:tcPr>
            <w:tcW w:w="2780" w:type="dxa"/>
            <w:noWrap/>
            <w:vAlign w:val="bottom"/>
          </w:tcPr>
          <w:p w:rsidR="00000000" w:rsidRDefault="00000000">
            <w:pPr>
              <w:widowControl w:val="0"/>
              <w:spacing w:before="60" w:after="60"/>
              <w:rPr>
                <w:sz w:val="20"/>
                <w:szCs w:val="16"/>
              </w:rPr>
            </w:pPr>
            <w:r>
              <w:rPr>
                <w:sz w:val="20"/>
                <w:szCs w:val="16"/>
              </w:rPr>
              <w:t>11 years</w:t>
            </w:r>
          </w:p>
        </w:tc>
        <w:tc>
          <w:tcPr>
            <w:tcW w:w="911" w:type="dxa"/>
            <w:noWrap/>
            <w:vAlign w:val="bottom"/>
          </w:tcPr>
          <w:p w:rsidR="00000000" w:rsidRDefault="00000000">
            <w:pPr>
              <w:widowControl w:val="0"/>
              <w:spacing w:before="60" w:after="60"/>
              <w:jc w:val="center"/>
              <w:rPr>
                <w:sz w:val="20"/>
                <w:szCs w:val="16"/>
              </w:rPr>
            </w:pPr>
            <w:r>
              <w:rPr>
                <w:sz w:val="20"/>
                <w:szCs w:val="16"/>
              </w:rPr>
              <w:t>120 109</w:t>
            </w:r>
          </w:p>
        </w:tc>
        <w:tc>
          <w:tcPr>
            <w:tcW w:w="911" w:type="dxa"/>
            <w:noWrap/>
            <w:vAlign w:val="bottom"/>
          </w:tcPr>
          <w:p w:rsidR="00000000" w:rsidRDefault="00000000">
            <w:pPr>
              <w:widowControl w:val="0"/>
              <w:spacing w:before="60" w:after="60"/>
              <w:jc w:val="center"/>
              <w:rPr>
                <w:sz w:val="20"/>
                <w:szCs w:val="16"/>
              </w:rPr>
            </w:pPr>
            <w:r>
              <w:rPr>
                <w:sz w:val="20"/>
                <w:szCs w:val="16"/>
              </w:rPr>
              <w:t>123 337</w:t>
            </w:r>
          </w:p>
        </w:tc>
        <w:tc>
          <w:tcPr>
            <w:tcW w:w="896" w:type="dxa"/>
            <w:noWrap/>
            <w:vAlign w:val="bottom"/>
          </w:tcPr>
          <w:p w:rsidR="00000000" w:rsidRDefault="00000000">
            <w:pPr>
              <w:widowControl w:val="0"/>
              <w:spacing w:before="60" w:after="60"/>
              <w:jc w:val="center"/>
              <w:rPr>
                <w:sz w:val="20"/>
                <w:szCs w:val="16"/>
              </w:rPr>
            </w:pPr>
            <w:r>
              <w:rPr>
                <w:sz w:val="20"/>
                <w:szCs w:val="16"/>
              </w:rPr>
              <w:t>125 710</w:t>
            </w:r>
          </w:p>
        </w:tc>
        <w:tc>
          <w:tcPr>
            <w:tcW w:w="925" w:type="dxa"/>
            <w:noWrap/>
            <w:vAlign w:val="bottom"/>
          </w:tcPr>
          <w:p w:rsidR="00000000" w:rsidRDefault="00000000">
            <w:pPr>
              <w:widowControl w:val="0"/>
              <w:spacing w:before="60" w:after="60"/>
              <w:jc w:val="center"/>
              <w:rPr>
                <w:sz w:val="20"/>
                <w:szCs w:val="16"/>
              </w:rPr>
            </w:pPr>
            <w:r>
              <w:rPr>
                <w:sz w:val="20"/>
                <w:szCs w:val="16"/>
              </w:rPr>
              <w:t>127 467</w:t>
            </w:r>
          </w:p>
        </w:tc>
        <w:tc>
          <w:tcPr>
            <w:tcW w:w="912" w:type="dxa"/>
            <w:noWrap/>
            <w:vAlign w:val="bottom"/>
          </w:tcPr>
          <w:p w:rsidR="00000000" w:rsidRDefault="00000000">
            <w:pPr>
              <w:widowControl w:val="0"/>
              <w:spacing w:before="60" w:after="60"/>
              <w:jc w:val="center"/>
              <w:rPr>
                <w:sz w:val="20"/>
                <w:szCs w:val="16"/>
              </w:rPr>
            </w:pPr>
            <w:r>
              <w:rPr>
                <w:sz w:val="20"/>
                <w:szCs w:val="16"/>
              </w:rPr>
              <w:t>128 837</w:t>
            </w:r>
          </w:p>
        </w:tc>
        <w:tc>
          <w:tcPr>
            <w:tcW w:w="912" w:type="dxa"/>
            <w:noWrap/>
            <w:vAlign w:val="bottom"/>
          </w:tcPr>
          <w:p w:rsidR="00000000" w:rsidRDefault="00000000">
            <w:pPr>
              <w:widowControl w:val="0"/>
              <w:spacing w:before="60" w:after="60"/>
              <w:jc w:val="center"/>
              <w:rPr>
                <w:sz w:val="20"/>
                <w:szCs w:val="16"/>
              </w:rPr>
            </w:pPr>
            <w:r>
              <w:rPr>
                <w:sz w:val="20"/>
                <w:szCs w:val="16"/>
              </w:rPr>
              <w:t>130 049</w:t>
            </w:r>
          </w:p>
        </w:tc>
        <w:tc>
          <w:tcPr>
            <w:tcW w:w="927" w:type="dxa"/>
            <w:noWrap/>
            <w:vAlign w:val="bottom"/>
          </w:tcPr>
          <w:p w:rsidR="00000000" w:rsidRDefault="00000000">
            <w:pPr>
              <w:widowControl w:val="0"/>
              <w:spacing w:before="60" w:after="60"/>
              <w:jc w:val="center"/>
              <w:rPr>
                <w:sz w:val="20"/>
                <w:szCs w:val="16"/>
              </w:rPr>
            </w:pPr>
            <w:r>
              <w:rPr>
                <w:sz w:val="20"/>
                <w:szCs w:val="16"/>
              </w:rPr>
              <w:t>131 332</w:t>
            </w:r>
          </w:p>
        </w:tc>
        <w:tc>
          <w:tcPr>
            <w:tcW w:w="897" w:type="dxa"/>
            <w:noWrap/>
            <w:vAlign w:val="bottom"/>
          </w:tcPr>
          <w:p w:rsidR="00000000" w:rsidRDefault="00000000">
            <w:pPr>
              <w:widowControl w:val="0"/>
              <w:spacing w:before="60" w:after="60"/>
              <w:jc w:val="center"/>
              <w:rPr>
                <w:sz w:val="20"/>
                <w:szCs w:val="16"/>
              </w:rPr>
            </w:pPr>
            <w:r>
              <w:rPr>
                <w:sz w:val="20"/>
                <w:szCs w:val="16"/>
              </w:rPr>
              <w:t>132 679</w:t>
            </w:r>
          </w:p>
        </w:tc>
        <w:tc>
          <w:tcPr>
            <w:tcW w:w="897" w:type="dxa"/>
            <w:noWrap/>
            <w:vAlign w:val="bottom"/>
          </w:tcPr>
          <w:p w:rsidR="00000000" w:rsidRDefault="00000000">
            <w:pPr>
              <w:widowControl w:val="0"/>
              <w:spacing w:before="60" w:after="60"/>
              <w:jc w:val="center"/>
              <w:rPr>
                <w:sz w:val="20"/>
                <w:szCs w:val="16"/>
              </w:rPr>
            </w:pPr>
            <w:r>
              <w:rPr>
                <w:sz w:val="20"/>
                <w:szCs w:val="16"/>
              </w:rPr>
              <w:t>133 938</w:t>
            </w:r>
          </w:p>
        </w:tc>
        <w:tc>
          <w:tcPr>
            <w:tcW w:w="897" w:type="dxa"/>
            <w:noWrap/>
            <w:vAlign w:val="bottom"/>
          </w:tcPr>
          <w:p w:rsidR="00000000" w:rsidRDefault="00000000">
            <w:pPr>
              <w:widowControl w:val="0"/>
              <w:spacing w:before="60" w:after="60"/>
              <w:jc w:val="center"/>
              <w:rPr>
                <w:sz w:val="20"/>
                <w:szCs w:val="16"/>
              </w:rPr>
            </w:pPr>
            <w:r>
              <w:rPr>
                <w:sz w:val="20"/>
                <w:szCs w:val="16"/>
              </w:rPr>
              <w:t>135 119</w:t>
            </w:r>
          </w:p>
        </w:tc>
        <w:tc>
          <w:tcPr>
            <w:tcW w:w="911" w:type="dxa"/>
            <w:noWrap/>
            <w:vAlign w:val="bottom"/>
          </w:tcPr>
          <w:p w:rsidR="00000000" w:rsidRDefault="00000000">
            <w:pPr>
              <w:widowControl w:val="0"/>
              <w:spacing w:before="60" w:after="60"/>
              <w:jc w:val="center"/>
              <w:rPr>
                <w:sz w:val="20"/>
                <w:szCs w:val="16"/>
              </w:rPr>
            </w:pPr>
            <w:r>
              <w:rPr>
                <w:sz w:val="20"/>
                <w:szCs w:val="16"/>
              </w:rPr>
              <w:t>136 232</w:t>
            </w:r>
          </w:p>
        </w:tc>
        <w:tc>
          <w:tcPr>
            <w:tcW w:w="912" w:type="dxa"/>
            <w:noWrap/>
            <w:vAlign w:val="bottom"/>
          </w:tcPr>
          <w:p w:rsidR="00000000" w:rsidRDefault="00000000">
            <w:pPr>
              <w:widowControl w:val="0"/>
              <w:spacing w:before="60" w:after="60"/>
              <w:jc w:val="center"/>
              <w:rPr>
                <w:sz w:val="20"/>
                <w:szCs w:val="16"/>
              </w:rPr>
            </w:pPr>
            <w:r>
              <w:rPr>
                <w:sz w:val="20"/>
                <w:szCs w:val="16"/>
              </w:rPr>
              <w:t>137 290</w:t>
            </w:r>
          </w:p>
        </w:tc>
        <w:tc>
          <w:tcPr>
            <w:tcW w:w="897" w:type="dxa"/>
            <w:noWrap/>
            <w:vAlign w:val="bottom"/>
          </w:tcPr>
          <w:p w:rsidR="00000000" w:rsidRDefault="00000000">
            <w:pPr>
              <w:widowControl w:val="0"/>
              <w:spacing w:before="60" w:after="60"/>
              <w:jc w:val="center"/>
              <w:rPr>
                <w:sz w:val="20"/>
                <w:szCs w:val="16"/>
              </w:rPr>
            </w:pPr>
            <w:r>
              <w:rPr>
                <w:sz w:val="20"/>
                <w:szCs w:val="16"/>
              </w:rPr>
              <w:t>138 281</w:t>
            </w:r>
          </w:p>
        </w:tc>
      </w:tr>
      <w:tr w:rsidR="00000000">
        <w:tc>
          <w:tcPr>
            <w:tcW w:w="2780" w:type="dxa"/>
            <w:noWrap/>
            <w:vAlign w:val="bottom"/>
          </w:tcPr>
          <w:p w:rsidR="00000000" w:rsidRDefault="00000000">
            <w:pPr>
              <w:widowControl w:val="0"/>
              <w:spacing w:before="60" w:after="60"/>
              <w:rPr>
                <w:sz w:val="20"/>
                <w:szCs w:val="16"/>
              </w:rPr>
            </w:pPr>
            <w:r>
              <w:rPr>
                <w:sz w:val="20"/>
                <w:szCs w:val="16"/>
              </w:rPr>
              <w:t>12 years</w:t>
            </w:r>
          </w:p>
        </w:tc>
        <w:tc>
          <w:tcPr>
            <w:tcW w:w="911" w:type="dxa"/>
            <w:noWrap/>
            <w:vAlign w:val="bottom"/>
          </w:tcPr>
          <w:p w:rsidR="00000000" w:rsidRDefault="00000000">
            <w:pPr>
              <w:widowControl w:val="0"/>
              <w:spacing w:before="60" w:after="60"/>
              <w:jc w:val="center"/>
              <w:rPr>
                <w:sz w:val="20"/>
                <w:szCs w:val="16"/>
              </w:rPr>
            </w:pPr>
            <w:r>
              <w:rPr>
                <w:sz w:val="20"/>
                <w:szCs w:val="16"/>
              </w:rPr>
              <w:t>117 109</w:t>
            </w:r>
          </w:p>
        </w:tc>
        <w:tc>
          <w:tcPr>
            <w:tcW w:w="911" w:type="dxa"/>
            <w:noWrap/>
            <w:vAlign w:val="bottom"/>
          </w:tcPr>
          <w:p w:rsidR="00000000" w:rsidRDefault="00000000">
            <w:pPr>
              <w:widowControl w:val="0"/>
              <w:spacing w:before="60" w:after="60"/>
              <w:jc w:val="center"/>
              <w:rPr>
                <w:sz w:val="20"/>
                <w:szCs w:val="16"/>
              </w:rPr>
            </w:pPr>
            <w:r>
              <w:rPr>
                <w:sz w:val="20"/>
                <w:szCs w:val="16"/>
              </w:rPr>
              <w:t>120 661</w:t>
            </w:r>
          </w:p>
        </w:tc>
        <w:tc>
          <w:tcPr>
            <w:tcW w:w="896" w:type="dxa"/>
            <w:noWrap/>
            <w:vAlign w:val="bottom"/>
          </w:tcPr>
          <w:p w:rsidR="00000000" w:rsidRDefault="00000000">
            <w:pPr>
              <w:widowControl w:val="0"/>
              <w:spacing w:before="60" w:after="60"/>
              <w:jc w:val="center"/>
              <w:rPr>
                <w:sz w:val="20"/>
                <w:szCs w:val="16"/>
              </w:rPr>
            </w:pPr>
            <w:r>
              <w:rPr>
                <w:sz w:val="20"/>
                <w:szCs w:val="16"/>
              </w:rPr>
              <w:t>123 283</w:t>
            </w:r>
          </w:p>
        </w:tc>
        <w:tc>
          <w:tcPr>
            <w:tcW w:w="925" w:type="dxa"/>
            <w:noWrap/>
            <w:vAlign w:val="bottom"/>
          </w:tcPr>
          <w:p w:rsidR="00000000" w:rsidRDefault="00000000">
            <w:pPr>
              <w:widowControl w:val="0"/>
              <w:spacing w:before="60" w:after="60"/>
              <w:jc w:val="center"/>
              <w:rPr>
                <w:sz w:val="20"/>
                <w:szCs w:val="16"/>
              </w:rPr>
            </w:pPr>
            <w:r>
              <w:rPr>
                <w:sz w:val="20"/>
                <w:szCs w:val="16"/>
              </w:rPr>
              <w:t>125 274</w:t>
            </w:r>
          </w:p>
        </w:tc>
        <w:tc>
          <w:tcPr>
            <w:tcW w:w="912" w:type="dxa"/>
            <w:noWrap/>
            <w:vAlign w:val="bottom"/>
          </w:tcPr>
          <w:p w:rsidR="00000000" w:rsidRDefault="00000000">
            <w:pPr>
              <w:widowControl w:val="0"/>
              <w:spacing w:before="60" w:after="60"/>
              <w:jc w:val="center"/>
              <w:rPr>
                <w:sz w:val="20"/>
                <w:szCs w:val="16"/>
              </w:rPr>
            </w:pPr>
            <w:r>
              <w:rPr>
                <w:sz w:val="20"/>
                <w:szCs w:val="16"/>
              </w:rPr>
              <w:t>126 859</w:t>
            </w:r>
          </w:p>
        </w:tc>
        <w:tc>
          <w:tcPr>
            <w:tcW w:w="912" w:type="dxa"/>
            <w:noWrap/>
            <w:vAlign w:val="bottom"/>
          </w:tcPr>
          <w:p w:rsidR="00000000" w:rsidRDefault="00000000">
            <w:pPr>
              <w:widowControl w:val="0"/>
              <w:spacing w:before="60" w:after="60"/>
              <w:jc w:val="center"/>
              <w:rPr>
                <w:sz w:val="20"/>
                <w:szCs w:val="16"/>
              </w:rPr>
            </w:pPr>
            <w:r>
              <w:rPr>
                <w:sz w:val="20"/>
                <w:szCs w:val="16"/>
              </w:rPr>
              <w:t>128 264</w:t>
            </w:r>
          </w:p>
        </w:tc>
        <w:tc>
          <w:tcPr>
            <w:tcW w:w="927" w:type="dxa"/>
            <w:noWrap/>
            <w:vAlign w:val="bottom"/>
          </w:tcPr>
          <w:p w:rsidR="00000000" w:rsidRDefault="00000000">
            <w:pPr>
              <w:widowControl w:val="0"/>
              <w:spacing w:before="60" w:after="60"/>
              <w:jc w:val="center"/>
              <w:rPr>
                <w:sz w:val="20"/>
                <w:szCs w:val="16"/>
              </w:rPr>
            </w:pPr>
            <w:r>
              <w:rPr>
                <w:sz w:val="20"/>
                <w:szCs w:val="16"/>
              </w:rPr>
              <w:t>129 715</w:t>
            </w:r>
          </w:p>
        </w:tc>
        <w:tc>
          <w:tcPr>
            <w:tcW w:w="897" w:type="dxa"/>
            <w:noWrap/>
            <w:vAlign w:val="bottom"/>
          </w:tcPr>
          <w:p w:rsidR="00000000" w:rsidRDefault="00000000">
            <w:pPr>
              <w:widowControl w:val="0"/>
              <w:spacing w:before="60" w:after="60"/>
              <w:jc w:val="center"/>
              <w:rPr>
                <w:sz w:val="20"/>
                <w:szCs w:val="16"/>
              </w:rPr>
            </w:pPr>
            <w:r>
              <w:rPr>
                <w:sz w:val="20"/>
                <w:szCs w:val="16"/>
              </w:rPr>
              <w:t>131 198</w:t>
            </w:r>
          </w:p>
        </w:tc>
        <w:tc>
          <w:tcPr>
            <w:tcW w:w="897" w:type="dxa"/>
            <w:noWrap/>
            <w:vAlign w:val="bottom"/>
          </w:tcPr>
          <w:p w:rsidR="00000000" w:rsidRDefault="00000000">
            <w:pPr>
              <w:widowControl w:val="0"/>
              <w:spacing w:before="60" w:after="60"/>
              <w:jc w:val="center"/>
              <w:rPr>
                <w:sz w:val="20"/>
                <w:szCs w:val="16"/>
              </w:rPr>
            </w:pPr>
            <w:r>
              <w:rPr>
                <w:sz w:val="20"/>
                <w:szCs w:val="16"/>
              </w:rPr>
              <w:t>132 563</w:t>
            </w:r>
          </w:p>
        </w:tc>
        <w:tc>
          <w:tcPr>
            <w:tcW w:w="897" w:type="dxa"/>
            <w:noWrap/>
            <w:vAlign w:val="bottom"/>
          </w:tcPr>
          <w:p w:rsidR="00000000" w:rsidRDefault="00000000">
            <w:pPr>
              <w:widowControl w:val="0"/>
              <w:spacing w:before="60" w:after="60"/>
              <w:jc w:val="center"/>
              <w:rPr>
                <w:sz w:val="20"/>
                <w:szCs w:val="16"/>
              </w:rPr>
            </w:pPr>
            <w:r>
              <w:rPr>
                <w:sz w:val="20"/>
                <w:szCs w:val="16"/>
              </w:rPr>
              <w:t>133 829</w:t>
            </w:r>
          </w:p>
        </w:tc>
        <w:tc>
          <w:tcPr>
            <w:tcW w:w="911" w:type="dxa"/>
            <w:noWrap/>
            <w:vAlign w:val="bottom"/>
          </w:tcPr>
          <w:p w:rsidR="00000000" w:rsidRDefault="00000000">
            <w:pPr>
              <w:widowControl w:val="0"/>
              <w:spacing w:before="60" w:after="60"/>
              <w:jc w:val="center"/>
              <w:rPr>
                <w:sz w:val="20"/>
                <w:szCs w:val="16"/>
              </w:rPr>
            </w:pPr>
            <w:r>
              <w:rPr>
                <w:sz w:val="20"/>
                <w:szCs w:val="16"/>
              </w:rPr>
              <w:t>135 016</w:t>
            </w:r>
          </w:p>
        </w:tc>
        <w:tc>
          <w:tcPr>
            <w:tcW w:w="912" w:type="dxa"/>
            <w:noWrap/>
            <w:vAlign w:val="bottom"/>
          </w:tcPr>
          <w:p w:rsidR="00000000" w:rsidRDefault="00000000">
            <w:pPr>
              <w:widowControl w:val="0"/>
              <w:spacing w:before="60" w:after="60"/>
              <w:jc w:val="center"/>
              <w:rPr>
                <w:sz w:val="20"/>
                <w:szCs w:val="16"/>
              </w:rPr>
            </w:pPr>
            <w:r>
              <w:rPr>
                <w:sz w:val="20"/>
                <w:szCs w:val="16"/>
              </w:rPr>
              <w:t>136 141</w:t>
            </w:r>
          </w:p>
        </w:tc>
        <w:tc>
          <w:tcPr>
            <w:tcW w:w="897" w:type="dxa"/>
            <w:noWrap/>
            <w:vAlign w:val="bottom"/>
          </w:tcPr>
          <w:p w:rsidR="00000000" w:rsidRDefault="00000000">
            <w:pPr>
              <w:widowControl w:val="0"/>
              <w:spacing w:before="60" w:after="60"/>
              <w:jc w:val="center"/>
              <w:rPr>
                <w:sz w:val="20"/>
                <w:szCs w:val="16"/>
              </w:rPr>
            </w:pPr>
            <w:r>
              <w:rPr>
                <w:sz w:val="20"/>
                <w:szCs w:val="16"/>
              </w:rPr>
              <w:t>137 189</w:t>
            </w:r>
          </w:p>
        </w:tc>
      </w:tr>
      <w:tr w:rsidR="00000000">
        <w:tc>
          <w:tcPr>
            <w:tcW w:w="2780" w:type="dxa"/>
            <w:noWrap/>
            <w:vAlign w:val="bottom"/>
          </w:tcPr>
          <w:p w:rsidR="00000000" w:rsidRDefault="00000000">
            <w:pPr>
              <w:widowControl w:val="0"/>
              <w:spacing w:before="60" w:after="60"/>
              <w:rPr>
                <w:sz w:val="20"/>
                <w:szCs w:val="16"/>
              </w:rPr>
            </w:pPr>
            <w:r>
              <w:rPr>
                <w:sz w:val="20"/>
                <w:szCs w:val="16"/>
              </w:rPr>
              <w:t>13 years</w:t>
            </w:r>
          </w:p>
        </w:tc>
        <w:tc>
          <w:tcPr>
            <w:tcW w:w="911" w:type="dxa"/>
            <w:noWrap/>
            <w:vAlign w:val="bottom"/>
          </w:tcPr>
          <w:p w:rsidR="00000000" w:rsidRDefault="00000000">
            <w:pPr>
              <w:widowControl w:val="0"/>
              <w:spacing w:before="60" w:after="60"/>
              <w:jc w:val="center"/>
              <w:rPr>
                <w:sz w:val="20"/>
                <w:szCs w:val="16"/>
              </w:rPr>
            </w:pPr>
            <w:r>
              <w:rPr>
                <w:sz w:val="20"/>
                <w:szCs w:val="16"/>
              </w:rPr>
              <w:t>113 026</w:t>
            </w:r>
          </w:p>
        </w:tc>
        <w:tc>
          <w:tcPr>
            <w:tcW w:w="911" w:type="dxa"/>
            <w:noWrap/>
            <w:vAlign w:val="bottom"/>
          </w:tcPr>
          <w:p w:rsidR="00000000" w:rsidRDefault="00000000">
            <w:pPr>
              <w:widowControl w:val="0"/>
              <w:spacing w:before="60" w:after="60"/>
              <w:jc w:val="center"/>
              <w:rPr>
                <w:sz w:val="20"/>
                <w:szCs w:val="16"/>
              </w:rPr>
            </w:pPr>
            <w:r>
              <w:rPr>
                <w:sz w:val="20"/>
                <w:szCs w:val="16"/>
              </w:rPr>
              <w:t>116 713</w:t>
            </w:r>
          </w:p>
        </w:tc>
        <w:tc>
          <w:tcPr>
            <w:tcW w:w="896" w:type="dxa"/>
            <w:noWrap/>
            <w:vAlign w:val="bottom"/>
          </w:tcPr>
          <w:p w:rsidR="00000000" w:rsidRDefault="00000000">
            <w:pPr>
              <w:widowControl w:val="0"/>
              <w:spacing w:before="60" w:after="60"/>
              <w:jc w:val="center"/>
              <w:rPr>
                <w:sz w:val="20"/>
                <w:szCs w:val="16"/>
              </w:rPr>
            </w:pPr>
            <w:r>
              <w:rPr>
                <w:sz w:val="20"/>
                <w:szCs w:val="16"/>
              </w:rPr>
              <w:t>119 660</w:t>
            </w:r>
          </w:p>
        </w:tc>
        <w:tc>
          <w:tcPr>
            <w:tcW w:w="925" w:type="dxa"/>
            <w:noWrap/>
            <w:vAlign w:val="bottom"/>
          </w:tcPr>
          <w:p w:rsidR="00000000" w:rsidRDefault="00000000">
            <w:pPr>
              <w:widowControl w:val="0"/>
              <w:spacing w:before="60" w:after="60"/>
              <w:jc w:val="center"/>
              <w:rPr>
                <w:sz w:val="20"/>
                <w:szCs w:val="16"/>
              </w:rPr>
            </w:pPr>
            <w:r>
              <w:rPr>
                <w:sz w:val="20"/>
                <w:szCs w:val="16"/>
              </w:rPr>
              <w:t>122 155</w:t>
            </w:r>
          </w:p>
        </w:tc>
        <w:tc>
          <w:tcPr>
            <w:tcW w:w="912" w:type="dxa"/>
            <w:noWrap/>
            <w:vAlign w:val="bottom"/>
          </w:tcPr>
          <w:p w:rsidR="00000000" w:rsidRDefault="00000000">
            <w:pPr>
              <w:widowControl w:val="0"/>
              <w:spacing w:before="60" w:after="60"/>
              <w:jc w:val="center"/>
              <w:rPr>
                <w:sz w:val="20"/>
                <w:szCs w:val="16"/>
              </w:rPr>
            </w:pPr>
            <w:r>
              <w:rPr>
                <w:sz w:val="20"/>
                <w:szCs w:val="16"/>
              </w:rPr>
              <w:t>124 313</w:t>
            </w:r>
          </w:p>
        </w:tc>
        <w:tc>
          <w:tcPr>
            <w:tcW w:w="912" w:type="dxa"/>
            <w:noWrap/>
            <w:vAlign w:val="bottom"/>
          </w:tcPr>
          <w:p w:rsidR="00000000" w:rsidRDefault="00000000">
            <w:pPr>
              <w:widowControl w:val="0"/>
              <w:spacing w:before="60" w:after="60"/>
              <w:jc w:val="center"/>
              <w:rPr>
                <w:sz w:val="20"/>
                <w:szCs w:val="16"/>
              </w:rPr>
            </w:pPr>
            <w:r>
              <w:rPr>
                <w:sz w:val="20"/>
                <w:szCs w:val="16"/>
              </w:rPr>
              <w:t>126 252</w:t>
            </w:r>
          </w:p>
        </w:tc>
        <w:tc>
          <w:tcPr>
            <w:tcW w:w="927" w:type="dxa"/>
            <w:noWrap/>
            <w:vAlign w:val="bottom"/>
          </w:tcPr>
          <w:p w:rsidR="00000000" w:rsidRDefault="00000000">
            <w:pPr>
              <w:widowControl w:val="0"/>
              <w:spacing w:before="60" w:after="60"/>
              <w:jc w:val="center"/>
              <w:rPr>
                <w:sz w:val="20"/>
                <w:szCs w:val="16"/>
              </w:rPr>
            </w:pPr>
            <w:r>
              <w:rPr>
                <w:sz w:val="20"/>
                <w:szCs w:val="16"/>
              </w:rPr>
              <w:t>128 088</w:t>
            </w:r>
          </w:p>
        </w:tc>
        <w:tc>
          <w:tcPr>
            <w:tcW w:w="897" w:type="dxa"/>
            <w:noWrap/>
            <w:vAlign w:val="bottom"/>
          </w:tcPr>
          <w:p w:rsidR="00000000" w:rsidRDefault="00000000">
            <w:pPr>
              <w:widowControl w:val="0"/>
              <w:spacing w:before="60" w:after="60"/>
              <w:jc w:val="center"/>
              <w:rPr>
                <w:sz w:val="20"/>
                <w:szCs w:val="16"/>
              </w:rPr>
            </w:pPr>
            <w:r>
              <w:rPr>
                <w:sz w:val="20"/>
                <w:szCs w:val="16"/>
              </w:rPr>
              <w:t>129 780</w:t>
            </w:r>
          </w:p>
        </w:tc>
        <w:tc>
          <w:tcPr>
            <w:tcW w:w="897" w:type="dxa"/>
            <w:noWrap/>
            <w:vAlign w:val="bottom"/>
          </w:tcPr>
          <w:p w:rsidR="00000000" w:rsidRDefault="00000000">
            <w:pPr>
              <w:widowControl w:val="0"/>
              <w:spacing w:before="60" w:after="60"/>
              <w:jc w:val="center"/>
              <w:rPr>
                <w:sz w:val="20"/>
                <w:szCs w:val="16"/>
              </w:rPr>
            </w:pPr>
            <w:r>
              <w:rPr>
                <w:sz w:val="20"/>
                <w:szCs w:val="16"/>
              </w:rPr>
              <w:t>131 252</w:t>
            </w:r>
          </w:p>
        </w:tc>
        <w:tc>
          <w:tcPr>
            <w:tcW w:w="897" w:type="dxa"/>
            <w:noWrap/>
            <w:vAlign w:val="bottom"/>
          </w:tcPr>
          <w:p w:rsidR="00000000" w:rsidRDefault="00000000">
            <w:pPr>
              <w:widowControl w:val="0"/>
              <w:spacing w:before="60" w:after="60"/>
              <w:jc w:val="center"/>
              <w:rPr>
                <w:sz w:val="20"/>
                <w:szCs w:val="16"/>
              </w:rPr>
            </w:pPr>
            <w:r>
              <w:rPr>
                <w:sz w:val="20"/>
                <w:szCs w:val="16"/>
              </w:rPr>
              <w:t>132 562</w:t>
            </w:r>
          </w:p>
        </w:tc>
        <w:tc>
          <w:tcPr>
            <w:tcW w:w="911" w:type="dxa"/>
            <w:noWrap/>
            <w:vAlign w:val="bottom"/>
          </w:tcPr>
          <w:p w:rsidR="00000000" w:rsidRDefault="00000000">
            <w:pPr>
              <w:widowControl w:val="0"/>
              <w:spacing w:before="60" w:after="60"/>
              <w:jc w:val="center"/>
              <w:rPr>
                <w:sz w:val="20"/>
                <w:szCs w:val="16"/>
              </w:rPr>
            </w:pPr>
            <w:r>
              <w:rPr>
                <w:sz w:val="20"/>
                <w:szCs w:val="16"/>
              </w:rPr>
              <w:t>133 772</w:t>
            </w:r>
          </w:p>
        </w:tc>
        <w:tc>
          <w:tcPr>
            <w:tcW w:w="912" w:type="dxa"/>
            <w:noWrap/>
            <w:vAlign w:val="bottom"/>
          </w:tcPr>
          <w:p w:rsidR="00000000" w:rsidRDefault="00000000">
            <w:pPr>
              <w:widowControl w:val="0"/>
              <w:spacing w:before="60" w:after="60"/>
              <w:jc w:val="center"/>
              <w:rPr>
                <w:sz w:val="20"/>
                <w:szCs w:val="16"/>
              </w:rPr>
            </w:pPr>
            <w:r>
              <w:rPr>
                <w:sz w:val="20"/>
                <w:szCs w:val="16"/>
              </w:rPr>
              <w:t>134 942</w:t>
            </w:r>
          </w:p>
        </w:tc>
        <w:tc>
          <w:tcPr>
            <w:tcW w:w="897" w:type="dxa"/>
            <w:noWrap/>
            <w:vAlign w:val="bottom"/>
          </w:tcPr>
          <w:p w:rsidR="00000000" w:rsidRDefault="00000000">
            <w:pPr>
              <w:widowControl w:val="0"/>
              <w:spacing w:before="60" w:after="60"/>
              <w:jc w:val="center"/>
              <w:rPr>
                <w:sz w:val="20"/>
                <w:szCs w:val="16"/>
              </w:rPr>
            </w:pPr>
            <w:r>
              <w:rPr>
                <w:sz w:val="20"/>
                <w:szCs w:val="16"/>
              </w:rPr>
              <w:t>136 054</w:t>
            </w:r>
          </w:p>
        </w:tc>
      </w:tr>
      <w:tr w:rsidR="00000000">
        <w:tc>
          <w:tcPr>
            <w:tcW w:w="2780" w:type="dxa"/>
            <w:noWrap/>
            <w:vAlign w:val="bottom"/>
          </w:tcPr>
          <w:p w:rsidR="00000000" w:rsidRDefault="00000000">
            <w:pPr>
              <w:widowControl w:val="0"/>
              <w:spacing w:before="60" w:after="60"/>
              <w:rPr>
                <w:sz w:val="20"/>
                <w:szCs w:val="16"/>
              </w:rPr>
            </w:pPr>
            <w:r>
              <w:rPr>
                <w:sz w:val="20"/>
                <w:szCs w:val="16"/>
              </w:rPr>
              <w:t>14 years</w:t>
            </w:r>
          </w:p>
        </w:tc>
        <w:tc>
          <w:tcPr>
            <w:tcW w:w="911" w:type="dxa"/>
            <w:noWrap/>
            <w:vAlign w:val="bottom"/>
          </w:tcPr>
          <w:p w:rsidR="00000000" w:rsidRDefault="00000000">
            <w:pPr>
              <w:widowControl w:val="0"/>
              <w:spacing w:before="60" w:after="60"/>
              <w:jc w:val="center"/>
              <w:rPr>
                <w:sz w:val="20"/>
                <w:szCs w:val="16"/>
              </w:rPr>
            </w:pPr>
            <w:r>
              <w:rPr>
                <w:sz w:val="20"/>
                <w:szCs w:val="16"/>
              </w:rPr>
              <w:t>108 279</w:t>
            </w:r>
          </w:p>
        </w:tc>
        <w:tc>
          <w:tcPr>
            <w:tcW w:w="911" w:type="dxa"/>
            <w:noWrap/>
            <w:vAlign w:val="bottom"/>
          </w:tcPr>
          <w:p w:rsidR="00000000" w:rsidRDefault="00000000">
            <w:pPr>
              <w:widowControl w:val="0"/>
              <w:spacing w:before="60" w:after="60"/>
              <w:jc w:val="center"/>
              <w:rPr>
                <w:sz w:val="20"/>
                <w:szCs w:val="16"/>
              </w:rPr>
            </w:pPr>
            <w:r>
              <w:rPr>
                <w:sz w:val="20"/>
                <w:szCs w:val="16"/>
              </w:rPr>
              <w:t>111 959</w:t>
            </w:r>
          </w:p>
        </w:tc>
        <w:tc>
          <w:tcPr>
            <w:tcW w:w="896" w:type="dxa"/>
            <w:noWrap/>
            <w:vAlign w:val="bottom"/>
          </w:tcPr>
          <w:p w:rsidR="00000000" w:rsidRDefault="00000000">
            <w:pPr>
              <w:widowControl w:val="0"/>
              <w:spacing w:before="60" w:after="60"/>
              <w:jc w:val="center"/>
              <w:rPr>
                <w:sz w:val="20"/>
                <w:szCs w:val="16"/>
              </w:rPr>
            </w:pPr>
            <w:r>
              <w:rPr>
                <w:sz w:val="20"/>
                <w:szCs w:val="16"/>
              </w:rPr>
              <w:t>115 253</w:t>
            </w:r>
          </w:p>
        </w:tc>
        <w:tc>
          <w:tcPr>
            <w:tcW w:w="925" w:type="dxa"/>
            <w:noWrap/>
            <w:vAlign w:val="bottom"/>
          </w:tcPr>
          <w:p w:rsidR="00000000" w:rsidRDefault="00000000">
            <w:pPr>
              <w:widowControl w:val="0"/>
              <w:spacing w:before="60" w:after="60"/>
              <w:jc w:val="center"/>
              <w:rPr>
                <w:sz w:val="20"/>
                <w:szCs w:val="16"/>
              </w:rPr>
            </w:pPr>
            <w:r>
              <w:rPr>
                <w:sz w:val="20"/>
                <w:szCs w:val="16"/>
              </w:rPr>
              <w:t>118 393</w:t>
            </w:r>
          </w:p>
        </w:tc>
        <w:tc>
          <w:tcPr>
            <w:tcW w:w="912" w:type="dxa"/>
            <w:noWrap/>
            <w:vAlign w:val="bottom"/>
          </w:tcPr>
          <w:p w:rsidR="00000000" w:rsidRDefault="00000000">
            <w:pPr>
              <w:widowControl w:val="0"/>
              <w:spacing w:before="60" w:after="60"/>
              <w:jc w:val="center"/>
              <w:rPr>
                <w:sz w:val="20"/>
                <w:szCs w:val="16"/>
              </w:rPr>
            </w:pPr>
            <w:r>
              <w:rPr>
                <w:sz w:val="20"/>
                <w:szCs w:val="16"/>
              </w:rPr>
              <w:t>121 323</w:t>
            </w:r>
          </w:p>
        </w:tc>
        <w:tc>
          <w:tcPr>
            <w:tcW w:w="912" w:type="dxa"/>
            <w:noWrap/>
            <w:vAlign w:val="bottom"/>
          </w:tcPr>
          <w:p w:rsidR="00000000" w:rsidRDefault="00000000">
            <w:pPr>
              <w:widowControl w:val="0"/>
              <w:spacing w:before="60" w:after="60"/>
              <w:jc w:val="center"/>
              <w:rPr>
                <w:sz w:val="20"/>
                <w:szCs w:val="16"/>
              </w:rPr>
            </w:pPr>
            <w:r>
              <w:rPr>
                <w:sz w:val="20"/>
                <w:szCs w:val="16"/>
              </w:rPr>
              <w:t>123 989</w:t>
            </w:r>
          </w:p>
        </w:tc>
        <w:tc>
          <w:tcPr>
            <w:tcW w:w="927" w:type="dxa"/>
            <w:noWrap/>
            <w:vAlign w:val="bottom"/>
          </w:tcPr>
          <w:p w:rsidR="00000000" w:rsidRDefault="00000000">
            <w:pPr>
              <w:widowControl w:val="0"/>
              <w:spacing w:before="60" w:after="60"/>
              <w:jc w:val="center"/>
              <w:rPr>
                <w:sz w:val="20"/>
                <w:szCs w:val="16"/>
              </w:rPr>
            </w:pPr>
            <w:r>
              <w:rPr>
                <w:sz w:val="20"/>
                <w:szCs w:val="16"/>
              </w:rPr>
              <w:t>126 336</w:t>
            </w:r>
          </w:p>
        </w:tc>
        <w:tc>
          <w:tcPr>
            <w:tcW w:w="897" w:type="dxa"/>
            <w:noWrap/>
            <w:vAlign w:val="bottom"/>
          </w:tcPr>
          <w:p w:rsidR="00000000" w:rsidRDefault="00000000">
            <w:pPr>
              <w:widowControl w:val="0"/>
              <w:spacing w:before="60" w:after="60"/>
              <w:jc w:val="center"/>
              <w:rPr>
                <w:sz w:val="20"/>
                <w:szCs w:val="16"/>
              </w:rPr>
            </w:pPr>
            <w:r>
              <w:rPr>
                <w:sz w:val="20"/>
                <w:szCs w:val="16"/>
              </w:rPr>
              <w:t>128 287</w:t>
            </w:r>
          </w:p>
        </w:tc>
        <w:tc>
          <w:tcPr>
            <w:tcW w:w="897" w:type="dxa"/>
            <w:noWrap/>
            <w:vAlign w:val="bottom"/>
          </w:tcPr>
          <w:p w:rsidR="00000000" w:rsidRDefault="00000000">
            <w:pPr>
              <w:widowControl w:val="0"/>
              <w:spacing w:before="60" w:after="60"/>
              <w:jc w:val="center"/>
              <w:rPr>
                <w:sz w:val="20"/>
                <w:szCs w:val="16"/>
              </w:rPr>
            </w:pPr>
            <w:r>
              <w:rPr>
                <w:sz w:val="20"/>
                <w:szCs w:val="16"/>
              </w:rPr>
              <w:t>129 876</w:t>
            </w:r>
          </w:p>
        </w:tc>
        <w:tc>
          <w:tcPr>
            <w:tcW w:w="897" w:type="dxa"/>
            <w:noWrap/>
            <w:vAlign w:val="bottom"/>
          </w:tcPr>
          <w:p w:rsidR="00000000" w:rsidRDefault="00000000">
            <w:pPr>
              <w:widowControl w:val="0"/>
              <w:spacing w:before="60" w:after="60"/>
              <w:jc w:val="center"/>
              <w:rPr>
                <w:sz w:val="20"/>
                <w:szCs w:val="16"/>
              </w:rPr>
            </w:pPr>
            <w:r>
              <w:rPr>
                <w:sz w:val="20"/>
                <w:szCs w:val="16"/>
              </w:rPr>
              <w:t>131 222</w:t>
            </w:r>
          </w:p>
        </w:tc>
        <w:tc>
          <w:tcPr>
            <w:tcW w:w="911" w:type="dxa"/>
            <w:noWrap/>
            <w:vAlign w:val="bottom"/>
          </w:tcPr>
          <w:p w:rsidR="00000000" w:rsidRDefault="00000000">
            <w:pPr>
              <w:widowControl w:val="0"/>
              <w:spacing w:before="60" w:after="60"/>
              <w:jc w:val="center"/>
              <w:rPr>
                <w:sz w:val="20"/>
                <w:szCs w:val="16"/>
              </w:rPr>
            </w:pPr>
            <w:r>
              <w:rPr>
                <w:sz w:val="20"/>
                <w:szCs w:val="16"/>
              </w:rPr>
              <w:t>132 443</w:t>
            </w:r>
          </w:p>
        </w:tc>
        <w:tc>
          <w:tcPr>
            <w:tcW w:w="912" w:type="dxa"/>
            <w:noWrap/>
            <w:vAlign w:val="bottom"/>
          </w:tcPr>
          <w:p w:rsidR="00000000" w:rsidRDefault="00000000">
            <w:pPr>
              <w:widowControl w:val="0"/>
              <w:spacing w:before="60" w:after="60"/>
              <w:jc w:val="center"/>
              <w:rPr>
                <w:sz w:val="20"/>
                <w:szCs w:val="16"/>
              </w:rPr>
            </w:pPr>
            <w:r>
              <w:rPr>
                <w:sz w:val="20"/>
                <w:szCs w:val="16"/>
              </w:rPr>
              <w:t>133 656</w:t>
            </w:r>
          </w:p>
        </w:tc>
        <w:tc>
          <w:tcPr>
            <w:tcW w:w="897" w:type="dxa"/>
            <w:noWrap/>
            <w:vAlign w:val="bottom"/>
          </w:tcPr>
          <w:p w:rsidR="00000000" w:rsidRDefault="00000000">
            <w:pPr>
              <w:widowControl w:val="0"/>
              <w:spacing w:before="60" w:after="60"/>
              <w:jc w:val="center"/>
              <w:rPr>
                <w:sz w:val="20"/>
                <w:szCs w:val="16"/>
              </w:rPr>
            </w:pPr>
            <w:r>
              <w:rPr>
                <w:sz w:val="20"/>
                <w:szCs w:val="16"/>
              </w:rPr>
              <w:t>134 842</w:t>
            </w:r>
          </w:p>
        </w:tc>
      </w:tr>
      <w:tr w:rsidR="00000000">
        <w:tc>
          <w:tcPr>
            <w:tcW w:w="2780" w:type="dxa"/>
            <w:noWrap/>
            <w:vAlign w:val="bottom"/>
          </w:tcPr>
          <w:p w:rsidR="00000000" w:rsidRDefault="00000000">
            <w:pPr>
              <w:widowControl w:val="0"/>
              <w:spacing w:before="60" w:after="60"/>
              <w:rPr>
                <w:b/>
                <w:bCs/>
                <w:sz w:val="20"/>
                <w:szCs w:val="16"/>
              </w:rPr>
            </w:pPr>
            <w:r>
              <w:rPr>
                <w:b/>
                <w:bCs/>
                <w:sz w:val="20"/>
                <w:szCs w:val="16"/>
              </w:rPr>
              <w:t>Percentage under 15</w:t>
            </w:r>
          </w:p>
        </w:tc>
        <w:tc>
          <w:tcPr>
            <w:tcW w:w="911" w:type="dxa"/>
            <w:noWrap/>
            <w:vAlign w:val="bottom"/>
          </w:tcPr>
          <w:p w:rsidR="00000000" w:rsidRDefault="00000000">
            <w:pPr>
              <w:widowControl w:val="0"/>
              <w:spacing w:before="60" w:after="60"/>
              <w:jc w:val="center"/>
              <w:rPr>
                <w:b/>
                <w:bCs/>
                <w:sz w:val="20"/>
                <w:szCs w:val="16"/>
              </w:rPr>
            </w:pPr>
            <w:r>
              <w:rPr>
                <w:b/>
                <w:bCs/>
                <w:sz w:val="20"/>
                <w:szCs w:val="16"/>
              </w:rPr>
              <w:t>40.7</w:t>
            </w:r>
          </w:p>
        </w:tc>
        <w:tc>
          <w:tcPr>
            <w:tcW w:w="911" w:type="dxa"/>
            <w:noWrap/>
            <w:vAlign w:val="bottom"/>
          </w:tcPr>
          <w:p w:rsidR="00000000" w:rsidRDefault="00000000">
            <w:pPr>
              <w:widowControl w:val="0"/>
              <w:spacing w:before="60" w:after="60"/>
              <w:jc w:val="center"/>
              <w:rPr>
                <w:b/>
                <w:bCs/>
                <w:sz w:val="20"/>
                <w:szCs w:val="16"/>
              </w:rPr>
            </w:pPr>
            <w:r>
              <w:rPr>
                <w:b/>
                <w:bCs/>
                <w:sz w:val="20"/>
                <w:szCs w:val="16"/>
              </w:rPr>
              <w:t>40.4</w:t>
            </w:r>
          </w:p>
        </w:tc>
        <w:tc>
          <w:tcPr>
            <w:tcW w:w="896" w:type="dxa"/>
            <w:noWrap/>
            <w:vAlign w:val="bottom"/>
          </w:tcPr>
          <w:p w:rsidR="00000000" w:rsidRDefault="00000000">
            <w:pPr>
              <w:widowControl w:val="0"/>
              <w:spacing w:before="60" w:after="60"/>
              <w:jc w:val="center"/>
              <w:rPr>
                <w:b/>
                <w:bCs/>
                <w:sz w:val="20"/>
                <w:szCs w:val="16"/>
              </w:rPr>
            </w:pPr>
            <w:r>
              <w:rPr>
                <w:b/>
                <w:bCs/>
                <w:sz w:val="20"/>
                <w:szCs w:val="16"/>
              </w:rPr>
              <w:t>40</w:t>
            </w:r>
          </w:p>
        </w:tc>
        <w:tc>
          <w:tcPr>
            <w:tcW w:w="925" w:type="dxa"/>
            <w:noWrap/>
            <w:vAlign w:val="bottom"/>
          </w:tcPr>
          <w:p w:rsidR="00000000" w:rsidRDefault="00000000">
            <w:pPr>
              <w:widowControl w:val="0"/>
              <w:spacing w:before="60" w:after="60"/>
              <w:jc w:val="center"/>
              <w:rPr>
                <w:b/>
                <w:bCs/>
                <w:sz w:val="20"/>
                <w:szCs w:val="16"/>
              </w:rPr>
            </w:pPr>
            <w:r>
              <w:rPr>
                <w:b/>
                <w:bCs/>
                <w:sz w:val="20"/>
                <w:szCs w:val="16"/>
              </w:rPr>
              <w:t>39.6</w:t>
            </w:r>
          </w:p>
        </w:tc>
        <w:tc>
          <w:tcPr>
            <w:tcW w:w="912" w:type="dxa"/>
            <w:noWrap/>
            <w:vAlign w:val="bottom"/>
          </w:tcPr>
          <w:p w:rsidR="00000000" w:rsidRDefault="00000000">
            <w:pPr>
              <w:widowControl w:val="0"/>
              <w:spacing w:before="60" w:after="60"/>
              <w:jc w:val="center"/>
              <w:rPr>
                <w:b/>
                <w:bCs/>
                <w:sz w:val="20"/>
                <w:szCs w:val="16"/>
              </w:rPr>
            </w:pPr>
            <w:r>
              <w:rPr>
                <w:b/>
                <w:bCs/>
                <w:sz w:val="20"/>
                <w:szCs w:val="16"/>
              </w:rPr>
              <w:t>39.1</w:t>
            </w:r>
          </w:p>
        </w:tc>
        <w:tc>
          <w:tcPr>
            <w:tcW w:w="912" w:type="dxa"/>
            <w:noWrap/>
            <w:vAlign w:val="bottom"/>
          </w:tcPr>
          <w:p w:rsidR="00000000" w:rsidRDefault="00000000">
            <w:pPr>
              <w:widowControl w:val="0"/>
              <w:spacing w:before="60" w:after="60"/>
              <w:jc w:val="center"/>
              <w:rPr>
                <w:b/>
                <w:bCs/>
                <w:sz w:val="20"/>
                <w:szCs w:val="16"/>
              </w:rPr>
            </w:pPr>
            <w:r>
              <w:rPr>
                <w:b/>
                <w:bCs/>
                <w:sz w:val="20"/>
                <w:szCs w:val="16"/>
              </w:rPr>
              <w:t>38.7</w:t>
            </w:r>
          </w:p>
        </w:tc>
        <w:tc>
          <w:tcPr>
            <w:tcW w:w="927" w:type="dxa"/>
            <w:noWrap/>
            <w:vAlign w:val="bottom"/>
          </w:tcPr>
          <w:p w:rsidR="00000000" w:rsidRDefault="00000000">
            <w:pPr>
              <w:widowControl w:val="0"/>
              <w:spacing w:before="60" w:after="60"/>
              <w:jc w:val="center"/>
              <w:rPr>
                <w:b/>
                <w:bCs/>
                <w:sz w:val="20"/>
                <w:szCs w:val="16"/>
              </w:rPr>
            </w:pPr>
            <w:r>
              <w:rPr>
                <w:b/>
                <w:bCs/>
                <w:sz w:val="20"/>
                <w:szCs w:val="16"/>
              </w:rPr>
              <w:t>38.2</w:t>
            </w:r>
          </w:p>
        </w:tc>
        <w:tc>
          <w:tcPr>
            <w:tcW w:w="897" w:type="dxa"/>
            <w:noWrap/>
            <w:vAlign w:val="bottom"/>
          </w:tcPr>
          <w:p w:rsidR="00000000" w:rsidRDefault="00000000">
            <w:pPr>
              <w:widowControl w:val="0"/>
              <w:spacing w:before="60" w:after="60"/>
              <w:jc w:val="center"/>
              <w:rPr>
                <w:b/>
                <w:bCs/>
                <w:sz w:val="20"/>
                <w:szCs w:val="16"/>
              </w:rPr>
            </w:pPr>
            <w:r>
              <w:rPr>
                <w:b/>
                <w:bCs/>
                <w:sz w:val="20"/>
                <w:szCs w:val="16"/>
              </w:rPr>
              <w:t>37.7</w:t>
            </w:r>
          </w:p>
        </w:tc>
        <w:tc>
          <w:tcPr>
            <w:tcW w:w="897" w:type="dxa"/>
            <w:noWrap/>
            <w:vAlign w:val="bottom"/>
          </w:tcPr>
          <w:p w:rsidR="00000000" w:rsidRDefault="00000000">
            <w:pPr>
              <w:widowControl w:val="0"/>
              <w:spacing w:before="60" w:after="60"/>
              <w:jc w:val="center"/>
              <w:rPr>
                <w:b/>
                <w:bCs/>
                <w:sz w:val="20"/>
                <w:szCs w:val="16"/>
              </w:rPr>
            </w:pPr>
            <w:r>
              <w:rPr>
                <w:b/>
                <w:bCs/>
                <w:sz w:val="20"/>
                <w:szCs w:val="16"/>
              </w:rPr>
              <w:t>37.3</w:t>
            </w:r>
          </w:p>
        </w:tc>
        <w:tc>
          <w:tcPr>
            <w:tcW w:w="897" w:type="dxa"/>
            <w:noWrap/>
            <w:vAlign w:val="bottom"/>
          </w:tcPr>
          <w:p w:rsidR="00000000" w:rsidRDefault="00000000">
            <w:pPr>
              <w:widowControl w:val="0"/>
              <w:spacing w:before="60" w:after="60"/>
              <w:jc w:val="center"/>
              <w:rPr>
                <w:b/>
                <w:bCs/>
                <w:sz w:val="20"/>
                <w:szCs w:val="16"/>
              </w:rPr>
            </w:pPr>
            <w:r>
              <w:rPr>
                <w:b/>
                <w:bCs/>
                <w:sz w:val="20"/>
                <w:szCs w:val="16"/>
              </w:rPr>
              <w:t>36.8</w:t>
            </w:r>
          </w:p>
        </w:tc>
        <w:tc>
          <w:tcPr>
            <w:tcW w:w="911" w:type="dxa"/>
            <w:noWrap/>
            <w:vAlign w:val="bottom"/>
          </w:tcPr>
          <w:p w:rsidR="00000000" w:rsidRDefault="00000000">
            <w:pPr>
              <w:widowControl w:val="0"/>
              <w:spacing w:before="60" w:after="60"/>
              <w:jc w:val="center"/>
              <w:rPr>
                <w:b/>
                <w:bCs/>
                <w:sz w:val="20"/>
                <w:szCs w:val="16"/>
              </w:rPr>
            </w:pPr>
            <w:r>
              <w:rPr>
                <w:b/>
                <w:bCs/>
                <w:sz w:val="20"/>
                <w:szCs w:val="16"/>
              </w:rPr>
              <w:t>36.3</w:t>
            </w:r>
          </w:p>
        </w:tc>
        <w:tc>
          <w:tcPr>
            <w:tcW w:w="912" w:type="dxa"/>
            <w:noWrap/>
            <w:vAlign w:val="bottom"/>
          </w:tcPr>
          <w:p w:rsidR="00000000" w:rsidRDefault="00000000">
            <w:pPr>
              <w:widowControl w:val="0"/>
              <w:spacing w:before="60" w:after="60"/>
              <w:jc w:val="center"/>
              <w:rPr>
                <w:b/>
                <w:bCs/>
                <w:sz w:val="20"/>
                <w:szCs w:val="16"/>
              </w:rPr>
            </w:pPr>
            <w:r>
              <w:rPr>
                <w:b/>
                <w:bCs/>
                <w:sz w:val="20"/>
                <w:szCs w:val="16"/>
              </w:rPr>
              <w:t>35.9</w:t>
            </w:r>
          </w:p>
        </w:tc>
        <w:tc>
          <w:tcPr>
            <w:tcW w:w="897" w:type="dxa"/>
            <w:noWrap/>
            <w:vAlign w:val="bottom"/>
          </w:tcPr>
          <w:p w:rsidR="00000000" w:rsidRDefault="00000000">
            <w:pPr>
              <w:widowControl w:val="0"/>
              <w:spacing w:before="60" w:after="60"/>
              <w:jc w:val="center"/>
              <w:rPr>
                <w:b/>
                <w:bCs/>
                <w:sz w:val="20"/>
                <w:szCs w:val="16"/>
              </w:rPr>
            </w:pPr>
            <w:r>
              <w:rPr>
                <w:b/>
                <w:bCs/>
                <w:sz w:val="20"/>
                <w:szCs w:val="16"/>
              </w:rPr>
              <w:t>35.4</w:t>
            </w:r>
          </w:p>
        </w:tc>
      </w:tr>
      <w:tr w:rsidR="00000000">
        <w:tc>
          <w:tcPr>
            <w:tcW w:w="2780" w:type="dxa"/>
            <w:noWrap/>
            <w:vAlign w:val="bottom"/>
          </w:tcPr>
          <w:p w:rsidR="00000000" w:rsidRDefault="00000000">
            <w:pPr>
              <w:widowControl w:val="0"/>
              <w:spacing w:before="60" w:after="60"/>
              <w:rPr>
                <w:b/>
                <w:bCs/>
                <w:sz w:val="20"/>
                <w:szCs w:val="16"/>
              </w:rPr>
            </w:pPr>
            <w:r>
              <w:rPr>
                <w:b/>
                <w:bCs/>
                <w:sz w:val="20"/>
                <w:szCs w:val="16"/>
              </w:rPr>
              <w:t>Total under 15</w:t>
            </w:r>
          </w:p>
        </w:tc>
        <w:tc>
          <w:tcPr>
            <w:tcW w:w="911" w:type="dxa"/>
            <w:noWrap/>
            <w:vAlign w:val="bottom"/>
          </w:tcPr>
          <w:p w:rsidR="00000000" w:rsidRDefault="00000000">
            <w:pPr>
              <w:widowControl w:val="0"/>
              <w:spacing w:before="60" w:after="60"/>
              <w:jc w:val="center"/>
              <w:rPr>
                <w:b/>
                <w:bCs/>
                <w:sz w:val="20"/>
                <w:szCs w:val="16"/>
              </w:rPr>
            </w:pPr>
            <w:r>
              <w:rPr>
                <w:b/>
                <w:bCs/>
                <w:sz w:val="20"/>
                <w:szCs w:val="16"/>
              </w:rPr>
              <w:t>1 907 637</w:t>
            </w:r>
          </w:p>
        </w:tc>
        <w:tc>
          <w:tcPr>
            <w:tcW w:w="911" w:type="dxa"/>
            <w:noWrap/>
            <w:vAlign w:val="bottom"/>
          </w:tcPr>
          <w:p w:rsidR="00000000" w:rsidRDefault="00000000">
            <w:pPr>
              <w:widowControl w:val="0"/>
              <w:spacing w:before="60" w:after="60"/>
              <w:jc w:val="center"/>
              <w:rPr>
                <w:b/>
                <w:bCs/>
                <w:sz w:val="20"/>
                <w:szCs w:val="16"/>
              </w:rPr>
            </w:pPr>
            <w:r>
              <w:rPr>
                <w:b/>
                <w:bCs/>
                <w:sz w:val="20"/>
                <w:szCs w:val="16"/>
              </w:rPr>
              <w:t>1 938 083</w:t>
            </w:r>
          </w:p>
        </w:tc>
        <w:tc>
          <w:tcPr>
            <w:tcW w:w="896" w:type="dxa"/>
            <w:noWrap/>
            <w:vAlign w:val="bottom"/>
          </w:tcPr>
          <w:p w:rsidR="00000000" w:rsidRDefault="00000000">
            <w:pPr>
              <w:widowControl w:val="0"/>
              <w:spacing w:before="60" w:after="60"/>
              <w:jc w:val="center"/>
              <w:rPr>
                <w:b/>
                <w:bCs/>
                <w:sz w:val="20"/>
                <w:szCs w:val="16"/>
              </w:rPr>
            </w:pPr>
            <w:r>
              <w:rPr>
                <w:b/>
                <w:bCs/>
                <w:sz w:val="20"/>
                <w:szCs w:val="16"/>
              </w:rPr>
              <w:t>1 964 236</w:t>
            </w:r>
          </w:p>
        </w:tc>
        <w:tc>
          <w:tcPr>
            <w:tcW w:w="925" w:type="dxa"/>
            <w:noWrap/>
            <w:vAlign w:val="bottom"/>
          </w:tcPr>
          <w:p w:rsidR="00000000" w:rsidRDefault="00000000">
            <w:pPr>
              <w:widowControl w:val="0"/>
              <w:spacing w:before="60" w:after="60"/>
              <w:jc w:val="center"/>
              <w:rPr>
                <w:b/>
                <w:bCs/>
                <w:sz w:val="20"/>
                <w:szCs w:val="16"/>
              </w:rPr>
            </w:pPr>
            <w:r>
              <w:rPr>
                <w:b/>
                <w:bCs/>
                <w:sz w:val="20"/>
                <w:szCs w:val="16"/>
              </w:rPr>
              <w:t>1 986 703</w:t>
            </w:r>
          </w:p>
        </w:tc>
        <w:tc>
          <w:tcPr>
            <w:tcW w:w="912" w:type="dxa"/>
            <w:noWrap/>
            <w:vAlign w:val="bottom"/>
          </w:tcPr>
          <w:p w:rsidR="00000000" w:rsidRDefault="00000000">
            <w:pPr>
              <w:widowControl w:val="0"/>
              <w:spacing w:before="60" w:after="60"/>
              <w:jc w:val="center"/>
              <w:rPr>
                <w:b/>
                <w:bCs/>
                <w:sz w:val="20"/>
                <w:szCs w:val="16"/>
              </w:rPr>
            </w:pPr>
            <w:r>
              <w:rPr>
                <w:b/>
                <w:bCs/>
                <w:sz w:val="20"/>
                <w:szCs w:val="16"/>
              </w:rPr>
              <w:t>2 006 521</w:t>
            </w:r>
          </w:p>
        </w:tc>
        <w:tc>
          <w:tcPr>
            <w:tcW w:w="912" w:type="dxa"/>
            <w:noWrap/>
            <w:vAlign w:val="bottom"/>
          </w:tcPr>
          <w:p w:rsidR="00000000" w:rsidRDefault="00000000">
            <w:pPr>
              <w:widowControl w:val="0"/>
              <w:spacing w:before="60" w:after="60"/>
              <w:jc w:val="center"/>
              <w:rPr>
                <w:b/>
                <w:bCs/>
                <w:sz w:val="20"/>
                <w:szCs w:val="16"/>
              </w:rPr>
            </w:pPr>
            <w:r>
              <w:rPr>
                <w:b/>
                <w:bCs/>
                <w:sz w:val="20"/>
                <w:szCs w:val="16"/>
              </w:rPr>
              <w:t>2 024 732</w:t>
            </w:r>
          </w:p>
        </w:tc>
        <w:tc>
          <w:tcPr>
            <w:tcW w:w="927" w:type="dxa"/>
            <w:noWrap/>
            <w:vAlign w:val="bottom"/>
          </w:tcPr>
          <w:p w:rsidR="00000000" w:rsidRDefault="00000000">
            <w:pPr>
              <w:widowControl w:val="0"/>
              <w:spacing w:before="60" w:after="60"/>
              <w:jc w:val="center"/>
              <w:rPr>
                <w:b/>
                <w:bCs/>
                <w:sz w:val="20"/>
                <w:szCs w:val="16"/>
              </w:rPr>
            </w:pPr>
            <w:r>
              <w:rPr>
                <w:b/>
                <w:bCs/>
                <w:sz w:val="20"/>
                <w:szCs w:val="16"/>
              </w:rPr>
              <w:t>2 042 375</w:t>
            </w:r>
          </w:p>
        </w:tc>
        <w:tc>
          <w:tcPr>
            <w:tcW w:w="897" w:type="dxa"/>
            <w:noWrap/>
            <w:vAlign w:val="bottom"/>
          </w:tcPr>
          <w:p w:rsidR="00000000" w:rsidRDefault="00000000">
            <w:pPr>
              <w:widowControl w:val="0"/>
              <w:spacing w:before="60" w:after="60"/>
              <w:jc w:val="center"/>
              <w:rPr>
                <w:b/>
                <w:bCs/>
                <w:sz w:val="20"/>
                <w:szCs w:val="16"/>
              </w:rPr>
            </w:pPr>
            <w:r>
              <w:rPr>
                <w:b/>
                <w:bCs/>
                <w:sz w:val="20"/>
                <w:szCs w:val="16"/>
              </w:rPr>
              <w:t>2 059 298</w:t>
            </w:r>
          </w:p>
        </w:tc>
        <w:tc>
          <w:tcPr>
            <w:tcW w:w="897" w:type="dxa"/>
            <w:noWrap/>
            <w:vAlign w:val="bottom"/>
          </w:tcPr>
          <w:p w:rsidR="00000000" w:rsidRDefault="00000000">
            <w:pPr>
              <w:widowControl w:val="0"/>
              <w:spacing w:before="60" w:after="60"/>
              <w:jc w:val="center"/>
              <w:rPr>
                <w:b/>
                <w:bCs/>
                <w:sz w:val="20"/>
                <w:szCs w:val="16"/>
              </w:rPr>
            </w:pPr>
            <w:r>
              <w:rPr>
                <w:b/>
                <w:bCs/>
                <w:sz w:val="20"/>
                <w:szCs w:val="16"/>
              </w:rPr>
              <w:t>2 074 807</w:t>
            </w:r>
          </w:p>
        </w:tc>
        <w:tc>
          <w:tcPr>
            <w:tcW w:w="897" w:type="dxa"/>
            <w:noWrap/>
            <w:vAlign w:val="bottom"/>
          </w:tcPr>
          <w:p w:rsidR="00000000" w:rsidRDefault="00000000">
            <w:pPr>
              <w:widowControl w:val="0"/>
              <w:spacing w:before="60" w:after="60"/>
              <w:jc w:val="center"/>
              <w:rPr>
                <w:b/>
                <w:bCs/>
                <w:sz w:val="20"/>
                <w:szCs w:val="16"/>
              </w:rPr>
            </w:pPr>
            <w:r>
              <w:rPr>
                <w:b/>
                <w:bCs/>
                <w:sz w:val="20"/>
                <w:szCs w:val="16"/>
              </w:rPr>
              <w:t>2 089 131</w:t>
            </w:r>
          </w:p>
        </w:tc>
        <w:tc>
          <w:tcPr>
            <w:tcW w:w="911" w:type="dxa"/>
            <w:noWrap/>
            <w:vAlign w:val="bottom"/>
          </w:tcPr>
          <w:p w:rsidR="00000000" w:rsidRDefault="00000000">
            <w:pPr>
              <w:widowControl w:val="0"/>
              <w:spacing w:before="60" w:after="60"/>
              <w:jc w:val="center"/>
              <w:rPr>
                <w:b/>
                <w:bCs/>
                <w:sz w:val="20"/>
                <w:szCs w:val="16"/>
              </w:rPr>
            </w:pPr>
            <w:r>
              <w:rPr>
                <w:b/>
                <w:bCs/>
                <w:sz w:val="20"/>
                <w:szCs w:val="16"/>
              </w:rPr>
              <w:t>2 102 499</w:t>
            </w:r>
          </w:p>
        </w:tc>
        <w:tc>
          <w:tcPr>
            <w:tcW w:w="912" w:type="dxa"/>
            <w:noWrap/>
            <w:vAlign w:val="bottom"/>
          </w:tcPr>
          <w:p w:rsidR="00000000" w:rsidRDefault="00000000">
            <w:pPr>
              <w:widowControl w:val="0"/>
              <w:spacing w:before="60" w:after="60"/>
              <w:jc w:val="center"/>
              <w:rPr>
                <w:b/>
                <w:bCs/>
                <w:sz w:val="20"/>
                <w:szCs w:val="16"/>
              </w:rPr>
            </w:pPr>
            <w:r>
              <w:rPr>
                <w:b/>
                <w:bCs/>
                <w:sz w:val="20"/>
                <w:szCs w:val="16"/>
              </w:rPr>
              <w:t>2 115 138</w:t>
            </w:r>
          </w:p>
        </w:tc>
        <w:tc>
          <w:tcPr>
            <w:tcW w:w="897" w:type="dxa"/>
            <w:noWrap/>
            <w:vAlign w:val="bottom"/>
          </w:tcPr>
          <w:p w:rsidR="00000000" w:rsidRDefault="00000000">
            <w:pPr>
              <w:widowControl w:val="0"/>
              <w:spacing w:before="60" w:after="60"/>
              <w:jc w:val="center"/>
              <w:rPr>
                <w:b/>
                <w:bCs/>
                <w:sz w:val="20"/>
                <w:szCs w:val="16"/>
              </w:rPr>
            </w:pPr>
            <w:r>
              <w:rPr>
                <w:b/>
                <w:bCs/>
                <w:sz w:val="20"/>
                <w:szCs w:val="16"/>
              </w:rPr>
              <w:t>2 126 985</w:t>
            </w:r>
          </w:p>
        </w:tc>
      </w:tr>
      <w:tr w:rsidR="00000000">
        <w:tc>
          <w:tcPr>
            <w:tcW w:w="2780" w:type="dxa"/>
            <w:tcBorders>
              <w:bottom w:val="single" w:sz="4" w:space="0" w:color="auto"/>
            </w:tcBorders>
            <w:noWrap/>
            <w:vAlign w:val="bottom"/>
          </w:tcPr>
          <w:p w:rsidR="00000000" w:rsidRDefault="00000000">
            <w:pPr>
              <w:widowControl w:val="0"/>
              <w:spacing w:before="60" w:after="60"/>
              <w:rPr>
                <w:b/>
                <w:bCs/>
                <w:sz w:val="20"/>
                <w:szCs w:val="16"/>
              </w:rPr>
            </w:pPr>
            <w:r>
              <w:rPr>
                <w:b/>
                <w:bCs/>
                <w:sz w:val="20"/>
                <w:szCs w:val="16"/>
              </w:rPr>
              <w:t>Country total</w:t>
            </w:r>
          </w:p>
        </w:tc>
        <w:tc>
          <w:tcPr>
            <w:tcW w:w="911" w:type="dxa"/>
            <w:tcBorders>
              <w:bottom w:val="single" w:sz="4" w:space="0" w:color="auto"/>
            </w:tcBorders>
            <w:noWrap/>
            <w:vAlign w:val="bottom"/>
          </w:tcPr>
          <w:p w:rsidR="00000000" w:rsidRDefault="00000000">
            <w:pPr>
              <w:widowControl w:val="0"/>
              <w:spacing w:before="60" w:after="60"/>
              <w:jc w:val="center"/>
              <w:rPr>
                <w:b/>
                <w:bCs/>
                <w:sz w:val="20"/>
                <w:szCs w:val="16"/>
              </w:rPr>
            </w:pPr>
            <w:r>
              <w:rPr>
                <w:b/>
                <w:bCs/>
                <w:sz w:val="20"/>
                <w:szCs w:val="16"/>
              </w:rPr>
              <w:t>4 688 855</w:t>
            </w:r>
          </w:p>
        </w:tc>
        <w:tc>
          <w:tcPr>
            <w:tcW w:w="911" w:type="dxa"/>
            <w:tcBorders>
              <w:bottom w:val="single" w:sz="4" w:space="0" w:color="auto"/>
            </w:tcBorders>
            <w:noWrap/>
            <w:vAlign w:val="bottom"/>
          </w:tcPr>
          <w:p w:rsidR="00000000" w:rsidRDefault="00000000">
            <w:pPr>
              <w:widowControl w:val="0"/>
              <w:spacing w:before="60" w:after="60"/>
              <w:jc w:val="center"/>
              <w:rPr>
                <w:b/>
                <w:bCs/>
                <w:sz w:val="20"/>
                <w:szCs w:val="16"/>
              </w:rPr>
            </w:pPr>
            <w:r>
              <w:rPr>
                <w:b/>
                <w:bCs/>
                <w:sz w:val="20"/>
                <w:szCs w:val="16"/>
              </w:rPr>
              <w:t>4 798 950</w:t>
            </w:r>
          </w:p>
        </w:tc>
        <w:tc>
          <w:tcPr>
            <w:tcW w:w="896" w:type="dxa"/>
            <w:tcBorders>
              <w:bottom w:val="single" w:sz="4" w:space="0" w:color="auto"/>
            </w:tcBorders>
            <w:noWrap/>
            <w:vAlign w:val="bottom"/>
          </w:tcPr>
          <w:p w:rsidR="00000000" w:rsidRDefault="00000000">
            <w:pPr>
              <w:widowControl w:val="0"/>
              <w:spacing w:before="60" w:after="60"/>
              <w:jc w:val="center"/>
              <w:rPr>
                <w:b/>
                <w:bCs/>
                <w:sz w:val="20"/>
                <w:szCs w:val="16"/>
              </w:rPr>
            </w:pPr>
            <w:r>
              <w:rPr>
                <w:b/>
                <w:bCs/>
                <w:sz w:val="20"/>
                <w:szCs w:val="16"/>
              </w:rPr>
              <w:t>4 908 587</w:t>
            </w:r>
          </w:p>
        </w:tc>
        <w:tc>
          <w:tcPr>
            <w:tcW w:w="925" w:type="dxa"/>
            <w:tcBorders>
              <w:bottom w:val="single" w:sz="4" w:space="0" w:color="auto"/>
            </w:tcBorders>
            <w:noWrap/>
            <w:vAlign w:val="bottom"/>
          </w:tcPr>
          <w:p w:rsidR="00000000" w:rsidRDefault="00000000">
            <w:pPr>
              <w:widowControl w:val="0"/>
              <w:spacing w:before="60" w:after="60"/>
              <w:jc w:val="center"/>
              <w:rPr>
                <w:b/>
                <w:bCs/>
                <w:sz w:val="20"/>
                <w:szCs w:val="16"/>
              </w:rPr>
            </w:pPr>
            <w:r>
              <w:rPr>
                <w:b/>
                <w:bCs/>
                <w:sz w:val="20"/>
                <w:szCs w:val="16"/>
              </w:rPr>
              <w:t>5 017 920</w:t>
            </w:r>
          </w:p>
        </w:tc>
        <w:tc>
          <w:tcPr>
            <w:tcW w:w="912" w:type="dxa"/>
            <w:tcBorders>
              <w:bottom w:val="single" w:sz="4" w:space="0" w:color="auto"/>
            </w:tcBorders>
            <w:noWrap/>
            <w:vAlign w:val="bottom"/>
          </w:tcPr>
          <w:p w:rsidR="00000000" w:rsidRDefault="00000000">
            <w:pPr>
              <w:widowControl w:val="0"/>
              <w:spacing w:before="60" w:after="60"/>
              <w:jc w:val="center"/>
              <w:rPr>
                <w:b/>
                <w:bCs/>
                <w:sz w:val="20"/>
                <w:szCs w:val="16"/>
              </w:rPr>
            </w:pPr>
            <w:r>
              <w:rPr>
                <w:b/>
                <w:bCs/>
                <w:sz w:val="20"/>
                <w:szCs w:val="16"/>
              </w:rPr>
              <w:t>5 127 167</w:t>
            </w:r>
          </w:p>
        </w:tc>
        <w:tc>
          <w:tcPr>
            <w:tcW w:w="912" w:type="dxa"/>
            <w:tcBorders>
              <w:bottom w:val="single" w:sz="4" w:space="0" w:color="auto"/>
            </w:tcBorders>
            <w:noWrap/>
            <w:vAlign w:val="bottom"/>
          </w:tcPr>
          <w:p w:rsidR="00000000" w:rsidRDefault="00000000">
            <w:pPr>
              <w:widowControl w:val="0"/>
              <w:spacing w:before="60" w:after="60"/>
              <w:jc w:val="center"/>
              <w:rPr>
                <w:b/>
                <w:bCs/>
                <w:sz w:val="20"/>
                <w:szCs w:val="16"/>
              </w:rPr>
            </w:pPr>
            <w:r>
              <w:rPr>
                <w:b/>
                <w:bCs/>
                <w:sz w:val="20"/>
                <w:szCs w:val="16"/>
              </w:rPr>
              <w:t>5 236 543</w:t>
            </w:r>
          </w:p>
        </w:tc>
        <w:tc>
          <w:tcPr>
            <w:tcW w:w="927" w:type="dxa"/>
            <w:tcBorders>
              <w:bottom w:val="single" w:sz="4" w:space="0" w:color="auto"/>
            </w:tcBorders>
            <w:noWrap/>
            <w:vAlign w:val="bottom"/>
          </w:tcPr>
          <w:p w:rsidR="00000000" w:rsidRDefault="00000000">
            <w:pPr>
              <w:widowControl w:val="0"/>
              <w:spacing w:before="60" w:after="60"/>
              <w:jc w:val="center"/>
              <w:rPr>
                <w:b/>
                <w:bCs/>
                <w:sz w:val="20"/>
                <w:szCs w:val="16"/>
              </w:rPr>
            </w:pPr>
            <w:r>
              <w:rPr>
                <w:b/>
                <w:bCs/>
                <w:sz w:val="20"/>
                <w:szCs w:val="16"/>
              </w:rPr>
              <w:t>5 346 267</w:t>
            </w:r>
          </w:p>
        </w:tc>
        <w:tc>
          <w:tcPr>
            <w:tcW w:w="897" w:type="dxa"/>
            <w:tcBorders>
              <w:bottom w:val="single" w:sz="4" w:space="0" w:color="auto"/>
            </w:tcBorders>
            <w:noWrap/>
            <w:vAlign w:val="bottom"/>
          </w:tcPr>
          <w:p w:rsidR="00000000" w:rsidRDefault="00000000">
            <w:pPr>
              <w:widowControl w:val="0"/>
              <w:spacing w:before="60" w:after="60"/>
              <w:jc w:val="center"/>
              <w:rPr>
                <w:b/>
                <w:bCs/>
                <w:sz w:val="20"/>
                <w:szCs w:val="16"/>
              </w:rPr>
            </w:pPr>
            <w:r>
              <w:rPr>
                <w:b/>
                <w:bCs/>
                <w:sz w:val="20"/>
                <w:szCs w:val="16"/>
              </w:rPr>
              <w:t>5 456 418</w:t>
            </w:r>
          </w:p>
        </w:tc>
        <w:tc>
          <w:tcPr>
            <w:tcW w:w="897" w:type="dxa"/>
            <w:tcBorders>
              <w:bottom w:val="single" w:sz="4" w:space="0" w:color="auto"/>
            </w:tcBorders>
            <w:noWrap/>
            <w:vAlign w:val="bottom"/>
          </w:tcPr>
          <w:p w:rsidR="00000000" w:rsidRDefault="00000000">
            <w:pPr>
              <w:widowControl w:val="0"/>
              <w:spacing w:before="60" w:after="60"/>
              <w:jc w:val="center"/>
              <w:rPr>
                <w:b/>
                <w:bCs/>
                <w:sz w:val="20"/>
                <w:szCs w:val="16"/>
              </w:rPr>
            </w:pPr>
            <w:r>
              <w:rPr>
                <w:b/>
                <w:bCs/>
                <w:sz w:val="20"/>
                <w:szCs w:val="16"/>
              </w:rPr>
              <w:t>5 566 852</w:t>
            </w:r>
          </w:p>
        </w:tc>
        <w:tc>
          <w:tcPr>
            <w:tcW w:w="897" w:type="dxa"/>
            <w:tcBorders>
              <w:bottom w:val="single" w:sz="4" w:space="0" w:color="auto"/>
            </w:tcBorders>
            <w:noWrap/>
            <w:vAlign w:val="bottom"/>
          </w:tcPr>
          <w:p w:rsidR="00000000" w:rsidRDefault="00000000">
            <w:pPr>
              <w:widowControl w:val="0"/>
              <w:spacing w:before="60" w:after="60"/>
              <w:jc w:val="center"/>
              <w:rPr>
                <w:b/>
                <w:bCs/>
                <w:sz w:val="20"/>
                <w:szCs w:val="16"/>
              </w:rPr>
            </w:pPr>
            <w:r>
              <w:rPr>
                <w:b/>
                <w:bCs/>
                <w:sz w:val="20"/>
                <w:szCs w:val="16"/>
              </w:rPr>
              <w:t>5 677 448</w:t>
            </w:r>
          </w:p>
        </w:tc>
        <w:tc>
          <w:tcPr>
            <w:tcW w:w="911" w:type="dxa"/>
            <w:tcBorders>
              <w:bottom w:val="single" w:sz="4" w:space="0" w:color="auto"/>
            </w:tcBorders>
            <w:noWrap/>
            <w:vAlign w:val="bottom"/>
          </w:tcPr>
          <w:p w:rsidR="00000000" w:rsidRDefault="00000000">
            <w:pPr>
              <w:widowControl w:val="0"/>
              <w:spacing w:before="60" w:after="60"/>
              <w:jc w:val="center"/>
              <w:rPr>
                <w:b/>
                <w:bCs/>
                <w:sz w:val="20"/>
                <w:szCs w:val="16"/>
              </w:rPr>
            </w:pPr>
            <w:r>
              <w:rPr>
                <w:b/>
                <w:bCs/>
                <w:sz w:val="20"/>
                <w:szCs w:val="16"/>
              </w:rPr>
              <w:t>5 788 088</w:t>
            </w:r>
          </w:p>
        </w:tc>
        <w:tc>
          <w:tcPr>
            <w:tcW w:w="912" w:type="dxa"/>
            <w:tcBorders>
              <w:bottom w:val="single" w:sz="4" w:space="0" w:color="auto"/>
            </w:tcBorders>
            <w:noWrap/>
            <w:vAlign w:val="bottom"/>
          </w:tcPr>
          <w:p w:rsidR="00000000" w:rsidRDefault="00000000">
            <w:pPr>
              <w:widowControl w:val="0"/>
              <w:spacing w:before="60" w:after="60"/>
              <w:jc w:val="center"/>
              <w:rPr>
                <w:b/>
                <w:bCs/>
                <w:sz w:val="20"/>
                <w:szCs w:val="16"/>
              </w:rPr>
            </w:pPr>
            <w:r>
              <w:rPr>
                <w:b/>
                <w:bCs/>
                <w:sz w:val="20"/>
                <w:szCs w:val="16"/>
              </w:rPr>
              <w:t>5 898 651</w:t>
            </w:r>
          </w:p>
        </w:tc>
        <w:tc>
          <w:tcPr>
            <w:tcW w:w="897" w:type="dxa"/>
            <w:tcBorders>
              <w:bottom w:val="single" w:sz="4" w:space="0" w:color="auto"/>
            </w:tcBorders>
            <w:noWrap/>
            <w:vAlign w:val="bottom"/>
          </w:tcPr>
          <w:p w:rsidR="00000000" w:rsidRDefault="00000000">
            <w:pPr>
              <w:widowControl w:val="0"/>
              <w:spacing w:before="60" w:after="60"/>
              <w:jc w:val="center"/>
              <w:rPr>
                <w:b/>
                <w:bCs/>
                <w:sz w:val="20"/>
                <w:szCs w:val="16"/>
              </w:rPr>
            </w:pPr>
            <w:r>
              <w:rPr>
                <w:b/>
                <w:bCs/>
                <w:sz w:val="20"/>
                <w:szCs w:val="16"/>
              </w:rPr>
              <w:t>6 009 143</w:t>
            </w:r>
          </w:p>
        </w:tc>
      </w:tr>
    </w:tbl>
    <w:p w:rsidR="00000000" w:rsidRDefault="00000000">
      <w:pPr>
        <w:autoSpaceDE w:val="0"/>
        <w:autoSpaceDN w:val="0"/>
        <w:adjustRightInd w:val="0"/>
        <w:spacing w:beforeLines="40" w:before="96" w:afterLines="40" w:after="96"/>
        <w:ind w:left="567"/>
      </w:pPr>
      <w:r>
        <w:rPr>
          <w:i/>
          <w:iCs/>
          <w:szCs w:val="16"/>
          <w:lang w:val="en-US"/>
        </w:rPr>
        <w:t xml:space="preserve">Source: </w:t>
      </w:r>
      <w:r>
        <w:rPr>
          <w:szCs w:val="16"/>
          <w:lang w:val="en-US"/>
        </w:rPr>
        <w:t>STP/DGEEC. National Population and Housing Census 2002.</w:t>
      </w:r>
    </w:p>
    <w:p w:rsidR="00000000" w:rsidRDefault="00000000">
      <w:pPr>
        <w:pStyle w:val="Header"/>
        <w:tabs>
          <w:tab w:val="clear" w:pos="4320"/>
          <w:tab w:val="clear" w:pos="8640"/>
        </w:tabs>
        <w:spacing w:after="240"/>
        <w:rPr>
          <w:szCs w:val="16"/>
        </w:rPr>
        <w:sectPr w:rsidR="00000000">
          <w:headerReference w:type="even" r:id="rId14"/>
          <w:headerReference w:type="first" r:id="rId15"/>
          <w:pgSz w:w="16840" w:h="11907" w:orient="landscape" w:code="9"/>
          <w:pgMar w:top="1247" w:right="1418" w:bottom="1247" w:left="851" w:header="720" w:footer="720" w:gutter="0"/>
          <w:cols w:space="720"/>
          <w:docGrid w:linePitch="360"/>
        </w:sectPr>
      </w:pPr>
    </w:p>
    <w:p w:rsidR="00000000" w:rsidRDefault="00000000">
      <w:pPr>
        <w:spacing w:after="240"/>
      </w:pPr>
      <w:r>
        <w:t>29.</w:t>
      </w:r>
      <w:r>
        <w:tab/>
        <w:t>The periodicity of births, or the intergenesic period, is another important factor of fertility levels. The average period between births for the period 1999-2004 was 48.5 months, higher than for the period 1994-1999 (38.2 months) and the period 1989-1994 (34.4 months). This figure is based on births among women under 35 years of age during the 15-year period 1989-2004. Another significant finding is that the interval increases in line with more years of schooling and a higher socio-economic level. Also, women who normally speak Spanish at home have an interval of 62.6 months, while women speaking only Guaraní have an interval of 39 months between deliveries. The average interval between births in urban areas is 57.7 months, as opposed to 40.8 in rural areas.</w:t>
      </w:r>
    </w:p>
    <w:p w:rsidR="00000000" w:rsidRDefault="00000000">
      <w:pPr>
        <w:spacing w:after="240"/>
      </w:pPr>
      <w:r>
        <w:rPr>
          <w:b/>
        </w:rPr>
        <w:t>4.</w:t>
      </w:r>
      <w:r>
        <w:rPr>
          <w:b/>
        </w:rPr>
        <w:tab/>
        <w:t>Percentage of the population under age 15</w:t>
      </w:r>
    </w:p>
    <w:p w:rsidR="00000000" w:rsidRDefault="00000000">
      <w:pPr>
        <w:spacing w:after="240"/>
      </w:pPr>
      <w:r>
        <w:t>30.</w:t>
      </w:r>
      <w:r>
        <w:tab/>
        <w:t>The statistics and projections of the Directorate-General for Statistics, Surveys and Censuses estimate the under-15 Paraguayan population in 2005 at 2,115,138, equivalent to 35.8 per cent of the national population (see disaggregated statistics above [page 12]).</w:t>
      </w:r>
    </w:p>
    <w:p w:rsidR="00000000" w:rsidRDefault="00000000">
      <w:pPr>
        <w:spacing w:after="240"/>
      </w:pPr>
      <w:r>
        <w:rPr>
          <w:b/>
        </w:rPr>
        <w:t>5.</w:t>
      </w:r>
      <w:r>
        <w:rPr>
          <w:b/>
        </w:rPr>
        <w:tab/>
        <w:t>Percentage of the population aged 65 and over</w:t>
      </w:r>
    </w:p>
    <w:p w:rsidR="00000000" w:rsidRDefault="00000000">
      <w:pPr>
        <w:spacing w:after="240"/>
      </w:pPr>
      <w:r>
        <w:t>31.</w:t>
      </w:r>
      <w:r>
        <w:tab/>
        <w:t>There has been a moderate increase in the population aged 65 and over. In particular, a comparison with statistics for the period 1994-2005 shows that this segment of the population has increased from 4.2 per cent to 4.7 per cent of the total population. Likewise, the largest segment comprises persons aged 65-70 (see disaggregated statistics below).</w:t>
      </w:r>
    </w:p>
    <w:tbl>
      <w:tblPr>
        <w:tblW w:w="5000" w:type="pct"/>
        <w:jc w:val="center"/>
        <w:tblLayout w:type="fixed"/>
        <w:tblCellMar>
          <w:left w:w="0" w:type="dxa"/>
          <w:right w:w="0" w:type="dxa"/>
        </w:tblCellMar>
        <w:tblLook w:val="0000" w:firstRow="0" w:lastRow="0" w:firstColumn="0" w:lastColumn="0" w:noHBand="0" w:noVBand="0"/>
      </w:tblPr>
      <w:tblGrid>
        <w:gridCol w:w="746"/>
        <w:gridCol w:w="653"/>
        <w:gridCol w:w="653"/>
        <w:gridCol w:w="654"/>
        <w:gridCol w:w="654"/>
        <w:gridCol w:w="655"/>
        <w:gridCol w:w="654"/>
        <w:gridCol w:w="655"/>
        <w:gridCol w:w="654"/>
        <w:gridCol w:w="655"/>
        <w:gridCol w:w="654"/>
        <w:gridCol w:w="655"/>
        <w:gridCol w:w="806"/>
        <w:gridCol w:w="681"/>
      </w:tblGrid>
      <w:tr w:rsidR="00000000">
        <w:trPr>
          <w:jc w:val="center"/>
        </w:trPr>
        <w:tc>
          <w:tcPr>
            <w:tcW w:w="746" w:type="dxa"/>
            <w:tcBorders>
              <w:top w:val="single" w:sz="4" w:space="0" w:color="auto"/>
              <w:bottom w:val="single" w:sz="4" w:space="0" w:color="auto"/>
            </w:tcBorders>
            <w:vAlign w:val="bottom"/>
          </w:tcPr>
          <w:p w:rsidR="00000000" w:rsidRDefault="00000000">
            <w:pPr>
              <w:spacing w:before="60" w:after="60"/>
              <w:jc w:val="center"/>
              <w:rPr>
                <w:b/>
                <w:bCs/>
                <w:i/>
                <w:iCs/>
                <w:sz w:val="16"/>
                <w:szCs w:val="16"/>
              </w:rPr>
            </w:pPr>
            <w:r>
              <w:rPr>
                <w:b/>
                <w:bCs/>
                <w:i/>
                <w:iCs/>
                <w:sz w:val="16"/>
                <w:szCs w:val="16"/>
              </w:rPr>
              <w:t>% 65 years and over</w:t>
            </w:r>
          </w:p>
        </w:tc>
        <w:tc>
          <w:tcPr>
            <w:tcW w:w="653" w:type="dxa"/>
            <w:tcBorders>
              <w:top w:val="single" w:sz="4" w:space="0" w:color="auto"/>
              <w:bottom w:val="single" w:sz="4" w:space="0" w:color="auto"/>
            </w:tcBorders>
            <w:noWrap/>
            <w:vAlign w:val="bottom"/>
          </w:tcPr>
          <w:p w:rsidR="00000000" w:rsidRDefault="00000000">
            <w:pPr>
              <w:spacing w:before="60" w:after="60"/>
              <w:jc w:val="center"/>
              <w:rPr>
                <w:b/>
                <w:bCs/>
                <w:i/>
                <w:iCs/>
                <w:sz w:val="16"/>
                <w:szCs w:val="16"/>
              </w:rPr>
            </w:pPr>
            <w:r>
              <w:rPr>
                <w:b/>
                <w:bCs/>
                <w:i/>
                <w:iCs/>
                <w:sz w:val="16"/>
                <w:szCs w:val="16"/>
              </w:rPr>
              <w:t>4.2</w:t>
            </w:r>
          </w:p>
        </w:tc>
        <w:tc>
          <w:tcPr>
            <w:tcW w:w="653" w:type="dxa"/>
            <w:tcBorders>
              <w:top w:val="single" w:sz="4" w:space="0" w:color="auto"/>
              <w:bottom w:val="single" w:sz="4" w:space="0" w:color="auto"/>
            </w:tcBorders>
            <w:noWrap/>
            <w:vAlign w:val="bottom"/>
          </w:tcPr>
          <w:p w:rsidR="00000000" w:rsidRDefault="00000000">
            <w:pPr>
              <w:spacing w:before="60" w:after="60"/>
              <w:jc w:val="center"/>
              <w:rPr>
                <w:b/>
                <w:bCs/>
                <w:i/>
                <w:iCs/>
                <w:sz w:val="16"/>
                <w:szCs w:val="16"/>
              </w:rPr>
            </w:pPr>
            <w:r>
              <w:rPr>
                <w:b/>
                <w:bCs/>
                <w:i/>
                <w:iCs/>
                <w:sz w:val="16"/>
                <w:szCs w:val="16"/>
              </w:rPr>
              <w:t>4.2</w:t>
            </w:r>
          </w:p>
        </w:tc>
        <w:tc>
          <w:tcPr>
            <w:tcW w:w="654" w:type="dxa"/>
            <w:tcBorders>
              <w:top w:val="single" w:sz="4" w:space="0" w:color="auto"/>
              <w:bottom w:val="single" w:sz="4" w:space="0" w:color="auto"/>
            </w:tcBorders>
            <w:noWrap/>
            <w:vAlign w:val="bottom"/>
          </w:tcPr>
          <w:p w:rsidR="00000000" w:rsidRDefault="00000000">
            <w:pPr>
              <w:spacing w:before="60" w:after="60"/>
              <w:jc w:val="center"/>
              <w:rPr>
                <w:b/>
                <w:bCs/>
                <w:i/>
                <w:iCs/>
                <w:sz w:val="16"/>
                <w:szCs w:val="16"/>
              </w:rPr>
            </w:pPr>
            <w:r>
              <w:rPr>
                <w:b/>
                <w:bCs/>
                <w:i/>
                <w:iCs/>
                <w:sz w:val="16"/>
                <w:szCs w:val="16"/>
              </w:rPr>
              <w:t>4.3</w:t>
            </w:r>
          </w:p>
        </w:tc>
        <w:tc>
          <w:tcPr>
            <w:tcW w:w="654" w:type="dxa"/>
            <w:tcBorders>
              <w:top w:val="single" w:sz="4" w:space="0" w:color="auto"/>
              <w:bottom w:val="single" w:sz="4" w:space="0" w:color="auto"/>
            </w:tcBorders>
            <w:noWrap/>
            <w:vAlign w:val="bottom"/>
          </w:tcPr>
          <w:p w:rsidR="00000000" w:rsidRDefault="00000000">
            <w:pPr>
              <w:spacing w:before="60" w:after="60"/>
              <w:jc w:val="center"/>
              <w:rPr>
                <w:b/>
                <w:bCs/>
                <w:i/>
                <w:iCs/>
                <w:sz w:val="16"/>
                <w:szCs w:val="16"/>
              </w:rPr>
            </w:pPr>
            <w:r>
              <w:rPr>
                <w:b/>
                <w:bCs/>
                <w:i/>
                <w:iCs/>
                <w:sz w:val="16"/>
                <w:szCs w:val="16"/>
              </w:rPr>
              <w:t>4.3</w:t>
            </w:r>
          </w:p>
        </w:tc>
        <w:tc>
          <w:tcPr>
            <w:tcW w:w="655" w:type="dxa"/>
            <w:tcBorders>
              <w:top w:val="single" w:sz="4" w:space="0" w:color="auto"/>
              <w:bottom w:val="single" w:sz="4" w:space="0" w:color="auto"/>
            </w:tcBorders>
            <w:noWrap/>
            <w:vAlign w:val="bottom"/>
          </w:tcPr>
          <w:p w:rsidR="00000000" w:rsidRDefault="00000000">
            <w:pPr>
              <w:spacing w:before="60" w:after="60"/>
              <w:jc w:val="center"/>
              <w:rPr>
                <w:b/>
                <w:bCs/>
                <w:i/>
                <w:iCs/>
                <w:sz w:val="16"/>
                <w:szCs w:val="16"/>
              </w:rPr>
            </w:pPr>
            <w:r>
              <w:rPr>
                <w:b/>
                <w:bCs/>
                <w:i/>
                <w:iCs/>
                <w:sz w:val="16"/>
                <w:szCs w:val="16"/>
              </w:rPr>
              <w:t>4.3</w:t>
            </w:r>
          </w:p>
        </w:tc>
        <w:tc>
          <w:tcPr>
            <w:tcW w:w="654" w:type="dxa"/>
            <w:tcBorders>
              <w:top w:val="single" w:sz="4" w:space="0" w:color="auto"/>
              <w:bottom w:val="single" w:sz="4" w:space="0" w:color="auto"/>
            </w:tcBorders>
            <w:noWrap/>
            <w:vAlign w:val="bottom"/>
          </w:tcPr>
          <w:p w:rsidR="00000000" w:rsidRDefault="00000000">
            <w:pPr>
              <w:spacing w:before="60" w:after="60"/>
              <w:jc w:val="center"/>
              <w:rPr>
                <w:b/>
                <w:bCs/>
                <w:i/>
                <w:iCs/>
                <w:sz w:val="16"/>
                <w:szCs w:val="16"/>
              </w:rPr>
            </w:pPr>
            <w:r>
              <w:rPr>
                <w:b/>
                <w:bCs/>
                <w:i/>
                <w:iCs/>
                <w:sz w:val="16"/>
                <w:szCs w:val="16"/>
              </w:rPr>
              <w:t>4.3</w:t>
            </w:r>
          </w:p>
        </w:tc>
        <w:tc>
          <w:tcPr>
            <w:tcW w:w="655" w:type="dxa"/>
            <w:tcBorders>
              <w:top w:val="single" w:sz="4" w:space="0" w:color="auto"/>
              <w:bottom w:val="single" w:sz="4" w:space="0" w:color="auto"/>
            </w:tcBorders>
            <w:noWrap/>
            <w:vAlign w:val="bottom"/>
          </w:tcPr>
          <w:p w:rsidR="00000000" w:rsidRDefault="00000000">
            <w:pPr>
              <w:spacing w:before="60" w:after="60"/>
              <w:jc w:val="center"/>
              <w:rPr>
                <w:b/>
                <w:bCs/>
                <w:i/>
                <w:iCs/>
                <w:sz w:val="16"/>
                <w:szCs w:val="16"/>
              </w:rPr>
            </w:pPr>
            <w:r>
              <w:rPr>
                <w:b/>
                <w:bCs/>
                <w:i/>
                <w:iCs/>
                <w:sz w:val="16"/>
                <w:szCs w:val="16"/>
              </w:rPr>
              <w:t>4.3</w:t>
            </w:r>
          </w:p>
        </w:tc>
        <w:tc>
          <w:tcPr>
            <w:tcW w:w="654" w:type="dxa"/>
            <w:tcBorders>
              <w:top w:val="single" w:sz="4" w:space="0" w:color="auto"/>
              <w:bottom w:val="single" w:sz="4" w:space="0" w:color="auto"/>
            </w:tcBorders>
            <w:noWrap/>
            <w:vAlign w:val="bottom"/>
          </w:tcPr>
          <w:p w:rsidR="00000000" w:rsidRDefault="00000000">
            <w:pPr>
              <w:spacing w:before="60" w:after="60"/>
              <w:jc w:val="center"/>
              <w:rPr>
                <w:b/>
                <w:bCs/>
                <w:i/>
                <w:iCs/>
                <w:sz w:val="16"/>
                <w:szCs w:val="16"/>
              </w:rPr>
            </w:pPr>
            <w:r>
              <w:rPr>
                <w:b/>
                <w:bCs/>
                <w:i/>
                <w:iCs/>
                <w:sz w:val="16"/>
                <w:szCs w:val="16"/>
              </w:rPr>
              <w:t>4.4</w:t>
            </w:r>
          </w:p>
        </w:tc>
        <w:tc>
          <w:tcPr>
            <w:tcW w:w="655" w:type="dxa"/>
            <w:tcBorders>
              <w:top w:val="single" w:sz="4" w:space="0" w:color="auto"/>
              <w:bottom w:val="single" w:sz="4" w:space="0" w:color="auto"/>
            </w:tcBorders>
            <w:noWrap/>
            <w:vAlign w:val="bottom"/>
          </w:tcPr>
          <w:p w:rsidR="00000000" w:rsidRDefault="00000000">
            <w:pPr>
              <w:spacing w:before="60" w:after="60"/>
              <w:jc w:val="center"/>
              <w:rPr>
                <w:b/>
                <w:bCs/>
                <w:i/>
                <w:iCs/>
                <w:sz w:val="16"/>
                <w:szCs w:val="16"/>
              </w:rPr>
            </w:pPr>
            <w:r>
              <w:rPr>
                <w:b/>
                <w:bCs/>
                <w:i/>
                <w:iCs/>
                <w:sz w:val="16"/>
                <w:szCs w:val="16"/>
              </w:rPr>
              <w:t>4.5</w:t>
            </w:r>
          </w:p>
        </w:tc>
        <w:tc>
          <w:tcPr>
            <w:tcW w:w="654" w:type="dxa"/>
            <w:tcBorders>
              <w:top w:val="single" w:sz="4" w:space="0" w:color="auto"/>
              <w:bottom w:val="single" w:sz="4" w:space="0" w:color="auto"/>
            </w:tcBorders>
            <w:noWrap/>
            <w:vAlign w:val="bottom"/>
          </w:tcPr>
          <w:p w:rsidR="00000000" w:rsidRDefault="00000000">
            <w:pPr>
              <w:spacing w:before="60" w:after="60"/>
              <w:jc w:val="center"/>
              <w:rPr>
                <w:b/>
                <w:bCs/>
                <w:i/>
                <w:iCs/>
                <w:sz w:val="16"/>
                <w:szCs w:val="16"/>
              </w:rPr>
            </w:pPr>
            <w:r>
              <w:rPr>
                <w:b/>
                <w:bCs/>
                <w:i/>
                <w:iCs/>
                <w:sz w:val="16"/>
                <w:szCs w:val="16"/>
              </w:rPr>
              <w:t>4.5</w:t>
            </w:r>
          </w:p>
        </w:tc>
        <w:tc>
          <w:tcPr>
            <w:tcW w:w="655" w:type="dxa"/>
            <w:tcBorders>
              <w:top w:val="single" w:sz="4" w:space="0" w:color="auto"/>
              <w:bottom w:val="single" w:sz="4" w:space="0" w:color="auto"/>
            </w:tcBorders>
            <w:noWrap/>
            <w:vAlign w:val="bottom"/>
          </w:tcPr>
          <w:p w:rsidR="00000000" w:rsidRDefault="00000000">
            <w:pPr>
              <w:spacing w:before="60" w:after="60"/>
              <w:jc w:val="center"/>
              <w:rPr>
                <w:b/>
                <w:bCs/>
                <w:i/>
                <w:iCs/>
                <w:sz w:val="16"/>
                <w:szCs w:val="16"/>
              </w:rPr>
            </w:pPr>
            <w:r>
              <w:rPr>
                <w:b/>
                <w:bCs/>
                <w:i/>
                <w:iCs/>
                <w:sz w:val="16"/>
                <w:szCs w:val="16"/>
              </w:rPr>
              <w:t>4.6</w:t>
            </w:r>
          </w:p>
        </w:tc>
        <w:tc>
          <w:tcPr>
            <w:tcW w:w="806" w:type="dxa"/>
            <w:tcBorders>
              <w:top w:val="single" w:sz="4" w:space="0" w:color="auto"/>
              <w:bottom w:val="single" w:sz="4" w:space="0" w:color="auto"/>
            </w:tcBorders>
            <w:noWrap/>
            <w:vAlign w:val="bottom"/>
          </w:tcPr>
          <w:p w:rsidR="00000000" w:rsidRDefault="00000000">
            <w:pPr>
              <w:spacing w:before="60" w:after="60"/>
              <w:jc w:val="center"/>
              <w:rPr>
                <w:b/>
                <w:bCs/>
                <w:i/>
                <w:iCs/>
                <w:sz w:val="16"/>
                <w:szCs w:val="16"/>
              </w:rPr>
            </w:pPr>
            <w:r>
              <w:rPr>
                <w:b/>
                <w:bCs/>
                <w:i/>
                <w:iCs/>
                <w:sz w:val="16"/>
                <w:szCs w:val="16"/>
              </w:rPr>
              <w:t>4.7</w:t>
            </w:r>
          </w:p>
        </w:tc>
        <w:tc>
          <w:tcPr>
            <w:tcW w:w="681" w:type="dxa"/>
            <w:tcBorders>
              <w:top w:val="single" w:sz="4" w:space="0" w:color="auto"/>
              <w:bottom w:val="single" w:sz="4" w:space="0" w:color="auto"/>
            </w:tcBorders>
            <w:noWrap/>
            <w:vAlign w:val="bottom"/>
          </w:tcPr>
          <w:p w:rsidR="00000000" w:rsidRDefault="00000000">
            <w:pPr>
              <w:spacing w:before="60" w:after="60"/>
              <w:jc w:val="center"/>
              <w:rPr>
                <w:b/>
                <w:bCs/>
                <w:i/>
                <w:iCs/>
                <w:sz w:val="16"/>
                <w:szCs w:val="16"/>
              </w:rPr>
            </w:pPr>
            <w:r>
              <w:rPr>
                <w:b/>
                <w:bCs/>
                <w:i/>
                <w:iCs/>
                <w:sz w:val="16"/>
                <w:szCs w:val="16"/>
              </w:rPr>
              <w:t>4.8</w:t>
            </w:r>
          </w:p>
        </w:tc>
      </w:tr>
      <w:tr w:rsidR="00000000">
        <w:trPr>
          <w:jc w:val="center"/>
        </w:trPr>
        <w:tc>
          <w:tcPr>
            <w:tcW w:w="746" w:type="dxa"/>
            <w:tcBorders>
              <w:top w:val="single" w:sz="4" w:space="0" w:color="auto"/>
            </w:tcBorders>
            <w:noWrap/>
            <w:vAlign w:val="bottom"/>
          </w:tcPr>
          <w:p w:rsidR="00000000" w:rsidRDefault="00000000">
            <w:pPr>
              <w:spacing w:before="60" w:after="60"/>
              <w:rPr>
                <w:b/>
                <w:bCs/>
                <w:sz w:val="16"/>
                <w:szCs w:val="16"/>
              </w:rPr>
            </w:pPr>
            <w:r>
              <w:rPr>
                <w:b/>
                <w:bCs/>
                <w:sz w:val="16"/>
                <w:szCs w:val="16"/>
              </w:rPr>
              <w:t>65-69</w:t>
            </w:r>
          </w:p>
        </w:tc>
        <w:tc>
          <w:tcPr>
            <w:tcW w:w="653" w:type="dxa"/>
            <w:tcBorders>
              <w:top w:val="single" w:sz="4" w:space="0" w:color="auto"/>
            </w:tcBorders>
            <w:noWrap/>
            <w:vAlign w:val="bottom"/>
          </w:tcPr>
          <w:p w:rsidR="00000000" w:rsidRDefault="00000000">
            <w:pPr>
              <w:spacing w:before="60" w:after="60"/>
              <w:ind w:right="113"/>
              <w:jc w:val="right"/>
              <w:rPr>
                <w:b/>
                <w:bCs/>
                <w:sz w:val="16"/>
                <w:szCs w:val="16"/>
              </w:rPr>
            </w:pPr>
            <w:r>
              <w:rPr>
                <w:b/>
                <w:bCs/>
                <w:sz w:val="16"/>
                <w:szCs w:val="16"/>
              </w:rPr>
              <w:t>77 507</w:t>
            </w:r>
          </w:p>
        </w:tc>
        <w:tc>
          <w:tcPr>
            <w:tcW w:w="653" w:type="dxa"/>
            <w:tcBorders>
              <w:top w:val="single" w:sz="4" w:space="0" w:color="auto"/>
            </w:tcBorders>
            <w:noWrap/>
            <w:vAlign w:val="bottom"/>
          </w:tcPr>
          <w:p w:rsidR="00000000" w:rsidRDefault="00000000">
            <w:pPr>
              <w:spacing w:before="60" w:after="60"/>
              <w:ind w:right="113"/>
              <w:jc w:val="right"/>
              <w:rPr>
                <w:b/>
                <w:bCs/>
                <w:sz w:val="16"/>
                <w:szCs w:val="16"/>
              </w:rPr>
            </w:pPr>
            <w:r>
              <w:rPr>
                <w:b/>
                <w:bCs/>
                <w:sz w:val="16"/>
                <w:szCs w:val="16"/>
              </w:rPr>
              <w:t>79 276</w:t>
            </w:r>
          </w:p>
        </w:tc>
        <w:tc>
          <w:tcPr>
            <w:tcW w:w="654" w:type="dxa"/>
            <w:tcBorders>
              <w:top w:val="single" w:sz="4" w:space="0" w:color="auto"/>
            </w:tcBorders>
            <w:noWrap/>
            <w:vAlign w:val="bottom"/>
          </w:tcPr>
          <w:p w:rsidR="00000000" w:rsidRDefault="00000000">
            <w:pPr>
              <w:spacing w:before="60" w:after="60"/>
              <w:ind w:right="113"/>
              <w:jc w:val="right"/>
              <w:rPr>
                <w:b/>
                <w:bCs/>
                <w:sz w:val="16"/>
                <w:szCs w:val="16"/>
              </w:rPr>
            </w:pPr>
            <w:r>
              <w:rPr>
                <w:b/>
                <w:bCs/>
                <w:sz w:val="16"/>
                <w:szCs w:val="16"/>
              </w:rPr>
              <w:t>80 013</w:t>
            </w:r>
          </w:p>
        </w:tc>
        <w:tc>
          <w:tcPr>
            <w:tcW w:w="654" w:type="dxa"/>
            <w:tcBorders>
              <w:top w:val="single" w:sz="4" w:space="0" w:color="auto"/>
            </w:tcBorders>
            <w:noWrap/>
            <w:vAlign w:val="bottom"/>
          </w:tcPr>
          <w:p w:rsidR="00000000" w:rsidRDefault="00000000">
            <w:pPr>
              <w:spacing w:before="60" w:after="60"/>
              <w:ind w:right="113"/>
              <w:jc w:val="right"/>
              <w:rPr>
                <w:b/>
                <w:bCs/>
                <w:sz w:val="16"/>
                <w:szCs w:val="16"/>
              </w:rPr>
            </w:pPr>
            <w:r>
              <w:rPr>
                <w:b/>
                <w:bCs/>
                <w:sz w:val="16"/>
                <w:szCs w:val="16"/>
              </w:rPr>
              <w:t>79 906</w:t>
            </w:r>
          </w:p>
        </w:tc>
        <w:tc>
          <w:tcPr>
            <w:tcW w:w="655" w:type="dxa"/>
            <w:tcBorders>
              <w:top w:val="single" w:sz="4" w:space="0" w:color="auto"/>
            </w:tcBorders>
            <w:noWrap/>
            <w:vAlign w:val="bottom"/>
          </w:tcPr>
          <w:p w:rsidR="00000000" w:rsidRDefault="00000000">
            <w:pPr>
              <w:spacing w:before="60" w:after="60"/>
              <w:ind w:right="113"/>
              <w:jc w:val="right"/>
              <w:rPr>
                <w:b/>
                <w:bCs/>
                <w:sz w:val="16"/>
                <w:szCs w:val="16"/>
              </w:rPr>
            </w:pPr>
            <w:r>
              <w:rPr>
                <w:b/>
                <w:bCs/>
                <w:sz w:val="16"/>
                <w:szCs w:val="16"/>
              </w:rPr>
              <w:t>79 640</w:t>
            </w:r>
          </w:p>
        </w:tc>
        <w:tc>
          <w:tcPr>
            <w:tcW w:w="654" w:type="dxa"/>
            <w:tcBorders>
              <w:top w:val="single" w:sz="4" w:space="0" w:color="auto"/>
            </w:tcBorders>
            <w:noWrap/>
            <w:vAlign w:val="bottom"/>
          </w:tcPr>
          <w:p w:rsidR="00000000" w:rsidRDefault="00000000">
            <w:pPr>
              <w:spacing w:before="60" w:after="60"/>
              <w:ind w:right="113"/>
              <w:jc w:val="right"/>
              <w:rPr>
                <w:b/>
                <w:bCs/>
                <w:sz w:val="16"/>
                <w:szCs w:val="16"/>
              </w:rPr>
            </w:pPr>
            <w:r>
              <w:rPr>
                <w:b/>
                <w:bCs/>
                <w:sz w:val="16"/>
                <w:szCs w:val="16"/>
              </w:rPr>
              <w:t>79 899</w:t>
            </w:r>
          </w:p>
        </w:tc>
        <w:tc>
          <w:tcPr>
            <w:tcW w:w="655" w:type="dxa"/>
            <w:tcBorders>
              <w:top w:val="single" w:sz="4" w:space="0" w:color="auto"/>
            </w:tcBorders>
            <w:noWrap/>
            <w:vAlign w:val="bottom"/>
          </w:tcPr>
          <w:p w:rsidR="00000000" w:rsidRDefault="00000000">
            <w:pPr>
              <w:spacing w:before="60" w:after="60"/>
              <w:ind w:right="113"/>
              <w:jc w:val="right"/>
              <w:rPr>
                <w:b/>
                <w:bCs/>
                <w:sz w:val="16"/>
                <w:szCs w:val="16"/>
              </w:rPr>
            </w:pPr>
            <w:r>
              <w:rPr>
                <w:b/>
                <w:bCs/>
                <w:sz w:val="16"/>
                <w:szCs w:val="16"/>
              </w:rPr>
              <w:t>81 368</w:t>
            </w:r>
          </w:p>
        </w:tc>
        <w:tc>
          <w:tcPr>
            <w:tcW w:w="654" w:type="dxa"/>
            <w:tcBorders>
              <w:top w:val="single" w:sz="4" w:space="0" w:color="auto"/>
            </w:tcBorders>
            <w:noWrap/>
            <w:vAlign w:val="bottom"/>
          </w:tcPr>
          <w:p w:rsidR="00000000" w:rsidRDefault="00000000">
            <w:pPr>
              <w:spacing w:before="60" w:after="60"/>
              <w:ind w:right="113"/>
              <w:jc w:val="right"/>
              <w:rPr>
                <w:b/>
                <w:bCs/>
                <w:sz w:val="16"/>
                <w:szCs w:val="16"/>
              </w:rPr>
            </w:pPr>
            <w:r>
              <w:rPr>
                <w:b/>
                <w:bCs/>
                <w:sz w:val="16"/>
                <w:szCs w:val="16"/>
              </w:rPr>
              <w:t>84 407</w:t>
            </w:r>
          </w:p>
        </w:tc>
        <w:tc>
          <w:tcPr>
            <w:tcW w:w="655" w:type="dxa"/>
            <w:tcBorders>
              <w:top w:val="single" w:sz="4" w:space="0" w:color="auto"/>
            </w:tcBorders>
            <w:noWrap/>
            <w:vAlign w:val="bottom"/>
          </w:tcPr>
          <w:p w:rsidR="00000000" w:rsidRDefault="00000000">
            <w:pPr>
              <w:spacing w:before="60" w:after="60"/>
              <w:ind w:right="113"/>
              <w:jc w:val="right"/>
              <w:rPr>
                <w:b/>
                <w:bCs/>
                <w:sz w:val="16"/>
                <w:szCs w:val="16"/>
              </w:rPr>
            </w:pPr>
            <w:r>
              <w:rPr>
                <w:b/>
                <w:bCs/>
                <w:sz w:val="16"/>
                <w:szCs w:val="16"/>
              </w:rPr>
              <w:t>88 562</w:t>
            </w:r>
          </w:p>
        </w:tc>
        <w:tc>
          <w:tcPr>
            <w:tcW w:w="654" w:type="dxa"/>
            <w:tcBorders>
              <w:top w:val="single" w:sz="4" w:space="0" w:color="auto"/>
            </w:tcBorders>
            <w:noWrap/>
            <w:vAlign w:val="bottom"/>
          </w:tcPr>
          <w:p w:rsidR="00000000" w:rsidRDefault="00000000">
            <w:pPr>
              <w:spacing w:before="60" w:after="60"/>
              <w:ind w:right="113"/>
              <w:jc w:val="right"/>
              <w:rPr>
                <w:b/>
                <w:bCs/>
                <w:sz w:val="16"/>
                <w:szCs w:val="16"/>
              </w:rPr>
            </w:pPr>
            <w:r>
              <w:rPr>
                <w:b/>
                <w:bCs/>
                <w:sz w:val="16"/>
                <w:szCs w:val="16"/>
              </w:rPr>
              <w:t>93 288</w:t>
            </w:r>
          </w:p>
        </w:tc>
        <w:tc>
          <w:tcPr>
            <w:tcW w:w="655" w:type="dxa"/>
            <w:tcBorders>
              <w:top w:val="single" w:sz="4" w:space="0" w:color="auto"/>
            </w:tcBorders>
            <w:noWrap/>
            <w:vAlign w:val="bottom"/>
          </w:tcPr>
          <w:p w:rsidR="00000000" w:rsidRDefault="00000000">
            <w:pPr>
              <w:spacing w:before="60" w:after="60"/>
              <w:ind w:right="113"/>
              <w:jc w:val="right"/>
              <w:rPr>
                <w:b/>
                <w:bCs/>
                <w:sz w:val="16"/>
                <w:szCs w:val="16"/>
              </w:rPr>
            </w:pPr>
            <w:r>
              <w:rPr>
                <w:b/>
                <w:bCs/>
                <w:sz w:val="16"/>
                <w:szCs w:val="16"/>
              </w:rPr>
              <w:t>98 045</w:t>
            </w:r>
          </w:p>
        </w:tc>
        <w:tc>
          <w:tcPr>
            <w:tcW w:w="806" w:type="dxa"/>
            <w:tcBorders>
              <w:top w:val="single" w:sz="4" w:space="0" w:color="auto"/>
            </w:tcBorders>
            <w:noWrap/>
            <w:vAlign w:val="bottom"/>
          </w:tcPr>
          <w:p w:rsidR="00000000" w:rsidRDefault="00000000">
            <w:pPr>
              <w:spacing w:before="60" w:after="60"/>
              <w:ind w:right="113"/>
              <w:jc w:val="right"/>
              <w:rPr>
                <w:b/>
                <w:bCs/>
                <w:sz w:val="16"/>
                <w:szCs w:val="16"/>
              </w:rPr>
            </w:pPr>
            <w:r>
              <w:rPr>
                <w:b/>
                <w:bCs/>
                <w:sz w:val="16"/>
                <w:szCs w:val="16"/>
              </w:rPr>
              <w:t>102 290</w:t>
            </w:r>
          </w:p>
        </w:tc>
        <w:tc>
          <w:tcPr>
            <w:tcW w:w="681" w:type="dxa"/>
            <w:tcBorders>
              <w:top w:val="single" w:sz="4" w:space="0" w:color="auto"/>
            </w:tcBorders>
            <w:noWrap/>
            <w:vAlign w:val="bottom"/>
          </w:tcPr>
          <w:p w:rsidR="00000000" w:rsidRDefault="00000000">
            <w:pPr>
              <w:spacing w:before="60" w:after="60"/>
              <w:ind w:right="113"/>
              <w:jc w:val="right"/>
              <w:rPr>
                <w:b/>
                <w:bCs/>
                <w:sz w:val="16"/>
                <w:szCs w:val="16"/>
              </w:rPr>
            </w:pPr>
            <w:r>
              <w:rPr>
                <w:b/>
                <w:bCs/>
                <w:sz w:val="16"/>
                <w:szCs w:val="16"/>
              </w:rPr>
              <w:t>105 775</w:t>
            </w:r>
          </w:p>
        </w:tc>
      </w:tr>
      <w:tr w:rsidR="00000000">
        <w:trPr>
          <w:jc w:val="center"/>
        </w:trPr>
        <w:tc>
          <w:tcPr>
            <w:tcW w:w="746" w:type="dxa"/>
            <w:noWrap/>
            <w:vAlign w:val="bottom"/>
          </w:tcPr>
          <w:p w:rsidR="00000000" w:rsidRDefault="00000000">
            <w:pPr>
              <w:spacing w:before="60" w:after="60"/>
              <w:rPr>
                <w:sz w:val="16"/>
                <w:szCs w:val="16"/>
              </w:rPr>
            </w:pPr>
            <w:r>
              <w:rPr>
                <w:sz w:val="16"/>
                <w:szCs w:val="16"/>
              </w:rPr>
              <w:t>65</w:t>
            </w:r>
          </w:p>
        </w:tc>
        <w:tc>
          <w:tcPr>
            <w:tcW w:w="653" w:type="dxa"/>
            <w:noWrap/>
            <w:vAlign w:val="bottom"/>
          </w:tcPr>
          <w:p w:rsidR="00000000" w:rsidRDefault="00000000">
            <w:pPr>
              <w:spacing w:before="60" w:after="60"/>
              <w:ind w:right="113"/>
              <w:jc w:val="right"/>
              <w:rPr>
                <w:sz w:val="16"/>
                <w:szCs w:val="16"/>
              </w:rPr>
            </w:pPr>
            <w:r>
              <w:rPr>
                <w:sz w:val="16"/>
                <w:szCs w:val="16"/>
              </w:rPr>
              <w:t>16 421</w:t>
            </w:r>
          </w:p>
        </w:tc>
        <w:tc>
          <w:tcPr>
            <w:tcW w:w="653" w:type="dxa"/>
            <w:noWrap/>
            <w:vAlign w:val="bottom"/>
          </w:tcPr>
          <w:p w:rsidR="00000000" w:rsidRDefault="00000000">
            <w:pPr>
              <w:spacing w:before="60" w:after="60"/>
              <w:ind w:right="113"/>
              <w:jc w:val="right"/>
              <w:rPr>
                <w:sz w:val="16"/>
                <w:szCs w:val="16"/>
              </w:rPr>
            </w:pPr>
            <w:r>
              <w:rPr>
                <w:sz w:val="16"/>
                <w:szCs w:val="16"/>
              </w:rPr>
              <w:t>16 711</w:t>
            </w:r>
          </w:p>
        </w:tc>
        <w:tc>
          <w:tcPr>
            <w:tcW w:w="654" w:type="dxa"/>
            <w:noWrap/>
            <w:vAlign w:val="bottom"/>
          </w:tcPr>
          <w:p w:rsidR="00000000" w:rsidRDefault="00000000">
            <w:pPr>
              <w:spacing w:before="60" w:after="60"/>
              <w:ind w:right="113"/>
              <w:jc w:val="right"/>
              <w:rPr>
                <w:sz w:val="16"/>
                <w:szCs w:val="16"/>
              </w:rPr>
            </w:pPr>
            <w:r>
              <w:rPr>
                <w:sz w:val="16"/>
                <w:szCs w:val="16"/>
              </w:rPr>
              <w:t>16 997</w:t>
            </w:r>
          </w:p>
        </w:tc>
        <w:tc>
          <w:tcPr>
            <w:tcW w:w="654" w:type="dxa"/>
            <w:noWrap/>
            <w:vAlign w:val="bottom"/>
          </w:tcPr>
          <w:p w:rsidR="00000000" w:rsidRDefault="00000000">
            <w:pPr>
              <w:spacing w:before="60" w:after="60"/>
              <w:ind w:right="113"/>
              <w:jc w:val="right"/>
              <w:rPr>
                <w:sz w:val="16"/>
                <w:szCs w:val="16"/>
              </w:rPr>
            </w:pPr>
            <w:r>
              <w:rPr>
                <w:sz w:val="16"/>
                <w:szCs w:val="16"/>
              </w:rPr>
              <w:t>17 258</w:t>
            </w:r>
          </w:p>
        </w:tc>
        <w:tc>
          <w:tcPr>
            <w:tcW w:w="655" w:type="dxa"/>
            <w:noWrap/>
            <w:vAlign w:val="bottom"/>
          </w:tcPr>
          <w:p w:rsidR="00000000" w:rsidRDefault="00000000">
            <w:pPr>
              <w:spacing w:before="60" w:after="60"/>
              <w:ind w:right="113"/>
              <w:jc w:val="right"/>
              <w:rPr>
                <w:sz w:val="16"/>
                <w:szCs w:val="16"/>
              </w:rPr>
            </w:pPr>
            <w:r>
              <w:rPr>
                <w:sz w:val="16"/>
                <w:szCs w:val="16"/>
              </w:rPr>
              <w:t>17 549</w:t>
            </w:r>
          </w:p>
        </w:tc>
        <w:tc>
          <w:tcPr>
            <w:tcW w:w="654" w:type="dxa"/>
            <w:noWrap/>
            <w:vAlign w:val="bottom"/>
          </w:tcPr>
          <w:p w:rsidR="00000000" w:rsidRDefault="00000000">
            <w:pPr>
              <w:spacing w:before="60" w:after="60"/>
              <w:ind w:right="113"/>
              <w:jc w:val="right"/>
              <w:rPr>
                <w:sz w:val="16"/>
                <w:szCs w:val="16"/>
              </w:rPr>
            </w:pPr>
            <w:r>
              <w:rPr>
                <w:sz w:val="16"/>
                <w:szCs w:val="16"/>
              </w:rPr>
              <w:t>17 923</w:t>
            </w:r>
          </w:p>
        </w:tc>
        <w:tc>
          <w:tcPr>
            <w:tcW w:w="655" w:type="dxa"/>
            <w:noWrap/>
            <w:vAlign w:val="bottom"/>
          </w:tcPr>
          <w:p w:rsidR="00000000" w:rsidRDefault="00000000">
            <w:pPr>
              <w:spacing w:before="60" w:after="60"/>
              <w:ind w:right="113"/>
              <w:jc w:val="right"/>
              <w:rPr>
                <w:sz w:val="16"/>
                <w:szCs w:val="16"/>
              </w:rPr>
            </w:pPr>
            <w:r>
              <w:rPr>
                <w:sz w:val="16"/>
                <w:szCs w:val="16"/>
              </w:rPr>
              <w:t>18 433</w:t>
            </w:r>
          </w:p>
        </w:tc>
        <w:tc>
          <w:tcPr>
            <w:tcW w:w="654" w:type="dxa"/>
            <w:noWrap/>
            <w:vAlign w:val="bottom"/>
          </w:tcPr>
          <w:p w:rsidR="00000000" w:rsidRDefault="00000000">
            <w:pPr>
              <w:spacing w:before="60" w:after="60"/>
              <w:ind w:right="113"/>
              <w:jc w:val="right"/>
              <w:rPr>
                <w:sz w:val="16"/>
                <w:szCs w:val="16"/>
              </w:rPr>
            </w:pPr>
            <w:r>
              <w:rPr>
                <w:sz w:val="16"/>
                <w:szCs w:val="16"/>
              </w:rPr>
              <w:t>19 119</w:t>
            </w:r>
          </w:p>
        </w:tc>
        <w:tc>
          <w:tcPr>
            <w:tcW w:w="655" w:type="dxa"/>
            <w:noWrap/>
            <w:vAlign w:val="bottom"/>
          </w:tcPr>
          <w:p w:rsidR="00000000" w:rsidRDefault="00000000">
            <w:pPr>
              <w:spacing w:before="60" w:after="60"/>
              <w:ind w:right="113"/>
              <w:jc w:val="right"/>
              <w:rPr>
                <w:sz w:val="16"/>
                <w:szCs w:val="16"/>
              </w:rPr>
            </w:pPr>
            <w:r>
              <w:rPr>
                <w:sz w:val="16"/>
                <w:szCs w:val="16"/>
              </w:rPr>
              <w:t>19 947</w:t>
            </w:r>
          </w:p>
        </w:tc>
        <w:tc>
          <w:tcPr>
            <w:tcW w:w="654" w:type="dxa"/>
            <w:noWrap/>
            <w:vAlign w:val="bottom"/>
          </w:tcPr>
          <w:p w:rsidR="00000000" w:rsidRDefault="00000000">
            <w:pPr>
              <w:spacing w:before="60" w:after="60"/>
              <w:ind w:right="113"/>
              <w:jc w:val="right"/>
              <w:rPr>
                <w:sz w:val="16"/>
                <w:szCs w:val="16"/>
              </w:rPr>
            </w:pPr>
            <w:r>
              <w:rPr>
                <w:sz w:val="16"/>
                <w:szCs w:val="16"/>
              </w:rPr>
              <w:t>20 855</w:t>
            </w:r>
          </w:p>
        </w:tc>
        <w:tc>
          <w:tcPr>
            <w:tcW w:w="655" w:type="dxa"/>
            <w:noWrap/>
            <w:vAlign w:val="bottom"/>
          </w:tcPr>
          <w:p w:rsidR="00000000" w:rsidRDefault="00000000">
            <w:pPr>
              <w:spacing w:before="60" w:after="60"/>
              <w:ind w:right="113"/>
              <w:jc w:val="right"/>
              <w:rPr>
                <w:sz w:val="16"/>
                <w:szCs w:val="16"/>
              </w:rPr>
            </w:pPr>
            <w:r>
              <w:rPr>
                <w:sz w:val="16"/>
                <w:szCs w:val="16"/>
              </w:rPr>
              <w:t>21 781</w:t>
            </w:r>
          </w:p>
        </w:tc>
        <w:tc>
          <w:tcPr>
            <w:tcW w:w="806" w:type="dxa"/>
            <w:noWrap/>
            <w:vAlign w:val="bottom"/>
          </w:tcPr>
          <w:p w:rsidR="00000000" w:rsidRDefault="00000000">
            <w:pPr>
              <w:spacing w:before="60" w:after="60"/>
              <w:ind w:right="113"/>
              <w:jc w:val="right"/>
              <w:rPr>
                <w:sz w:val="16"/>
                <w:szCs w:val="16"/>
              </w:rPr>
            </w:pPr>
            <w:r>
              <w:rPr>
                <w:sz w:val="16"/>
                <w:szCs w:val="16"/>
              </w:rPr>
              <w:t>22 664</w:t>
            </w:r>
          </w:p>
        </w:tc>
        <w:tc>
          <w:tcPr>
            <w:tcW w:w="681" w:type="dxa"/>
            <w:noWrap/>
            <w:vAlign w:val="bottom"/>
          </w:tcPr>
          <w:p w:rsidR="00000000" w:rsidRDefault="00000000">
            <w:pPr>
              <w:spacing w:before="60" w:after="60"/>
              <w:ind w:right="113"/>
              <w:jc w:val="right"/>
              <w:rPr>
                <w:sz w:val="16"/>
                <w:szCs w:val="16"/>
              </w:rPr>
            </w:pPr>
            <w:r>
              <w:rPr>
                <w:sz w:val="16"/>
                <w:szCs w:val="16"/>
              </w:rPr>
              <w:t>23 453</w:t>
            </w:r>
          </w:p>
        </w:tc>
      </w:tr>
      <w:tr w:rsidR="00000000">
        <w:trPr>
          <w:jc w:val="center"/>
        </w:trPr>
        <w:tc>
          <w:tcPr>
            <w:tcW w:w="746" w:type="dxa"/>
            <w:noWrap/>
            <w:vAlign w:val="bottom"/>
          </w:tcPr>
          <w:p w:rsidR="00000000" w:rsidRDefault="00000000">
            <w:pPr>
              <w:spacing w:before="60" w:after="60"/>
              <w:rPr>
                <w:sz w:val="16"/>
                <w:szCs w:val="16"/>
              </w:rPr>
            </w:pPr>
            <w:r>
              <w:rPr>
                <w:sz w:val="16"/>
                <w:szCs w:val="16"/>
              </w:rPr>
              <w:t>66</w:t>
            </w:r>
          </w:p>
        </w:tc>
        <w:tc>
          <w:tcPr>
            <w:tcW w:w="653" w:type="dxa"/>
            <w:noWrap/>
            <w:vAlign w:val="bottom"/>
          </w:tcPr>
          <w:p w:rsidR="00000000" w:rsidRDefault="00000000">
            <w:pPr>
              <w:spacing w:before="60" w:after="60"/>
              <w:ind w:right="113"/>
              <w:jc w:val="right"/>
              <w:rPr>
                <w:sz w:val="16"/>
                <w:szCs w:val="16"/>
              </w:rPr>
            </w:pPr>
            <w:r>
              <w:rPr>
                <w:sz w:val="16"/>
                <w:szCs w:val="16"/>
              </w:rPr>
              <w:t>16 256</w:t>
            </w:r>
          </w:p>
        </w:tc>
        <w:tc>
          <w:tcPr>
            <w:tcW w:w="653" w:type="dxa"/>
            <w:noWrap/>
            <w:vAlign w:val="bottom"/>
          </w:tcPr>
          <w:p w:rsidR="00000000" w:rsidRDefault="00000000">
            <w:pPr>
              <w:spacing w:before="60" w:after="60"/>
              <w:ind w:right="113"/>
              <w:jc w:val="right"/>
              <w:rPr>
                <w:sz w:val="16"/>
                <w:szCs w:val="16"/>
              </w:rPr>
            </w:pPr>
            <w:r>
              <w:rPr>
                <w:sz w:val="16"/>
                <w:szCs w:val="16"/>
              </w:rPr>
              <w:t>16 595</w:t>
            </w:r>
          </w:p>
        </w:tc>
        <w:tc>
          <w:tcPr>
            <w:tcW w:w="654" w:type="dxa"/>
            <w:noWrap/>
            <w:vAlign w:val="bottom"/>
          </w:tcPr>
          <w:p w:rsidR="00000000" w:rsidRDefault="00000000">
            <w:pPr>
              <w:spacing w:before="60" w:after="60"/>
              <w:ind w:right="113"/>
              <w:jc w:val="right"/>
              <w:rPr>
                <w:sz w:val="16"/>
                <w:szCs w:val="16"/>
              </w:rPr>
            </w:pPr>
            <w:r>
              <w:rPr>
                <w:sz w:val="16"/>
                <w:szCs w:val="16"/>
              </w:rPr>
              <w:t>16 719</w:t>
            </w:r>
          </w:p>
        </w:tc>
        <w:tc>
          <w:tcPr>
            <w:tcW w:w="654" w:type="dxa"/>
            <w:noWrap/>
            <w:vAlign w:val="bottom"/>
          </w:tcPr>
          <w:p w:rsidR="00000000" w:rsidRDefault="00000000">
            <w:pPr>
              <w:spacing w:before="60" w:after="60"/>
              <w:ind w:right="113"/>
              <w:jc w:val="right"/>
              <w:rPr>
                <w:sz w:val="16"/>
                <w:szCs w:val="16"/>
              </w:rPr>
            </w:pPr>
            <w:r>
              <w:rPr>
                <w:sz w:val="16"/>
                <w:szCs w:val="16"/>
              </w:rPr>
              <w:t>16 664</w:t>
            </w:r>
          </w:p>
        </w:tc>
        <w:tc>
          <w:tcPr>
            <w:tcW w:w="655" w:type="dxa"/>
            <w:noWrap/>
            <w:vAlign w:val="bottom"/>
          </w:tcPr>
          <w:p w:rsidR="00000000" w:rsidRDefault="00000000">
            <w:pPr>
              <w:spacing w:before="60" w:after="60"/>
              <w:ind w:right="113"/>
              <w:jc w:val="right"/>
              <w:rPr>
                <w:sz w:val="16"/>
                <w:szCs w:val="16"/>
              </w:rPr>
            </w:pPr>
            <w:r>
              <w:rPr>
                <w:sz w:val="16"/>
                <w:szCs w:val="16"/>
              </w:rPr>
              <w:t>16 582</w:t>
            </w:r>
          </w:p>
        </w:tc>
        <w:tc>
          <w:tcPr>
            <w:tcW w:w="654" w:type="dxa"/>
            <w:noWrap/>
            <w:vAlign w:val="bottom"/>
          </w:tcPr>
          <w:p w:rsidR="00000000" w:rsidRDefault="00000000">
            <w:pPr>
              <w:spacing w:before="60" w:after="60"/>
              <w:ind w:right="113"/>
              <w:jc w:val="right"/>
              <w:rPr>
                <w:sz w:val="16"/>
                <w:szCs w:val="16"/>
              </w:rPr>
            </w:pPr>
            <w:r>
              <w:rPr>
                <w:sz w:val="16"/>
                <w:szCs w:val="16"/>
              </w:rPr>
              <w:t>16 628</w:t>
            </w:r>
          </w:p>
        </w:tc>
        <w:tc>
          <w:tcPr>
            <w:tcW w:w="655" w:type="dxa"/>
            <w:noWrap/>
            <w:vAlign w:val="bottom"/>
          </w:tcPr>
          <w:p w:rsidR="00000000" w:rsidRDefault="00000000">
            <w:pPr>
              <w:spacing w:before="60" w:after="60"/>
              <w:ind w:right="113"/>
              <w:jc w:val="right"/>
              <w:rPr>
                <w:sz w:val="16"/>
                <w:szCs w:val="16"/>
              </w:rPr>
            </w:pPr>
            <w:r>
              <w:rPr>
                <w:sz w:val="16"/>
                <w:szCs w:val="16"/>
              </w:rPr>
              <w:t>16 954</w:t>
            </w:r>
          </w:p>
        </w:tc>
        <w:tc>
          <w:tcPr>
            <w:tcW w:w="654" w:type="dxa"/>
            <w:noWrap/>
            <w:vAlign w:val="bottom"/>
          </w:tcPr>
          <w:p w:rsidR="00000000" w:rsidRDefault="00000000">
            <w:pPr>
              <w:spacing w:before="60" w:after="60"/>
              <w:ind w:right="113"/>
              <w:jc w:val="right"/>
              <w:rPr>
                <w:sz w:val="16"/>
                <w:szCs w:val="16"/>
              </w:rPr>
            </w:pPr>
            <w:r>
              <w:rPr>
                <w:sz w:val="16"/>
                <w:szCs w:val="16"/>
              </w:rPr>
              <w:t>17 654</w:t>
            </w:r>
          </w:p>
        </w:tc>
        <w:tc>
          <w:tcPr>
            <w:tcW w:w="655" w:type="dxa"/>
            <w:noWrap/>
            <w:vAlign w:val="bottom"/>
          </w:tcPr>
          <w:p w:rsidR="00000000" w:rsidRDefault="00000000">
            <w:pPr>
              <w:spacing w:before="60" w:after="60"/>
              <w:ind w:right="113"/>
              <w:jc w:val="right"/>
              <w:rPr>
                <w:sz w:val="16"/>
                <w:szCs w:val="16"/>
              </w:rPr>
            </w:pPr>
            <w:r>
              <w:rPr>
                <w:sz w:val="16"/>
                <w:szCs w:val="16"/>
              </w:rPr>
              <w:t>18 626</w:t>
            </w:r>
          </w:p>
        </w:tc>
        <w:tc>
          <w:tcPr>
            <w:tcW w:w="654" w:type="dxa"/>
            <w:noWrap/>
            <w:vAlign w:val="bottom"/>
          </w:tcPr>
          <w:p w:rsidR="00000000" w:rsidRDefault="00000000">
            <w:pPr>
              <w:spacing w:before="60" w:after="60"/>
              <w:ind w:right="113"/>
              <w:jc w:val="right"/>
              <w:rPr>
                <w:sz w:val="16"/>
                <w:szCs w:val="16"/>
              </w:rPr>
            </w:pPr>
            <w:r>
              <w:rPr>
                <w:sz w:val="16"/>
                <w:szCs w:val="16"/>
              </w:rPr>
              <w:t>19 729</w:t>
            </w:r>
          </w:p>
        </w:tc>
        <w:tc>
          <w:tcPr>
            <w:tcW w:w="655" w:type="dxa"/>
            <w:noWrap/>
            <w:vAlign w:val="bottom"/>
          </w:tcPr>
          <w:p w:rsidR="00000000" w:rsidRDefault="00000000">
            <w:pPr>
              <w:spacing w:before="60" w:after="60"/>
              <w:ind w:right="113"/>
              <w:jc w:val="right"/>
              <w:rPr>
                <w:sz w:val="16"/>
                <w:szCs w:val="16"/>
              </w:rPr>
            </w:pPr>
            <w:r>
              <w:rPr>
                <w:sz w:val="16"/>
                <w:szCs w:val="16"/>
              </w:rPr>
              <w:t>20 823</w:t>
            </w:r>
          </w:p>
        </w:tc>
        <w:tc>
          <w:tcPr>
            <w:tcW w:w="806" w:type="dxa"/>
            <w:noWrap/>
            <w:vAlign w:val="bottom"/>
          </w:tcPr>
          <w:p w:rsidR="00000000" w:rsidRDefault="00000000">
            <w:pPr>
              <w:spacing w:before="60" w:after="60"/>
              <w:ind w:right="113"/>
              <w:jc w:val="right"/>
              <w:rPr>
                <w:sz w:val="16"/>
                <w:szCs w:val="16"/>
              </w:rPr>
            </w:pPr>
            <w:r>
              <w:rPr>
                <w:sz w:val="16"/>
                <w:szCs w:val="16"/>
              </w:rPr>
              <w:t>21 768</w:t>
            </w:r>
          </w:p>
        </w:tc>
        <w:tc>
          <w:tcPr>
            <w:tcW w:w="681" w:type="dxa"/>
            <w:noWrap/>
            <w:vAlign w:val="bottom"/>
          </w:tcPr>
          <w:p w:rsidR="00000000" w:rsidRDefault="00000000">
            <w:pPr>
              <w:spacing w:before="60" w:after="60"/>
              <w:ind w:right="113"/>
              <w:jc w:val="right"/>
              <w:rPr>
                <w:sz w:val="16"/>
                <w:szCs w:val="16"/>
              </w:rPr>
            </w:pPr>
            <w:r>
              <w:rPr>
                <w:sz w:val="16"/>
                <w:szCs w:val="16"/>
              </w:rPr>
              <w:t>22 494</w:t>
            </w:r>
          </w:p>
        </w:tc>
      </w:tr>
      <w:tr w:rsidR="00000000">
        <w:trPr>
          <w:jc w:val="center"/>
        </w:trPr>
        <w:tc>
          <w:tcPr>
            <w:tcW w:w="746" w:type="dxa"/>
            <w:noWrap/>
            <w:vAlign w:val="bottom"/>
          </w:tcPr>
          <w:p w:rsidR="00000000" w:rsidRDefault="00000000">
            <w:pPr>
              <w:spacing w:before="60" w:after="60"/>
              <w:rPr>
                <w:sz w:val="16"/>
                <w:szCs w:val="16"/>
              </w:rPr>
            </w:pPr>
            <w:r>
              <w:rPr>
                <w:sz w:val="16"/>
                <w:szCs w:val="16"/>
              </w:rPr>
              <w:t>67</w:t>
            </w:r>
          </w:p>
        </w:tc>
        <w:tc>
          <w:tcPr>
            <w:tcW w:w="653" w:type="dxa"/>
            <w:noWrap/>
            <w:vAlign w:val="bottom"/>
          </w:tcPr>
          <w:p w:rsidR="00000000" w:rsidRDefault="00000000">
            <w:pPr>
              <w:spacing w:before="60" w:after="60"/>
              <w:ind w:right="113"/>
              <w:jc w:val="right"/>
              <w:rPr>
                <w:sz w:val="16"/>
                <w:szCs w:val="16"/>
              </w:rPr>
            </w:pPr>
            <w:r>
              <w:rPr>
                <w:sz w:val="16"/>
                <w:szCs w:val="16"/>
              </w:rPr>
              <w:t>15 850</w:t>
            </w:r>
          </w:p>
        </w:tc>
        <w:tc>
          <w:tcPr>
            <w:tcW w:w="653" w:type="dxa"/>
            <w:noWrap/>
            <w:vAlign w:val="bottom"/>
          </w:tcPr>
          <w:p w:rsidR="00000000" w:rsidRDefault="00000000">
            <w:pPr>
              <w:spacing w:before="60" w:after="60"/>
              <w:ind w:right="113"/>
              <w:jc w:val="right"/>
              <w:rPr>
                <w:sz w:val="16"/>
                <w:szCs w:val="16"/>
              </w:rPr>
            </w:pPr>
            <w:r>
              <w:rPr>
                <w:sz w:val="16"/>
                <w:szCs w:val="16"/>
              </w:rPr>
              <w:t>16 226</w:t>
            </w:r>
          </w:p>
        </w:tc>
        <w:tc>
          <w:tcPr>
            <w:tcW w:w="654" w:type="dxa"/>
            <w:noWrap/>
            <w:vAlign w:val="bottom"/>
          </w:tcPr>
          <w:p w:rsidR="00000000" w:rsidRDefault="00000000">
            <w:pPr>
              <w:spacing w:before="60" w:after="60"/>
              <w:ind w:right="113"/>
              <w:jc w:val="right"/>
              <w:rPr>
                <w:sz w:val="16"/>
                <w:szCs w:val="16"/>
              </w:rPr>
            </w:pPr>
            <w:r>
              <w:rPr>
                <w:sz w:val="16"/>
                <w:szCs w:val="16"/>
              </w:rPr>
              <w:t>16 267</w:t>
            </w:r>
          </w:p>
        </w:tc>
        <w:tc>
          <w:tcPr>
            <w:tcW w:w="654" w:type="dxa"/>
            <w:noWrap/>
            <w:vAlign w:val="bottom"/>
          </w:tcPr>
          <w:p w:rsidR="00000000" w:rsidRDefault="00000000">
            <w:pPr>
              <w:spacing w:before="60" w:after="60"/>
              <w:ind w:right="113"/>
              <w:jc w:val="right"/>
              <w:rPr>
                <w:sz w:val="16"/>
                <w:szCs w:val="16"/>
              </w:rPr>
            </w:pPr>
            <w:r>
              <w:rPr>
                <w:sz w:val="16"/>
                <w:szCs w:val="16"/>
              </w:rPr>
              <w:t>16 042</w:t>
            </w:r>
          </w:p>
        </w:tc>
        <w:tc>
          <w:tcPr>
            <w:tcW w:w="655" w:type="dxa"/>
            <w:noWrap/>
            <w:vAlign w:val="bottom"/>
          </w:tcPr>
          <w:p w:rsidR="00000000" w:rsidRDefault="00000000">
            <w:pPr>
              <w:spacing w:before="60" w:after="60"/>
              <w:ind w:right="113"/>
              <w:jc w:val="right"/>
              <w:rPr>
                <w:sz w:val="16"/>
                <w:szCs w:val="16"/>
              </w:rPr>
            </w:pPr>
            <w:r>
              <w:rPr>
                <w:sz w:val="16"/>
                <w:szCs w:val="16"/>
              </w:rPr>
              <w:t>15 756</w:t>
            </w:r>
          </w:p>
        </w:tc>
        <w:tc>
          <w:tcPr>
            <w:tcW w:w="654" w:type="dxa"/>
            <w:noWrap/>
            <w:vAlign w:val="bottom"/>
          </w:tcPr>
          <w:p w:rsidR="00000000" w:rsidRDefault="00000000">
            <w:pPr>
              <w:spacing w:before="60" w:after="60"/>
              <w:ind w:right="113"/>
              <w:jc w:val="right"/>
              <w:rPr>
                <w:sz w:val="16"/>
                <w:szCs w:val="16"/>
              </w:rPr>
            </w:pPr>
            <w:r>
              <w:rPr>
                <w:sz w:val="16"/>
                <w:szCs w:val="16"/>
              </w:rPr>
              <w:t>15 613</w:t>
            </w:r>
          </w:p>
        </w:tc>
        <w:tc>
          <w:tcPr>
            <w:tcW w:w="655" w:type="dxa"/>
            <w:noWrap/>
            <w:vAlign w:val="bottom"/>
          </w:tcPr>
          <w:p w:rsidR="00000000" w:rsidRDefault="00000000">
            <w:pPr>
              <w:spacing w:before="60" w:after="60"/>
              <w:ind w:right="113"/>
              <w:jc w:val="right"/>
              <w:rPr>
                <w:sz w:val="16"/>
                <w:szCs w:val="16"/>
              </w:rPr>
            </w:pPr>
            <w:r>
              <w:rPr>
                <w:sz w:val="16"/>
                <w:szCs w:val="16"/>
              </w:rPr>
              <w:t>15 818</w:t>
            </w:r>
          </w:p>
        </w:tc>
        <w:tc>
          <w:tcPr>
            <w:tcW w:w="654" w:type="dxa"/>
            <w:noWrap/>
            <w:vAlign w:val="bottom"/>
          </w:tcPr>
          <w:p w:rsidR="00000000" w:rsidRDefault="00000000">
            <w:pPr>
              <w:spacing w:before="60" w:after="60"/>
              <w:ind w:right="113"/>
              <w:jc w:val="right"/>
              <w:rPr>
                <w:sz w:val="16"/>
                <w:szCs w:val="16"/>
              </w:rPr>
            </w:pPr>
            <w:r>
              <w:rPr>
                <w:sz w:val="16"/>
                <w:szCs w:val="16"/>
              </w:rPr>
              <w:t>16 487</w:t>
            </w:r>
          </w:p>
        </w:tc>
        <w:tc>
          <w:tcPr>
            <w:tcW w:w="655" w:type="dxa"/>
            <w:noWrap/>
            <w:vAlign w:val="bottom"/>
          </w:tcPr>
          <w:p w:rsidR="00000000" w:rsidRDefault="00000000">
            <w:pPr>
              <w:spacing w:before="60" w:after="60"/>
              <w:ind w:right="113"/>
              <w:jc w:val="right"/>
              <w:rPr>
                <w:sz w:val="16"/>
                <w:szCs w:val="16"/>
              </w:rPr>
            </w:pPr>
            <w:r>
              <w:rPr>
                <w:sz w:val="16"/>
                <w:szCs w:val="16"/>
              </w:rPr>
              <w:t>17 482</w:t>
            </w:r>
          </w:p>
        </w:tc>
        <w:tc>
          <w:tcPr>
            <w:tcW w:w="654" w:type="dxa"/>
            <w:noWrap/>
            <w:vAlign w:val="bottom"/>
          </w:tcPr>
          <w:p w:rsidR="00000000" w:rsidRDefault="00000000">
            <w:pPr>
              <w:spacing w:before="60" w:after="60"/>
              <w:ind w:right="113"/>
              <w:jc w:val="right"/>
              <w:rPr>
                <w:sz w:val="16"/>
                <w:szCs w:val="16"/>
              </w:rPr>
            </w:pPr>
            <w:r>
              <w:rPr>
                <w:sz w:val="16"/>
                <w:szCs w:val="16"/>
              </w:rPr>
              <w:t>18 632</w:t>
            </w:r>
          </w:p>
        </w:tc>
        <w:tc>
          <w:tcPr>
            <w:tcW w:w="655" w:type="dxa"/>
            <w:noWrap/>
            <w:vAlign w:val="bottom"/>
          </w:tcPr>
          <w:p w:rsidR="00000000" w:rsidRDefault="00000000">
            <w:pPr>
              <w:spacing w:before="60" w:after="60"/>
              <w:ind w:right="113"/>
              <w:jc w:val="right"/>
              <w:rPr>
                <w:sz w:val="16"/>
                <w:szCs w:val="16"/>
              </w:rPr>
            </w:pPr>
            <w:r>
              <w:rPr>
                <w:sz w:val="16"/>
                <w:szCs w:val="16"/>
              </w:rPr>
              <w:t>19 764</w:t>
            </w:r>
          </w:p>
        </w:tc>
        <w:tc>
          <w:tcPr>
            <w:tcW w:w="806" w:type="dxa"/>
            <w:noWrap/>
            <w:vAlign w:val="bottom"/>
          </w:tcPr>
          <w:p w:rsidR="00000000" w:rsidRDefault="00000000">
            <w:pPr>
              <w:spacing w:before="60" w:after="60"/>
              <w:ind w:right="113"/>
              <w:jc w:val="right"/>
              <w:rPr>
                <w:sz w:val="16"/>
                <w:szCs w:val="16"/>
              </w:rPr>
            </w:pPr>
            <w:r>
              <w:rPr>
                <w:sz w:val="16"/>
                <w:szCs w:val="16"/>
              </w:rPr>
              <w:t>20 705</w:t>
            </w:r>
          </w:p>
        </w:tc>
        <w:tc>
          <w:tcPr>
            <w:tcW w:w="681" w:type="dxa"/>
            <w:noWrap/>
            <w:vAlign w:val="bottom"/>
          </w:tcPr>
          <w:p w:rsidR="00000000" w:rsidRDefault="00000000">
            <w:pPr>
              <w:spacing w:before="60" w:after="60"/>
              <w:ind w:right="113"/>
              <w:jc w:val="right"/>
              <w:rPr>
                <w:sz w:val="16"/>
                <w:szCs w:val="16"/>
              </w:rPr>
            </w:pPr>
            <w:r>
              <w:rPr>
                <w:sz w:val="16"/>
                <w:szCs w:val="16"/>
              </w:rPr>
              <w:t>21 384</w:t>
            </w:r>
          </w:p>
        </w:tc>
      </w:tr>
      <w:tr w:rsidR="00000000">
        <w:trPr>
          <w:jc w:val="center"/>
        </w:trPr>
        <w:tc>
          <w:tcPr>
            <w:tcW w:w="746" w:type="dxa"/>
            <w:noWrap/>
            <w:vAlign w:val="bottom"/>
          </w:tcPr>
          <w:p w:rsidR="00000000" w:rsidRDefault="00000000">
            <w:pPr>
              <w:spacing w:before="60" w:after="60"/>
              <w:rPr>
                <w:sz w:val="16"/>
                <w:szCs w:val="16"/>
              </w:rPr>
            </w:pPr>
            <w:r>
              <w:rPr>
                <w:sz w:val="16"/>
                <w:szCs w:val="16"/>
              </w:rPr>
              <w:t>68</w:t>
            </w:r>
          </w:p>
        </w:tc>
        <w:tc>
          <w:tcPr>
            <w:tcW w:w="653" w:type="dxa"/>
            <w:noWrap/>
            <w:vAlign w:val="bottom"/>
          </w:tcPr>
          <w:p w:rsidR="00000000" w:rsidRDefault="00000000">
            <w:pPr>
              <w:spacing w:before="60" w:after="60"/>
              <w:ind w:right="113"/>
              <w:jc w:val="right"/>
              <w:rPr>
                <w:sz w:val="16"/>
                <w:szCs w:val="16"/>
              </w:rPr>
            </w:pPr>
            <w:r>
              <w:rPr>
                <w:sz w:val="16"/>
                <w:szCs w:val="16"/>
              </w:rPr>
              <w:t>15 030</w:t>
            </w:r>
          </w:p>
        </w:tc>
        <w:tc>
          <w:tcPr>
            <w:tcW w:w="653" w:type="dxa"/>
            <w:noWrap/>
            <w:vAlign w:val="bottom"/>
          </w:tcPr>
          <w:p w:rsidR="00000000" w:rsidRDefault="00000000">
            <w:pPr>
              <w:spacing w:before="60" w:after="60"/>
              <w:ind w:right="113"/>
              <w:jc w:val="right"/>
              <w:rPr>
                <w:sz w:val="16"/>
                <w:szCs w:val="16"/>
              </w:rPr>
            </w:pPr>
            <w:r>
              <w:rPr>
                <w:sz w:val="16"/>
                <w:szCs w:val="16"/>
              </w:rPr>
              <w:t>15 416</w:t>
            </w:r>
          </w:p>
        </w:tc>
        <w:tc>
          <w:tcPr>
            <w:tcW w:w="654" w:type="dxa"/>
            <w:noWrap/>
            <w:vAlign w:val="bottom"/>
          </w:tcPr>
          <w:p w:rsidR="00000000" w:rsidRDefault="00000000">
            <w:pPr>
              <w:spacing w:before="60" w:after="60"/>
              <w:ind w:right="113"/>
              <w:jc w:val="right"/>
              <w:rPr>
                <w:sz w:val="16"/>
                <w:szCs w:val="16"/>
              </w:rPr>
            </w:pPr>
            <w:r>
              <w:rPr>
                <w:sz w:val="16"/>
                <w:szCs w:val="16"/>
              </w:rPr>
              <w:t>15 499</w:t>
            </w:r>
          </w:p>
        </w:tc>
        <w:tc>
          <w:tcPr>
            <w:tcW w:w="654" w:type="dxa"/>
            <w:noWrap/>
            <w:vAlign w:val="bottom"/>
          </w:tcPr>
          <w:p w:rsidR="00000000" w:rsidRDefault="00000000">
            <w:pPr>
              <w:spacing w:before="60" w:after="60"/>
              <w:ind w:right="113"/>
              <w:jc w:val="right"/>
              <w:rPr>
                <w:sz w:val="16"/>
                <w:szCs w:val="16"/>
              </w:rPr>
            </w:pPr>
            <w:r>
              <w:rPr>
                <w:sz w:val="16"/>
                <w:szCs w:val="16"/>
              </w:rPr>
              <w:t>15 345</w:t>
            </w:r>
          </w:p>
        </w:tc>
        <w:tc>
          <w:tcPr>
            <w:tcW w:w="655" w:type="dxa"/>
            <w:noWrap/>
            <w:vAlign w:val="bottom"/>
          </w:tcPr>
          <w:p w:rsidR="00000000" w:rsidRDefault="00000000">
            <w:pPr>
              <w:spacing w:before="60" w:after="60"/>
              <w:ind w:right="113"/>
              <w:jc w:val="right"/>
              <w:rPr>
                <w:sz w:val="16"/>
                <w:szCs w:val="16"/>
              </w:rPr>
            </w:pPr>
            <w:r>
              <w:rPr>
                <w:sz w:val="16"/>
                <w:szCs w:val="16"/>
              </w:rPr>
              <w:t>15 129</w:t>
            </w:r>
          </w:p>
        </w:tc>
        <w:tc>
          <w:tcPr>
            <w:tcW w:w="654" w:type="dxa"/>
            <w:noWrap/>
            <w:vAlign w:val="bottom"/>
          </w:tcPr>
          <w:p w:rsidR="00000000" w:rsidRDefault="00000000">
            <w:pPr>
              <w:spacing w:before="60" w:after="60"/>
              <w:ind w:right="113"/>
              <w:jc w:val="right"/>
              <w:rPr>
                <w:sz w:val="16"/>
                <w:szCs w:val="16"/>
              </w:rPr>
            </w:pPr>
            <w:r>
              <w:rPr>
                <w:sz w:val="16"/>
                <w:szCs w:val="16"/>
              </w:rPr>
              <w:t>15 027</w:t>
            </w:r>
          </w:p>
        </w:tc>
        <w:tc>
          <w:tcPr>
            <w:tcW w:w="655" w:type="dxa"/>
            <w:noWrap/>
            <w:vAlign w:val="bottom"/>
          </w:tcPr>
          <w:p w:rsidR="00000000" w:rsidRDefault="00000000">
            <w:pPr>
              <w:spacing w:before="60" w:after="60"/>
              <w:ind w:right="113"/>
              <w:jc w:val="right"/>
              <w:rPr>
                <w:sz w:val="16"/>
                <w:szCs w:val="16"/>
              </w:rPr>
            </w:pPr>
            <w:r>
              <w:rPr>
                <w:sz w:val="16"/>
                <w:szCs w:val="16"/>
              </w:rPr>
              <w:t>15 215</w:t>
            </w:r>
          </w:p>
        </w:tc>
        <w:tc>
          <w:tcPr>
            <w:tcW w:w="654" w:type="dxa"/>
            <w:noWrap/>
            <w:vAlign w:val="bottom"/>
          </w:tcPr>
          <w:p w:rsidR="00000000" w:rsidRDefault="00000000">
            <w:pPr>
              <w:spacing w:before="60" w:after="60"/>
              <w:ind w:right="113"/>
              <w:jc w:val="right"/>
              <w:rPr>
                <w:sz w:val="16"/>
                <w:szCs w:val="16"/>
              </w:rPr>
            </w:pPr>
            <w:r>
              <w:rPr>
                <w:sz w:val="16"/>
                <w:szCs w:val="16"/>
              </w:rPr>
              <w:t>15 780</w:t>
            </w:r>
          </w:p>
        </w:tc>
        <w:tc>
          <w:tcPr>
            <w:tcW w:w="655" w:type="dxa"/>
            <w:noWrap/>
            <w:vAlign w:val="bottom"/>
          </w:tcPr>
          <w:p w:rsidR="00000000" w:rsidRDefault="00000000">
            <w:pPr>
              <w:spacing w:before="60" w:after="60"/>
              <w:ind w:right="113"/>
              <w:jc w:val="right"/>
              <w:rPr>
                <w:sz w:val="16"/>
                <w:szCs w:val="16"/>
              </w:rPr>
            </w:pPr>
            <w:r>
              <w:rPr>
                <w:sz w:val="16"/>
                <w:szCs w:val="16"/>
              </w:rPr>
              <w:t>16 604</w:t>
            </w:r>
          </w:p>
        </w:tc>
        <w:tc>
          <w:tcPr>
            <w:tcW w:w="654" w:type="dxa"/>
            <w:noWrap/>
            <w:vAlign w:val="bottom"/>
          </w:tcPr>
          <w:p w:rsidR="00000000" w:rsidRDefault="00000000">
            <w:pPr>
              <w:spacing w:before="60" w:after="60"/>
              <w:ind w:right="113"/>
              <w:jc w:val="right"/>
              <w:rPr>
                <w:sz w:val="16"/>
                <w:szCs w:val="16"/>
              </w:rPr>
            </w:pPr>
            <w:r>
              <w:rPr>
                <w:sz w:val="16"/>
                <w:szCs w:val="16"/>
              </w:rPr>
              <w:t>17 557</w:t>
            </w:r>
          </w:p>
        </w:tc>
        <w:tc>
          <w:tcPr>
            <w:tcW w:w="655" w:type="dxa"/>
            <w:noWrap/>
            <w:vAlign w:val="bottom"/>
          </w:tcPr>
          <w:p w:rsidR="00000000" w:rsidRDefault="00000000">
            <w:pPr>
              <w:spacing w:before="60" w:after="60"/>
              <w:ind w:right="113"/>
              <w:jc w:val="right"/>
              <w:rPr>
                <w:sz w:val="16"/>
                <w:szCs w:val="16"/>
              </w:rPr>
            </w:pPr>
            <w:r>
              <w:rPr>
                <w:sz w:val="16"/>
                <w:szCs w:val="16"/>
              </w:rPr>
              <w:t>18 512</w:t>
            </w:r>
          </w:p>
        </w:tc>
        <w:tc>
          <w:tcPr>
            <w:tcW w:w="806" w:type="dxa"/>
            <w:noWrap/>
            <w:vAlign w:val="bottom"/>
          </w:tcPr>
          <w:p w:rsidR="00000000" w:rsidRDefault="00000000">
            <w:pPr>
              <w:spacing w:before="60" w:after="60"/>
              <w:ind w:right="113"/>
              <w:jc w:val="right"/>
              <w:rPr>
                <w:sz w:val="16"/>
                <w:szCs w:val="16"/>
              </w:rPr>
            </w:pPr>
            <w:r>
              <w:rPr>
                <w:sz w:val="16"/>
                <w:szCs w:val="16"/>
              </w:rPr>
              <w:t>19 340</w:t>
            </w:r>
          </w:p>
        </w:tc>
        <w:tc>
          <w:tcPr>
            <w:tcW w:w="681" w:type="dxa"/>
            <w:noWrap/>
            <w:vAlign w:val="bottom"/>
          </w:tcPr>
          <w:p w:rsidR="00000000" w:rsidRDefault="00000000">
            <w:pPr>
              <w:spacing w:before="60" w:after="60"/>
              <w:ind w:right="113"/>
              <w:jc w:val="right"/>
              <w:rPr>
                <w:sz w:val="16"/>
                <w:szCs w:val="16"/>
              </w:rPr>
            </w:pPr>
            <w:r>
              <w:rPr>
                <w:sz w:val="16"/>
                <w:szCs w:val="16"/>
              </w:rPr>
              <w:t>19 992</w:t>
            </w:r>
          </w:p>
        </w:tc>
      </w:tr>
      <w:tr w:rsidR="00000000">
        <w:trPr>
          <w:jc w:val="center"/>
        </w:trPr>
        <w:tc>
          <w:tcPr>
            <w:tcW w:w="746" w:type="dxa"/>
            <w:noWrap/>
            <w:vAlign w:val="bottom"/>
          </w:tcPr>
          <w:p w:rsidR="00000000" w:rsidRDefault="00000000">
            <w:pPr>
              <w:spacing w:before="60" w:after="60"/>
              <w:rPr>
                <w:sz w:val="16"/>
                <w:szCs w:val="16"/>
              </w:rPr>
            </w:pPr>
            <w:r>
              <w:rPr>
                <w:sz w:val="16"/>
                <w:szCs w:val="16"/>
              </w:rPr>
              <w:t>69</w:t>
            </w:r>
          </w:p>
        </w:tc>
        <w:tc>
          <w:tcPr>
            <w:tcW w:w="653" w:type="dxa"/>
            <w:noWrap/>
            <w:vAlign w:val="bottom"/>
          </w:tcPr>
          <w:p w:rsidR="00000000" w:rsidRDefault="00000000">
            <w:pPr>
              <w:spacing w:before="60" w:after="60"/>
              <w:ind w:right="113"/>
              <w:jc w:val="right"/>
              <w:rPr>
                <w:sz w:val="16"/>
                <w:szCs w:val="16"/>
              </w:rPr>
            </w:pPr>
            <w:r>
              <w:rPr>
                <w:sz w:val="16"/>
                <w:szCs w:val="16"/>
              </w:rPr>
              <w:t>13 949</w:t>
            </w:r>
          </w:p>
        </w:tc>
        <w:tc>
          <w:tcPr>
            <w:tcW w:w="653" w:type="dxa"/>
            <w:noWrap/>
            <w:vAlign w:val="bottom"/>
          </w:tcPr>
          <w:p w:rsidR="00000000" w:rsidRDefault="00000000">
            <w:pPr>
              <w:spacing w:before="60" w:after="60"/>
              <w:ind w:right="113"/>
              <w:jc w:val="right"/>
              <w:rPr>
                <w:sz w:val="16"/>
                <w:szCs w:val="16"/>
              </w:rPr>
            </w:pPr>
            <w:r>
              <w:rPr>
                <w:sz w:val="16"/>
                <w:szCs w:val="16"/>
              </w:rPr>
              <w:t>14 328</w:t>
            </w:r>
          </w:p>
        </w:tc>
        <w:tc>
          <w:tcPr>
            <w:tcW w:w="654" w:type="dxa"/>
            <w:noWrap/>
            <w:vAlign w:val="bottom"/>
          </w:tcPr>
          <w:p w:rsidR="00000000" w:rsidRDefault="00000000">
            <w:pPr>
              <w:spacing w:before="60" w:after="60"/>
              <w:ind w:right="113"/>
              <w:jc w:val="right"/>
              <w:rPr>
                <w:sz w:val="16"/>
                <w:szCs w:val="16"/>
              </w:rPr>
            </w:pPr>
            <w:r>
              <w:rPr>
                <w:sz w:val="16"/>
                <w:szCs w:val="16"/>
              </w:rPr>
              <w:t>14 531</w:t>
            </w:r>
          </w:p>
        </w:tc>
        <w:tc>
          <w:tcPr>
            <w:tcW w:w="654" w:type="dxa"/>
            <w:noWrap/>
            <w:vAlign w:val="bottom"/>
          </w:tcPr>
          <w:p w:rsidR="00000000" w:rsidRDefault="00000000">
            <w:pPr>
              <w:spacing w:before="60" w:after="60"/>
              <w:ind w:right="113"/>
              <w:jc w:val="right"/>
              <w:rPr>
                <w:sz w:val="16"/>
                <w:szCs w:val="16"/>
              </w:rPr>
            </w:pPr>
            <w:r>
              <w:rPr>
                <w:sz w:val="16"/>
                <w:szCs w:val="16"/>
              </w:rPr>
              <w:t>14 597</w:t>
            </w:r>
          </w:p>
        </w:tc>
        <w:tc>
          <w:tcPr>
            <w:tcW w:w="655" w:type="dxa"/>
            <w:noWrap/>
            <w:vAlign w:val="bottom"/>
          </w:tcPr>
          <w:p w:rsidR="00000000" w:rsidRDefault="00000000">
            <w:pPr>
              <w:spacing w:before="60" w:after="60"/>
              <w:ind w:right="113"/>
              <w:jc w:val="right"/>
              <w:rPr>
                <w:sz w:val="16"/>
                <w:szCs w:val="16"/>
              </w:rPr>
            </w:pPr>
            <w:r>
              <w:rPr>
                <w:sz w:val="16"/>
                <w:szCs w:val="16"/>
              </w:rPr>
              <w:t>14 624</w:t>
            </w:r>
          </w:p>
        </w:tc>
        <w:tc>
          <w:tcPr>
            <w:tcW w:w="654" w:type="dxa"/>
            <w:noWrap/>
            <w:vAlign w:val="bottom"/>
          </w:tcPr>
          <w:p w:rsidR="00000000" w:rsidRDefault="00000000">
            <w:pPr>
              <w:spacing w:before="60" w:after="60"/>
              <w:ind w:right="113"/>
              <w:jc w:val="right"/>
              <w:rPr>
                <w:sz w:val="16"/>
                <w:szCs w:val="16"/>
              </w:rPr>
            </w:pPr>
            <w:r>
              <w:rPr>
                <w:sz w:val="16"/>
                <w:szCs w:val="16"/>
              </w:rPr>
              <w:t>14 708</w:t>
            </w:r>
          </w:p>
        </w:tc>
        <w:tc>
          <w:tcPr>
            <w:tcW w:w="655" w:type="dxa"/>
            <w:noWrap/>
            <w:vAlign w:val="bottom"/>
          </w:tcPr>
          <w:p w:rsidR="00000000" w:rsidRDefault="00000000">
            <w:pPr>
              <w:spacing w:before="60" w:after="60"/>
              <w:ind w:right="113"/>
              <w:jc w:val="right"/>
              <w:rPr>
                <w:sz w:val="16"/>
                <w:szCs w:val="16"/>
              </w:rPr>
            </w:pPr>
            <w:r>
              <w:rPr>
                <w:sz w:val="16"/>
                <w:szCs w:val="16"/>
              </w:rPr>
              <w:t>14 947</w:t>
            </w:r>
          </w:p>
        </w:tc>
        <w:tc>
          <w:tcPr>
            <w:tcW w:w="654" w:type="dxa"/>
            <w:noWrap/>
            <w:vAlign w:val="bottom"/>
          </w:tcPr>
          <w:p w:rsidR="00000000" w:rsidRDefault="00000000">
            <w:pPr>
              <w:spacing w:before="60" w:after="60"/>
              <w:ind w:right="113"/>
              <w:jc w:val="right"/>
              <w:rPr>
                <w:sz w:val="16"/>
                <w:szCs w:val="16"/>
              </w:rPr>
            </w:pPr>
            <w:r>
              <w:rPr>
                <w:sz w:val="16"/>
                <w:szCs w:val="16"/>
              </w:rPr>
              <w:t>15 367</w:t>
            </w:r>
          </w:p>
        </w:tc>
        <w:tc>
          <w:tcPr>
            <w:tcW w:w="655" w:type="dxa"/>
            <w:noWrap/>
            <w:vAlign w:val="bottom"/>
          </w:tcPr>
          <w:p w:rsidR="00000000" w:rsidRDefault="00000000">
            <w:pPr>
              <w:spacing w:before="60" w:after="60"/>
              <w:ind w:right="113"/>
              <w:jc w:val="right"/>
              <w:rPr>
                <w:sz w:val="16"/>
                <w:szCs w:val="16"/>
              </w:rPr>
            </w:pPr>
            <w:r>
              <w:rPr>
                <w:sz w:val="16"/>
                <w:szCs w:val="16"/>
              </w:rPr>
              <w:t>15 903</w:t>
            </w:r>
          </w:p>
        </w:tc>
        <w:tc>
          <w:tcPr>
            <w:tcW w:w="654" w:type="dxa"/>
            <w:noWrap/>
            <w:vAlign w:val="bottom"/>
          </w:tcPr>
          <w:p w:rsidR="00000000" w:rsidRDefault="00000000">
            <w:pPr>
              <w:spacing w:before="60" w:after="60"/>
              <w:ind w:right="113"/>
              <w:jc w:val="right"/>
              <w:rPr>
                <w:sz w:val="16"/>
                <w:szCs w:val="16"/>
              </w:rPr>
            </w:pPr>
            <w:r>
              <w:rPr>
                <w:sz w:val="16"/>
                <w:szCs w:val="16"/>
              </w:rPr>
              <w:t>16 516</w:t>
            </w:r>
          </w:p>
        </w:tc>
        <w:tc>
          <w:tcPr>
            <w:tcW w:w="655" w:type="dxa"/>
            <w:noWrap/>
            <w:vAlign w:val="bottom"/>
          </w:tcPr>
          <w:p w:rsidR="00000000" w:rsidRDefault="00000000">
            <w:pPr>
              <w:spacing w:before="60" w:after="60"/>
              <w:ind w:right="113"/>
              <w:jc w:val="right"/>
              <w:rPr>
                <w:sz w:val="16"/>
                <w:szCs w:val="16"/>
              </w:rPr>
            </w:pPr>
            <w:r>
              <w:rPr>
                <w:sz w:val="16"/>
                <w:szCs w:val="16"/>
              </w:rPr>
              <w:t>17 166</w:t>
            </w:r>
          </w:p>
        </w:tc>
        <w:tc>
          <w:tcPr>
            <w:tcW w:w="806" w:type="dxa"/>
            <w:noWrap/>
            <w:vAlign w:val="bottom"/>
          </w:tcPr>
          <w:p w:rsidR="00000000" w:rsidRDefault="00000000">
            <w:pPr>
              <w:spacing w:before="60" w:after="60"/>
              <w:ind w:right="113"/>
              <w:jc w:val="right"/>
              <w:rPr>
                <w:sz w:val="16"/>
                <w:szCs w:val="16"/>
              </w:rPr>
            </w:pPr>
            <w:r>
              <w:rPr>
                <w:sz w:val="16"/>
                <w:szCs w:val="16"/>
              </w:rPr>
              <w:t>17 814</w:t>
            </w:r>
          </w:p>
        </w:tc>
        <w:tc>
          <w:tcPr>
            <w:tcW w:w="681" w:type="dxa"/>
            <w:noWrap/>
            <w:vAlign w:val="bottom"/>
          </w:tcPr>
          <w:p w:rsidR="00000000" w:rsidRDefault="00000000">
            <w:pPr>
              <w:spacing w:before="60" w:after="60"/>
              <w:ind w:right="113"/>
              <w:jc w:val="right"/>
              <w:rPr>
                <w:sz w:val="16"/>
                <w:szCs w:val="16"/>
              </w:rPr>
            </w:pPr>
            <w:r>
              <w:rPr>
                <w:sz w:val="16"/>
                <w:szCs w:val="16"/>
              </w:rPr>
              <w:t>18 453</w:t>
            </w:r>
          </w:p>
        </w:tc>
      </w:tr>
      <w:tr w:rsidR="00000000">
        <w:trPr>
          <w:jc w:val="center"/>
        </w:trPr>
        <w:tc>
          <w:tcPr>
            <w:tcW w:w="746" w:type="dxa"/>
            <w:noWrap/>
            <w:vAlign w:val="bottom"/>
          </w:tcPr>
          <w:p w:rsidR="00000000" w:rsidRDefault="00000000">
            <w:pPr>
              <w:spacing w:before="60" w:after="60"/>
              <w:rPr>
                <w:b/>
                <w:bCs/>
                <w:sz w:val="16"/>
                <w:szCs w:val="16"/>
              </w:rPr>
            </w:pPr>
            <w:r>
              <w:rPr>
                <w:b/>
                <w:bCs/>
                <w:sz w:val="16"/>
                <w:szCs w:val="16"/>
              </w:rPr>
              <w:t>70-74</w:t>
            </w:r>
          </w:p>
        </w:tc>
        <w:tc>
          <w:tcPr>
            <w:tcW w:w="653" w:type="dxa"/>
            <w:noWrap/>
            <w:vAlign w:val="bottom"/>
          </w:tcPr>
          <w:p w:rsidR="00000000" w:rsidRDefault="00000000">
            <w:pPr>
              <w:spacing w:before="60" w:after="60"/>
              <w:ind w:right="113"/>
              <w:jc w:val="right"/>
              <w:rPr>
                <w:b/>
                <w:bCs/>
                <w:sz w:val="16"/>
                <w:szCs w:val="16"/>
              </w:rPr>
            </w:pPr>
            <w:r>
              <w:rPr>
                <w:b/>
                <w:bCs/>
                <w:sz w:val="16"/>
                <w:szCs w:val="16"/>
              </w:rPr>
              <w:t>55 467</w:t>
            </w:r>
          </w:p>
        </w:tc>
        <w:tc>
          <w:tcPr>
            <w:tcW w:w="653" w:type="dxa"/>
            <w:noWrap/>
            <w:vAlign w:val="bottom"/>
          </w:tcPr>
          <w:p w:rsidR="00000000" w:rsidRDefault="00000000">
            <w:pPr>
              <w:spacing w:before="60" w:after="60"/>
              <w:ind w:right="113"/>
              <w:jc w:val="right"/>
              <w:rPr>
                <w:b/>
                <w:bCs/>
                <w:sz w:val="16"/>
                <w:szCs w:val="16"/>
              </w:rPr>
            </w:pPr>
            <w:r>
              <w:rPr>
                <w:b/>
                <w:bCs/>
                <w:sz w:val="16"/>
                <w:szCs w:val="16"/>
              </w:rPr>
              <w:t>57 352</w:t>
            </w:r>
          </w:p>
        </w:tc>
        <w:tc>
          <w:tcPr>
            <w:tcW w:w="654" w:type="dxa"/>
            <w:noWrap/>
            <w:vAlign w:val="bottom"/>
          </w:tcPr>
          <w:p w:rsidR="00000000" w:rsidRDefault="00000000">
            <w:pPr>
              <w:spacing w:before="60" w:after="60"/>
              <w:ind w:right="113"/>
              <w:jc w:val="right"/>
              <w:rPr>
                <w:b/>
                <w:bCs/>
                <w:sz w:val="16"/>
                <w:szCs w:val="16"/>
              </w:rPr>
            </w:pPr>
            <w:r>
              <w:rPr>
                <w:b/>
                <w:bCs/>
                <w:sz w:val="16"/>
                <w:szCs w:val="16"/>
              </w:rPr>
              <w:t>59 495</w:t>
            </w:r>
          </w:p>
        </w:tc>
        <w:tc>
          <w:tcPr>
            <w:tcW w:w="654" w:type="dxa"/>
            <w:noWrap/>
            <w:vAlign w:val="bottom"/>
          </w:tcPr>
          <w:p w:rsidR="00000000" w:rsidRDefault="00000000">
            <w:pPr>
              <w:spacing w:before="60" w:after="60"/>
              <w:ind w:right="113"/>
              <w:jc w:val="right"/>
              <w:rPr>
                <w:b/>
                <w:bCs/>
                <w:sz w:val="16"/>
                <w:szCs w:val="16"/>
              </w:rPr>
            </w:pPr>
            <w:r>
              <w:rPr>
                <w:b/>
                <w:bCs/>
                <w:sz w:val="16"/>
                <w:szCs w:val="16"/>
              </w:rPr>
              <w:t>61 881</w:t>
            </w:r>
          </w:p>
        </w:tc>
        <w:tc>
          <w:tcPr>
            <w:tcW w:w="655" w:type="dxa"/>
            <w:noWrap/>
            <w:vAlign w:val="bottom"/>
          </w:tcPr>
          <w:p w:rsidR="00000000" w:rsidRDefault="00000000">
            <w:pPr>
              <w:spacing w:before="60" w:after="60"/>
              <w:ind w:right="113"/>
              <w:jc w:val="right"/>
              <w:rPr>
                <w:b/>
                <w:bCs/>
                <w:sz w:val="16"/>
                <w:szCs w:val="16"/>
              </w:rPr>
            </w:pPr>
            <w:r>
              <w:rPr>
                <w:b/>
                <w:bCs/>
                <w:sz w:val="16"/>
                <w:szCs w:val="16"/>
              </w:rPr>
              <w:t>64 269</w:t>
            </w:r>
          </w:p>
        </w:tc>
        <w:tc>
          <w:tcPr>
            <w:tcW w:w="654" w:type="dxa"/>
            <w:noWrap/>
            <w:vAlign w:val="bottom"/>
          </w:tcPr>
          <w:p w:rsidR="00000000" w:rsidRDefault="00000000">
            <w:pPr>
              <w:spacing w:before="60" w:after="60"/>
              <w:ind w:right="113"/>
              <w:jc w:val="right"/>
              <w:rPr>
                <w:b/>
                <w:bCs/>
                <w:sz w:val="16"/>
                <w:szCs w:val="16"/>
              </w:rPr>
            </w:pPr>
            <w:r>
              <w:rPr>
                <w:b/>
                <w:bCs/>
                <w:sz w:val="16"/>
                <w:szCs w:val="16"/>
              </w:rPr>
              <w:t>66 417</w:t>
            </w:r>
          </w:p>
        </w:tc>
        <w:tc>
          <w:tcPr>
            <w:tcW w:w="655" w:type="dxa"/>
            <w:noWrap/>
            <w:vAlign w:val="bottom"/>
          </w:tcPr>
          <w:p w:rsidR="00000000" w:rsidRDefault="00000000">
            <w:pPr>
              <w:spacing w:before="60" w:after="60"/>
              <w:ind w:right="113"/>
              <w:jc w:val="right"/>
              <w:rPr>
                <w:b/>
                <w:bCs/>
                <w:sz w:val="16"/>
                <w:szCs w:val="16"/>
              </w:rPr>
            </w:pPr>
            <w:r>
              <w:rPr>
                <w:b/>
                <w:bCs/>
                <w:sz w:val="16"/>
                <w:szCs w:val="16"/>
              </w:rPr>
              <w:t>68 086</w:t>
            </w:r>
          </w:p>
        </w:tc>
        <w:tc>
          <w:tcPr>
            <w:tcW w:w="654" w:type="dxa"/>
            <w:noWrap/>
            <w:vAlign w:val="bottom"/>
          </w:tcPr>
          <w:p w:rsidR="00000000" w:rsidRDefault="00000000">
            <w:pPr>
              <w:spacing w:before="60" w:after="60"/>
              <w:ind w:right="113"/>
              <w:jc w:val="right"/>
              <w:rPr>
                <w:b/>
                <w:bCs/>
                <w:sz w:val="16"/>
                <w:szCs w:val="16"/>
              </w:rPr>
            </w:pPr>
            <w:r>
              <w:rPr>
                <w:b/>
                <w:bCs/>
                <w:sz w:val="16"/>
                <w:szCs w:val="16"/>
              </w:rPr>
              <w:t>68 891</w:t>
            </w:r>
          </w:p>
        </w:tc>
        <w:tc>
          <w:tcPr>
            <w:tcW w:w="655" w:type="dxa"/>
            <w:noWrap/>
            <w:vAlign w:val="bottom"/>
          </w:tcPr>
          <w:p w:rsidR="00000000" w:rsidRDefault="00000000">
            <w:pPr>
              <w:spacing w:before="60" w:after="60"/>
              <w:ind w:right="113"/>
              <w:jc w:val="right"/>
              <w:rPr>
                <w:b/>
                <w:bCs/>
                <w:sz w:val="16"/>
                <w:szCs w:val="16"/>
              </w:rPr>
            </w:pPr>
            <w:r>
              <w:rPr>
                <w:b/>
                <w:bCs/>
                <w:sz w:val="16"/>
                <w:szCs w:val="16"/>
              </w:rPr>
              <w:t>68 992</w:t>
            </w:r>
          </w:p>
        </w:tc>
        <w:tc>
          <w:tcPr>
            <w:tcW w:w="654" w:type="dxa"/>
            <w:noWrap/>
            <w:vAlign w:val="bottom"/>
          </w:tcPr>
          <w:p w:rsidR="00000000" w:rsidRDefault="00000000">
            <w:pPr>
              <w:spacing w:before="60" w:after="60"/>
              <w:ind w:right="113"/>
              <w:jc w:val="right"/>
              <w:rPr>
                <w:b/>
                <w:bCs/>
                <w:sz w:val="16"/>
                <w:szCs w:val="16"/>
              </w:rPr>
            </w:pPr>
            <w:r>
              <w:rPr>
                <w:b/>
                <w:bCs/>
                <w:sz w:val="16"/>
                <w:szCs w:val="16"/>
              </w:rPr>
              <w:t>68 966</w:t>
            </w:r>
          </w:p>
        </w:tc>
        <w:tc>
          <w:tcPr>
            <w:tcW w:w="655" w:type="dxa"/>
            <w:noWrap/>
            <w:vAlign w:val="bottom"/>
          </w:tcPr>
          <w:p w:rsidR="00000000" w:rsidRDefault="00000000">
            <w:pPr>
              <w:spacing w:before="60" w:after="60"/>
              <w:ind w:right="113"/>
              <w:jc w:val="right"/>
              <w:rPr>
                <w:b/>
                <w:bCs/>
                <w:sz w:val="16"/>
                <w:szCs w:val="16"/>
              </w:rPr>
            </w:pPr>
            <w:r>
              <w:rPr>
                <w:b/>
                <w:bCs/>
                <w:sz w:val="16"/>
                <w:szCs w:val="16"/>
              </w:rPr>
              <w:t>69 389</w:t>
            </w:r>
          </w:p>
        </w:tc>
        <w:tc>
          <w:tcPr>
            <w:tcW w:w="806" w:type="dxa"/>
            <w:noWrap/>
            <w:vAlign w:val="bottom"/>
          </w:tcPr>
          <w:p w:rsidR="00000000" w:rsidRDefault="00000000">
            <w:pPr>
              <w:spacing w:before="60" w:after="60"/>
              <w:ind w:right="113"/>
              <w:jc w:val="right"/>
              <w:rPr>
                <w:b/>
                <w:bCs/>
                <w:sz w:val="16"/>
                <w:szCs w:val="16"/>
              </w:rPr>
            </w:pPr>
            <w:r>
              <w:rPr>
                <w:b/>
                <w:bCs/>
                <w:sz w:val="16"/>
                <w:szCs w:val="16"/>
              </w:rPr>
              <w:t>70 837</w:t>
            </w:r>
          </w:p>
        </w:tc>
        <w:tc>
          <w:tcPr>
            <w:tcW w:w="681" w:type="dxa"/>
            <w:noWrap/>
            <w:vAlign w:val="bottom"/>
          </w:tcPr>
          <w:p w:rsidR="00000000" w:rsidRDefault="00000000">
            <w:pPr>
              <w:spacing w:before="60" w:after="60"/>
              <w:ind w:right="113"/>
              <w:jc w:val="right"/>
              <w:rPr>
                <w:b/>
                <w:bCs/>
                <w:sz w:val="16"/>
                <w:szCs w:val="16"/>
              </w:rPr>
            </w:pPr>
            <w:r>
              <w:rPr>
                <w:b/>
                <w:bCs/>
                <w:sz w:val="16"/>
                <w:szCs w:val="16"/>
              </w:rPr>
              <w:t>73 616</w:t>
            </w:r>
          </w:p>
        </w:tc>
      </w:tr>
      <w:tr w:rsidR="00000000">
        <w:trPr>
          <w:jc w:val="center"/>
        </w:trPr>
        <w:tc>
          <w:tcPr>
            <w:tcW w:w="746" w:type="dxa"/>
            <w:noWrap/>
            <w:vAlign w:val="bottom"/>
          </w:tcPr>
          <w:p w:rsidR="00000000" w:rsidRDefault="00000000">
            <w:pPr>
              <w:spacing w:before="60" w:after="60"/>
              <w:rPr>
                <w:sz w:val="16"/>
                <w:szCs w:val="16"/>
              </w:rPr>
            </w:pPr>
            <w:r>
              <w:rPr>
                <w:sz w:val="16"/>
                <w:szCs w:val="16"/>
              </w:rPr>
              <w:t>70</w:t>
            </w:r>
          </w:p>
        </w:tc>
        <w:tc>
          <w:tcPr>
            <w:tcW w:w="653" w:type="dxa"/>
            <w:noWrap/>
            <w:vAlign w:val="bottom"/>
          </w:tcPr>
          <w:p w:rsidR="00000000" w:rsidRDefault="00000000">
            <w:pPr>
              <w:spacing w:before="60" w:after="60"/>
              <w:ind w:right="113"/>
              <w:jc w:val="right"/>
              <w:rPr>
                <w:sz w:val="16"/>
                <w:szCs w:val="16"/>
              </w:rPr>
            </w:pPr>
            <w:r>
              <w:rPr>
                <w:sz w:val="16"/>
                <w:szCs w:val="16"/>
              </w:rPr>
              <w:t>12 932</w:t>
            </w:r>
          </w:p>
        </w:tc>
        <w:tc>
          <w:tcPr>
            <w:tcW w:w="653" w:type="dxa"/>
            <w:noWrap/>
            <w:vAlign w:val="bottom"/>
          </w:tcPr>
          <w:p w:rsidR="00000000" w:rsidRDefault="00000000">
            <w:pPr>
              <w:spacing w:before="60" w:after="60"/>
              <w:ind w:right="113"/>
              <w:jc w:val="right"/>
              <w:rPr>
                <w:sz w:val="16"/>
                <w:szCs w:val="16"/>
              </w:rPr>
            </w:pPr>
            <w:r>
              <w:rPr>
                <w:sz w:val="16"/>
                <w:szCs w:val="16"/>
              </w:rPr>
              <w:t>13 313</w:t>
            </w:r>
          </w:p>
        </w:tc>
        <w:tc>
          <w:tcPr>
            <w:tcW w:w="654" w:type="dxa"/>
            <w:noWrap/>
            <w:vAlign w:val="bottom"/>
          </w:tcPr>
          <w:p w:rsidR="00000000" w:rsidRDefault="00000000">
            <w:pPr>
              <w:spacing w:before="60" w:after="60"/>
              <w:ind w:right="113"/>
              <w:jc w:val="right"/>
              <w:rPr>
                <w:sz w:val="16"/>
                <w:szCs w:val="16"/>
              </w:rPr>
            </w:pPr>
            <w:r>
              <w:rPr>
                <w:sz w:val="16"/>
                <w:szCs w:val="16"/>
              </w:rPr>
              <w:t>13 623</w:t>
            </w:r>
          </w:p>
        </w:tc>
        <w:tc>
          <w:tcPr>
            <w:tcW w:w="654" w:type="dxa"/>
            <w:noWrap/>
            <w:vAlign w:val="bottom"/>
          </w:tcPr>
          <w:p w:rsidR="00000000" w:rsidRDefault="00000000">
            <w:pPr>
              <w:spacing w:before="60" w:after="60"/>
              <w:ind w:right="113"/>
              <w:jc w:val="right"/>
              <w:rPr>
                <w:sz w:val="16"/>
                <w:szCs w:val="16"/>
              </w:rPr>
            </w:pPr>
            <w:r>
              <w:rPr>
                <w:sz w:val="16"/>
                <w:szCs w:val="16"/>
              </w:rPr>
              <w:t>13 882</w:t>
            </w:r>
          </w:p>
        </w:tc>
        <w:tc>
          <w:tcPr>
            <w:tcW w:w="655" w:type="dxa"/>
            <w:noWrap/>
            <w:vAlign w:val="bottom"/>
          </w:tcPr>
          <w:p w:rsidR="00000000" w:rsidRDefault="00000000">
            <w:pPr>
              <w:spacing w:before="60" w:after="60"/>
              <w:ind w:right="113"/>
              <w:jc w:val="right"/>
              <w:rPr>
                <w:sz w:val="16"/>
                <w:szCs w:val="16"/>
              </w:rPr>
            </w:pPr>
            <w:r>
              <w:rPr>
                <w:sz w:val="16"/>
                <w:szCs w:val="16"/>
              </w:rPr>
              <w:t>14 119</w:t>
            </w:r>
          </w:p>
        </w:tc>
        <w:tc>
          <w:tcPr>
            <w:tcW w:w="654" w:type="dxa"/>
            <w:noWrap/>
            <w:vAlign w:val="bottom"/>
          </w:tcPr>
          <w:p w:rsidR="00000000" w:rsidRDefault="00000000">
            <w:pPr>
              <w:spacing w:before="60" w:after="60"/>
              <w:ind w:right="113"/>
              <w:jc w:val="right"/>
              <w:rPr>
                <w:sz w:val="16"/>
                <w:szCs w:val="16"/>
              </w:rPr>
            </w:pPr>
            <w:r>
              <w:rPr>
                <w:sz w:val="16"/>
                <w:szCs w:val="16"/>
              </w:rPr>
              <w:t>14 362</w:t>
            </w:r>
          </w:p>
        </w:tc>
        <w:tc>
          <w:tcPr>
            <w:tcW w:w="655" w:type="dxa"/>
            <w:noWrap/>
            <w:vAlign w:val="bottom"/>
          </w:tcPr>
          <w:p w:rsidR="00000000" w:rsidRDefault="00000000">
            <w:pPr>
              <w:spacing w:before="60" w:after="60"/>
              <w:ind w:right="113"/>
              <w:jc w:val="right"/>
              <w:rPr>
                <w:sz w:val="16"/>
                <w:szCs w:val="16"/>
              </w:rPr>
            </w:pPr>
            <w:r>
              <w:rPr>
                <w:sz w:val="16"/>
                <w:szCs w:val="16"/>
              </w:rPr>
              <w:t>14 640</w:t>
            </w:r>
          </w:p>
        </w:tc>
        <w:tc>
          <w:tcPr>
            <w:tcW w:w="654" w:type="dxa"/>
            <w:noWrap/>
            <w:vAlign w:val="bottom"/>
          </w:tcPr>
          <w:p w:rsidR="00000000" w:rsidRDefault="00000000">
            <w:pPr>
              <w:spacing w:before="60" w:after="60"/>
              <w:ind w:right="113"/>
              <w:jc w:val="right"/>
              <w:rPr>
                <w:sz w:val="16"/>
                <w:szCs w:val="16"/>
              </w:rPr>
            </w:pPr>
            <w:r>
              <w:rPr>
                <w:sz w:val="16"/>
                <w:szCs w:val="16"/>
              </w:rPr>
              <w:t>14 926</w:t>
            </w:r>
          </w:p>
        </w:tc>
        <w:tc>
          <w:tcPr>
            <w:tcW w:w="655" w:type="dxa"/>
            <w:noWrap/>
            <w:vAlign w:val="bottom"/>
          </w:tcPr>
          <w:p w:rsidR="00000000" w:rsidRDefault="00000000">
            <w:pPr>
              <w:spacing w:before="60" w:after="60"/>
              <w:ind w:right="113"/>
              <w:jc w:val="right"/>
              <w:rPr>
                <w:sz w:val="16"/>
                <w:szCs w:val="16"/>
              </w:rPr>
            </w:pPr>
            <w:r>
              <w:rPr>
                <w:sz w:val="16"/>
                <w:szCs w:val="16"/>
              </w:rPr>
              <w:t>15 201</w:t>
            </w:r>
          </w:p>
        </w:tc>
        <w:tc>
          <w:tcPr>
            <w:tcW w:w="654" w:type="dxa"/>
            <w:noWrap/>
            <w:vAlign w:val="bottom"/>
          </w:tcPr>
          <w:p w:rsidR="00000000" w:rsidRDefault="00000000">
            <w:pPr>
              <w:spacing w:before="60" w:after="60"/>
              <w:ind w:right="113"/>
              <w:jc w:val="right"/>
              <w:rPr>
                <w:sz w:val="16"/>
                <w:szCs w:val="16"/>
              </w:rPr>
            </w:pPr>
            <w:r>
              <w:rPr>
                <w:sz w:val="16"/>
                <w:szCs w:val="16"/>
              </w:rPr>
              <w:t>15 505</w:t>
            </w:r>
          </w:p>
        </w:tc>
        <w:tc>
          <w:tcPr>
            <w:tcW w:w="655" w:type="dxa"/>
            <w:noWrap/>
            <w:vAlign w:val="bottom"/>
          </w:tcPr>
          <w:p w:rsidR="00000000" w:rsidRDefault="00000000">
            <w:pPr>
              <w:spacing w:before="60" w:after="60"/>
              <w:ind w:right="113"/>
              <w:jc w:val="right"/>
              <w:rPr>
                <w:sz w:val="16"/>
                <w:szCs w:val="16"/>
              </w:rPr>
            </w:pPr>
            <w:r>
              <w:rPr>
                <w:sz w:val="16"/>
                <w:szCs w:val="16"/>
              </w:rPr>
              <w:t>15 880</w:t>
            </w:r>
          </w:p>
        </w:tc>
        <w:tc>
          <w:tcPr>
            <w:tcW w:w="806" w:type="dxa"/>
            <w:noWrap/>
            <w:vAlign w:val="bottom"/>
          </w:tcPr>
          <w:p w:rsidR="00000000" w:rsidRDefault="00000000">
            <w:pPr>
              <w:spacing w:before="60" w:after="60"/>
              <w:ind w:right="113"/>
              <w:jc w:val="right"/>
              <w:rPr>
                <w:sz w:val="16"/>
                <w:szCs w:val="16"/>
              </w:rPr>
            </w:pPr>
            <w:r>
              <w:rPr>
                <w:sz w:val="16"/>
                <w:szCs w:val="16"/>
              </w:rPr>
              <w:t>16 366</w:t>
            </w:r>
          </w:p>
        </w:tc>
        <w:tc>
          <w:tcPr>
            <w:tcW w:w="681" w:type="dxa"/>
            <w:noWrap/>
            <w:vAlign w:val="bottom"/>
          </w:tcPr>
          <w:p w:rsidR="00000000" w:rsidRDefault="00000000">
            <w:pPr>
              <w:spacing w:before="60" w:after="60"/>
              <w:ind w:right="113"/>
              <w:jc w:val="right"/>
              <w:rPr>
                <w:sz w:val="16"/>
                <w:szCs w:val="16"/>
              </w:rPr>
            </w:pPr>
            <w:r>
              <w:rPr>
                <w:sz w:val="16"/>
                <w:szCs w:val="16"/>
              </w:rPr>
              <w:t>16 997</w:t>
            </w:r>
          </w:p>
        </w:tc>
      </w:tr>
      <w:tr w:rsidR="00000000">
        <w:trPr>
          <w:jc w:val="center"/>
        </w:trPr>
        <w:tc>
          <w:tcPr>
            <w:tcW w:w="746" w:type="dxa"/>
            <w:noWrap/>
            <w:vAlign w:val="bottom"/>
          </w:tcPr>
          <w:p w:rsidR="00000000" w:rsidRDefault="00000000">
            <w:pPr>
              <w:spacing w:before="60" w:after="60"/>
              <w:rPr>
                <w:sz w:val="16"/>
                <w:szCs w:val="16"/>
              </w:rPr>
            </w:pPr>
            <w:r>
              <w:rPr>
                <w:sz w:val="16"/>
                <w:szCs w:val="16"/>
              </w:rPr>
              <w:t>71</w:t>
            </w:r>
          </w:p>
        </w:tc>
        <w:tc>
          <w:tcPr>
            <w:tcW w:w="653" w:type="dxa"/>
            <w:noWrap/>
            <w:vAlign w:val="bottom"/>
          </w:tcPr>
          <w:p w:rsidR="00000000" w:rsidRDefault="00000000">
            <w:pPr>
              <w:spacing w:before="60" w:after="60"/>
              <w:ind w:right="113"/>
              <w:jc w:val="right"/>
              <w:rPr>
                <w:sz w:val="16"/>
                <w:szCs w:val="16"/>
              </w:rPr>
            </w:pPr>
            <w:r>
              <w:rPr>
                <w:sz w:val="16"/>
                <w:szCs w:val="16"/>
              </w:rPr>
              <w:t>11 911</w:t>
            </w:r>
          </w:p>
        </w:tc>
        <w:tc>
          <w:tcPr>
            <w:tcW w:w="653" w:type="dxa"/>
            <w:noWrap/>
            <w:vAlign w:val="bottom"/>
          </w:tcPr>
          <w:p w:rsidR="00000000" w:rsidRDefault="00000000">
            <w:pPr>
              <w:spacing w:before="60" w:after="60"/>
              <w:ind w:right="113"/>
              <w:jc w:val="right"/>
              <w:rPr>
                <w:sz w:val="16"/>
                <w:szCs w:val="16"/>
              </w:rPr>
            </w:pPr>
            <w:r>
              <w:rPr>
                <w:sz w:val="16"/>
                <w:szCs w:val="16"/>
              </w:rPr>
              <w:t>12 299</w:t>
            </w:r>
          </w:p>
        </w:tc>
        <w:tc>
          <w:tcPr>
            <w:tcW w:w="654" w:type="dxa"/>
            <w:noWrap/>
            <w:vAlign w:val="bottom"/>
          </w:tcPr>
          <w:p w:rsidR="00000000" w:rsidRDefault="00000000">
            <w:pPr>
              <w:spacing w:before="60" w:after="60"/>
              <w:ind w:right="113"/>
              <w:jc w:val="right"/>
              <w:rPr>
                <w:sz w:val="16"/>
                <w:szCs w:val="16"/>
              </w:rPr>
            </w:pPr>
            <w:r>
              <w:rPr>
                <w:sz w:val="16"/>
                <w:szCs w:val="16"/>
              </w:rPr>
              <w:t>12 727</w:t>
            </w:r>
          </w:p>
        </w:tc>
        <w:tc>
          <w:tcPr>
            <w:tcW w:w="654" w:type="dxa"/>
            <w:noWrap/>
            <w:vAlign w:val="bottom"/>
          </w:tcPr>
          <w:p w:rsidR="00000000" w:rsidRDefault="00000000">
            <w:pPr>
              <w:spacing w:before="60" w:after="60"/>
              <w:ind w:right="113"/>
              <w:jc w:val="right"/>
              <w:rPr>
                <w:sz w:val="16"/>
                <w:szCs w:val="16"/>
              </w:rPr>
            </w:pPr>
            <w:r>
              <w:rPr>
                <w:sz w:val="16"/>
                <w:szCs w:val="16"/>
              </w:rPr>
              <w:t>13 194</w:t>
            </w:r>
          </w:p>
        </w:tc>
        <w:tc>
          <w:tcPr>
            <w:tcW w:w="655" w:type="dxa"/>
            <w:noWrap/>
            <w:vAlign w:val="bottom"/>
          </w:tcPr>
          <w:p w:rsidR="00000000" w:rsidRDefault="00000000">
            <w:pPr>
              <w:spacing w:before="60" w:after="60"/>
              <w:ind w:right="113"/>
              <w:jc w:val="right"/>
              <w:rPr>
                <w:sz w:val="16"/>
                <w:szCs w:val="16"/>
              </w:rPr>
            </w:pPr>
            <w:r>
              <w:rPr>
                <w:sz w:val="16"/>
                <w:szCs w:val="16"/>
              </w:rPr>
              <w:t>13 656</w:t>
            </w:r>
          </w:p>
        </w:tc>
        <w:tc>
          <w:tcPr>
            <w:tcW w:w="654" w:type="dxa"/>
            <w:noWrap/>
            <w:vAlign w:val="bottom"/>
          </w:tcPr>
          <w:p w:rsidR="00000000" w:rsidRDefault="00000000">
            <w:pPr>
              <w:spacing w:before="60" w:after="60"/>
              <w:ind w:right="113"/>
              <w:jc w:val="right"/>
              <w:rPr>
                <w:sz w:val="16"/>
                <w:szCs w:val="16"/>
              </w:rPr>
            </w:pPr>
            <w:r>
              <w:rPr>
                <w:sz w:val="16"/>
                <w:szCs w:val="16"/>
              </w:rPr>
              <w:t>14 070</w:t>
            </w:r>
          </w:p>
        </w:tc>
        <w:tc>
          <w:tcPr>
            <w:tcW w:w="655" w:type="dxa"/>
            <w:noWrap/>
            <w:vAlign w:val="bottom"/>
          </w:tcPr>
          <w:p w:rsidR="00000000" w:rsidRDefault="00000000">
            <w:pPr>
              <w:spacing w:before="60" w:after="60"/>
              <w:ind w:right="113"/>
              <w:jc w:val="right"/>
              <w:rPr>
                <w:sz w:val="16"/>
                <w:szCs w:val="16"/>
              </w:rPr>
            </w:pPr>
            <w:r>
              <w:rPr>
                <w:sz w:val="16"/>
                <w:szCs w:val="16"/>
              </w:rPr>
              <w:t>14 391</w:t>
            </w:r>
          </w:p>
        </w:tc>
        <w:tc>
          <w:tcPr>
            <w:tcW w:w="654" w:type="dxa"/>
            <w:noWrap/>
            <w:vAlign w:val="bottom"/>
          </w:tcPr>
          <w:p w:rsidR="00000000" w:rsidRDefault="00000000">
            <w:pPr>
              <w:spacing w:before="60" w:after="60"/>
              <w:ind w:right="113"/>
              <w:jc w:val="right"/>
              <w:rPr>
                <w:sz w:val="16"/>
                <w:szCs w:val="16"/>
              </w:rPr>
            </w:pPr>
            <w:r>
              <w:rPr>
                <w:sz w:val="16"/>
                <w:szCs w:val="16"/>
              </w:rPr>
              <w:t>14 533</w:t>
            </w:r>
          </w:p>
        </w:tc>
        <w:tc>
          <w:tcPr>
            <w:tcW w:w="655" w:type="dxa"/>
            <w:noWrap/>
            <w:vAlign w:val="bottom"/>
          </w:tcPr>
          <w:p w:rsidR="00000000" w:rsidRDefault="00000000">
            <w:pPr>
              <w:spacing w:before="60" w:after="60"/>
              <w:ind w:right="113"/>
              <w:jc w:val="right"/>
              <w:rPr>
                <w:sz w:val="16"/>
                <w:szCs w:val="16"/>
              </w:rPr>
            </w:pPr>
            <w:r>
              <w:rPr>
                <w:sz w:val="16"/>
                <w:szCs w:val="16"/>
              </w:rPr>
              <w:t>14 527</w:t>
            </w:r>
          </w:p>
        </w:tc>
        <w:tc>
          <w:tcPr>
            <w:tcW w:w="654" w:type="dxa"/>
            <w:noWrap/>
            <w:vAlign w:val="bottom"/>
          </w:tcPr>
          <w:p w:rsidR="00000000" w:rsidRDefault="00000000">
            <w:pPr>
              <w:spacing w:before="60" w:after="60"/>
              <w:ind w:right="113"/>
              <w:jc w:val="right"/>
              <w:rPr>
                <w:sz w:val="16"/>
                <w:szCs w:val="16"/>
              </w:rPr>
            </w:pPr>
            <w:r>
              <w:rPr>
                <w:sz w:val="16"/>
                <w:szCs w:val="16"/>
              </w:rPr>
              <w:t>14 500</w:t>
            </w:r>
          </w:p>
        </w:tc>
        <w:tc>
          <w:tcPr>
            <w:tcW w:w="655" w:type="dxa"/>
            <w:noWrap/>
            <w:vAlign w:val="bottom"/>
          </w:tcPr>
          <w:p w:rsidR="00000000" w:rsidRDefault="00000000">
            <w:pPr>
              <w:spacing w:before="60" w:after="60"/>
              <w:ind w:right="113"/>
              <w:jc w:val="right"/>
              <w:rPr>
                <w:sz w:val="16"/>
                <w:szCs w:val="16"/>
              </w:rPr>
            </w:pPr>
            <w:r>
              <w:rPr>
                <w:sz w:val="16"/>
                <w:szCs w:val="16"/>
              </w:rPr>
              <w:t>14 582</w:t>
            </w:r>
          </w:p>
        </w:tc>
        <w:tc>
          <w:tcPr>
            <w:tcW w:w="806" w:type="dxa"/>
            <w:noWrap/>
            <w:vAlign w:val="bottom"/>
          </w:tcPr>
          <w:p w:rsidR="00000000" w:rsidRDefault="00000000">
            <w:pPr>
              <w:spacing w:before="60" w:after="60"/>
              <w:ind w:right="113"/>
              <w:jc w:val="right"/>
              <w:rPr>
                <w:sz w:val="16"/>
                <w:szCs w:val="16"/>
              </w:rPr>
            </w:pPr>
            <w:r>
              <w:rPr>
                <w:sz w:val="16"/>
                <w:szCs w:val="16"/>
              </w:rPr>
              <w:t>14 902</w:t>
            </w:r>
          </w:p>
        </w:tc>
        <w:tc>
          <w:tcPr>
            <w:tcW w:w="681" w:type="dxa"/>
            <w:noWrap/>
            <w:vAlign w:val="bottom"/>
          </w:tcPr>
          <w:p w:rsidR="00000000" w:rsidRDefault="00000000">
            <w:pPr>
              <w:spacing w:before="60" w:after="60"/>
              <w:ind w:right="113"/>
              <w:jc w:val="right"/>
              <w:rPr>
                <w:sz w:val="16"/>
                <w:szCs w:val="16"/>
              </w:rPr>
            </w:pPr>
            <w:r>
              <w:rPr>
                <w:sz w:val="16"/>
                <w:szCs w:val="16"/>
              </w:rPr>
              <w:t>15 539</w:t>
            </w:r>
          </w:p>
        </w:tc>
      </w:tr>
      <w:tr w:rsidR="00000000">
        <w:trPr>
          <w:jc w:val="center"/>
        </w:trPr>
        <w:tc>
          <w:tcPr>
            <w:tcW w:w="746" w:type="dxa"/>
            <w:noWrap/>
            <w:vAlign w:val="bottom"/>
          </w:tcPr>
          <w:p w:rsidR="00000000" w:rsidRDefault="00000000">
            <w:pPr>
              <w:spacing w:before="60" w:after="60"/>
              <w:rPr>
                <w:sz w:val="16"/>
                <w:szCs w:val="16"/>
              </w:rPr>
            </w:pPr>
            <w:r>
              <w:rPr>
                <w:sz w:val="16"/>
                <w:szCs w:val="16"/>
              </w:rPr>
              <w:t>72</w:t>
            </w:r>
          </w:p>
        </w:tc>
        <w:tc>
          <w:tcPr>
            <w:tcW w:w="653" w:type="dxa"/>
            <w:noWrap/>
            <w:vAlign w:val="bottom"/>
          </w:tcPr>
          <w:p w:rsidR="00000000" w:rsidRDefault="00000000">
            <w:pPr>
              <w:spacing w:before="60" w:after="60"/>
              <w:ind w:right="113"/>
              <w:jc w:val="right"/>
              <w:rPr>
                <w:sz w:val="16"/>
                <w:szCs w:val="16"/>
              </w:rPr>
            </w:pPr>
            <w:r>
              <w:rPr>
                <w:sz w:val="16"/>
                <w:szCs w:val="16"/>
              </w:rPr>
              <w:t>10 968</w:t>
            </w:r>
          </w:p>
        </w:tc>
        <w:tc>
          <w:tcPr>
            <w:tcW w:w="653" w:type="dxa"/>
            <w:noWrap/>
            <w:vAlign w:val="bottom"/>
          </w:tcPr>
          <w:p w:rsidR="00000000" w:rsidRDefault="00000000">
            <w:pPr>
              <w:spacing w:before="60" w:after="60"/>
              <w:ind w:right="113"/>
              <w:jc w:val="right"/>
              <w:rPr>
                <w:sz w:val="16"/>
                <w:szCs w:val="16"/>
              </w:rPr>
            </w:pPr>
            <w:r>
              <w:rPr>
                <w:sz w:val="16"/>
                <w:szCs w:val="16"/>
              </w:rPr>
              <w:t>11 355</w:t>
            </w:r>
          </w:p>
        </w:tc>
        <w:tc>
          <w:tcPr>
            <w:tcW w:w="654" w:type="dxa"/>
            <w:noWrap/>
            <w:vAlign w:val="bottom"/>
          </w:tcPr>
          <w:p w:rsidR="00000000" w:rsidRDefault="00000000">
            <w:pPr>
              <w:spacing w:before="60" w:after="60"/>
              <w:ind w:right="113"/>
              <w:jc w:val="right"/>
              <w:rPr>
                <w:sz w:val="16"/>
                <w:szCs w:val="16"/>
              </w:rPr>
            </w:pPr>
            <w:r>
              <w:rPr>
                <w:sz w:val="16"/>
                <w:szCs w:val="16"/>
              </w:rPr>
              <w:t>11 854</w:t>
            </w:r>
          </w:p>
        </w:tc>
        <w:tc>
          <w:tcPr>
            <w:tcW w:w="654" w:type="dxa"/>
            <w:noWrap/>
            <w:vAlign w:val="bottom"/>
          </w:tcPr>
          <w:p w:rsidR="00000000" w:rsidRDefault="00000000">
            <w:pPr>
              <w:spacing w:before="60" w:after="60"/>
              <w:ind w:right="113"/>
              <w:jc w:val="right"/>
              <w:rPr>
                <w:sz w:val="16"/>
                <w:szCs w:val="16"/>
              </w:rPr>
            </w:pPr>
            <w:r>
              <w:rPr>
                <w:sz w:val="16"/>
                <w:szCs w:val="16"/>
              </w:rPr>
              <w:t>12 449</w:t>
            </w:r>
          </w:p>
        </w:tc>
        <w:tc>
          <w:tcPr>
            <w:tcW w:w="655" w:type="dxa"/>
            <w:noWrap/>
            <w:vAlign w:val="bottom"/>
          </w:tcPr>
          <w:p w:rsidR="00000000" w:rsidRDefault="00000000">
            <w:pPr>
              <w:spacing w:before="60" w:after="60"/>
              <w:ind w:right="113"/>
              <w:jc w:val="right"/>
              <w:rPr>
                <w:sz w:val="16"/>
                <w:szCs w:val="16"/>
              </w:rPr>
            </w:pPr>
            <w:r>
              <w:rPr>
                <w:sz w:val="16"/>
                <w:szCs w:val="16"/>
              </w:rPr>
              <w:t>13 053</w:t>
            </w:r>
          </w:p>
        </w:tc>
        <w:tc>
          <w:tcPr>
            <w:tcW w:w="654" w:type="dxa"/>
            <w:noWrap/>
            <w:vAlign w:val="bottom"/>
          </w:tcPr>
          <w:p w:rsidR="00000000" w:rsidRDefault="00000000">
            <w:pPr>
              <w:spacing w:before="60" w:after="60"/>
              <w:ind w:right="113"/>
              <w:jc w:val="right"/>
              <w:rPr>
                <w:sz w:val="16"/>
                <w:szCs w:val="16"/>
              </w:rPr>
            </w:pPr>
            <w:r>
              <w:rPr>
                <w:sz w:val="16"/>
                <w:szCs w:val="16"/>
              </w:rPr>
              <w:t>13 577</w:t>
            </w:r>
          </w:p>
        </w:tc>
        <w:tc>
          <w:tcPr>
            <w:tcW w:w="655" w:type="dxa"/>
            <w:noWrap/>
            <w:vAlign w:val="bottom"/>
          </w:tcPr>
          <w:p w:rsidR="00000000" w:rsidRDefault="00000000">
            <w:pPr>
              <w:spacing w:before="60" w:after="60"/>
              <w:ind w:right="113"/>
              <w:jc w:val="right"/>
              <w:rPr>
                <w:sz w:val="16"/>
                <w:szCs w:val="16"/>
              </w:rPr>
            </w:pPr>
            <w:r>
              <w:rPr>
                <w:sz w:val="16"/>
                <w:szCs w:val="16"/>
              </w:rPr>
              <w:t>13 931</w:t>
            </w:r>
          </w:p>
        </w:tc>
        <w:tc>
          <w:tcPr>
            <w:tcW w:w="654" w:type="dxa"/>
            <w:noWrap/>
            <w:vAlign w:val="bottom"/>
          </w:tcPr>
          <w:p w:rsidR="00000000" w:rsidRDefault="00000000">
            <w:pPr>
              <w:spacing w:before="60" w:after="60"/>
              <w:ind w:right="113"/>
              <w:jc w:val="right"/>
              <w:rPr>
                <w:sz w:val="16"/>
                <w:szCs w:val="16"/>
              </w:rPr>
            </w:pPr>
            <w:r>
              <w:rPr>
                <w:sz w:val="16"/>
                <w:szCs w:val="16"/>
              </w:rPr>
              <w:t>13 999</w:t>
            </w:r>
          </w:p>
        </w:tc>
        <w:tc>
          <w:tcPr>
            <w:tcW w:w="655" w:type="dxa"/>
            <w:noWrap/>
            <w:vAlign w:val="bottom"/>
          </w:tcPr>
          <w:p w:rsidR="00000000" w:rsidRDefault="00000000">
            <w:pPr>
              <w:spacing w:before="60" w:after="60"/>
              <w:ind w:right="113"/>
              <w:jc w:val="right"/>
              <w:rPr>
                <w:sz w:val="16"/>
                <w:szCs w:val="16"/>
              </w:rPr>
            </w:pPr>
            <w:r>
              <w:rPr>
                <w:sz w:val="16"/>
                <w:szCs w:val="16"/>
              </w:rPr>
              <w:t>13 840</w:t>
            </w:r>
          </w:p>
        </w:tc>
        <w:tc>
          <w:tcPr>
            <w:tcW w:w="654" w:type="dxa"/>
            <w:noWrap/>
            <w:vAlign w:val="bottom"/>
          </w:tcPr>
          <w:p w:rsidR="00000000" w:rsidRDefault="00000000">
            <w:pPr>
              <w:spacing w:before="60" w:after="60"/>
              <w:ind w:right="113"/>
              <w:jc w:val="right"/>
              <w:rPr>
                <w:sz w:val="16"/>
                <w:szCs w:val="16"/>
              </w:rPr>
            </w:pPr>
            <w:r>
              <w:rPr>
                <w:sz w:val="16"/>
                <w:szCs w:val="16"/>
              </w:rPr>
              <w:t>13 629</w:t>
            </w:r>
          </w:p>
        </w:tc>
        <w:tc>
          <w:tcPr>
            <w:tcW w:w="655" w:type="dxa"/>
            <w:noWrap/>
            <w:vAlign w:val="bottom"/>
          </w:tcPr>
          <w:p w:rsidR="00000000" w:rsidRDefault="00000000">
            <w:pPr>
              <w:spacing w:before="60" w:after="60"/>
              <w:ind w:right="113"/>
              <w:jc w:val="right"/>
              <w:rPr>
                <w:sz w:val="16"/>
                <w:szCs w:val="16"/>
              </w:rPr>
            </w:pPr>
            <w:r>
              <w:rPr>
                <w:sz w:val="16"/>
                <w:szCs w:val="16"/>
              </w:rPr>
              <w:t>13 541</w:t>
            </w:r>
          </w:p>
        </w:tc>
        <w:tc>
          <w:tcPr>
            <w:tcW w:w="806" w:type="dxa"/>
            <w:noWrap/>
            <w:vAlign w:val="bottom"/>
          </w:tcPr>
          <w:p w:rsidR="00000000" w:rsidRDefault="00000000">
            <w:pPr>
              <w:spacing w:before="60" w:after="60"/>
              <w:ind w:right="113"/>
              <w:jc w:val="right"/>
              <w:rPr>
                <w:sz w:val="16"/>
                <w:szCs w:val="16"/>
              </w:rPr>
            </w:pPr>
            <w:r>
              <w:rPr>
                <w:sz w:val="16"/>
                <w:szCs w:val="16"/>
              </w:rPr>
              <w:t>13 752</w:t>
            </w:r>
          </w:p>
        </w:tc>
        <w:tc>
          <w:tcPr>
            <w:tcW w:w="681" w:type="dxa"/>
            <w:noWrap/>
            <w:vAlign w:val="bottom"/>
          </w:tcPr>
          <w:p w:rsidR="00000000" w:rsidRDefault="00000000">
            <w:pPr>
              <w:spacing w:before="60" w:after="60"/>
              <w:ind w:right="113"/>
              <w:jc w:val="right"/>
              <w:rPr>
                <w:sz w:val="16"/>
                <w:szCs w:val="16"/>
              </w:rPr>
            </w:pPr>
            <w:r>
              <w:rPr>
                <w:sz w:val="16"/>
                <w:szCs w:val="16"/>
              </w:rPr>
              <w:t>14 358</w:t>
            </w:r>
          </w:p>
        </w:tc>
      </w:tr>
      <w:tr w:rsidR="00000000">
        <w:trPr>
          <w:jc w:val="center"/>
        </w:trPr>
        <w:tc>
          <w:tcPr>
            <w:tcW w:w="746" w:type="dxa"/>
            <w:noWrap/>
            <w:vAlign w:val="bottom"/>
          </w:tcPr>
          <w:p w:rsidR="00000000" w:rsidRDefault="00000000">
            <w:pPr>
              <w:spacing w:before="60" w:after="60"/>
              <w:rPr>
                <w:sz w:val="16"/>
                <w:szCs w:val="16"/>
              </w:rPr>
            </w:pPr>
            <w:r>
              <w:rPr>
                <w:sz w:val="16"/>
                <w:szCs w:val="16"/>
              </w:rPr>
              <w:t>73</w:t>
            </w:r>
          </w:p>
        </w:tc>
        <w:tc>
          <w:tcPr>
            <w:tcW w:w="653" w:type="dxa"/>
            <w:noWrap/>
            <w:vAlign w:val="bottom"/>
          </w:tcPr>
          <w:p w:rsidR="00000000" w:rsidRDefault="00000000">
            <w:pPr>
              <w:spacing w:before="60" w:after="60"/>
              <w:ind w:right="113"/>
              <w:jc w:val="right"/>
              <w:rPr>
                <w:sz w:val="16"/>
                <w:szCs w:val="16"/>
              </w:rPr>
            </w:pPr>
            <w:r>
              <w:rPr>
                <w:sz w:val="16"/>
                <w:szCs w:val="16"/>
              </w:rPr>
              <w:t>10 175</w:t>
            </w:r>
          </w:p>
        </w:tc>
        <w:tc>
          <w:tcPr>
            <w:tcW w:w="653" w:type="dxa"/>
            <w:noWrap/>
            <w:vAlign w:val="bottom"/>
          </w:tcPr>
          <w:p w:rsidR="00000000" w:rsidRDefault="00000000">
            <w:pPr>
              <w:spacing w:before="60" w:after="60"/>
              <w:ind w:right="113"/>
              <w:jc w:val="right"/>
              <w:rPr>
                <w:sz w:val="16"/>
                <w:szCs w:val="16"/>
              </w:rPr>
            </w:pPr>
            <w:r>
              <w:rPr>
                <w:sz w:val="16"/>
                <w:szCs w:val="16"/>
              </w:rPr>
              <w:t>10 550</w:t>
            </w:r>
          </w:p>
        </w:tc>
        <w:tc>
          <w:tcPr>
            <w:tcW w:w="654" w:type="dxa"/>
            <w:noWrap/>
            <w:vAlign w:val="bottom"/>
          </w:tcPr>
          <w:p w:rsidR="00000000" w:rsidRDefault="00000000">
            <w:pPr>
              <w:spacing w:before="60" w:after="60"/>
              <w:ind w:right="113"/>
              <w:jc w:val="right"/>
              <w:rPr>
                <w:sz w:val="16"/>
                <w:szCs w:val="16"/>
              </w:rPr>
            </w:pPr>
            <w:r>
              <w:rPr>
                <w:sz w:val="16"/>
                <w:szCs w:val="16"/>
              </w:rPr>
              <w:t>11 036</w:t>
            </w:r>
          </w:p>
        </w:tc>
        <w:tc>
          <w:tcPr>
            <w:tcW w:w="654" w:type="dxa"/>
            <w:noWrap/>
            <w:vAlign w:val="bottom"/>
          </w:tcPr>
          <w:p w:rsidR="00000000" w:rsidRDefault="00000000">
            <w:pPr>
              <w:spacing w:before="60" w:after="60"/>
              <w:ind w:right="113"/>
              <w:jc w:val="right"/>
              <w:rPr>
                <w:sz w:val="16"/>
                <w:szCs w:val="16"/>
              </w:rPr>
            </w:pPr>
            <w:r>
              <w:rPr>
                <w:sz w:val="16"/>
                <w:szCs w:val="16"/>
              </w:rPr>
              <w:t>11 619</w:t>
            </w:r>
          </w:p>
        </w:tc>
        <w:tc>
          <w:tcPr>
            <w:tcW w:w="655" w:type="dxa"/>
            <w:noWrap/>
            <w:vAlign w:val="bottom"/>
          </w:tcPr>
          <w:p w:rsidR="00000000" w:rsidRDefault="00000000">
            <w:pPr>
              <w:spacing w:before="60" w:after="60"/>
              <w:ind w:right="113"/>
              <w:jc w:val="right"/>
              <w:rPr>
                <w:sz w:val="16"/>
                <w:szCs w:val="16"/>
              </w:rPr>
            </w:pPr>
            <w:r>
              <w:rPr>
                <w:sz w:val="16"/>
                <w:szCs w:val="16"/>
              </w:rPr>
              <w:t>12 214</w:t>
            </w:r>
          </w:p>
        </w:tc>
        <w:tc>
          <w:tcPr>
            <w:tcW w:w="654" w:type="dxa"/>
            <w:noWrap/>
            <w:vAlign w:val="bottom"/>
          </w:tcPr>
          <w:p w:rsidR="00000000" w:rsidRDefault="00000000">
            <w:pPr>
              <w:spacing w:before="60" w:after="60"/>
              <w:ind w:right="113"/>
              <w:jc w:val="right"/>
              <w:rPr>
                <w:sz w:val="16"/>
                <w:szCs w:val="16"/>
              </w:rPr>
            </w:pPr>
            <w:r>
              <w:rPr>
                <w:sz w:val="16"/>
                <w:szCs w:val="16"/>
              </w:rPr>
              <w:t>12 735</w:t>
            </w:r>
          </w:p>
        </w:tc>
        <w:tc>
          <w:tcPr>
            <w:tcW w:w="655" w:type="dxa"/>
            <w:noWrap/>
            <w:vAlign w:val="bottom"/>
          </w:tcPr>
          <w:p w:rsidR="00000000" w:rsidRDefault="00000000">
            <w:pPr>
              <w:spacing w:before="60" w:after="60"/>
              <w:ind w:right="113"/>
              <w:jc w:val="right"/>
              <w:rPr>
                <w:sz w:val="16"/>
                <w:szCs w:val="16"/>
              </w:rPr>
            </w:pPr>
            <w:r>
              <w:rPr>
                <w:sz w:val="16"/>
                <w:szCs w:val="16"/>
              </w:rPr>
              <w:t>13 097</w:t>
            </w:r>
          </w:p>
        </w:tc>
        <w:tc>
          <w:tcPr>
            <w:tcW w:w="654" w:type="dxa"/>
            <w:noWrap/>
            <w:vAlign w:val="bottom"/>
          </w:tcPr>
          <w:p w:rsidR="00000000" w:rsidRDefault="00000000">
            <w:pPr>
              <w:spacing w:before="60" w:after="60"/>
              <w:ind w:right="113"/>
              <w:jc w:val="right"/>
              <w:rPr>
                <w:sz w:val="16"/>
                <w:szCs w:val="16"/>
              </w:rPr>
            </w:pPr>
            <w:r>
              <w:rPr>
                <w:sz w:val="16"/>
                <w:szCs w:val="16"/>
              </w:rPr>
              <w:t>13 199</w:t>
            </w:r>
          </w:p>
        </w:tc>
        <w:tc>
          <w:tcPr>
            <w:tcW w:w="655" w:type="dxa"/>
            <w:noWrap/>
            <w:vAlign w:val="bottom"/>
          </w:tcPr>
          <w:p w:rsidR="00000000" w:rsidRDefault="00000000">
            <w:pPr>
              <w:spacing w:before="60" w:after="60"/>
              <w:ind w:right="113"/>
              <w:jc w:val="right"/>
              <w:rPr>
                <w:sz w:val="16"/>
                <w:szCs w:val="16"/>
              </w:rPr>
            </w:pPr>
            <w:r>
              <w:rPr>
                <w:sz w:val="16"/>
                <w:szCs w:val="16"/>
              </w:rPr>
              <w:t>13 100</w:t>
            </w:r>
          </w:p>
        </w:tc>
        <w:tc>
          <w:tcPr>
            <w:tcW w:w="654" w:type="dxa"/>
            <w:noWrap/>
            <w:vAlign w:val="bottom"/>
          </w:tcPr>
          <w:p w:rsidR="00000000" w:rsidRDefault="00000000">
            <w:pPr>
              <w:spacing w:before="60" w:after="60"/>
              <w:ind w:right="113"/>
              <w:jc w:val="right"/>
              <w:rPr>
                <w:sz w:val="16"/>
                <w:szCs w:val="16"/>
              </w:rPr>
            </w:pPr>
            <w:r>
              <w:rPr>
                <w:sz w:val="16"/>
                <w:szCs w:val="16"/>
              </w:rPr>
              <w:t>12 948</w:t>
            </w:r>
          </w:p>
        </w:tc>
        <w:tc>
          <w:tcPr>
            <w:tcW w:w="655" w:type="dxa"/>
            <w:noWrap/>
            <w:vAlign w:val="bottom"/>
          </w:tcPr>
          <w:p w:rsidR="00000000" w:rsidRDefault="00000000">
            <w:pPr>
              <w:spacing w:before="60" w:after="60"/>
              <w:ind w:right="113"/>
              <w:jc w:val="right"/>
              <w:rPr>
                <w:sz w:val="16"/>
                <w:szCs w:val="16"/>
              </w:rPr>
            </w:pPr>
            <w:r>
              <w:rPr>
                <w:sz w:val="16"/>
                <w:szCs w:val="16"/>
              </w:rPr>
              <w:t>12 894</w:t>
            </w:r>
          </w:p>
        </w:tc>
        <w:tc>
          <w:tcPr>
            <w:tcW w:w="806" w:type="dxa"/>
            <w:noWrap/>
            <w:vAlign w:val="bottom"/>
          </w:tcPr>
          <w:p w:rsidR="00000000" w:rsidRDefault="00000000">
            <w:pPr>
              <w:spacing w:before="60" w:after="60"/>
              <w:ind w:right="113"/>
              <w:jc w:val="right"/>
              <w:rPr>
                <w:sz w:val="16"/>
                <w:szCs w:val="16"/>
              </w:rPr>
            </w:pPr>
            <w:r>
              <w:rPr>
                <w:sz w:val="16"/>
                <w:szCs w:val="16"/>
              </w:rPr>
              <w:t>13 088</w:t>
            </w:r>
          </w:p>
        </w:tc>
        <w:tc>
          <w:tcPr>
            <w:tcW w:w="681" w:type="dxa"/>
            <w:noWrap/>
            <w:vAlign w:val="bottom"/>
          </w:tcPr>
          <w:p w:rsidR="00000000" w:rsidRDefault="00000000">
            <w:pPr>
              <w:spacing w:before="60" w:after="60"/>
              <w:ind w:right="113"/>
              <w:jc w:val="right"/>
              <w:rPr>
                <w:sz w:val="16"/>
                <w:szCs w:val="16"/>
              </w:rPr>
            </w:pPr>
            <w:r>
              <w:rPr>
                <w:sz w:val="16"/>
                <w:szCs w:val="16"/>
              </w:rPr>
              <w:t>13 603</w:t>
            </w:r>
          </w:p>
        </w:tc>
      </w:tr>
      <w:tr w:rsidR="00000000">
        <w:trPr>
          <w:jc w:val="center"/>
        </w:trPr>
        <w:tc>
          <w:tcPr>
            <w:tcW w:w="746" w:type="dxa"/>
            <w:noWrap/>
            <w:vAlign w:val="bottom"/>
          </w:tcPr>
          <w:p w:rsidR="00000000" w:rsidRDefault="00000000">
            <w:pPr>
              <w:spacing w:before="60" w:after="60"/>
              <w:rPr>
                <w:sz w:val="16"/>
                <w:szCs w:val="16"/>
              </w:rPr>
            </w:pPr>
            <w:r>
              <w:rPr>
                <w:sz w:val="16"/>
                <w:szCs w:val="16"/>
              </w:rPr>
              <w:t>74</w:t>
            </w:r>
          </w:p>
        </w:tc>
        <w:tc>
          <w:tcPr>
            <w:tcW w:w="653" w:type="dxa"/>
            <w:noWrap/>
            <w:vAlign w:val="bottom"/>
          </w:tcPr>
          <w:p w:rsidR="00000000" w:rsidRDefault="00000000">
            <w:pPr>
              <w:spacing w:before="60" w:after="60"/>
              <w:ind w:right="113"/>
              <w:jc w:val="right"/>
              <w:rPr>
                <w:sz w:val="16"/>
                <w:szCs w:val="16"/>
              </w:rPr>
            </w:pPr>
            <w:r>
              <w:rPr>
                <w:sz w:val="16"/>
                <w:szCs w:val="16"/>
              </w:rPr>
              <w:t>9 481</w:t>
            </w:r>
          </w:p>
        </w:tc>
        <w:tc>
          <w:tcPr>
            <w:tcW w:w="653" w:type="dxa"/>
            <w:noWrap/>
            <w:vAlign w:val="bottom"/>
          </w:tcPr>
          <w:p w:rsidR="00000000" w:rsidRDefault="00000000">
            <w:pPr>
              <w:spacing w:before="60" w:after="60"/>
              <w:ind w:right="113"/>
              <w:jc w:val="right"/>
              <w:rPr>
                <w:sz w:val="16"/>
                <w:szCs w:val="16"/>
              </w:rPr>
            </w:pPr>
            <w:r>
              <w:rPr>
                <w:sz w:val="16"/>
                <w:szCs w:val="16"/>
              </w:rPr>
              <w:t>9 835</w:t>
            </w:r>
          </w:p>
        </w:tc>
        <w:tc>
          <w:tcPr>
            <w:tcW w:w="654" w:type="dxa"/>
            <w:noWrap/>
            <w:vAlign w:val="bottom"/>
          </w:tcPr>
          <w:p w:rsidR="00000000" w:rsidRDefault="00000000">
            <w:pPr>
              <w:spacing w:before="60" w:after="60"/>
              <w:ind w:right="113"/>
              <w:jc w:val="right"/>
              <w:rPr>
                <w:sz w:val="16"/>
                <w:szCs w:val="16"/>
              </w:rPr>
            </w:pPr>
            <w:r>
              <w:rPr>
                <w:sz w:val="16"/>
                <w:szCs w:val="16"/>
              </w:rPr>
              <w:t>10 256</w:t>
            </w:r>
          </w:p>
        </w:tc>
        <w:tc>
          <w:tcPr>
            <w:tcW w:w="654" w:type="dxa"/>
            <w:noWrap/>
            <w:vAlign w:val="bottom"/>
          </w:tcPr>
          <w:p w:rsidR="00000000" w:rsidRDefault="00000000">
            <w:pPr>
              <w:spacing w:before="60" w:after="60"/>
              <w:ind w:right="113"/>
              <w:jc w:val="right"/>
              <w:rPr>
                <w:sz w:val="16"/>
                <w:szCs w:val="16"/>
              </w:rPr>
            </w:pPr>
            <w:r>
              <w:rPr>
                <w:sz w:val="16"/>
                <w:szCs w:val="16"/>
              </w:rPr>
              <w:t>10 737</w:t>
            </w:r>
          </w:p>
        </w:tc>
        <w:tc>
          <w:tcPr>
            <w:tcW w:w="655" w:type="dxa"/>
            <w:noWrap/>
            <w:vAlign w:val="bottom"/>
          </w:tcPr>
          <w:p w:rsidR="00000000" w:rsidRDefault="00000000">
            <w:pPr>
              <w:spacing w:before="60" w:after="60"/>
              <w:ind w:right="113"/>
              <w:jc w:val="right"/>
              <w:rPr>
                <w:sz w:val="16"/>
                <w:szCs w:val="16"/>
              </w:rPr>
            </w:pPr>
            <w:r>
              <w:rPr>
                <w:sz w:val="16"/>
                <w:szCs w:val="16"/>
              </w:rPr>
              <w:t>11 227</w:t>
            </w:r>
          </w:p>
        </w:tc>
        <w:tc>
          <w:tcPr>
            <w:tcW w:w="654" w:type="dxa"/>
            <w:noWrap/>
            <w:vAlign w:val="bottom"/>
          </w:tcPr>
          <w:p w:rsidR="00000000" w:rsidRDefault="00000000">
            <w:pPr>
              <w:spacing w:before="60" w:after="60"/>
              <w:ind w:right="113"/>
              <w:jc w:val="right"/>
              <w:rPr>
                <w:sz w:val="16"/>
                <w:szCs w:val="16"/>
              </w:rPr>
            </w:pPr>
            <w:r>
              <w:rPr>
                <w:sz w:val="16"/>
                <w:szCs w:val="16"/>
              </w:rPr>
              <w:t>11 674</w:t>
            </w:r>
          </w:p>
        </w:tc>
        <w:tc>
          <w:tcPr>
            <w:tcW w:w="655" w:type="dxa"/>
            <w:noWrap/>
            <w:vAlign w:val="bottom"/>
          </w:tcPr>
          <w:p w:rsidR="00000000" w:rsidRDefault="00000000">
            <w:pPr>
              <w:spacing w:before="60" w:after="60"/>
              <w:ind w:right="113"/>
              <w:jc w:val="right"/>
              <w:rPr>
                <w:sz w:val="16"/>
                <w:szCs w:val="16"/>
              </w:rPr>
            </w:pPr>
            <w:r>
              <w:rPr>
                <w:sz w:val="16"/>
                <w:szCs w:val="16"/>
              </w:rPr>
              <w:t>12 028</w:t>
            </w:r>
          </w:p>
        </w:tc>
        <w:tc>
          <w:tcPr>
            <w:tcW w:w="654" w:type="dxa"/>
            <w:noWrap/>
            <w:vAlign w:val="bottom"/>
          </w:tcPr>
          <w:p w:rsidR="00000000" w:rsidRDefault="00000000">
            <w:pPr>
              <w:spacing w:before="60" w:after="60"/>
              <w:ind w:right="113"/>
              <w:jc w:val="right"/>
              <w:rPr>
                <w:sz w:val="16"/>
                <w:szCs w:val="16"/>
              </w:rPr>
            </w:pPr>
            <w:r>
              <w:rPr>
                <w:sz w:val="16"/>
                <w:szCs w:val="16"/>
              </w:rPr>
              <w:t>12 233</w:t>
            </w:r>
          </w:p>
        </w:tc>
        <w:tc>
          <w:tcPr>
            <w:tcW w:w="655" w:type="dxa"/>
            <w:noWrap/>
            <w:vAlign w:val="bottom"/>
          </w:tcPr>
          <w:p w:rsidR="00000000" w:rsidRDefault="00000000">
            <w:pPr>
              <w:spacing w:before="60" w:after="60"/>
              <w:ind w:right="113"/>
              <w:jc w:val="right"/>
              <w:rPr>
                <w:sz w:val="16"/>
                <w:szCs w:val="16"/>
              </w:rPr>
            </w:pPr>
            <w:r>
              <w:rPr>
                <w:sz w:val="16"/>
                <w:szCs w:val="16"/>
              </w:rPr>
              <w:t>12 325</w:t>
            </w:r>
          </w:p>
        </w:tc>
        <w:tc>
          <w:tcPr>
            <w:tcW w:w="654" w:type="dxa"/>
            <w:noWrap/>
            <w:vAlign w:val="bottom"/>
          </w:tcPr>
          <w:p w:rsidR="00000000" w:rsidRDefault="00000000">
            <w:pPr>
              <w:spacing w:before="60" w:after="60"/>
              <w:ind w:right="113"/>
              <w:jc w:val="right"/>
              <w:rPr>
                <w:sz w:val="16"/>
                <w:szCs w:val="16"/>
              </w:rPr>
            </w:pPr>
            <w:r>
              <w:rPr>
                <w:sz w:val="16"/>
                <w:szCs w:val="16"/>
              </w:rPr>
              <w:t>12 384</w:t>
            </w:r>
          </w:p>
        </w:tc>
        <w:tc>
          <w:tcPr>
            <w:tcW w:w="655" w:type="dxa"/>
            <w:noWrap/>
            <w:vAlign w:val="bottom"/>
          </w:tcPr>
          <w:p w:rsidR="00000000" w:rsidRDefault="00000000">
            <w:pPr>
              <w:spacing w:before="60" w:after="60"/>
              <w:ind w:right="113"/>
              <w:jc w:val="right"/>
              <w:rPr>
                <w:sz w:val="16"/>
                <w:szCs w:val="16"/>
              </w:rPr>
            </w:pPr>
            <w:r>
              <w:rPr>
                <w:sz w:val="16"/>
                <w:szCs w:val="16"/>
              </w:rPr>
              <w:t>12 492</w:t>
            </w:r>
          </w:p>
        </w:tc>
        <w:tc>
          <w:tcPr>
            <w:tcW w:w="806" w:type="dxa"/>
            <w:noWrap/>
            <w:vAlign w:val="bottom"/>
          </w:tcPr>
          <w:p w:rsidR="00000000" w:rsidRDefault="00000000">
            <w:pPr>
              <w:spacing w:before="60" w:after="60"/>
              <w:ind w:right="113"/>
              <w:jc w:val="right"/>
              <w:rPr>
                <w:sz w:val="16"/>
                <w:szCs w:val="16"/>
              </w:rPr>
            </w:pPr>
            <w:r>
              <w:rPr>
                <w:sz w:val="16"/>
                <w:szCs w:val="16"/>
              </w:rPr>
              <w:t>12 729</w:t>
            </w:r>
          </w:p>
        </w:tc>
        <w:tc>
          <w:tcPr>
            <w:tcW w:w="681" w:type="dxa"/>
            <w:noWrap/>
            <w:vAlign w:val="bottom"/>
          </w:tcPr>
          <w:p w:rsidR="00000000" w:rsidRDefault="00000000">
            <w:pPr>
              <w:spacing w:before="60" w:after="60"/>
              <w:ind w:right="113"/>
              <w:jc w:val="right"/>
              <w:rPr>
                <w:sz w:val="16"/>
                <w:szCs w:val="16"/>
              </w:rPr>
            </w:pPr>
            <w:r>
              <w:rPr>
                <w:sz w:val="16"/>
                <w:szCs w:val="16"/>
              </w:rPr>
              <w:t>13 120</w:t>
            </w:r>
          </w:p>
        </w:tc>
      </w:tr>
      <w:tr w:rsidR="00000000">
        <w:trPr>
          <w:jc w:val="center"/>
        </w:trPr>
        <w:tc>
          <w:tcPr>
            <w:tcW w:w="746" w:type="dxa"/>
            <w:noWrap/>
            <w:vAlign w:val="bottom"/>
          </w:tcPr>
          <w:p w:rsidR="00000000" w:rsidRDefault="00000000">
            <w:pPr>
              <w:spacing w:before="60" w:after="60"/>
              <w:rPr>
                <w:b/>
                <w:bCs/>
                <w:sz w:val="16"/>
                <w:szCs w:val="16"/>
              </w:rPr>
            </w:pPr>
            <w:r>
              <w:rPr>
                <w:b/>
                <w:bCs/>
                <w:sz w:val="16"/>
                <w:szCs w:val="16"/>
              </w:rPr>
              <w:t>75-79</w:t>
            </w:r>
          </w:p>
        </w:tc>
        <w:tc>
          <w:tcPr>
            <w:tcW w:w="653" w:type="dxa"/>
            <w:noWrap/>
            <w:vAlign w:val="bottom"/>
          </w:tcPr>
          <w:p w:rsidR="00000000" w:rsidRDefault="00000000">
            <w:pPr>
              <w:spacing w:before="60" w:after="60"/>
              <w:ind w:right="113"/>
              <w:jc w:val="right"/>
              <w:rPr>
                <w:b/>
                <w:bCs/>
                <w:sz w:val="16"/>
                <w:szCs w:val="16"/>
              </w:rPr>
            </w:pPr>
            <w:r>
              <w:rPr>
                <w:b/>
                <w:bCs/>
                <w:sz w:val="16"/>
                <w:szCs w:val="16"/>
              </w:rPr>
              <w:t>36 691</w:t>
            </w:r>
          </w:p>
        </w:tc>
        <w:tc>
          <w:tcPr>
            <w:tcW w:w="653" w:type="dxa"/>
            <w:noWrap/>
            <w:vAlign w:val="bottom"/>
          </w:tcPr>
          <w:p w:rsidR="00000000" w:rsidRDefault="00000000">
            <w:pPr>
              <w:spacing w:before="60" w:after="60"/>
              <w:ind w:right="113"/>
              <w:jc w:val="right"/>
              <w:rPr>
                <w:b/>
                <w:bCs/>
                <w:sz w:val="16"/>
                <w:szCs w:val="16"/>
              </w:rPr>
            </w:pPr>
            <w:r>
              <w:rPr>
                <w:b/>
                <w:bCs/>
                <w:sz w:val="16"/>
                <w:szCs w:val="16"/>
              </w:rPr>
              <w:t>38 129</w:t>
            </w:r>
          </w:p>
        </w:tc>
        <w:tc>
          <w:tcPr>
            <w:tcW w:w="654" w:type="dxa"/>
            <w:noWrap/>
            <w:vAlign w:val="bottom"/>
          </w:tcPr>
          <w:p w:rsidR="00000000" w:rsidRDefault="00000000">
            <w:pPr>
              <w:spacing w:before="60" w:after="60"/>
              <w:ind w:right="113"/>
              <w:jc w:val="right"/>
              <w:rPr>
                <w:b/>
                <w:bCs/>
                <w:sz w:val="16"/>
                <w:szCs w:val="16"/>
              </w:rPr>
            </w:pPr>
            <w:r>
              <w:rPr>
                <w:b/>
                <w:bCs/>
                <w:sz w:val="16"/>
                <w:szCs w:val="16"/>
              </w:rPr>
              <w:t>39 584</w:t>
            </w:r>
          </w:p>
        </w:tc>
        <w:tc>
          <w:tcPr>
            <w:tcW w:w="654" w:type="dxa"/>
            <w:noWrap/>
            <w:vAlign w:val="bottom"/>
          </w:tcPr>
          <w:p w:rsidR="00000000" w:rsidRDefault="00000000">
            <w:pPr>
              <w:spacing w:before="60" w:after="60"/>
              <w:ind w:right="113"/>
              <w:jc w:val="right"/>
              <w:rPr>
                <w:b/>
                <w:bCs/>
                <w:sz w:val="16"/>
                <w:szCs w:val="16"/>
              </w:rPr>
            </w:pPr>
            <w:r>
              <w:rPr>
                <w:b/>
                <w:bCs/>
                <w:sz w:val="16"/>
                <w:szCs w:val="16"/>
              </w:rPr>
              <w:t>41 063</w:t>
            </w:r>
          </w:p>
        </w:tc>
        <w:tc>
          <w:tcPr>
            <w:tcW w:w="655" w:type="dxa"/>
            <w:noWrap/>
            <w:vAlign w:val="bottom"/>
          </w:tcPr>
          <w:p w:rsidR="00000000" w:rsidRDefault="00000000">
            <w:pPr>
              <w:spacing w:before="60" w:after="60"/>
              <w:ind w:right="113"/>
              <w:jc w:val="right"/>
              <w:rPr>
                <w:b/>
                <w:bCs/>
                <w:sz w:val="16"/>
                <w:szCs w:val="16"/>
              </w:rPr>
            </w:pPr>
            <w:r>
              <w:rPr>
                <w:b/>
                <w:bCs/>
                <w:sz w:val="16"/>
                <w:szCs w:val="16"/>
              </w:rPr>
              <w:t>42 592</w:t>
            </w:r>
          </w:p>
        </w:tc>
        <w:tc>
          <w:tcPr>
            <w:tcW w:w="654" w:type="dxa"/>
            <w:noWrap/>
            <w:vAlign w:val="bottom"/>
          </w:tcPr>
          <w:p w:rsidR="00000000" w:rsidRDefault="00000000">
            <w:pPr>
              <w:spacing w:before="60" w:after="60"/>
              <w:ind w:right="113"/>
              <w:jc w:val="right"/>
              <w:rPr>
                <w:b/>
                <w:bCs/>
                <w:sz w:val="16"/>
                <w:szCs w:val="16"/>
              </w:rPr>
            </w:pPr>
            <w:r>
              <w:rPr>
                <w:b/>
                <w:bCs/>
                <w:sz w:val="16"/>
                <w:szCs w:val="16"/>
              </w:rPr>
              <w:t>44 200</w:t>
            </w:r>
          </w:p>
        </w:tc>
        <w:tc>
          <w:tcPr>
            <w:tcW w:w="655" w:type="dxa"/>
            <w:noWrap/>
            <w:vAlign w:val="bottom"/>
          </w:tcPr>
          <w:p w:rsidR="00000000" w:rsidRDefault="00000000">
            <w:pPr>
              <w:spacing w:before="60" w:after="60"/>
              <w:ind w:right="113"/>
              <w:jc w:val="right"/>
              <w:rPr>
                <w:b/>
                <w:bCs/>
                <w:sz w:val="16"/>
                <w:szCs w:val="16"/>
              </w:rPr>
            </w:pPr>
            <w:r>
              <w:rPr>
                <w:b/>
                <w:bCs/>
                <w:sz w:val="16"/>
                <w:szCs w:val="16"/>
              </w:rPr>
              <w:t>45 911</w:t>
            </w:r>
          </w:p>
        </w:tc>
        <w:tc>
          <w:tcPr>
            <w:tcW w:w="654" w:type="dxa"/>
            <w:noWrap/>
            <w:vAlign w:val="bottom"/>
          </w:tcPr>
          <w:p w:rsidR="00000000" w:rsidRDefault="00000000">
            <w:pPr>
              <w:spacing w:before="60" w:after="60"/>
              <w:ind w:right="113"/>
              <w:jc w:val="right"/>
              <w:rPr>
                <w:b/>
                <w:bCs/>
                <w:sz w:val="16"/>
                <w:szCs w:val="16"/>
              </w:rPr>
            </w:pPr>
            <w:r>
              <w:rPr>
                <w:b/>
                <w:bCs/>
                <w:sz w:val="16"/>
                <w:szCs w:val="16"/>
              </w:rPr>
              <w:t>47 876</w:t>
            </w:r>
          </w:p>
        </w:tc>
        <w:tc>
          <w:tcPr>
            <w:tcW w:w="655" w:type="dxa"/>
            <w:noWrap/>
            <w:vAlign w:val="bottom"/>
          </w:tcPr>
          <w:p w:rsidR="00000000" w:rsidRDefault="00000000">
            <w:pPr>
              <w:spacing w:before="60" w:after="60"/>
              <w:ind w:right="113"/>
              <w:jc w:val="right"/>
              <w:rPr>
                <w:b/>
                <w:bCs/>
                <w:sz w:val="16"/>
                <w:szCs w:val="16"/>
              </w:rPr>
            </w:pPr>
            <w:r>
              <w:rPr>
                <w:b/>
                <w:bCs/>
                <w:sz w:val="16"/>
                <w:szCs w:val="16"/>
              </w:rPr>
              <w:t>50 078</w:t>
            </w:r>
          </w:p>
        </w:tc>
        <w:tc>
          <w:tcPr>
            <w:tcW w:w="654" w:type="dxa"/>
            <w:noWrap/>
            <w:vAlign w:val="bottom"/>
          </w:tcPr>
          <w:p w:rsidR="00000000" w:rsidRDefault="00000000">
            <w:pPr>
              <w:spacing w:before="60" w:after="60"/>
              <w:ind w:right="113"/>
              <w:jc w:val="right"/>
              <w:rPr>
                <w:b/>
                <w:bCs/>
                <w:sz w:val="16"/>
                <w:szCs w:val="16"/>
              </w:rPr>
            </w:pPr>
            <w:r>
              <w:rPr>
                <w:b/>
                <w:bCs/>
                <w:sz w:val="16"/>
                <w:szCs w:val="16"/>
              </w:rPr>
              <w:t>52 291</w:t>
            </w:r>
          </w:p>
        </w:tc>
        <w:tc>
          <w:tcPr>
            <w:tcW w:w="655" w:type="dxa"/>
            <w:noWrap/>
            <w:vAlign w:val="bottom"/>
          </w:tcPr>
          <w:p w:rsidR="00000000" w:rsidRDefault="00000000">
            <w:pPr>
              <w:spacing w:before="60" w:after="60"/>
              <w:ind w:right="113"/>
              <w:jc w:val="right"/>
              <w:rPr>
                <w:b/>
                <w:bCs/>
                <w:sz w:val="16"/>
                <w:szCs w:val="16"/>
              </w:rPr>
            </w:pPr>
            <w:r>
              <w:rPr>
                <w:b/>
                <w:bCs/>
                <w:sz w:val="16"/>
                <w:szCs w:val="16"/>
              </w:rPr>
              <w:t>54 290</w:t>
            </w:r>
          </w:p>
        </w:tc>
        <w:tc>
          <w:tcPr>
            <w:tcW w:w="806" w:type="dxa"/>
            <w:noWrap/>
            <w:vAlign w:val="bottom"/>
          </w:tcPr>
          <w:p w:rsidR="00000000" w:rsidRDefault="00000000">
            <w:pPr>
              <w:spacing w:before="60" w:after="60"/>
              <w:ind w:right="113"/>
              <w:jc w:val="right"/>
              <w:rPr>
                <w:b/>
                <w:bCs/>
                <w:sz w:val="16"/>
                <w:szCs w:val="16"/>
              </w:rPr>
            </w:pPr>
            <w:r>
              <w:rPr>
                <w:b/>
                <w:bCs/>
                <w:sz w:val="16"/>
                <w:szCs w:val="16"/>
              </w:rPr>
              <w:t>55 851</w:t>
            </w:r>
          </w:p>
        </w:tc>
        <w:tc>
          <w:tcPr>
            <w:tcW w:w="681" w:type="dxa"/>
            <w:noWrap/>
            <w:vAlign w:val="bottom"/>
          </w:tcPr>
          <w:p w:rsidR="00000000" w:rsidRDefault="00000000">
            <w:pPr>
              <w:spacing w:before="60" w:after="60"/>
              <w:ind w:right="113"/>
              <w:jc w:val="right"/>
              <w:rPr>
                <w:b/>
                <w:bCs/>
                <w:sz w:val="16"/>
                <w:szCs w:val="16"/>
              </w:rPr>
            </w:pPr>
            <w:r>
              <w:rPr>
                <w:b/>
                <w:bCs/>
                <w:sz w:val="16"/>
                <w:szCs w:val="16"/>
              </w:rPr>
              <w:t>56 643</w:t>
            </w:r>
          </w:p>
        </w:tc>
      </w:tr>
      <w:tr w:rsidR="00000000">
        <w:trPr>
          <w:jc w:val="center"/>
        </w:trPr>
        <w:tc>
          <w:tcPr>
            <w:tcW w:w="746" w:type="dxa"/>
            <w:noWrap/>
            <w:vAlign w:val="bottom"/>
          </w:tcPr>
          <w:p w:rsidR="00000000" w:rsidRDefault="00000000">
            <w:pPr>
              <w:spacing w:before="60" w:after="60"/>
              <w:rPr>
                <w:sz w:val="16"/>
                <w:szCs w:val="16"/>
              </w:rPr>
            </w:pPr>
            <w:r>
              <w:rPr>
                <w:sz w:val="16"/>
                <w:szCs w:val="16"/>
              </w:rPr>
              <w:t>75</w:t>
            </w:r>
          </w:p>
        </w:tc>
        <w:tc>
          <w:tcPr>
            <w:tcW w:w="653" w:type="dxa"/>
            <w:noWrap/>
            <w:vAlign w:val="bottom"/>
          </w:tcPr>
          <w:p w:rsidR="00000000" w:rsidRDefault="00000000">
            <w:pPr>
              <w:spacing w:before="60" w:after="60"/>
              <w:ind w:right="113"/>
              <w:jc w:val="right"/>
              <w:rPr>
                <w:sz w:val="16"/>
                <w:szCs w:val="16"/>
              </w:rPr>
            </w:pPr>
            <w:r>
              <w:rPr>
                <w:sz w:val="16"/>
                <w:szCs w:val="16"/>
              </w:rPr>
              <w:t>8 766</w:t>
            </w:r>
          </w:p>
        </w:tc>
        <w:tc>
          <w:tcPr>
            <w:tcW w:w="653" w:type="dxa"/>
            <w:noWrap/>
            <w:vAlign w:val="bottom"/>
          </w:tcPr>
          <w:p w:rsidR="00000000" w:rsidRDefault="00000000">
            <w:pPr>
              <w:spacing w:before="60" w:after="60"/>
              <w:ind w:right="113"/>
              <w:jc w:val="right"/>
              <w:rPr>
                <w:sz w:val="16"/>
                <w:szCs w:val="16"/>
              </w:rPr>
            </w:pPr>
            <w:r>
              <w:rPr>
                <w:sz w:val="16"/>
                <w:szCs w:val="16"/>
              </w:rPr>
              <w:t>9 098</w:t>
            </w:r>
          </w:p>
        </w:tc>
        <w:tc>
          <w:tcPr>
            <w:tcW w:w="654" w:type="dxa"/>
            <w:noWrap/>
            <w:vAlign w:val="bottom"/>
          </w:tcPr>
          <w:p w:rsidR="00000000" w:rsidRDefault="00000000">
            <w:pPr>
              <w:spacing w:before="60" w:after="60"/>
              <w:ind w:right="113"/>
              <w:jc w:val="right"/>
              <w:rPr>
                <w:sz w:val="16"/>
                <w:szCs w:val="16"/>
              </w:rPr>
            </w:pPr>
            <w:r>
              <w:rPr>
                <w:sz w:val="16"/>
                <w:szCs w:val="16"/>
              </w:rPr>
              <w:t>9 467</w:t>
            </w:r>
          </w:p>
        </w:tc>
        <w:tc>
          <w:tcPr>
            <w:tcW w:w="654" w:type="dxa"/>
            <w:noWrap/>
            <w:vAlign w:val="bottom"/>
          </w:tcPr>
          <w:p w:rsidR="00000000" w:rsidRDefault="00000000">
            <w:pPr>
              <w:spacing w:before="60" w:after="60"/>
              <w:ind w:right="113"/>
              <w:jc w:val="right"/>
              <w:rPr>
                <w:sz w:val="16"/>
                <w:szCs w:val="16"/>
              </w:rPr>
            </w:pPr>
            <w:r>
              <w:rPr>
                <w:sz w:val="16"/>
                <w:szCs w:val="16"/>
              </w:rPr>
              <w:t>9 870</w:t>
            </w:r>
          </w:p>
        </w:tc>
        <w:tc>
          <w:tcPr>
            <w:tcW w:w="655" w:type="dxa"/>
            <w:noWrap/>
            <w:vAlign w:val="bottom"/>
          </w:tcPr>
          <w:p w:rsidR="00000000" w:rsidRDefault="00000000">
            <w:pPr>
              <w:spacing w:before="60" w:after="60"/>
              <w:ind w:right="113"/>
              <w:jc w:val="right"/>
              <w:rPr>
                <w:sz w:val="16"/>
                <w:szCs w:val="16"/>
              </w:rPr>
            </w:pPr>
            <w:r>
              <w:rPr>
                <w:sz w:val="16"/>
                <w:szCs w:val="16"/>
              </w:rPr>
              <w:t>10 282</w:t>
            </w:r>
          </w:p>
        </w:tc>
        <w:tc>
          <w:tcPr>
            <w:tcW w:w="654" w:type="dxa"/>
            <w:noWrap/>
            <w:vAlign w:val="bottom"/>
          </w:tcPr>
          <w:p w:rsidR="00000000" w:rsidRDefault="00000000">
            <w:pPr>
              <w:spacing w:before="60" w:after="60"/>
              <w:ind w:right="113"/>
              <w:jc w:val="right"/>
              <w:rPr>
                <w:sz w:val="16"/>
                <w:szCs w:val="16"/>
              </w:rPr>
            </w:pPr>
            <w:r>
              <w:rPr>
                <w:sz w:val="16"/>
                <w:szCs w:val="16"/>
              </w:rPr>
              <w:t>10 677</w:t>
            </w:r>
          </w:p>
        </w:tc>
        <w:tc>
          <w:tcPr>
            <w:tcW w:w="655" w:type="dxa"/>
            <w:noWrap/>
            <w:vAlign w:val="bottom"/>
          </w:tcPr>
          <w:p w:rsidR="00000000" w:rsidRDefault="00000000">
            <w:pPr>
              <w:spacing w:before="60" w:after="60"/>
              <w:ind w:right="113"/>
              <w:jc w:val="right"/>
              <w:rPr>
                <w:sz w:val="16"/>
                <w:szCs w:val="16"/>
              </w:rPr>
            </w:pPr>
            <w:r>
              <w:rPr>
                <w:sz w:val="16"/>
                <w:szCs w:val="16"/>
              </w:rPr>
              <w:t>11 031</w:t>
            </w:r>
          </w:p>
        </w:tc>
        <w:tc>
          <w:tcPr>
            <w:tcW w:w="654" w:type="dxa"/>
            <w:noWrap/>
            <w:vAlign w:val="bottom"/>
          </w:tcPr>
          <w:p w:rsidR="00000000" w:rsidRDefault="00000000">
            <w:pPr>
              <w:spacing w:before="60" w:after="60"/>
              <w:ind w:right="113"/>
              <w:jc w:val="right"/>
              <w:rPr>
                <w:sz w:val="16"/>
                <w:szCs w:val="16"/>
              </w:rPr>
            </w:pPr>
            <w:r>
              <w:rPr>
                <w:sz w:val="16"/>
                <w:szCs w:val="16"/>
              </w:rPr>
              <w:t>11 328</w:t>
            </w:r>
          </w:p>
        </w:tc>
        <w:tc>
          <w:tcPr>
            <w:tcW w:w="655" w:type="dxa"/>
            <w:noWrap/>
            <w:vAlign w:val="bottom"/>
          </w:tcPr>
          <w:p w:rsidR="00000000" w:rsidRDefault="00000000">
            <w:pPr>
              <w:spacing w:before="60" w:after="60"/>
              <w:ind w:right="113"/>
              <w:jc w:val="right"/>
              <w:rPr>
                <w:sz w:val="16"/>
                <w:szCs w:val="16"/>
              </w:rPr>
            </w:pPr>
            <w:r>
              <w:rPr>
                <w:sz w:val="16"/>
                <w:szCs w:val="16"/>
              </w:rPr>
              <w:t>11 586</w:t>
            </w:r>
          </w:p>
        </w:tc>
        <w:tc>
          <w:tcPr>
            <w:tcW w:w="654" w:type="dxa"/>
            <w:noWrap/>
            <w:vAlign w:val="bottom"/>
          </w:tcPr>
          <w:p w:rsidR="00000000" w:rsidRDefault="00000000">
            <w:pPr>
              <w:spacing w:before="60" w:after="60"/>
              <w:ind w:right="113"/>
              <w:jc w:val="right"/>
              <w:rPr>
                <w:sz w:val="16"/>
                <w:szCs w:val="16"/>
              </w:rPr>
            </w:pPr>
            <w:r>
              <w:rPr>
                <w:sz w:val="16"/>
                <w:szCs w:val="16"/>
              </w:rPr>
              <w:t>11 826</w:t>
            </w:r>
          </w:p>
        </w:tc>
        <w:tc>
          <w:tcPr>
            <w:tcW w:w="655" w:type="dxa"/>
            <w:noWrap/>
            <w:vAlign w:val="bottom"/>
          </w:tcPr>
          <w:p w:rsidR="00000000" w:rsidRDefault="00000000">
            <w:pPr>
              <w:spacing w:before="60" w:after="60"/>
              <w:ind w:right="113"/>
              <w:jc w:val="right"/>
              <w:rPr>
                <w:sz w:val="16"/>
                <w:szCs w:val="16"/>
              </w:rPr>
            </w:pPr>
            <w:r>
              <w:rPr>
                <w:sz w:val="16"/>
                <w:szCs w:val="16"/>
              </w:rPr>
              <w:t>12 071</w:t>
            </w:r>
          </w:p>
        </w:tc>
        <w:tc>
          <w:tcPr>
            <w:tcW w:w="806" w:type="dxa"/>
            <w:noWrap/>
            <w:vAlign w:val="bottom"/>
          </w:tcPr>
          <w:p w:rsidR="00000000" w:rsidRDefault="00000000">
            <w:pPr>
              <w:spacing w:before="60" w:after="60"/>
              <w:ind w:right="113"/>
              <w:jc w:val="right"/>
              <w:rPr>
                <w:sz w:val="16"/>
                <w:szCs w:val="16"/>
              </w:rPr>
            </w:pPr>
            <w:r>
              <w:rPr>
                <w:sz w:val="16"/>
                <w:szCs w:val="16"/>
              </w:rPr>
              <w:t>12 343</w:t>
            </w:r>
          </w:p>
        </w:tc>
        <w:tc>
          <w:tcPr>
            <w:tcW w:w="681" w:type="dxa"/>
            <w:noWrap/>
            <w:vAlign w:val="bottom"/>
          </w:tcPr>
          <w:p w:rsidR="00000000" w:rsidRDefault="00000000">
            <w:pPr>
              <w:spacing w:before="60" w:after="60"/>
              <w:ind w:right="113"/>
              <w:jc w:val="right"/>
              <w:rPr>
                <w:sz w:val="16"/>
                <w:szCs w:val="16"/>
              </w:rPr>
            </w:pPr>
            <w:r>
              <w:rPr>
                <w:sz w:val="16"/>
                <w:szCs w:val="16"/>
              </w:rPr>
              <w:t>12 618</w:t>
            </w:r>
          </w:p>
        </w:tc>
      </w:tr>
      <w:tr w:rsidR="00000000">
        <w:trPr>
          <w:jc w:val="center"/>
        </w:trPr>
        <w:tc>
          <w:tcPr>
            <w:tcW w:w="746" w:type="dxa"/>
            <w:noWrap/>
            <w:vAlign w:val="bottom"/>
          </w:tcPr>
          <w:p w:rsidR="00000000" w:rsidRDefault="00000000">
            <w:pPr>
              <w:spacing w:before="60" w:after="60"/>
              <w:rPr>
                <w:sz w:val="16"/>
                <w:szCs w:val="16"/>
              </w:rPr>
            </w:pPr>
            <w:r>
              <w:rPr>
                <w:sz w:val="16"/>
                <w:szCs w:val="16"/>
              </w:rPr>
              <w:t>76</w:t>
            </w:r>
          </w:p>
        </w:tc>
        <w:tc>
          <w:tcPr>
            <w:tcW w:w="653" w:type="dxa"/>
            <w:noWrap/>
            <w:vAlign w:val="bottom"/>
          </w:tcPr>
          <w:p w:rsidR="00000000" w:rsidRDefault="00000000">
            <w:pPr>
              <w:spacing w:before="60" w:after="60"/>
              <w:ind w:right="113"/>
              <w:jc w:val="right"/>
              <w:rPr>
                <w:sz w:val="16"/>
                <w:szCs w:val="16"/>
              </w:rPr>
            </w:pPr>
            <w:r>
              <w:rPr>
                <w:sz w:val="16"/>
                <w:szCs w:val="16"/>
              </w:rPr>
              <w:t>8 059</w:t>
            </w:r>
          </w:p>
        </w:tc>
        <w:tc>
          <w:tcPr>
            <w:tcW w:w="653" w:type="dxa"/>
            <w:noWrap/>
            <w:vAlign w:val="bottom"/>
          </w:tcPr>
          <w:p w:rsidR="00000000" w:rsidRDefault="00000000">
            <w:pPr>
              <w:spacing w:before="60" w:after="60"/>
              <w:ind w:right="113"/>
              <w:jc w:val="right"/>
              <w:rPr>
                <w:sz w:val="16"/>
                <w:szCs w:val="16"/>
              </w:rPr>
            </w:pPr>
            <w:r>
              <w:rPr>
                <w:sz w:val="16"/>
                <w:szCs w:val="16"/>
              </w:rPr>
              <w:t>8 369</w:t>
            </w:r>
          </w:p>
        </w:tc>
        <w:tc>
          <w:tcPr>
            <w:tcW w:w="654" w:type="dxa"/>
            <w:noWrap/>
            <w:vAlign w:val="bottom"/>
          </w:tcPr>
          <w:p w:rsidR="00000000" w:rsidRDefault="00000000">
            <w:pPr>
              <w:spacing w:before="60" w:after="60"/>
              <w:ind w:right="113"/>
              <w:jc w:val="right"/>
              <w:rPr>
                <w:sz w:val="16"/>
                <w:szCs w:val="16"/>
              </w:rPr>
            </w:pPr>
            <w:r>
              <w:rPr>
                <w:sz w:val="16"/>
                <w:szCs w:val="16"/>
              </w:rPr>
              <w:t>8 685</w:t>
            </w:r>
          </w:p>
        </w:tc>
        <w:tc>
          <w:tcPr>
            <w:tcW w:w="654" w:type="dxa"/>
            <w:noWrap/>
            <w:vAlign w:val="bottom"/>
          </w:tcPr>
          <w:p w:rsidR="00000000" w:rsidRDefault="00000000">
            <w:pPr>
              <w:spacing w:before="60" w:after="60"/>
              <w:ind w:right="113"/>
              <w:jc w:val="right"/>
              <w:rPr>
                <w:sz w:val="16"/>
                <w:szCs w:val="16"/>
              </w:rPr>
            </w:pPr>
            <w:r>
              <w:rPr>
                <w:sz w:val="16"/>
                <w:szCs w:val="16"/>
              </w:rPr>
              <w:t>9 010</w:t>
            </w:r>
          </w:p>
        </w:tc>
        <w:tc>
          <w:tcPr>
            <w:tcW w:w="655" w:type="dxa"/>
            <w:noWrap/>
            <w:vAlign w:val="bottom"/>
          </w:tcPr>
          <w:p w:rsidR="00000000" w:rsidRDefault="00000000">
            <w:pPr>
              <w:spacing w:before="60" w:after="60"/>
              <w:ind w:right="113"/>
              <w:jc w:val="right"/>
              <w:rPr>
                <w:sz w:val="16"/>
                <w:szCs w:val="16"/>
              </w:rPr>
            </w:pPr>
            <w:r>
              <w:rPr>
                <w:sz w:val="16"/>
                <w:szCs w:val="16"/>
              </w:rPr>
              <w:t>9 345</w:t>
            </w:r>
          </w:p>
        </w:tc>
        <w:tc>
          <w:tcPr>
            <w:tcW w:w="654" w:type="dxa"/>
            <w:noWrap/>
            <w:vAlign w:val="bottom"/>
          </w:tcPr>
          <w:p w:rsidR="00000000" w:rsidRDefault="00000000">
            <w:pPr>
              <w:spacing w:before="60" w:after="60"/>
              <w:ind w:right="113"/>
              <w:jc w:val="right"/>
              <w:rPr>
                <w:sz w:val="16"/>
                <w:szCs w:val="16"/>
              </w:rPr>
            </w:pPr>
            <w:r>
              <w:rPr>
                <w:sz w:val="16"/>
                <w:szCs w:val="16"/>
              </w:rPr>
              <w:t>9 691</w:t>
            </w:r>
          </w:p>
        </w:tc>
        <w:tc>
          <w:tcPr>
            <w:tcW w:w="655" w:type="dxa"/>
            <w:noWrap/>
            <w:vAlign w:val="bottom"/>
          </w:tcPr>
          <w:p w:rsidR="00000000" w:rsidRDefault="00000000">
            <w:pPr>
              <w:spacing w:before="60" w:after="60"/>
              <w:ind w:right="113"/>
              <w:jc w:val="right"/>
              <w:rPr>
                <w:sz w:val="16"/>
                <w:szCs w:val="16"/>
              </w:rPr>
            </w:pPr>
            <w:r>
              <w:rPr>
                <w:sz w:val="16"/>
                <w:szCs w:val="16"/>
              </w:rPr>
              <w:t>10 049</w:t>
            </w:r>
          </w:p>
        </w:tc>
        <w:tc>
          <w:tcPr>
            <w:tcW w:w="654" w:type="dxa"/>
            <w:noWrap/>
            <w:vAlign w:val="bottom"/>
          </w:tcPr>
          <w:p w:rsidR="00000000" w:rsidRDefault="00000000">
            <w:pPr>
              <w:spacing w:before="60" w:after="60"/>
              <w:ind w:right="113"/>
              <w:jc w:val="right"/>
              <w:rPr>
                <w:sz w:val="16"/>
                <w:szCs w:val="16"/>
              </w:rPr>
            </w:pPr>
            <w:r>
              <w:rPr>
                <w:sz w:val="16"/>
                <w:szCs w:val="16"/>
              </w:rPr>
              <w:t>10 448</w:t>
            </w:r>
          </w:p>
        </w:tc>
        <w:tc>
          <w:tcPr>
            <w:tcW w:w="655" w:type="dxa"/>
            <w:noWrap/>
            <w:vAlign w:val="bottom"/>
          </w:tcPr>
          <w:p w:rsidR="00000000" w:rsidRDefault="00000000">
            <w:pPr>
              <w:spacing w:before="60" w:after="60"/>
              <w:ind w:right="113"/>
              <w:jc w:val="right"/>
              <w:rPr>
                <w:sz w:val="16"/>
                <w:szCs w:val="16"/>
              </w:rPr>
            </w:pPr>
            <w:r>
              <w:rPr>
                <w:sz w:val="16"/>
                <w:szCs w:val="16"/>
              </w:rPr>
              <w:t>10 885</w:t>
            </w:r>
          </w:p>
        </w:tc>
        <w:tc>
          <w:tcPr>
            <w:tcW w:w="654" w:type="dxa"/>
            <w:noWrap/>
            <w:vAlign w:val="bottom"/>
          </w:tcPr>
          <w:p w:rsidR="00000000" w:rsidRDefault="00000000">
            <w:pPr>
              <w:spacing w:before="60" w:after="60"/>
              <w:ind w:right="113"/>
              <w:jc w:val="right"/>
              <w:rPr>
                <w:sz w:val="16"/>
                <w:szCs w:val="16"/>
              </w:rPr>
            </w:pPr>
            <w:r>
              <w:rPr>
                <w:sz w:val="16"/>
                <w:szCs w:val="16"/>
              </w:rPr>
              <w:t>11 320</w:t>
            </w:r>
          </w:p>
        </w:tc>
        <w:tc>
          <w:tcPr>
            <w:tcW w:w="655" w:type="dxa"/>
            <w:noWrap/>
            <w:vAlign w:val="bottom"/>
          </w:tcPr>
          <w:p w:rsidR="00000000" w:rsidRDefault="00000000">
            <w:pPr>
              <w:spacing w:before="60" w:after="60"/>
              <w:ind w:right="113"/>
              <w:jc w:val="right"/>
              <w:rPr>
                <w:sz w:val="16"/>
                <w:szCs w:val="16"/>
              </w:rPr>
            </w:pPr>
            <w:r>
              <w:rPr>
                <w:sz w:val="16"/>
                <w:szCs w:val="16"/>
              </w:rPr>
              <w:t>11 713</w:t>
            </w:r>
          </w:p>
        </w:tc>
        <w:tc>
          <w:tcPr>
            <w:tcW w:w="806" w:type="dxa"/>
            <w:noWrap/>
            <w:vAlign w:val="bottom"/>
          </w:tcPr>
          <w:p w:rsidR="00000000" w:rsidRDefault="00000000">
            <w:pPr>
              <w:spacing w:before="60" w:after="60"/>
              <w:ind w:right="113"/>
              <w:jc w:val="right"/>
              <w:rPr>
                <w:sz w:val="16"/>
                <w:szCs w:val="16"/>
              </w:rPr>
            </w:pPr>
            <w:r>
              <w:rPr>
                <w:sz w:val="16"/>
                <w:szCs w:val="16"/>
              </w:rPr>
              <w:t>12 021</w:t>
            </w:r>
          </w:p>
        </w:tc>
        <w:tc>
          <w:tcPr>
            <w:tcW w:w="681" w:type="dxa"/>
            <w:noWrap/>
            <w:vAlign w:val="bottom"/>
          </w:tcPr>
          <w:p w:rsidR="00000000" w:rsidRDefault="00000000">
            <w:pPr>
              <w:spacing w:before="60" w:after="60"/>
              <w:ind w:right="113"/>
              <w:jc w:val="right"/>
              <w:rPr>
                <w:sz w:val="16"/>
                <w:szCs w:val="16"/>
              </w:rPr>
            </w:pPr>
            <w:r>
              <w:rPr>
                <w:sz w:val="16"/>
                <w:szCs w:val="16"/>
              </w:rPr>
              <w:t>12 174</w:t>
            </w:r>
          </w:p>
        </w:tc>
      </w:tr>
      <w:tr w:rsidR="00000000">
        <w:trPr>
          <w:jc w:val="center"/>
        </w:trPr>
        <w:tc>
          <w:tcPr>
            <w:tcW w:w="746" w:type="dxa"/>
            <w:noWrap/>
            <w:vAlign w:val="bottom"/>
          </w:tcPr>
          <w:p w:rsidR="00000000" w:rsidRDefault="00000000">
            <w:pPr>
              <w:spacing w:before="60" w:after="60"/>
              <w:rPr>
                <w:sz w:val="16"/>
                <w:szCs w:val="16"/>
              </w:rPr>
            </w:pPr>
            <w:r>
              <w:rPr>
                <w:sz w:val="16"/>
                <w:szCs w:val="16"/>
              </w:rPr>
              <w:t>77</w:t>
            </w:r>
          </w:p>
        </w:tc>
        <w:tc>
          <w:tcPr>
            <w:tcW w:w="653" w:type="dxa"/>
            <w:noWrap/>
            <w:vAlign w:val="bottom"/>
          </w:tcPr>
          <w:p w:rsidR="00000000" w:rsidRDefault="00000000">
            <w:pPr>
              <w:spacing w:before="60" w:after="60"/>
              <w:ind w:right="113"/>
              <w:jc w:val="right"/>
              <w:rPr>
                <w:sz w:val="16"/>
                <w:szCs w:val="16"/>
              </w:rPr>
            </w:pPr>
            <w:r>
              <w:rPr>
                <w:sz w:val="16"/>
                <w:szCs w:val="16"/>
              </w:rPr>
              <w:t>7 350</w:t>
            </w:r>
          </w:p>
        </w:tc>
        <w:tc>
          <w:tcPr>
            <w:tcW w:w="653" w:type="dxa"/>
            <w:noWrap/>
            <w:vAlign w:val="bottom"/>
          </w:tcPr>
          <w:p w:rsidR="00000000" w:rsidRDefault="00000000">
            <w:pPr>
              <w:spacing w:before="60" w:after="60"/>
              <w:ind w:right="113"/>
              <w:jc w:val="right"/>
              <w:rPr>
                <w:sz w:val="16"/>
                <w:szCs w:val="16"/>
              </w:rPr>
            </w:pPr>
            <w:r>
              <w:rPr>
                <w:sz w:val="16"/>
                <w:szCs w:val="16"/>
              </w:rPr>
              <w:t>7 637</w:t>
            </w:r>
          </w:p>
        </w:tc>
        <w:tc>
          <w:tcPr>
            <w:tcW w:w="654" w:type="dxa"/>
            <w:noWrap/>
            <w:vAlign w:val="bottom"/>
          </w:tcPr>
          <w:p w:rsidR="00000000" w:rsidRDefault="00000000">
            <w:pPr>
              <w:spacing w:before="60" w:after="60"/>
              <w:ind w:right="113"/>
              <w:jc w:val="right"/>
              <w:rPr>
                <w:sz w:val="16"/>
                <w:szCs w:val="16"/>
              </w:rPr>
            </w:pPr>
            <w:r>
              <w:rPr>
                <w:sz w:val="16"/>
                <w:szCs w:val="16"/>
              </w:rPr>
              <w:t>7 910</w:t>
            </w:r>
          </w:p>
        </w:tc>
        <w:tc>
          <w:tcPr>
            <w:tcW w:w="654" w:type="dxa"/>
            <w:noWrap/>
            <w:vAlign w:val="bottom"/>
          </w:tcPr>
          <w:p w:rsidR="00000000" w:rsidRDefault="00000000">
            <w:pPr>
              <w:spacing w:before="60" w:after="60"/>
              <w:ind w:right="113"/>
              <w:jc w:val="right"/>
              <w:rPr>
                <w:sz w:val="16"/>
                <w:szCs w:val="16"/>
              </w:rPr>
            </w:pPr>
            <w:r>
              <w:rPr>
                <w:sz w:val="16"/>
                <w:szCs w:val="16"/>
              </w:rPr>
              <w:t>8 175</w:t>
            </w:r>
          </w:p>
        </w:tc>
        <w:tc>
          <w:tcPr>
            <w:tcW w:w="655" w:type="dxa"/>
            <w:noWrap/>
            <w:vAlign w:val="bottom"/>
          </w:tcPr>
          <w:p w:rsidR="00000000" w:rsidRDefault="00000000">
            <w:pPr>
              <w:spacing w:before="60" w:after="60"/>
              <w:ind w:right="113"/>
              <w:jc w:val="right"/>
              <w:rPr>
                <w:sz w:val="16"/>
                <w:szCs w:val="16"/>
              </w:rPr>
            </w:pPr>
            <w:r>
              <w:rPr>
                <w:sz w:val="16"/>
                <w:szCs w:val="16"/>
              </w:rPr>
              <w:t>8 450</w:t>
            </w:r>
          </w:p>
        </w:tc>
        <w:tc>
          <w:tcPr>
            <w:tcW w:w="654" w:type="dxa"/>
            <w:noWrap/>
            <w:vAlign w:val="bottom"/>
          </w:tcPr>
          <w:p w:rsidR="00000000" w:rsidRDefault="00000000">
            <w:pPr>
              <w:spacing w:before="60" w:after="60"/>
              <w:ind w:right="113"/>
              <w:jc w:val="right"/>
              <w:rPr>
                <w:sz w:val="16"/>
                <w:szCs w:val="16"/>
              </w:rPr>
            </w:pPr>
            <w:r>
              <w:rPr>
                <w:sz w:val="16"/>
                <w:szCs w:val="16"/>
              </w:rPr>
              <w:t>8 755</w:t>
            </w:r>
          </w:p>
        </w:tc>
        <w:tc>
          <w:tcPr>
            <w:tcW w:w="655" w:type="dxa"/>
            <w:noWrap/>
            <w:vAlign w:val="bottom"/>
          </w:tcPr>
          <w:p w:rsidR="00000000" w:rsidRDefault="00000000">
            <w:pPr>
              <w:spacing w:before="60" w:after="60"/>
              <w:ind w:right="113"/>
              <w:jc w:val="right"/>
              <w:rPr>
                <w:sz w:val="16"/>
                <w:szCs w:val="16"/>
              </w:rPr>
            </w:pPr>
            <w:r>
              <w:rPr>
                <w:sz w:val="16"/>
                <w:szCs w:val="16"/>
              </w:rPr>
              <w:t>9 109</w:t>
            </w:r>
          </w:p>
        </w:tc>
        <w:tc>
          <w:tcPr>
            <w:tcW w:w="654" w:type="dxa"/>
            <w:noWrap/>
            <w:vAlign w:val="bottom"/>
          </w:tcPr>
          <w:p w:rsidR="00000000" w:rsidRDefault="00000000">
            <w:pPr>
              <w:spacing w:before="60" w:after="60"/>
              <w:ind w:right="113"/>
              <w:jc w:val="right"/>
              <w:rPr>
                <w:sz w:val="16"/>
                <w:szCs w:val="16"/>
              </w:rPr>
            </w:pPr>
            <w:r>
              <w:rPr>
                <w:sz w:val="16"/>
                <w:szCs w:val="16"/>
              </w:rPr>
              <w:t>9 566</w:t>
            </w:r>
          </w:p>
        </w:tc>
        <w:tc>
          <w:tcPr>
            <w:tcW w:w="655" w:type="dxa"/>
            <w:noWrap/>
            <w:vAlign w:val="bottom"/>
          </w:tcPr>
          <w:p w:rsidR="00000000" w:rsidRDefault="00000000">
            <w:pPr>
              <w:spacing w:before="60" w:after="60"/>
              <w:ind w:right="113"/>
              <w:jc w:val="right"/>
              <w:rPr>
                <w:sz w:val="16"/>
                <w:szCs w:val="16"/>
              </w:rPr>
            </w:pPr>
            <w:r>
              <w:rPr>
                <w:sz w:val="16"/>
                <w:szCs w:val="16"/>
              </w:rPr>
              <w:t>10 112</w:t>
            </w:r>
          </w:p>
        </w:tc>
        <w:tc>
          <w:tcPr>
            <w:tcW w:w="654" w:type="dxa"/>
            <w:noWrap/>
            <w:vAlign w:val="bottom"/>
          </w:tcPr>
          <w:p w:rsidR="00000000" w:rsidRDefault="00000000">
            <w:pPr>
              <w:spacing w:before="60" w:after="60"/>
              <w:ind w:right="113"/>
              <w:jc w:val="right"/>
              <w:rPr>
                <w:sz w:val="16"/>
                <w:szCs w:val="16"/>
              </w:rPr>
            </w:pPr>
            <w:r>
              <w:rPr>
                <w:sz w:val="16"/>
                <w:szCs w:val="16"/>
              </w:rPr>
              <w:t>10 667</w:t>
            </w:r>
          </w:p>
        </w:tc>
        <w:tc>
          <w:tcPr>
            <w:tcW w:w="655" w:type="dxa"/>
            <w:noWrap/>
            <w:vAlign w:val="bottom"/>
          </w:tcPr>
          <w:p w:rsidR="00000000" w:rsidRDefault="00000000">
            <w:pPr>
              <w:spacing w:before="60" w:after="60"/>
              <w:ind w:right="113"/>
              <w:jc w:val="right"/>
              <w:rPr>
                <w:sz w:val="16"/>
                <w:szCs w:val="16"/>
              </w:rPr>
            </w:pPr>
            <w:r>
              <w:rPr>
                <w:sz w:val="16"/>
                <w:szCs w:val="16"/>
              </w:rPr>
              <w:t>11 152</w:t>
            </w:r>
          </w:p>
        </w:tc>
        <w:tc>
          <w:tcPr>
            <w:tcW w:w="806" w:type="dxa"/>
            <w:noWrap/>
            <w:vAlign w:val="bottom"/>
          </w:tcPr>
          <w:p w:rsidR="00000000" w:rsidRDefault="00000000">
            <w:pPr>
              <w:spacing w:before="60" w:after="60"/>
              <w:ind w:right="113"/>
              <w:jc w:val="right"/>
              <w:rPr>
                <w:sz w:val="16"/>
                <w:szCs w:val="16"/>
              </w:rPr>
            </w:pPr>
            <w:r>
              <w:rPr>
                <w:sz w:val="16"/>
                <w:szCs w:val="16"/>
              </w:rPr>
              <w:t>11 486</w:t>
            </w:r>
          </w:p>
        </w:tc>
        <w:tc>
          <w:tcPr>
            <w:tcW w:w="681" w:type="dxa"/>
            <w:noWrap/>
            <w:vAlign w:val="bottom"/>
          </w:tcPr>
          <w:p w:rsidR="00000000" w:rsidRDefault="00000000">
            <w:pPr>
              <w:spacing w:before="60" w:after="60"/>
              <w:ind w:right="113"/>
              <w:jc w:val="right"/>
              <w:rPr>
                <w:sz w:val="16"/>
                <w:szCs w:val="16"/>
              </w:rPr>
            </w:pPr>
            <w:r>
              <w:rPr>
                <w:sz w:val="16"/>
                <w:szCs w:val="16"/>
              </w:rPr>
              <w:t>11 570</w:t>
            </w:r>
          </w:p>
        </w:tc>
      </w:tr>
      <w:tr w:rsidR="00000000">
        <w:trPr>
          <w:jc w:val="center"/>
        </w:trPr>
        <w:tc>
          <w:tcPr>
            <w:tcW w:w="746" w:type="dxa"/>
            <w:noWrap/>
            <w:vAlign w:val="bottom"/>
          </w:tcPr>
          <w:p w:rsidR="00000000" w:rsidRDefault="00000000">
            <w:pPr>
              <w:spacing w:before="60" w:after="60"/>
              <w:rPr>
                <w:sz w:val="16"/>
                <w:szCs w:val="16"/>
              </w:rPr>
            </w:pPr>
            <w:r>
              <w:rPr>
                <w:sz w:val="16"/>
                <w:szCs w:val="16"/>
              </w:rPr>
              <w:t>78</w:t>
            </w:r>
          </w:p>
        </w:tc>
        <w:tc>
          <w:tcPr>
            <w:tcW w:w="653" w:type="dxa"/>
            <w:noWrap/>
            <w:vAlign w:val="bottom"/>
          </w:tcPr>
          <w:p w:rsidR="00000000" w:rsidRDefault="00000000">
            <w:pPr>
              <w:spacing w:before="60" w:after="60"/>
              <w:ind w:right="113"/>
              <w:jc w:val="right"/>
              <w:rPr>
                <w:sz w:val="16"/>
                <w:szCs w:val="16"/>
              </w:rPr>
            </w:pPr>
            <w:r>
              <w:rPr>
                <w:sz w:val="16"/>
                <w:szCs w:val="16"/>
              </w:rPr>
              <w:t>6 622</w:t>
            </w:r>
          </w:p>
        </w:tc>
        <w:tc>
          <w:tcPr>
            <w:tcW w:w="653" w:type="dxa"/>
            <w:noWrap/>
            <w:vAlign w:val="bottom"/>
          </w:tcPr>
          <w:p w:rsidR="00000000" w:rsidRDefault="00000000">
            <w:pPr>
              <w:spacing w:before="60" w:after="60"/>
              <w:ind w:right="113"/>
              <w:jc w:val="right"/>
              <w:rPr>
                <w:sz w:val="16"/>
                <w:szCs w:val="16"/>
              </w:rPr>
            </w:pPr>
            <w:r>
              <w:rPr>
                <w:sz w:val="16"/>
                <w:szCs w:val="16"/>
              </w:rPr>
              <w:t>6 887</w:t>
            </w:r>
          </w:p>
        </w:tc>
        <w:tc>
          <w:tcPr>
            <w:tcW w:w="654" w:type="dxa"/>
            <w:noWrap/>
            <w:vAlign w:val="bottom"/>
          </w:tcPr>
          <w:p w:rsidR="00000000" w:rsidRDefault="00000000">
            <w:pPr>
              <w:spacing w:before="60" w:after="60"/>
              <w:ind w:right="113"/>
              <w:jc w:val="right"/>
              <w:rPr>
                <w:sz w:val="16"/>
                <w:szCs w:val="16"/>
              </w:rPr>
            </w:pPr>
            <w:r>
              <w:rPr>
                <w:sz w:val="16"/>
                <w:szCs w:val="16"/>
              </w:rPr>
              <w:t>7 139</w:t>
            </w:r>
          </w:p>
        </w:tc>
        <w:tc>
          <w:tcPr>
            <w:tcW w:w="654" w:type="dxa"/>
            <w:noWrap/>
            <w:vAlign w:val="bottom"/>
          </w:tcPr>
          <w:p w:rsidR="00000000" w:rsidRDefault="00000000">
            <w:pPr>
              <w:spacing w:before="60" w:after="60"/>
              <w:ind w:right="113"/>
              <w:jc w:val="right"/>
              <w:rPr>
                <w:sz w:val="16"/>
                <w:szCs w:val="16"/>
              </w:rPr>
            </w:pPr>
            <w:r>
              <w:rPr>
                <w:sz w:val="16"/>
                <w:szCs w:val="16"/>
              </w:rPr>
              <w:t>7 382</w:t>
            </w:r>
          </w:p>
        </w:tc>
        <w:tc>
          <w:tcPr>
            <w:tcW w:w="655" w:type="dxa"/>
            <w:noWrap/>
            <w:vAlign w:val="bottom"/>
          </w:tcPr>
          <w:p w:rsidR="00000000" w:rsidRDefault="00000000">
            <w:pPr>
              <w:spacing w:before="60" w:after="60"/>
              <w:ind w:right="113"/>
              <w:jc w:val="right"/>
              <w:rPr>
                <w:sz w:val="16"/>
                <w:szCs w:val="16"/>
              </w:rPr>
            </w:pPr>
            <w:r>
              <w:rPr>
                <w:sz w:val="16"/>
                <w:szCs w:val="16"/>
              </w:rPr>
              <w:t>7 635</w:t>
            </w:r>
          </w:p>
        </w:tc>
        <w:tc>
          <w:tcPr>
            <w:tcW w:w="654" w:type="dxa"/>
            <w:noWrap/>
            <w:vAlign w:val="bottom"/>
          </w:tcPr>
          <w:p w:rsidR="00000000" w:rsidRDefault="00000000">
            <w:pPr>
              <w:spacing w:before="60" w:after="60"/>
              <w:ind w:right="113"/>
              <w:jc w:val="right"/>
              <w:rPr>
                <w:sz w:val="16"/>
                <w:szCs w:val="16"/>
              </w:rPr>
            </w:pPr>
            <w:r>
              <w:rPr>
                <w:sz w:val="16"/>
                <w:szCs w:val="16"/>
              </w:rPr>
              <w:t>7 920</w:t>
            </w:r>
          </w:p>
        </w:tc>
        <w:tc>
          <w:tcPr>
            <w:tcW w:w="655" w:type="dxa"/>
            <w:noWrap/>
            <w:vAlign w:val="bottom"/>
          </w:tcPr>
          <w:p w:rsidR="00000000" w:rsidRDefault="00000000">
            <w:pPr>
              <w:spacing w:before="60" w:after="60"/>
              <w:ind w:right="113"/>
              <w:jc w:val="right"/>
              <w:rPr>
                <w:sz w:val="16"/>
                <w:szCs w:val="16"/>
              </w:rPr>
            </w:pPr>
            <w:r>
              <w:rPr>
                <w:sz w:val="16"/>
                <w:szCs w:val="16"/>
              </w:rPr>
              <w:t>8 256</w:t>
            </w:r>
          </w:p>
        </w:tc>
        <w:tc>
          <w:tcPr>
            <w:tcW w:w="654" w:type="dxa"/>
            <w:noWrap/>
            <w:vAlign w:val="bottom"/>
          </w:tcPr>
          <w:p w:rsidR="00000000" w:rsidRDefault="00000000">
            <w:pPr>
              <w:spacing w:before="60" w:after="60"/>
              <w:ind w:right="113"/>
              <w:jc w:val="right"/>
              <w:rPr>
                <w:sz w:val="16"/>
                <w:szCs w:val="16"/>
              </w:rPr>
            </w:pPr>
            <w:r>
              <w:rPr>
                <w:sz w:val="16"/>
                <w:szCs w:val="16"/>
              </w:rPr>
              <w:t>8 695</w:t>
            </w:r>
          </w:p>
        </w:tc>
        <w:tc>
          <w:tcPr>
            <w:tcW w:w="655" w:type="dxa"/>
            <w:noWrap/>
            <w:vAlign w:val="bottom"/>
          </w:tcPr>
          <w:p w:rsidR="00000000" w:rsidRDefault="00000000">
            <w:pPr>
              <w:spacing w:before="60" w:after="60"/>
              <w:ind w:right="113"/>
              <w:jc w:val="right"/>
              <w:rPr>
                <w:sz w:val="16"/>
                <w:szCs w:val="16"/>
              </w:rPr>
            </w:pPr>
            <w:r>
              <w:rPr>
                <w:sz w:val="16"/>
                <w:szCs w:val="16"/>
              </w:rPr>
              <w:t>9 224</w:t>
            </w:r>
          </w:p>
        </w:tc>
        <w:tc>
          <w:tcPr>
            <w:tcW w:w="654" w:type="dxa"/>
            <w:noWrap/>
            <w:vAlign w:val="bottom"/>
          </w:tcPr>
          <w:p w:rsidR="00000000" w:rsidRDefault="00000000">
            <w:pPr>
              <w:spacing w:before="60" w:after="60"/>
              <w:ind w:right="113"/>
              <w:jc w:val="right"/>
              <w:rPr>
                <w:sz w:val="16"/>
                <w:szCs w:val="16"/>
              </w:rPr>
            </w:pPr>
            <w:r>
              <w:rPr>
                <w:sz w:val="16"/>
                <w:szCs w:val="16"/>
              </w:rPr>
              <w:t>9 765</w:t>
            </w:r>
          </w:p>
        </w:tc>
        <w:tc>
          <w:tcPr>
            <w:tcW w:w="655" w:type="dxa"/>
            <w:noWrap/>
            <w:vAlign w:val="bottom"/>
          </w:tcPr>
          <w:p w:rsidR="00000000" w:rsidRDefault="00000000">
            <w:pPr>
              <w:spacing w:before="60" w:after="60"/>
              <w:ind w:right="113"/>
              <w:jc w:val="right"/>
              <w:rPr>
                <w:sz w:val="16"/>
                <w:szCs w:val="16"/>
              </w:rPr>
            </w:pPr>
            <w:r>
              <w:rPr>
                <w:sz w:val="16"/>
                <w:szCs w:val="16"/>
              </w:rPr>
              <w:t>10 240</w:t>
            </w:r>
          </w:p>
        </w:tc>
        <w:tc>
          <w:tcPr>
            <w:tcW w:w="806" w:type="dxa"/>
            <w:noWrap/>
            <w:vAlign w:val="bottom"/>
          </w:tcPr>
          <w:p w:rsidR="00000000" w:rsidRDefault="00000000">
            <w:pPr>
              <w:spacing w:before="60" w:after="60"/>
              <w:ind w:right="113"/>
              <w:jc w:val="right"/>
              <w:rPr>
                <w:sz w:val="16"/>
                <w:szCs w:val="16"/>
              </w:rPr>
            </w:pPr>
            <w:r>
              <w:rPr>
                <w:sz w:val="16"/>
                <w:szCs w:val="16"/>
              </w:rPr>
              <w:t>10 573</w:t>
            </w:r>
          </w:p>
        </w:tc>
        <w:tc>
          <w:tcPr>
            <w:tcW w:w="681" w:type="dxa"/>
            <w:noWrap/>
            <w:vAlign w:val="bottom"/>
          </w:tcPr>
          <w:p w:rsidR="00000000" w:rsidRDefault="00000000">
            <w:pPr>
              <w:spacing w:before="60" w:after="60"/>
              <w:ind w:right="113"/>
              <w:jc w:val="right"/>
              <w:rPr>
                <w:sz w:val="16"/>
                <w:szCs w:val="16"/>
              </w:rPr>
            </w:pPr>
            <w:r>
              <w:rPr>
                <w:sz w:val="16"/>
                <w:szCs w:val="16"/>
              </w:rPr>
              <w:t>10 676</w:t>
            </w:r>
          </w:p>
        </w:tc>
      </w:tr>
      <w:tr w:rsidR="00000000">
        <w:trPr>
          <w:jc w:val="center"/>
        </w:trPr>
        <w:tc>
          <w:tcPr>
            <w:tcW w:w="746" w:type="dxa"/>
            <w:noWrap/>
            <w:vAlign w:val="bottom"/>
          </w:tcPr>
          <w:p w:rsidR="00000000" w:rsidRDefault="00000000">
            <w:pPr>
              <w:spacing w:before="60" w:after="60"/>
              <w:rPr>
                <w:sz w:val="16"/>
                <w:szCs w:val="16"/>
              </w:rPr>
            </w:pPr>
            <w:r>
              <w:rPr>
                <w:sz w:val="16"/>
                <w:szCs w:val="16"/>
              </w:rPr>
              <w:t>79</w:t>
            </w:r>
          </w:p>
        </w:tc>
        <w:tc>
          <w:tcPr>
            <w:tcW w:w="653" w:type="dxa"/>
            <w:noWrap/>
            <w:vAlign w:val="bottom"/>
          </w:tcPr>
          <w:p w:rsidR="00000000" w:rsidRDefault="00000000">
            <w:pPr>
              <w:spacing w:before="60" w:after="60"/>
              <w:ind w:right="113"/>
              <w:jc w:val="right"/>
              <w:rPr>
                <w:sz w:val="16"/>
                <w:szCs w:val="16"/>
              </w:rPr>
            </w:pPr>
            <w:r>
              <w:rPr>
                <w:sz w:val="16"/>
                <w:szCs w:val="16"/>
              </w:rPr>
              <w:t>5 894</w:t>
            </w:r>
          </w:p>
        </w:tc>
        <w:tc>
          <w:tcPr>
            <w:tcW w:w="653" w:type="dxa"/>
            <w:noWrap/>
            <w:vAlign w:val="bottom"/>
          </w:tcPr>
          <w:p w:rsidR="00000000" w:rsidRDefault="00000000">
            <w:pPr>
              <w:spacing w:before="60" w:after="60"/>
              <w:ind w:right="113"/>
              <w:jc w:val="right"/>
              <w:rPr>
                <w:sz w:val="16"/>
                <w:szCs w:val="16"/>
              </w:rPr>
            </w:pPr>
            <w:r>
              <w:rPr>
                <w:sz w:val="16"/>
                <w:szCs w:val="16"/>
              </w:rPr>
              <w:t>6 138</w:t>
            </w:r>
          </w:p>
        </w:tc>
        <w:tc>
          <w:tcPr>
            <w:tcW w:w="654" w:type="dxa"/>
            <w:noWrap/>
            <w:vAlign w:val="bottom"/>
          </w:tcPr>
          <w:p w:rsidR="00000000" w:rsidRDefault="00000000">
            <w:pPr>
              <w:spacing w:before="60" w:after="60"/>
              <w:ind w:right="113"/>
              <w:jc w:val="right"/>
              <w:rPr>
                <w:sz w:val="16"/>
                <w:szCs w:val="16"/>
              </w:rPr>
            </w:pPr>
            <w:r>
              <w:rPr>
                <w:sz w:val="16"/>
                <w:szCs w:val="16"/>
              </w:rPr>
              <w:t>6 382</w:t>
            </w:r>
          </w:p>
        </w:tc>
        <w:tc>
          <w:tcPr>
            <w:tcW w:w="654" w:type="dxa"/>
            <w:noWrap/>
            <w:vAlign w:val="bottom"/>
          </w:tcPr>
          <w:p w:rsidR="00000000" w:rsidRDefault="00000000">
            <w:pPr>
              <w:spacing w:before="60" w:after="60"/>
              <w:ind w:right="113"/>
              <w:jc w:val="right"/>
              <w:rPr>
                <w:sz w:val="16"/>
                <w:szCs w:val="16"/>
              </w:rPr>
            </w:pPr>
            <w:r>
              <w:rPr>
                <w:sz w:val="16"/>
                <w:szCs w:val="16"/>
              </w:rPr>
              <w:t>6 625</w:t>
            </w:r>
          </w:p>
        </w:tc>
        <w:tc>
          <w:tcPr>
            <w:tcW w:w="655" w:type="dxa"/>
            <w:noWrap/>
            <w:vAlign w:val="bottom"/>
          </w:tcPr>
          <w:p w:rsidR="00000000" w:rsidRDefault="00000000">
            <w:pPr>
              <w:spacing w:before="60" w:after="60"/>
              <w:ind w:right="113"/>
              <w:jc w:val="right"/>
              <w:rPr>
                <w:sz w:val="16"/>
                <w:szCs w:val="16"/>
              </w:rPr>
            </w:pPr>
            <w:r>
              <w:rPr>
                <w:sz w:val="16"/>
                <w:szCs w:val="16"/>
              </w:rPr>
              <w:t>6 880</w:t>
            </w:r>
          </w:p>
        </w:tc>
        <w:tc>
          <w:tcPr>
            <w:tcW w:w="654" w:type="dxa"/>
            <w:noWrap/>
            <w:vAlign w:val="bottom"/>
          </w:tcPr>
          <w:p w:rsidR="00000000" w:rsidRDefault="00000000">
            <w:pPr>
              <w:spacing w:before="60" w:after="60"/>
              <w:ind w:right="113"/>
              <w:jc w:val="right"/>
              <w:rPr>
                <w:sz w:val="16"/>
                <w:szCs w:val="16"/>
              </w:rPr>
            </w:pPr>
            <w:r>
              <w:rPr>
                <w:sz w:val="16"/>
                <w:szCs w:val="16"/>
              </w:rPr>
              <w:t>7 157</w:t>
            </w:r>
          </w:p>
        </w:tc>
        <w:tc>
          <w:tcPr>
            <w:tcW w:w="655" w:type="dxa"/>
            <w:noWrap/>
            <w:vAlign w:val="bottom"/>
          </w:tcPr>
          <w:p w:rsidR="00000000" w:rsidRDefault="00000000">
            <w:pPr>
              <w:spacing w:before="60" w:after="60"/>
              <w:ind w:right="113"/>
              <w:jc w:val="right"/>
              <w:rPr>
                <w:sz w:val="16"/>
                <w:szCs w:val="16"/>
              </w:rPr>
            </w:pPr>
            <w:r>
              <w:rPr>
                <w:sz w:val="16"/>
                <w:szCs w:val="16"/>
              </w:rPr>
              <w:t>7 466</w:t>
            </w:r>
          </w:p>
        </w:tc>
        <w:tc>
          <w:tcPr>
            <w:tcW w:w="654" w:type="dxa"/>
            <w:noWrap/>
            <w:vAlign w:val="bottom"/>
          </w:tcPr>
          <w:p w:rsidR="00000000" w:rsidRDefault="00000000">
            <w:pPr>
              <w:spacing w:before="60" w:after="60"/>
              <w:ind w:right="113"/>
              <w:jc w:val="right"/>
              <w:rPr>
                <w:sz w:val="16"/>
                <w:szCs w:val="16"/>
              </w:rPr>
            </w:pPr>
            <w:r>
              <w:rPr>
                <w:sz w:val="16"/>
                <w:szCs w:val="16"/>
              </w:rPr>
              <w:t>7 840</w:t>
            </w:r>
          </w:p>
        </w:tc>
        <w:tc>
          <w:tcPr>
            <w:tcW w:w="655" w:type="dxa"/>
            <w:noWrap/>
            <w:vAlign w:val="bottom"/>
          </w:tcPr>
          <w:p w:rsidR="00000000" w:rsidRDefault="00000000">
            <w:pPr>
              <w:spacing w:before="60" w:after="60"/>
              <w:ind w:right="113"/>
              <w:jc w:val="right"/>
              <w:rPr>
                <w:sz w:val="16"/>
                <w:szCs w:val="16"/>
              </w:rPr>
            </w:pPr>
            <w:r>
              <w:rPr>
                <w:sz w:val="16"/>
                <w:szCs w:val="16"/>
              </w:rPr>
              <w:t>8 272</w:t>
            </w:r>
          </w:p>
        </w:tc>
        <w:tc>
          <w:tcPr>
            <w:tcW w:w="654" w:type="dxa"/>
            <w:noWrap/>
            <w:vAlign w:val="bottom"/>
          </w:tcPr>
          <w:p w:rsidR="00000000" w:rsidRDefault="00000000">
            <w:pPr>
              <w:spacing w:before="60" w:after="60"/>
              <w:ind w:right="113"/>
              <w:jc w:val="right"/>
              <w:rPr>
                <w:sz w:val="16"/>
                <w:szCs w:val="16"/>
              </w:rPr>
            </w:pPr>
            <w:r>
              <w:rPr>
                <w:sz w:val="16"/>
                <w:szCs w:val="16"/>
              </w:rPr>
              <w:t>8 713</w:t>
            </w:r>
          </w:p>
        </w:tc>
        <w:tc>
          <w:tcPr>
            <w:tcW w:w="655" w:type="dxa"/>
            <w:noWrap/>
            <w:vAlign w:val="bottom"/>
          </w:tcPr>
          <w:p w:rsidR="00000000" w:rsidRDefault="00000000">
            <w:pPr>
              <w:spacing w:before="60" w:after="60"/>
              <w:ind w:right="113"/>
              <w:jc w:val="right"/>
              <w:rPr>
                <w:sz w:val="16"/>
                <w:szCs w:val="16"/>
              </w:rPr>
            </w:pPr>
            <w:r>
              <w:rPr>
                <w:sz w:val="16"/>
                <w:szCs w:val="16"/>
              </w:rPr>
              <w:t>9 114</w:t>
            </w:r>
          </w:p>
        </w:tc>
        <w:tc>
          <w:tcPr>
            <w:tcW w:w="806" w:type="dxa"/>
            <w:noWrap/>
            <w:vAlign w:val="bottom"/>
          </w:tcPr>
          <w:p w:rsidR="00000000" w:rsidRDefault="00000000">
            <w:pPr>
              <w:spacing w:before="60" w:after="60"/>
              <w:ind w:right="113"/>
              <w:jc w:val="right"/>
              <w:rPr>
                <w:sz w:val="16"/>
                <w:szCs w:val="16"/>
              </w:rPr>
            </w:pPr>
            <w:r>
              <w:rPr>
                <w:sz w:val="16"/>
                <w:szCs w:val="16"/>
              </w:rPr>
              <w:t>9 428</w:t>
            </w:r>
          </w:p>
        </w:tc>
        <w:tc>
          <w:tcPr>
            <w:tcW w:w="681" w:type="dxa"/>
            <w:noWrap/>
            <w:vAlign w:val="bottom"/>
          </w:tcPr>
          <w:p w:rsidR="00000000" w:rsidRDefault="00000000">
            <w:pPr>
              <w:spacing w:before="60" w:after="60"/>
              <w:ind w:right="113"/>
              <w:jc w:val="right"/>
              <w:rPr>
                <w:sz w:val="16"/>
                <w:szCs w:val="16"/>
              </w:rPr>
            </w:pPr>
            <w:r>
              <w:rPr>
                <w:sz w:val="16"/>
                <w:szCs w:val="16"/>
              </w:rPr>
              <w:t>9 605</w:t>
            </w:r>
          </w:p>
        </w:tc>
      </w:tr>
      <w:tr w:rsidR="00000000">
        <w:trPr>
          <w:jc w:val="center"/>
        </w:trPr>
        <w:tc>
          <w:tcPr>
            <w:tcW w:w="746" w:type="dxa"/>
            <w:tcBorders>
              <w:bottom w:val="single" w:sz="4" w:space="0" w:color="auto"/>
            </w:tcBorders>
            <w:noWrap/>
            <w:vAlign w:val="bottom"/>
          </w:tcPr>
          <w:p w:rsidR="00000000" w:rsidRDefault="00000000">
            <w:pPr>
              <w:spacing w:before="60" w:after="60"/>
              <w:rPr>
                <w:b/>
                <w:bCs/>
                <w:sz w:val="16"/>
                <w:szCs w:val="16"/>
              </w:rPr>
            </w:pPr>
            <w:r>
              <w:rPr>
                <w:b/>
                <w:bCs/>
                <w:sz w:val="16"/>
                <w:szCs w:val="16"/>
              </w:rPr>
              <w:t xml:space="preserve">80 and over </w:t>
            </w:r>
          </w:p>
        </w:tc>
        <w:tc>
          <w:tcPr>
            <w:tcW w:w="653" w:type="dxa"/>
            <w:tcBorders>
              <w:bottom w:val="single" w:sz="4" w:space="0" w:color="auto"/>
            </w:tcBorders>
            <w:noWrap/>
            <w:vAlign w:val="bottom"/>
          </w:tcPr>
          <w:p w:rsidR="00000000" w:rsidRDefault="00000000">
            <w:pPr>
              <w:spacing w:before="60" w:after="60"/>
              <w:ind w:right="113"/>
              <w:jc w:val="right"/>
              <w:rPr>
                <w:b/>
                <w:bCs/>
                <w:sz w:val="16"/>
                <w:szCs w:val="16"/>
              </w:rPr>
            </w:pPr>
            <w:r>
              <w:rPr>
                <w:b/>
                <w:bCs/>
                <w:sz w:val="16"/>
                <w:szCs w:val="16"/>
              </w:rPr>
              <w:t>27 656</w:t>
            </w:r>
          </w:p>
        </w:tc>
        <w:tc>
          <w:tcPr>
            <w:tcW w:w="653" w:type="dxa"/>
            <w:tcBorders>
              <w:bottom w:val="single" w:sz="4" w:space="0" w:color="auto"/>
            </w:tcBorders>
            <w:noWrap/>
            <w:vAlign w:val="bottom"/>
          </w:tcPr>
          <w:p w:rsidR="00000000" w:rsidRDefault="00000000">
            <w:pPr>
              <w:spacing w:before="60" w:after="60"/>
              <w:ind w:right="113"/>
              <w:jc w:val="right"/>
              <w:rPr>
                <w:b/>
                <w:bCs/>
                <w:sz w:val="16"/>
                <w:szCs w:val="16"/>
              </w:rPr>
            </w:pPr>
            <w:r>
              <w:rPr>
                <w:b/>
                <w:bCs/>
                <w:sz w:val="16"/>
                <w:szCs w:val="16"/>
              </w:rPr>
              <w:t>29 001</w:t>
            </w:r>
          </w:p>
        </w:tc>
        <w:tc>
          <w:tcPr>
            <w:tcW w:w="654" w:type="dxa"/>
            <w:tcBorders>
              <w:bottom w:val="single" w:sz="4" w:space="0" w:color="auto"/>
            </w:tcBorders>
            <w:noWrap/>
            <w:vAlign w:val="bottom"/>
          </w:tcPr>
          <w:p w:rsidR="00000000" w:rsidRDefault="00000000">
            <w:pPr>
              <w:spacing w:before="60" w:after="60"/>
              <w:ind w:right="113"/>
              <w:jc w:val="right"/>
              <w:rPr>
                <w:b/>
                <w:bCs/>
                <w:sz w:val="16"/>
                <w:szCs w:val="16"/>
              </w:rPr>
            </w:pPr>
            <w:r>
              <w:rPr>
                <w:b/>
                <w:bCs/>
                <w:sz w:val="16"/>
                <w:szCs w:val="16"/>
              </w:rPr>
              <w:t>30 424</w:t>
            </w:r>
          </w:p>
        </w:tc>
        <w:tc>
          <w:tcPr>
            <w:tcW w:w="654" w:type="dxa"/>
            <w:tcBorders>
              <w:bottom w:val="single" w:sz="4" w:space="0" w:color="auto"/>
            </w:tcBorders>
            <w:noWrap/>
            <w:vAlign w:val="bottom"/>
          </w:tcPr>
          <w:p w:rsidR="00000000" w:rsidRDefault="00000000">
            <w:pPr>
              <w:spacing w:before="60" w:after="60"/>
              <w:ind w:right="113"/>
              <w:jc w:val="right"/>
              <w:rPr>
                <w:b/>
                <w:bCs/>
                <w:sz w:val="16"/>
                <w:szCs w:val="16"/>
              </w:rPr>
            </w:pPr>
            <w:r>
              <w:rPr>
                <w:b/>
                <w:bCs/>
                <w:sz w:val="16"/>
                <w:szCs w:val="16"/>
              </w:rPr>
              <w:t>31 917</w:t>
            </w:r>
          </w:p>
        </w:tc>
        <w:tc>
          <w:tcPr>
            <w:tcW w:w="655" w:type="dxa"/>
            <w:tcBorders>
              <w:bottom w:val="single" w:sz="4" w:space="0" w:color="auto"/>
            </w:tcBorders>
            <w:noWrap/>
            <w:vAlign w:val="bottom"/>
          </w:tcPr>
          <w:p w:rsidR="00000000" w:rsidRDefault="00000000">
            <w:pPr>
              <w:spacing w:before="60" w:after="60"/>
              <w:ind w:right="113"/>
              <w:jc w:val="right"/>
              <w:rPr>
                <w:b/>
                <w:bCs/>
                <w:sz w:val="16"/>
                <w:szCs w:val="16"/>
              </w:rPr>
            </w:pPr>
            <w:r>
              <w:rPr>
                <w:b/>
                <w:bCs/>
                <w:sz w:val="16"/>
                <w:szCs w:val="16"/>
              </w:rPr>
              <w:t>33 490</w:t>
            </w:r>
          </w:p>
        </w:tc>
        <w:tc>
          <w:tcPr>
            <w:tcW w:w="654" w:type="dxa"/>
            <w:tcBorders>
              <w:bottom w:val="single" w:sz="4" w:space="0" w:color="auto"/>
            </w:tcBorders>
            <w:noWrap/>
            <w:vAlign w:val="bottom"/>
          </w:tcPr>
          <w:p w:rsidR="00000000" w:rsidRDefault="00000000">
            <w:pPr>
              <w:spacing w:before="60" w:after="60"/>
              <w:ind w:right="113"/>
              <w:jc w:val="right"/>
              <w:rPr>
                <w:b/>
                <w:bCs/>
                <w:sz w:val="16"/>
                <w:szCs w:val="16"/>
              </w:rPr>
            </w:pPr>
            <w:r>
              <w:rPr>
                <w:b/>
                <w:bCs/>
                <w:sz w:val="16"/>
                <w:szCs w:val="16"/>
              </w:rPr>
              <w:t>35 149</w:t>
            </w:r>
          </w:p>
        </w:tc>
        <w:tc>
          <w:tcPr>
            <w:tcW w:w="655" w:type="dxa"/>
            <w:tcBorders>
              <w:bottom w:val="single" w:sz="4" w:space="0" w:color="auto"/>
            </w:tcBorders>
            <w:noWrap/>
            <w:vAlign w:val="bottom"/>
          </w:tcPr>
          <w:p w:rsidR="00000000" w:rsidRDefault="00000000">
            <w:pPr>
              <w:spacing w:before="60" w:after="60"/>
              <w:ind w:right="113"/>
              <w:jc w:val="right"/>
              <w:rPr>
                <w:b/>
                <w:bCs/>
                <w:sz w:val="16"/>
                <w:szCs w:val="16"/>
              </w:rPr>
            </w:pPr>
            <w:r>
              <w:rPr>
                <w:b/>
                <w:bCs/>
                <w:sz w:val="16"/>
                <w:szCs w:val="16"/>
              </w:rPr>
              <w:t>36 903</w:t>
            </w:r>
          </w:p>
        </w:tc>
        <w:tc>
          <w:tcPr>
            <w:tcW w:w="654" w:type="dxa"/>
            <w:tcBorders>
              <w:bottom w:val="single" w:sz="4" w:space="0" w:color="auto"/>
            </w:tcBorders>
            <w:noWrap/>
            <w:vAlign w:val="bottom"/>
          </w:tcPr>
          <w:p w:rsidR="00000000" w:rsidRDefault="00000000">
            <w:pPr>
              <w:spacing w:before="60" w:after="60"/>
              <w:ind w:right="113"/>
              <w:jc w:val="right"/>
              <w:rPr>
                <w:b/>
                <w:bCs/>
                <w:sz w:val="16"/>
                <w:szCs w:val="16"/>
              </w:rPr>
            </w:pPr>
            <w:r>
              <w:rPr>
                <w:b/>
                <w:bCs/>
                <w:sz w:val="16"/>
                <w:szCs w:val="16"/>
              </w:rPr>
              <w:t>38 753</w:t>
            </w:r>
          </w:p>
        </w:tc>
        <w:tc>
          <w:tcPr>
            <w:tcW w:w="655" w:type="dxa"/>
            <w:tcBorders>
              <w:bottom w:val="single" w:sz="4" w:space="0" w:color="auto"/>
            </w:tcBorders>
            <w:noWrap/>
            <w:vAlign w:val="bottom"/>
          </w:tcPr>
          <w:p w:rsidR="00000000" w:rsidRDefault="00000000">
            <w:pPr>
              <w:spacing w:before="60" w:after="60"/>
              <w:ind w:right="113"/>
              <w:jc w:val="right"/>
              <w:rPr>
                <w:b/>
                <w:bCs/>
                <w:sz w:val="16"/>
                <w:szCs w:val="16"/>
              </w:rPr>
            </w:pPr>
            <w:r>
              <w:rPr>
                <w:b/>
                <w:bCs/>
                <w:sz w:val="16"/>
                <w:szCs w:val="16"/>
              </w:rPr>
              <w:t>40 693</w:t>
            </w:r>
          </w:p>
        </w:tc>
        <w:tc>
          <w:tcPr>
            <w:tcW w:w="654" w:type="dxa"/>
            <w:tcBorders>
              <w:bottom w:val="single" w:sz="4" w:space="0" w:color="auto"/>
            </w:tcBorders>
            <w:noWrap/>
            <w:vAlign w:val="bottom"/>
          </w:tcPr>
          <w:p w:rsidR="00000000" w:rsidRDefault="00000000">
            <w:pPr>
              <w:spacing w:before="60" w:after="60"/>
              <w:ind w:right="113"/>
              <w:jc w:val="right"/>
              <w:rPr>
                <w:b/>
                <w:bCs/>
                <w:sz w:val="16"/>
                <w:szCs w:val="16"/>
              </w:rPr>
            </w:pPr>
            <w:r>
              <w:rPr>
                <w:b/>
                <w:bCs/>
                <w:sz w:val="16"/>
                <w:szCs w:val="16"/>
              </w:rPr>
              <w:t>42 723</w:t>
            </w:r>
          </w:p>
        </w:tc>
        <w:tc>
          <w:tcPr>
            <w:tcW w:w="655" w:type="dxa"/>
            <w:tcBorders>
              <w:bottom w:val="single" w:sz="4" w:space="0" w:color="auto"/>
            </w:tcBorders>
            <w:noWrap/>
            <w:vAlign w:val="bottom"/>
          </w:tcPr>
          <w:p w:rsidR="00000000" w:rsidRDefault="00000000">
            <w:pPr>
              <w:spacing w:before="60" w:after="60"/>
              <w:ind w:right="113"/>
              <w:jc w:val="right"/>
              <w:rPr>
                <w:b/>
                <w:bCs/>
                <w:sz w:val="16"/>
                <w:szCs w:val="16"/>
              </w:rPr>
            </w:pPr>
            <w:r>
              <w:rPr>
                <w:b/>
                <w:bCs/>
                <w:sz w:val="16"/>
                <w:szCs w:val="16"/>
              </w:rPr>
              <w:t>44 840</w:t>
            </w:r>
          </w:p>
        </w:tc>
        <w:tc>
          <w:tcPr>
            <w:tcW w:w="806" w:type="dxa"/>
            <w:tcBorders>
              <w:bottom w:val="single" w:sz="4" w:space="0" w:color="auto"/>
            </w:tcBorders>
            <w:noWrap/>
            <w:vAlign w:val="bottom"/>
          </w:tcPr>
          <w:p w:rsidR="00000000" w:rsidRDefault="00000000">
            <w:pPr>
              <w:spacing w:before="60" w:after="60"/>
              <w:ind w:right="113"/>
              <w:jc w:val="right"/>
              <w:rPr>
                <w:b/>
                <w:bCs/>
                <w:sz w:val="16"/>
                <w:szCs w:val="16"/>
              </w:rPr>
            </w:pPr>
            <w:r>
              <w:rPr>
                <w:b/>
                <w:bCs/>
                <w:sz w:val="16"/>
                <w:szCs w:val="16"/>
              </w:rPr>
              <w:t>47 046</w:t>
            </w:r>
          </w:p>
        </w:tc>
        <w:tc>
          <w:tcPr>
            <w:tcW w:w="681" w:type="dxa"/>
            <w:tcBorders>
              <w:bottom w:val="single" w:sz="4" w:space="0" w:color="auto"/>
            </w:tcBorders>
            <w:noWrap/>
            <w:vAlign w:val="bottom"/>
          </w:tcPr>
          <w:p w:rsidR="00000000" w:rsidRDefault="00000000">
            <w:pPr>
              <w:spacing w:before="60" w:after="60"/>
              <w:ind w:right="113"/>
              <w:jc w:val="right"/>
              <w:rPr>
                <w:b/>
                <w:bCs/>
                <w:sz w:val="16"/>
                <w:szCs w:val="16"/>
              </w:rPr>
            </w:pPr>
            <w:r>
              <w:rPr>
                <w:b/>
                <w:bCs/>
                <w:sz w:val="16"/>
                <w:szCs w:val="16"/>
              </w:rPr>
              <w:t>49 416</w:t>
            </w:r>
          </w:p>
        </w:tc>
      </w:tr>
      <w:tr w:rsidR="00000000">
        <w:trPr>
          <w:jc w:val="center"/>
        </w:trPr>
        <w:tc>
          <w:tcPr>
            <w:tcW w:w="9429" w:type="dxa"/>
            <w:gridSpan w:val="14"/>
            <w:tcBorders>
              <w:top w:val="single" w:sz="4" w:space="0" w:color="auto"/>
            </w:tcBorders>
            <w:noWrap/>
            <w:vAlign w:val="bottom"/>
          </w:tcPr>
          <w:p w:rsidR="00000000" w:rsidRDefault="00000000">
            <w:pPr>
              <w:spacing w:before="120" w:after="60"/>
              <w:ind w:left="567" w:right="113"/>
              <w:rPr>
                <w:sz w:val="18"/>
                <w:szCs w:val="16"/>
              </w:rPr>
            </w:pPr>
            <w:r>
              <w:rPr>
                <w:i/>
                <w:iCs/>
                <w:sz w:val="18"/>
                <w:szCs w:val="16"/>
              </w:rPr>
              <w:t>Source</w:t>
            </w:r>
            <w:r>
              <w:rPr>
                <w:sz w:val="18"/>
                <w:szCs w:val="16"/>
              </w:rPr>
              <w:t xml:space="preserve">: STP/DGEEC  National Population and Housing Census 2002 </w:t>
            </w:r>
          </w:p>
          <w:p w:rsidR="00000000" w:rsidRDefault="00000000">
            <w:pPr>
              <w:spacing w:before="60" w:after="60"/>
              <w:ind w:right="113"/>
              <w:jc w:val="right"/>
              <w:rPr>
                <w:sz w:val="16"/>
                <w:szCs w:val="16"/>
              </w:rPr>
            </w:pPr>
          </w:p>
        </w:tc>
      </w:tr>
    </w:tbl>
    <w:p w:rsidR="00000000" w:rsidRDefault="00000000">
      <w:pPr>
        <w:pStyle w:val="xl23"/>
        <w:keepNext/>
        <w:spacing w:before="0" w:beforeAutospacing="0" w:after="240" w:afterAutospacing="0"/>
        <w:rPr>
          <w:rFonts w:ascii="Times New Roman" w:hAnsi="Times New Roman" w:cs="Times New Roman"/>
          <w:bCs w:val="0"/>
          <w:lang w:val="en-GB" w:eastAsia="en-US"/>
        </w:rPr>
      </w:pPr>
      <w:r>
        <w:rPr>
          <w:rFonts w:ascii="Times New Roman" w:hAnsi="Times New Roman" w:cs="Times New Roman"/>
          <w:bCs w:val="0"/>
          <w:lang w:val="en-GB" w:eastAsia="en-US"/>
        </w:rPr>
        <w:t>6.</w:t>
      </w:r>
      <w:r>
        <w:rPr>
          <w:rFonts w:ascii="Times New Roman" w:hAnsi="Times New Roman" w:cs="Times New Roman"/>
          <w:bCs w:val="0"/>
          <w:lang w:val="en-GB" w:eastAsia="en-US"/>
        </w:rPr>
        <w:tab/>
        <w:t>Urban and rural population</w:t>
      </w:r>
    </w:p>
    <w:p w:rsidR="00000000" w:rsidRDefault="00000000">
      <w:pPr>
        <w:keepNext/>
        <w:spacing w:after="240"/>
      </w:pPr>
      <w:r>
        <w:t>32.</w:t>
      </w:r>
      <w:r>
        <w:tab/>
        <w:t>The trend towards a reversal of the historical majority from the rural to the urban population has been gaining ground during the past decade; according to data produced by the 2002 census, the urban population stands at 56.7 per cent, whereas 43.3 per cent live in rural areas. The marked evolution of this phenomenon in Paraguay is illustrated below.</w:t>
      </w:r>
    </w:p>
    <w:p w:rsidR="00000000" w:rsidRDefault="00000000">
      <w:pPr>
        <w:pStyle w:val="xl46"/>
        <w:spacing w:before="0" w:beforeAutospacing="0" w:after="240" w:afterAutospacing="0"/>
        <w:rPr>
          <w:rFonts w:ascii="Times New Roman" w:eastAsia="Times New Roman" w:hAnsi="Times New Roman" w:cs="Times New Roman"/>
          <w:szCs w:val="18"/>
          <w:lang w:val="en-GB" w:eastAsia="en-US"/>
        </w:rPr>
      </w:pPr>
      <w:r>
        <w:rPr>
          <w:rFonts w:ascii="Times New Roman" w:eastAsia="Times New Roman" w:hAnsi="Times New Roman" w:cs="Times New Roman"/>
          <w:szCs w:val="18"/>
          <w:lang w:val="en-GB" w:eastAsia="en-US"/>
        </w:rPr>
        <w:t>Population projection by urban/rural area, by calendar</w:t>
      </w:r>
      <w:r>
        <w:rPr>
          <w:rFonts w:ascii="Times New Roman" w:eastAsia="Times New Roman" w:hAnsi="Times New Roman" w:cs="Times New Roman"/>
          <w:szCs w:val="18"/>
          <w:vertAlign w:val="superscript"/>
          <w:lang w:val="en-GB" w:eastAsia="en-US"/>
        </w:rPr>
        <w:t>1</w:t>
      </w:r>
      <w:r>
        <w:rPr>
          <w:rFonts w:ascii="Times New Roman" w:eastAsia="Times New Roman" w:hAnsi="Times New Roman" w:cs="Times New Roman"/>
          <w:szCs w:val="18"/>
          <w:lang w:val="en-GB" w:eastAsia="en-US"/>
        </w:rPr>
        <w:t xml:space="preserve"> year. Period 2000-2005</w:t>
      </w:r>
    </w:p>
    <w:tbl>
      <w:tblPr>
        <w:tblW w:w="5000" w:type="pct"/>
        <w:tblLayout w:type="fixed"/>
        <w:tblCellMar>
          <w:left w:w="0" w:type="dxa"/>
          <w:right w:w="0" w:type="dxa"/>
        </w:tblCellMar>
        <w:tblLook w:val="0000" w:firstRow="0" w:lastRow="0" w:firstColumn="0" w:lastColumn="0" w:noHBand="0" w:noVBand="0"/>
      </w:tblPr>
      <w:tblGrid>
        <w:gridCol w:w="846"/>
        <w:gridCol w:w="1211"/>
        <w:gridCol w:w="1209"/>
        <w:gridCol w:w="1573"/>
        <w:gridCol w:w="969"/>
        <w:gridCol w:w="1088"/>
        <w:gridCol w:w="1088"/>
        <w:gridCol w:w="1445"/>
      </w:tblGrid>
      <w:tr w:rsidR="00000000">
        <w:trPr>
          <w:cantSplit/>
        </w:trPr>
        <w:tc>
          <w:tcPr>
            <w:tcW w:w="2566" w:type="pct"/>
            <w:gridSpan w:val="4"/>
            <w:tcBorders>
              <w:top w:val="single" w:sz="4" w:space="0" w:color="auto"/>
              <w:bottom w:val="single" w:sz="4" w:space="0" w:color="auto"/>
            </w:tcBorders>
            <w:noWrap/>
            <w:vAlign w:val="center"/>
          </w:tcPr>
          <w:p w:rsidR="00000000" w:rsidRDefault="00000000">
            <w:pPr>
              <w:widowControl w:val="0"/>
              <w:spacing w:before="80" w:after="80"/>
              <w:jc w:val="center"/>
              <w:rPr>
                <w:b/>
                <w:bCs/>
                <w:i/>
                <w:iCs/>
                <w:sz w:val="20"/>
                <w:szCs w:val="22"/>
                <w:lang w:val="en-US"/>
              </w:rPr>
            </w:pPr>
            <w:r>
              <w:rPr>
                <w:b/>
                <w:bCs/>
                <w:i/>
                <w:iCs/>
                <w:sz w:val="20"/>
                <w:szCs w:val="22"/>
              </w:rPr>
              <w:t>Urban area</w:t>
            </w:r>
          </w:p>
        </w:tc>
        <w:tc>
          <w:tcPr>
            <w:tcW w:w="2434" w:type="pct"/>
            <w:gridSpan w:val="4"/>
            <w:tcBorders>
              <w:top w:val="single" w:sz="4" w:space="0" w:color="auto"/>
              <w:bottom w:val="single" w:sz="4" w:space="0" w:color="auto"/>
            </w:tcBorders>
            <w:noWrap/>
            <w:vAlign w:val="center"/>
          </w:tcPr>
          <w:p w:rsidR="00000000" w:rsidRDefault="00000000">
            <w:pPr>
              <w:pStyle w:val="Heading4"/>
              <w:widowControl w:val="0"/>
              <w:rPr>
                <w:szCs w:val="22"/>
                <w:lang w:val="en-US"/>
              </w:rPr>
            </w:pPr>
            <w:r>
              <w:rPr>
                <w:szCs w:val="22"/>
              </w:rPr>
              <w:t>Rural area</w:t>
            </w:r>
          </w:p>
        </w:tc>
      </w:tr>
      <w:tr w:rsidR="00000000">
        <w:trPr>
          <w:cantSplit/>
        </w:trPr>
        <w:tc>
          <w:tcPr>
            <w:tcW w:w="449" w:type="pct"/>
            <w:vMerge w:val="restart"/>
            <w:tcBorders>
              <w:top w:val="single" w:sz="4" w:space="0" w:color="auto"/>
            </w:tcBorders>
            <w:vAlign w:val="center"/>
          </w:tcPr>
          <w:p w:rsidR="00000000" w:rsidRDefault="00000000">
            <w:pPr>
              <w:widowControl w:val="0"/>
              <w:spacing w:before="80" w:after="80"/>
              <w:jc w:val="center"/>
              <w:rPr>
                <w:b/>
                <w:bCs/>
                <w:i/>
                <w:iCs/>
                <w:sz w:val="20"/>
                <w:szCs w:val="22"/>
                <w:lang w:val="es-MX"/>
              </w:rPr>
            </w:pPr>
            <w:r>
              <w:rPr>
                <w:b/>
                <w:bCs/>
                <w:i/>
                <w:iCs/>
                <w:sz w:val="20"/>
                <w:szCs w:val="22"/>
                <w:lang w:val="es-MX"/>
              </w:rPr>
              <w:t>Year</w:t>
            </w:r>
          </w:p>
        </w:tc>
        <w:tc>
          <w:tcPr>
            <w:tcW w:w="2117" w:type="pct"/>
            <w:gridSpan w:val="3"/>
            <w:tcBorders>
              <w:top w:val="single" w:sz="4" w:space="0" w:color="auto"/>
              <w:bottom w:val="single" w:sz="4" w:space="0" w:color="auto"/>
            </w:tcBorders>
            <w:noWrap/>
            <w:vAlign w:val="center"/>
          </w:tcPr>
          <w:p w:rsidR="00000000" w:rsidRDefault="00000000">
            <w:pPr>
              <w:widowControl w:val="0"/>
              <w:spacing w:before="80" w:after="80"/>
              <w:jc w:val="center"/>
              <w:rPr>
                <w:b/>
                <w:bCs/>
                <w:i/>
                <w:iCs/>
                <w:sz w:val="20"/>
                <w:szCs w:val="22"/>
              </w:rPr>
            </w:pPr>
            <w:r>
              <w:rPr>
                <w:b/>
                <w:bCs/>
                <w:i/>
                <w:iCs/>
                <w:sz w:val="20"/>
                <w:szCs w:val="22"/>
              </w:rPr>
              <w:t>Urban population</w:t>
            </w:r>
          </w:p>
        </w:tc>
        <w:tc>
          <w:tcPr>
            <w:tcW w:w="514" w:type="pct"/>
            <w:vMerge w:val="restart"/>
            <w:tcBorders>
              <w:top w:val="single" w:sz="4" w:space="0" w:color="auto"/>
            </w:tcBorders>
            <w:vAlign w:val="center"/>
          </w:tcPr>
          <w:p w:rsidR="00000000" w:rsidRDefault="00000000">
            <w:pPr>
              <w:widowControl w:val="0"/>
              <w:spacing w:before="80" w:after="80"/>
              <w:jc w:val="center"/>
              <w:rPr>
                <w:b/>
                <w:bCs/>
                <w:i/>
                <w:iCs/>
                <w:sz w:val="20"/>
                <w:szCs w:val="22"/>
              </w:rPr>
            </w:pPr>
            <w:r>
              <w:rPr>
                <w:b/>
                <w:bCs/>
                <w:i/>
                <w:iCs/>
                <w:sz w:val="20"/>
                <w:szCs w:val="22"/>
              </w:rPr>
              <w:t>Year</w:t>
            </w:r>
          </w:p>
        </w:tc>
        <w:tc>
          <w:tcPr>
            <w:tcW w:w="1920" w:type="pct"/>
            <w:gridSpan w:val="3"/>
            <w:tcBorders>
              <w:top w:val="single" w:sz="4" w:space="0" w:color="auto"/>
              <w:bottom w:val="single" w:sz="4" w:space="0" w:color="auto"/>
            </w:tcBorders>
            <w:noWrap/>
            <w:vAlign w:val="center"/>
          </w:tcPr>
          <w:p w:rsidR="00000000" w:rsidRDefault="00000000">
            <w:pPr>
              <w:widowControl w:val="0"/>
              <w:spacing w:before="80" w:after="80"/>
              <w:jc w:val="center"/>
              <w:rPr>
                <w:b/>
                <w:bCs/>
                <w:i/>
                <w:iCs/>
                <w:sz w:val="20"/>
                <w:szCs w:val="22"/>
              </w:rPr>
            </w:pPr>
            <w:r>
              <w:rPr>
                <w:b/>
                <w:bCs/>
                <w:i/>
                <w:iCs/>
                <w:sz w:val="20"/>
                <w:szCs w:val="22"/>
              </w:rPr>
              <w:t>Rural population</w:t>
            </w:r>
          </w:p>
        </w:tc>
      </w:tr>
      <w:tr w:rsidR="00000000">
        <w:trPr>
          <w:cantSplit/>
        </w:trPr>
        <w:tc>
          <w:tcPr>
            <w:tcW w:w="449" w:type="pct"/>
            <w:vMerge/>
            <w:tcBorders>
              <w:bottom w:val="single" w:sz="4" w:space="0" w:color="auto"/>
            </w:tcBorders>
            <w:vAlign w:val="center"/>
          </w:tcPr>
          <w:p w:rsidR="00000000" w:rsidRDefault="00000000">
            <w:pPr>
              <w:widowControl w:val="0"/>
              <w:spacing w:before="80" w:after="80"/>
              <w:jc w:val="center"/>
              <w:rPr>
                <w:b/>
                <w:bCs/>
                <w:i/>
                <w:iCs/>
                <w:sz w:val="20"/>
                <w:szCs w:val="22"/>
              </w:rPr>
            </w:pPr>
          </w:p>
        </w:tc>
        <w:tc>
          <w:tcPr>
            <w:tcW w:w="642" w:type="pct"/>
            <w:tcBorders>
              <w:bottom w:val="single" w:sz="4" w:space="0" w:color="auto"/>
            </w:tcBorders>
            <w:noWrap/>
            <w:vAlign w:val="center"/>
          </w:tcPr>
          <w:p w:rsidR="00000000" w:rsidRDefault="00000000">
            <w:pPr>
              <w:widowControl w:val="0"/>
              <w:spacing w:before="80" w:after="80"/>
              <w:jc w:val="center"/>
              <w:rPr>
                <w:b/>
                <w:bCs/>
                <w:i/>
                <w:iCs/>
                <w:sz w:val="20"/>
                <w:szCs w:val="22"/>
              </w:rPr>
            </w:pPr>
            <w:r>
              <w:rPr>
                <w:b/>
                <w:bCs/>
                <w:i/>
                <w:iCs/>
                <w:sz w:val="20"/>
                <w:szCs w:val="22"/>
              </w:rPr>
              <w:t>Men</w:t>
            </w:r>
          </w:p>
        </w:tc>
        <w:tc>
          <w:tcPr>
            <w:tcW w:w="641" w:type="pct"/>
            <w:tcBorders>
              <w:bottom w:val="single" w:sz="4" w:space="0" w:color="auto"/>
            </w:tcBorders>
            <w:noWrap/>
            <w:vAlign w:val="center"/>
          </w:tcPr>
          <w:p w:rsidR="00000000" w:rsidRDefault="00000000">
            <w:pPr>
              <w:widowControl w:val="0"/>
              <w:spacing w:before="80" w:after="80"/>
              <w:jc w:val="center"/>
              <w:rPr>
                <w:b/>
                <w:bCs/>
                <w:i/>
                <w:iCs/>
                <w:sz w:val="20"/>
                <w:szCs w:val="22"/>
              </w:rPr>
            </w:pPr>
            <w:r>
              <w:rPr>
                <w:b/>
                <w:bCs/>
                <w:i/>
                <w:iCs/>
                <w:sz w:val="20"/>
                <w:szCs w:val="22"/>
              </w:rPr>
              <w:t>Women</w:t>
            </w:r>
          </w:p>
        </w:tc>
        <w:tc>
          <w:tcPr>
            <w:tcW w:w="834" w:type="pct"/>
            <w:tcBorders>
              <w:bottom w:val="single" w:sz="4" w:space="0" w:color="auto"/>
            </w:tcBorders>
            <w:noWrap/>
            <w:vAlign w:val="center"/>
          </w:tcPr>
          <w:p w:rsidR="00000000" w:rsidRDefault="00000000">
            <w:pPr>
              <w:widowControl w:val="0"/>
              <w:spacing w:before="80" w:after="80"/>
              <w:jc w:val="center"/>
              <w:rPr>
                <w:b/>
                <w:bCs/>
                <w:i/>
                <w:iCs/>
                <w:sz w:val="20"/>
                <w:szCs w:val="22"/>
              </w:rPr>
            </w:pPr>
            <w:r>
              <w:rPr>
                <w:b/>
                <w:bCs/>
                <w:i/>
                <w:iCs/>
                <w:sz w:val="20"/>
                <w:szCs w:val="22"/>
              </w:rPr>
              <w:t>Both sexes</w:t>
            </w:r>
          </w:p>
        </w:tc>
        <w:tc>
          <w:tcPr>
            <w:tcW w:w="514" w:type="pct"/>
            <w:vMerge/>
            <w:tcBorders>
              <w:bottom w:val="single" w:sz="4" w:space="0" w:color="auto"/>
            </w:tcBorders>
            <w:vAlign w:val="center"/>
          </w:tcPr>
          <w:p w:rsidR="00000000" w:rsidRDefault="00000000">
            <w:pPr>
              <w:widowControl w:val="0"/>
              <w:spacing w:before="80" w:after="80"/>
              <w:jc w:val="center"/>
              <w:rPr>
                <w:b/>
                <w:bCs/>
                <w:i/>
                <w:iCs/>
                <w:sz w:val="20"/>
                <w:szCs w:val="22"/>
              </w:rPr>
            </w:pPr>
          </w:p>
        </w:tc>
        <w:tc>
          <w:tcPr>
            <w:tcW w:w="577" w:type="pct"/>
            <w:tcBorders>
              <w:bottom w:val="single" w:sz="4" w:space="0" w:color="auto"/>
            </w:tcBorders>
            <w:noWrap/>
            <w:vAlign w:val="center"/>
          </w:tcPr>
          <w:p w:rsidR="00000000" w:rsidRDefault="00000000">
            <w:pPr>
              <w:widowControl w:val="0"/>
              <w:spacing w:before="80" w:after="80"/>
              <w:jc w:val="center"/>
              <w:rPr>
                <w:b/>
                <w:bCs/>
                <w:i/>
                <w:iCs/>
                <w:sz w:val="20"/>
                <w:szCs w:val="22"/>
              </w:rPr>
            </w:pPr>
            <w:r>
              <w:rPr>
                <w:b/>
                <w:bCs/>
                <w:i/>
                <w:iCs/>
                <w:sz w:val="20"/>
                <w:szCs w:val="22"/>
              </w:rPr>
              <w:t>Men</w:t>
            </w:r>
          </w:p>
        </w:tc>
        <w:tc>
          <w:tcPr>
            <w:tcW w:w="577" w:type="pct"/>
            <w:tcBorders>
              <w:bottom w:val="single" w:sz="4" w:space="0" w:color="auto"/>
            </w:tcBorders>
            <w:noWrap/>
            <w:vAlign w:val="center"/>
          </w:tcPr>
          <w:p w:rsidR="00000000" w:rsidRDefault="00000000">
            <w:pPr>
              <w:widowControl w:val="0"/>
              <w:spacing w:before="80" w:after="80"/>
              <w:jc w:val="center"/>
              <w:rPr>
                <w:b/>
                <w:bCs/>
                <w:i/>
                <w:iCs/>
                <w:sz w:val="20"/>
                <w:szCs w:val="22"/>
              </w:rPr>
            </w:pPr>
            <w:r>
              <w:rPr>
                <w:b/>
                <w:bCs/>
                <w:i/>
                <w:iCs/>
                <w:sz w:val="20"/>
                <w:szCs w:val="22"/>
              </w:rPr>
              <w:t>Women</w:t>
            </w:r>
          </w:p>
        </w:tc>
        <w:tc>
          <w:tcPr>
            <w:tcW w:w="766" w:type="pct"/>
            <w:tcBorders>
              <w:bottom w:val="single" w:sz="4" w:space="0" w:color="auto"/>
            </w:tcBorders>
            <w:noWrap/>
            <w:vAlign w:val="center"/>
          </w:tcPr>
          <w:p w:rsidR="00000000" w:rsidRDefault="00000000">
            <w:pPr>
              <w:widowControl w:val="0"/>
              <w:spacing w:before="80" w:after="80"/>
              <w:jc w:val="center"/>
              <w:rPr>
                <w:b/>
                <w:bCs/>
                <w:i/>
                <w:iCs/>
                <w:sz w:val="20"/>
                <w:szCs w:val="22"/>
              </w:rPr>
            </w:pPr>
            <w:r>
              <w:rPr>
                <w:b/>
                <w:bCs/>
                <w:i/>
                <w:iCs/>
                <w:sz w:val="20"/>
                <w:szCs w:val="22"/>
              </w:rPr>
              <w:t>Both sexes</w:t>
            </w:r>
          </w:p>
        </w:tc>
      </w:tr>
      <w:tr w:rsidR="00000000">
        <w:tc>
          <w:tcPr>
            <w:tcW w:w="449" w:type="pct"/>
            <w:tcBorders>
              <w:top w:val="single" w:sz="4" w:space="0" w:color="auto"/>
            </w:tcBorders>
            <w:noWrap/>
            <w:vAlign w:val="bottom"/>
          </w:tcPr>
          <w:p w:rsidR="00000000" w:rsidRDefault="00000000">
            <w:pPr>
              <w:widowControl w:val="0"/>
              <w:spacing w:before="80" w:after="80"/>
              <w:rPr>
                <w:sz w:val="20"/>
                <w:szCs w:val="22"/>
                <w:lang w:val="fr-FR"/>
              </w:rPr>
            </w:pPr>
            <w:r>
              <w:rPr>
                <w:sz w:val="20"/>
                <w:szCs w:val="22"/>
                <w:lang w:val="fr-FR"/>
              </w:rPr>
              <w:t>2000</w:t>
            </w:r>
          </w:p>
        </w:tc>
        <w:tc>
          <w:tcPr>
            <w:tcW w:w="642" w:type="pct"/>
            <w:tcBorders>
              <w:top w:val="single" w:sz="4" w:space="0" w:color="auto"/>
            </w:tcBorders>
            <w:noWrap/>
            <w:vAlign w:val="bottom"/>
          </w:tcPr>
          <w:p w:rsidR="00000000" w:rsidRDefault="00000000">
            <w:pPr>
              <w:widowControl w:val="0"/>
              <w:spacing w:before="80" w:after="80"/>
              <w:jc w:val="center"/>
              <w:rPr>
                <w:sz w:val="20"/>
                <w:szCs w:val="22"/>
                <w:lang w:val="fr-FR"/>
              </w:rPr>
            </w:pPr>
            <w:r>
              <w:rPr>
                <w:sz w:val="20"/>
                <w:szCs w:val="22"/>
                <w:lang w:val="fr-FR"/>
              </w:rPr>
              <w:t>1 433 399</w:t>
            </w:r>
          </w:p>
        </w:tc>
        <w:tc>
          <w:tcPr>
            <w:tcW w:w="641" w:type="pct"/>
            <w:tcBorders>
              <w:top w:val="single" w:sz="4" w:space="0" w:color="auto"/>
            </w:tcBorders>
            <w:noWrap/>
            <w:vAlign w:val="bottom"/>
          </w:tcPr>
          <w:p w:rsidR="00000000" w:rsidRDefault="00000000">
            <w:pPr>
              <w:widowControl w:val="0"/>
              <w:spacing w:before="80" w:after="80"/>
              <w:jc w:val="center"/>
              <w:rPr>
                <w:sz w:val="20"/>
                <w:szCs w:val="22"/>
                <w:lang w:val="fr-FR"/>
              </w:rPr>
            </w:pPr>
            <w:r>
              <w:rPr>
                <w:sz w:val="20"/>
                <w:szCs w:val="22"/>
                <w:lang w:val="fr-FR"/>
              </w:rPr>
              <w:t>1 506 545</w:t>
            </w:r>
          </w:p>
        </w:tc>
        <w:tc>
          <w:tcPr>
            <w:tcW w:w="834" w:type="pct"/>
            <w:tcBorders>
              <w:top w:val="single" w:sz="4" w:space="0" w:color="auto"/>
            </w:tcBorders>
            <w:noWrap/>
            <w:vAlign w:val="bottom"/>
          </w:tcPr>
          <w:p w:rsidR="00000000" w:rsidRDefault="00000000">
            <w:pPr>
              <w:widowControl w:val="0"/>
              <w:spacing w:before="80" w:after="80"/>
              <w:jc w:val="center"/>
              <w:rPr>
                <w:sz w:val="20"/>
                <w:szCs w:val="22"/>
                <w:lang w:val="fr-FR"/>
              </w:rPr>
            </w:pPr>
            <w:r>
              <w:rPr>
                <w:sz w:val="20"/>
                <w:szCs w:val="22"/>
                <w:lang w:val="fr-FR"/>
              </w:rPr>
              <w:t>2 939 944</w:t>
            </w:r>
          </w:p>
        </w:tc>
        <w:tc>
          <w:tcPr>
            <w:tcW w:w="514" w:type="pct"/>
            <w:tcBorders>
              <w:top w:val="single" w:sz="4" w:space="0" w:color="auto"/>
            </w:tcBorders>
            <w:noWrap/>
            <w:vAlign w:val="bottom"/>
          </w:tcPr>
          <w:p w:rsidR="00000000" w:rsidRDefault="00000000">
            <w:pPr>
              <w:widowControl w:val="0"/>
              <w:spacing w:before="80" w:after="80"/>
              <w:jc w:val="center"/>
              <w:rPr>
                <w:sz w:val="20"/>
                <w:szCs w:val="22"/>
                <w:lang w:val="fr-FR"/>
              </w:rPr>
            </w:pPr>
            <w:r>
              <w:rPr>
                <w:sz w:val="20"/>
                <w:szCs w:val="22"/>
                <w:lang w:val="fr-FR"/>
              </w:rPr>
              <w:t>2000</w:t>
            </w:r>
          </w:p>
        </w:tc>
        <w:tc>
          <w:tcPr>
            <w:tcW w:w="577" w:type="pct"/>
            <w:tcBorders>
              <w:top w:val="single" w:sz="4" w:space="0" w:color="auto"/>
            </w:tcBorders>
            <w:noWrap/>
            <w:vAlign w:val="bottom"/>
          </w:tcPr>
          <w:p w:rsidR="00000000" w:rsidRDefault="00000000">
            <w:pPr>
              <w:widowControl w:val="0"/>
              <w:spacing w:before="80" w:after="80"/>
              <w:jc w:val="center"/>
              <w:rPr>
                <w:sz w:val="20"/>
                <w:szCs w:val="22"/>
                <w:lang w:val="fr-FR"/>
              </w:rPr>
            </w:pPr>
            <w:r>
              <w:rPr>
                <w:sz w:val="20"/>
                <w:szCs w:val="22"/>
                <w:lang w:val="fr-FR"/>
              </w:rPr>
              <w:t>1 272 125</w:t>
            </w:r>
          </w:p>
        </w:tc>
        <w:tc>
          <w:tcPr>
            <w:tcW w:w="577" w:type="pct"/>
            <w:tcBorders>
              <w:top w:val="single" w:sz="4" w:space="0" w:color="auto"/>
            </w:tcBorders>
            <w:noWrap/>
            <w:vAlign w:val="bottom"/>
          </w:tcPr>
          <w:p w:rsidR="00000000" w:rsidRDefault="00000000">
            <w:pPr>
              <w:widowControl w:val="0"/>
              <w:spacing w:before="80" w:after="80"/>
              <w:jc w:val="center"/>
              <w:rPr>
                <w:sz w:val="20"/>
                <w:szCs w:val="22"/>
                <w:lang w:val="fr-FR"/>
              </w:rPr>
            </w:pPr>
            <w:r>
              <w:rPr>
                <w:sz w:val="20"/>
                <w:szCs w:val="22"/>
                <w:lang w:val="fr-FR"/>
              </w:rPr>
              <w:t>1 134 198</w:t>
            </w:r>
          </w:p>
        </w:tc>
        <w:tc>
          <w:tcPr>
            <w:tcW w:w="766" w:type="pct"/>
            <w:tcBorders>
              <w:top w:val="single" w:sz="4" w:space="0" w:color="auto"/>
            </w:tcBorders>
            <w:noWrap/>
            <w:vAlign w:val="bottom"/>
          </w:tcPr>
          <w:p w:rsidR="00000000" w:rsidRDefault="00000000">
            <w:pPr>
              <w:widowControl w:val="0"/>
              <w:spacing w:before="80" w:after="80"/>
              <w:jc w:val="center"/>
              <w:rPr>
                <w:sz w:val="20"/>
                <w:szCs w:val="22"/>
                <w:lang w:val="fr-FR"/>
              </w:rPr>
            </w:pPr>
            <w:r>
              <w:rPr>
                <w:sz w:val="20"/>
                <w:szCs w:val="22"/>
                <w:lang w:val="fr-FR"/>
              </w:rPr>
              <w:t>2 406 323</w:t>
            </w:r>
          </w:p>
        </w:tc>
      </w:tr>
      <w:tr w:rsidR="00000000">
        <w:tc>
          <w:tcPr>
            <w:tcW w:w="449" w:type="pct"/>
            <w:noWrap/>
            <w:vAlign w:val="bottom"/>
          </w:tcPr>
          <w:p w:rsidR="00000000" w:rsidRDefault="00000000">
            <w:pPr>
              <w:widowControl w:val="0"/>
              <w:spacing w:before="80" w:after="80"/>
              <w:rPr>
                <w:sz w:val="20"/>
                <w:szCs w:val="22"/>
                <w:lang w:val="fr-FR"/>
              </w:rPr>
            </w:pPr>
            <w:r>
              <w:rPr>
                <w:sz w:val="20"/>
                <w:szCs w:val="22"/>
                <w:lang w:val="fr-FR"/>
              </w:rPr>
              <w:t>2001</w:t>
            </w:r>
          </w:p>
        </w:tc>
        <w:tc>
          <w:tcPr>
            <w:tcW w:w="642" w:type="pct"/>
            <w:noWrap/>
            <w:vAlign w:val="bottom"/>
          </w:tcPr>
          <w:p w:rsidR="00000000" w:rsidRDefault="00000000">
            <w:pPr>
              <w:widowControl w:val="0"/>
              <w:spacing w:before="80" w:after="80"/>
              <w:jc w:val="center"/>
              <w:rPr>
                <w:sz w:val="20"/>
                <w:szCs w:val="22"/>
                <w:lang w:val="fr-FR"/>
              </w:rPr>
            </w:pPr>
            <w:r>
              <w:rPr>
                <w:sz w:val="20"/>
                <w:szCs w:val="22"/>
                <w:lang w:val="fr-FR"/>
              </w:rPr>
              <w:t>1 473 081</w:t>
            </w:r>
          </w:p>
        </w:tc>
        <w:tc>
          <w:tcPr>
            <w:tcW w:w="641" w:type="pct"/>
            <w:noWrap/>
            <w:vAlign w:val="bottom"/>
          </w:tcPr>
          <w:p w:rsidR="00000000" w:rsidRDefault="00000000">
            <w:pPr>
              <w:widowControl w:val="0"/>
              <w:spacing w:before="80" w:after="80"/>
              <w:jc w:val="center"/>
              <w:rPr>
                <w:sz w:val="20"/>
                <w:szCs w:val="22"/>
                <w:lang w:val="fr-FR"/>
              </w:rPr>
            </w:pPr>
            <w:r>
              <w:rPr>
                <w:sz w:val="20"/>
                <w:szCs w:val="22"/>
                <w:lang w:val="fr-FR"/>
              </w:rPr>
              <w:t>1 547 200</w:t>
            </w:r>
          </w:p>
        </w:tc>
        <w:tc>
          <w:tcPr>
            <w:tcW w:w="834" w:type="pct"/>
            <w:noWrap/>
            <w:vAlign w:val="bottom"/>
          </w:tcPr>
          <w:p w:rsidR="00000000" w:rsidRDefault="00000000">
            <w:pPr>
              <w:widowControl w:val="0"/>
              <w:spacing w:before="80" w:after="80"/>
              <w:jc w:val="center"/>
              <w:rPr>
                <w:sz w:val="20"/>
                <w:szCs w:val="22"/>
                <w:lang w:val="fr-FR"/>
              </w:rPr>
            </w:pPr>
            <w:r>
              <w:rPr>
                <w:sz w:val="20"/>
                <w:szCs w:val="22"/>
                <w:lang w:val="fr-FR"/>
              </w:rPr>
              <w:t>3 020 281</w:t>
            </w:r>
          </w:p>
        </w:tc>
        <w:tc>
          <w:tcPr>
            <w:tcW w:w="514" w:type="pct"/>
            <w:noWrap/>
            <w:vAlign w:val="bottom"/>
          </w:tcPr>
          <w:p w:rsidR="00000000" w:rsidRDefault="00000000">
            <w:pPr>
              <w:widowControl w:val="0"/>
              <w:spacing w:before="80" w:after="80"/>
              <w:jc w:val="center"/>
              <w:rPr>
                <w:sz w:val="20"/>
                <w:szCs w:val="22"/>
                <w:lang w:val="fr-FR"/>
              </w:rPr>
            </w:pPr>
            <w:r>
              <w:rPr>
                <w:sz w:val="20"/>
                <w:szCs w:val="22"/>
                <w:lang w:val="fr-FR"/>
              </w:rPr>
              <w:t>2001</w:t>
            </w:r>
          </w:p>
        </w:tc>
        <w:tc>
          <w:tcPr>
            <w:tcW w:w="577" w:type="pct"/>
            <w:noWrap/>
            <w:vAlign w:val="bottom"/>
          </w:tcPr>
          <w:p w:rsidR="00000000" w:rsidRDefault="00000000">
            <w:pPr>
              <w:widowControl w:val="0"/>
              <w:spacing w:before="80" w:after="80"/>
              <w:jc w:val="center"/>
              <w:rPr>
                <w:sz w:val="20"/>
                <w:szCs w:val="22"/>
                <w:lang w:val="fr-FR"/>
              </w:rPr>
            </w:pPr>
            <w:r>
              <w:rPr>
                <w:sz w:val="20"/>
                <w:szCs w:val="22"/>
                <w:lang w:val="fr-FR"/>
              </w:rPr>
              <w:t>1 288 060</w:t>
            </w:r>
          </w:p>
        </w:tc>
        <w:tc>
          <w:tcPr>
            <w:tcW w:w="577" w:type="pct"/>
            <w:noWrap/>
            <w:vAlign w:val="bottom"/>
          </w:tcPr>
          <w:p w:rsidR="00000000" w:rsidRDefault="00000000">
            <w:pPr>
              <w:widowControl w:val="0"/>
              <w:spacing w:before="80" w:after="80"/>
              <w:jc w:val="center"/>
              <w:rPr>
                <w:sz w:val="20"/>
                <w:szCs w:val="22"/>
                <w:lang w:val="fr-FR"/>
              </w:rPr>
            </w:pPr>
            <w:r>
              <w:rPr>
                <w:sz w:val="20"/>
                <w:szCs w:val="22"/>
                <w:lang w:val="fr-FR"/>
              </w:rPr>
              <w:t>1 148 077</w:t>
            </w:r>
          </w:p>
        </w:tc>
        <w:tc>
          <w:tcPr>
            <w:tcW w:w="766" w:type="pct"/>
            <w:noWrap/>
            <w:vAlign w:val="bottom"/>
          </w:tcPr>
          <w:p w:rsidR="00000000" w:rsidRDefault="00000000">
            <w:pPr>
              <w:widowControl w:val="0"/>
              <w:spacing w:before="80" w:after="80"/>
              <w:jc w:val="center"/>
              <w:rPr>
                <w:sz w:val="20"/>
                <w:szCs w:val="22"/>
                <w:lang w:val="fr-FR"/>
              </w:rPr>
            </w:pPr>
            <w:r>
              <w:rPr>
                <w:sz w:val="20"/>
                <w:szCs w:val="22"/>
                <w:lang w:val="fr-FR"/>
              </w:rPr>
              <w:t>2 436 137</w:t>
            </w:r>
          </w:p>
        </w:tc>
      </w:tr>
      <w:tr w:rsidR="00000000">
        <w:tc>
          <w:tcPr>
            <w:tcW w:w="449" w:type="pct"/>
            <w:noWrap/>
            <w:vAlign w:val="bottom"/>
          </w:tcPr>
          <w:p w:rsidR="00000000" w:rsidRDefault="00000000">
            <w:pPr>
              <w:widowControl w:val="0"/>
              <w:spacing w:before="80" w:after="80"/>
              <w:rPr>
                <w:sz w:val="20"/>
                <w:szCs w:val="22"/>
                <w:lang w:val="fr-FR"/>
              </w:rPr>
            </w:pPr>
            <w:r>
              <w:rPr>
                <w:sz w:val="20"/>
                <w:szCs w:val="22"/>
                <w:lang w:val="fr-FR"/>
              </w:rPr>
              <w:t>2002</w:t>
            </w:r>
          </w:p>
        </w:tc>
        <w:tc>
          <w:tcPr>
            <w:tcW w:w="642" w:type="pct"/>
            <w:noWrap/>
            <w:vAlign w:val="bottom"/>
          </w:tcPr>
          <w:p w:rsidR="00000000" w:rsidRDefault="00000000">
            <w:pPr>
              <w:widowControl w:val="0"/>
              <w:spacing w:before="80" w:after="80"/>
              <w:jc w:val="center"/>
              <w:rPr>
                <w:sz w:val="20"/>
                <w:szCs w:val="22"/>
                <w:lang w:val="fr-FR"/>
              </w:rPr>
            </w:pPr>
            <w:r>
              <w:rPr>
                <w:sz w:val="20"/>
                <w:szCs w:val="22"/>
                <w:lang w:val="fr-FR"/>
              </w:rPr>
              <w:t>1 513 168</w:t>
            </w:r>
          </w:p>
        </w:tc>
        <w:tc>
          <w:tcPr>
            <w:tcW w:w="641" w:type="pct"/>
            <w:noWrap/>
            <w:vAlign w:val="bottom"/>
          </w:tcPr>
          <w:p w:rsidR="00000000" w:rsidRDefault="00000000">
            <w:pPr>
              <w:widowControl w:val="0"/>
              <w:spacing w:before="80" w:after="80"/>
              <w:jc w:val="center"/>
              <w:rPr>
                <w:sz w:val="20"/>
                <w:szCs w:val="22"/>
                <w:lang w:val="fr-FR"/>
              </w:rPr>
            </w:pPr>
            <w:r>
              <w:rPr>
                <w:sz w:val="20"/>
                <w:szCs w:val="22"/>
                <w:lang w:val="fr-FR"/>
              </w:rPr>
              <w:t>1 588 244</w:t>
            </w:r>
          </w:p>
        </w:tc>
        <w:tc>
          <w:tcPr>
            <w:tcW w:w="834" w:type="pct"/>
            <w:noWrap/>
            <w:vAlign w:val="bottom"/>
          </w:tcPr>
          <w:p w:rsidR="00000000" w:rsidRDefault="00000000">
            <w:pPr>
              <w:widowControl w:val="0"/>
              <w:spacing w:before="80" w:after="80"/>
              <w:jc w:val="center"/>
              <w:rPr>
                <w:sz w:val="20"/>
                <w:szCs w:val="22"/>
                <w:lang w:val="fr-FR"/>
              </w:rPr>
            </w:pPr>
            <w:r>
              <w:rPr>
                <w:sz w:val="20"/>
                <w:szCs w:val="22"/>
                <w:lang w:val="fr-FR"/>
              </w:rPr>
              <w:t>3 101 412</w:t>
            </w:r>
          </w:p>
        </w:tc>
        <w:tc>
          <w:tcPr>
            <w:tcW w:w="514" w:type="pct"/>
            <w:noWrap/>
            <w:vAlign w:val="bottom"/>
          </w:tcPr>
          <w:p w:rsidR="00000000" w:rsidRDefault="00000000">
            <w:pPr>
              <w:widowControl w:val="0"/>
              <w:spacing w:before="80" w:after="80"/>
              <w:jc w:val="center"/>
              <w:rPr>
                <w:sz w:val="20"/>
                <w:szCs w:val="22"/>
                <w:lang w:val="fr-FR"/>
              </w:rPr>
            </w:pPr>
            <w:r>
              <w:rPr>
                <w:sz w:val="20"/>
                <w:szCs w:val="22"/>
                <w:lang w:val="fr-FR"/>
              </w:rPr>
              <w:t>2002</w:t>
            </w:r>
          </w:p>
        </w:tc>
        <w:tc>
          <w:tcPr>
            <w:tcW w:w="577" w:type="pct"/>
            <w:noWrap/>
            <w:vAlign w:val="bottom"/>
          </w:tcPr>
          <w:p w:rsidR="00000000" w:rsidRDefault="00000000">
            <w:pPr>
              <w:widowControl w:val="0"/>
              <w:spacing w:before="80" w:after="80"/>
              <w:jc w:val="center"/>
              <w:rPr>
                <w:sz w:val="20"/>
                <w:szCs w:val="22"/>
                <w:lang w:val="fr-FR"/>
              </w:rPr>
            </w:pPr>
            <w:r>
              <w:rPr>
                <w:sz w:val="20"/>
                <w:szCs w:val="22"/>
                <w:lang w:val="fr-FR"/>
              </w:rPr>
              <w:t>1 303 520</w:t>
            </w:r>
          </w:p>
        </w:tc>
        <w:tc>
          <w:tcPr>
            <w:tcW w:w="577" w:type="pct"/>
            <w:noWrap/>
            <w:vAlign w:val="bottom"/>
          </w:tcPr>
          <w:p w:rsidR="00000000" w:rsidRDefault="00000000">
            <w:pPr>
              <w:widowControl w:val="0"/>
              <w:spacing w:before="80" w:after="80"/>
              <w:jc w:val="center"/>
              <w:rPr>
                <w:sz w:val="20"/>
                <w:szCs w:val="22"/>
                <w:lang w:val="fr-FR"/>
              </w:rPr>
            </w:pPr>
            <w:r>
              <w:rPr>
                <w:sz w:val="20"/>
                <w:szCs w:val="22"/>
                <w:lang w:val="fr-FR"/>
              </w:rPr>
              <w:t>1 161 920</w:t>
            </w:r>
          </w:p>
        </w:tc>
        <w:tc>
          <w:tcPr>
            <w:tcW w:w="766" w:type="pct"/>
            <w:noWrap/>
            <w:vAlign w:val="bottom"/>
          </w:tcPr>
          <w:p w:rsidR="00000000" w:rsidRDefault="00000000">
            <w:pPr>
              <w:widowControl w:val="0"/>
              <w:spacing w:before="80" w:after="80"/>
              <w:jc w:val="center"/>
              <w:rPr>
                <w:sz w:val="20"/>
                <w:szCs w:val="22"/>
                <w:lang w:val="fr-FR"/>
              </w:rPr>
            </w:pPr>
            <w:r>
              <w:rPr>
                <w:sz w:val="20"/>
                <w:szCs w:val="22"/>
                <w:lang w:val="fr-FR"/>
              </w:rPr>
              <w:t>2 465 439</w:t>
            </w:r>
          </w:p>
        </w:tc>
      </w:tr>
      <w:tr w:rsidR="00000000">
        <w:tc>
          <w:tcPr>
            <w:tcW w:w="449" w:type="pct"/>
            <w:noWrap/>
            <w:vAlign w:val="bottom"/>
          </w:tcPr>
          <w:p w:rsidR="00000000" w:rsidRDefault="00000000">
            <w:pPr>
              <w:widowControl w:val="0"/>
              <w:spacing w:before="80" w:after="80"/>
              <w:rPr>
                <w:sz w:val="20"/>
                <w:szCs w:val="22"/>
                <w:lang w:val="fr-FR"/>
              </w:rPr>
            </w:pPr>
            <w:r>
              <w:rPr>
                <w:sz w:val="20"/>
                <w:szCs w:val="22"/>
                <w:lang w:val="fr-FR"/>
              </w:rPr>
              <w:t>2003</w:t>
            </w:r>
          </w:p>
        </w:tc>
        <w:tc>
          <w:tcPr>
            <w:tcW w:w="642" w:type="pct"/>
            <w:noWrap/>
            <w:vAlign w:val="bottom"/>
          </w:tcPr>
          <w:p w:rsidR="00000000" w:rsidRDefault="00000000">
            <w:pPr>
              <w:widowControl w:val="0"/>
              <w:spacing w:before="80" w:after="80"/>
              <w:jc w:val="center"/>
              <w:rPr>
                <w:sz w:val="20"/>
                <w:szCs w:val="22"/>
                <w:lang w:val="fr-FR"/>
              </w:rPr>
            </w:pPr>
            <w:r>
              <w:rPr>
                <w:sz w:val="20"/>
                <w:szCs w:val="22"/>
                <w:lang w:val="fr-FR"/>
              </w:rPr>
              <w:t>1 553 561</w:t>
            </w:r>
          </w:p>
        </w:tc>
        <w:tc>
          <w:tcPr>
            <w:tcW w:w="641" w:type="pct"/>
            <w:noWrap/>
            <w:vAlign w:val="bottom"/>
          </w:tcPr>
          <w:p w:rsidR="00000000" w:rsidRDefault="00000000">
            <w:pPr>
              <w:widowControl w:val="0"/>
              <w:spacing w:before="80" w:after="80"/>
              <w:jc w:val="center"/>
              <w:rPr>
                <w:sz w:val="20"/>
                <w:szCs w:val="22"/>
                <w:lang w:val="fr-FR"/>
              </w:rPr>
            </w:pPr>
            <w:r>
              <w:rPr>
                <w:sz w:val="20"/>
                <w:szCs w:val="22"/>
                <w:lang w:val="fr-FR"/>
              </w:rPr>
              <w:t>1 629 599</w:t>
            </w:r>
          </w:p>
        </w:tc>
        <w:tc>
          <w:tcPr>
            <w:tcW w:w="834" w:type="pct"/>
            <w:noWrap/>
            <w:vAlign w:val="bottom"/>
          </w:tcPr>
          <w:p w:rsidR="00000000" w:rsidRDefault="00000000">
            <w:pPr>
              <w:widowControl w:val="0"/>
              <w:spacing w:before="80" w:after="80"/>
              <w:jc w:val="center"/>
              <w:rPr>
                <w:sz w:val="20"/>
                <w:szCs w:val="22"/>
                <w:lang w:val="fr-FR"/>
              </w:rPr>
            </w:pPr>
            <w:r>
              <w:rPr>
                <w:sz w:val="20"/>
                <w:szCs w:val="22"/>
                <w:lang w:val="fr-FR"/>
              </w:rPr>
              <w:t>3 183 160</w:t>
            </w:r>
          </w:p>
        </w:tc>
        <w:tc>
          <w:tcPr>
            <w:tcW w:w="514" w:type="pct"/>
            <w:noWrap/>
            <w:vAlign w:val="bottom"/>
          </w:tcPr>
          <w:p w:rsidR="00000000" w:rsidRDefault="00000000">
            <w:pPr>
              <w:widowControl w:val="0"/>
              <w:spacing w:before="80" w:after="80"/>
              <w:jc w:val="center"/>
              <w:rPr>
                <w:sz w:val="20"/>
                <w:szCs w:val="22"/>
                <w:lang w:val="fr-FR"/>
              </w:rPr>
            </w:pPr>
            <w:r>
              <w:rPr>
                <w:sz w:val="20"/>
                <w:szCs w:val="22"/>
                <w:lang w:val="fr-FR"/>
              </w:rPr>
              <w:t>2003</w:t>
            </w:r>
          </w:p>
        </w:tc>
        <w:tc>
          <w:tcPr>
            <w:tcW w:w="577" w:type="pct"/>
            <w:noWrap/>
            <w:vAlign w:val="bottom"/>
          </w:tcPr>
          <w:p w:rsidR="00000000" w:rsidRDefault="00000000">
            <w:pPr>
              <w:widowControl w:val="0"/>
              <w:spacing w:before="80" w:after="80"/>
              <w:jc w:val="center"/>
              <w:rPr>
                <w:sz w:val="20"/>
                <w:szCs w:val="22"/>
                <w:lang w:val="fr-FR"/>
              </w:rPr>
            </w:pPr>
            <w:r>
              <w:rPr>
                <w:sz w:val="20"/>
                <w:szCs w:val="22"/>
                <w:lang w:val="fr-FR"/>
              </w:rPr>
              <w:t>1 318 625</w:t>
            </w:r>
          </w:p>
        </w:tc>
        <w:tc>
          <w:tcPr>
            <w:tcW w:w="577" w:type="pct"/>
            <w:noWrap/>
            <w:vAlign w:val="bottom"/>
          </w:tcPr>
          <w:p w:rsidR="00000000" w:rsidRDefault="00000000">
            <w:pPr>
              <w:widowControl w:val="0"/>
              <w:spacing w:before="80" w:after="80"/>
              <w:jc w:val="center"/>
              <w:rPr>
                <w:sz w:val="20"/>
                <w:szCs w:val="22"/>
                <w:lang w:val="fr-FR"/>
              </w:rPr>
            </w:pPr>
            <w:r>
              <w:rPr>
                <w:sz w:val="20"/>
                <w:szCs w:val="22"/>
                <w:lang w:val="fr-FR"/>
              </w:rPr>
              <w:t>1 175 663</w:t>
            </w:r>
          </w:p>
        </w:tc>
        <w:tc>
          <w:tcPr>
            <w:tcW w:w="766" w:type="pct"/>
            <w:noWrap/>
            <w:vAlign w:val="bottom"/>
          </w:tcPr>
          <w:p w:rsidR="00000000" w:rsidRDefault="00000000">
            <w:pPr>
              <w:widowControl w:val="0"/>
              <w:spacing w:before="80" w:after="80"/>
              <w:jc w:val="center"/>
              <w:rPr>
                <w:sz w:val="20"/>
                <w:szCs w:val="22"/>
                <w:lang w:val="fr-FR"/>
              </w:rPr>
            </w:pPr>
            <w:r>
              <w:rPr>
                <w:sz w:val="20"/>
                <w:szCs w:val="22"/>
                <w:lang w:val="fr-FR"/>
              </w:rPr>
              <w:t>2 494 288</w:t>
            </w:r>
          </w:p>
        </w:tc>
      </w:tr>
      <w:tr w:rsidR="00000000">
        <w:tc>
          <w:tcPr>
            <w:tcW w:w="449" w:type="pct"/>
            <w:noWrap/>
            <w:vAlign w:val="bottom"/>
          </w:tcPr>
          <w:p w:rsidR="00000000" w:rsidRDefault="00000000">
            <w:pPr>
              <w:widowControl w:val="0"/>
              <w:spacing w:before="80" w:after="80"/>
              <w:rPr>
                <w:sz w:val="20"/>
                <w:szCs w:val="22"/>
                <w:lang w:val="fr-FR"/>
              </w:rPr>
            </w:pPr>
            <w:r>
              <w:rPr>
                <w:sz w:val="20"/>
                <w:szCs w:val="22"/>
                <w:lang w:val="fr-FR"/>
              </w:rPr>
              <w:t>2004</w:t>
            </w:r>
          </w:p>
        </w:tc>
        <w:tc>
          <w:tcPr>
            <w:tcW w:w="642" w:type="pct"/>
            <w:noWrap/>
            <w:vAlign w:val="bottom"/>
          </w:tcPr>
          <w:p w:rsidR="00000000" w:rsidRDefault="00000000">
            <w:pPr>
              <w:widowControl w:val="0"/>
              <w:spacing w:before="80" w:after="80"/>
              <w:jc w:val="center"/>
              <w:rPr>
                <w:sz w:val="20"/>
                <w:szCs w:val="22"/>
                <w:lang w:val="fr-FR"/>
              </w:rPr>
            </w:pPr>
            <w:r>
              <w:rPr>
                <w:sz w:val="20"/>
                <w:szCs w:val="22"/>
                <w:lang w:val="fr-FR"/>
              </w:rPr>
              <w:t>1 594 161</w:t>
            </w:r>
          </w:p>
        </w:tc>
        <w:tc>
          <w:tcPr>
            <w:tcW w:w="641" w:type="pct"/>
            <w:noWrap/>
            <w:vAlign w:val="bottom"/>
          </w:tcPr>
          <w:p w:rsidR="00000000" w:rsidRDefault="00000000">
            <w:pPr>
              <w:widowControl w:val="0"/>
              <w:spacing w:before="80" w:after="80"/>
              <w:jc w:val="center"/>
              <w:rPr>
                <w:sz w:val="20"/>
                <w:szCs w:val="22"/>
                <w:lang w:val="fr-FR"/>
              </w:rPr>
            </w:pPr>
            <w:r>
              <w:rPr>
                <w:sz w:val="20"/>
                <w:szCs w:val="22"/>
                <w:lang w:val="fr-FR"/>
              </w:rPr>
              <w:t>1 671 185</w:t>
            </w:r>
          </w:p>
        </w:tc>
        <w:tc>
          <w:tcPr>
            <w:tcW w:w="834" w:type="pct"/>
            <w:noWrap/>
            <w:vAlign w:val="bottom"/>
          </w:tcPr>
          <w:p w:rsidR="00000000" w:rsidRDefault="00000000">
            <w:pPr>
              <w:widowControl w:val="0"/>
              <w:spacing w:before="80" w:after="80"/>
              <w:jc w:val="center"/>
              <w:rPr>
                <w:sz w:val="20"/>
                <w:szCs w:val="22"/>
                <w:lang w:val="fr-FR"/>
              </w:rPr>
            </w:pPr>
            <w:r>
              <w:rPr>
                <w:sz w:val="20"/>
                <w:szCs w:val="22"/>
                <w:lang w:val="fr-FR"/>
              </w:rPr>
              <w:t>3 265 346</w:t>
            </w:r>
          </w:p>
        </w:tc>
        <w:tc>
          <w:tcPr>
            <w:tcW w:w="514" w:type="pct"/>
            <w:noWrap/>
            <w:vAlign w:val="bottom"/>
          </w:tcPr>
          <w:p w:rsidR="00000000" w:rsidRDefault="00000000">
            <w:pPr>
              <w:widowControl w:val="0"/>
              <w:spacing w:before="80" w:after="80"/>
              <w:jc w:val="center"/>
              <w:rPr>
                <w:sz w:val="20"/>
                <w:szCs w:val="22"/>
                <w:lang w:val="fr-FR"/>
              </w:rPr>
            </w:pPr>
            <w:r>
              <w:rPr>
                <w:sz w:val="20"/>
                <w:szCs w:val="22"/>
                <w:lang w:val="fr-FR"/>
              </w:rPr>
              <w:t>2004</w:t>
            </w:r>
          </w:p>
        </w:tc>
        <w:tc>
          <w:tcPr>
            <w:tcW w:w="577" w:type="pct"/>
            <w:noWrap/>
            <w:vAlign w:val="bottom"/>
          </w:tcPr>
          <w:p w:rsidR="00000000" w:rsidRDefault="00000000">
            <w:pPr>
              <w:widowControl w:val="0"/>
              <w:spacing w:before="80" w:after="80"/>
              <w:jc w:val="center"/>
              <w:rPr>
                <w:sz w:val="20"/>
                <w:szCs w:val="22"/>
                <w:lang w:val="fr-FR"/>
              </w:rPr>
            </w:pPr>
            <w:r>
              <w:rPr>
                <w:sz w:val="20"/>
                <w:szCs w:val="22"/>
                <w:lang w:val="fr-FR"/>
              </w:rPr>
              <w:t>1 333 497</w:t>
            </w:r>
          </w:p>
        </w:tc>
        <w:tc>
          <w:tcPr>
            <w:tcW w:w="577" w:type="pct"/>
            <w:noWrap/>
            <w:vAlign w:val="bottom"/>
          </w:tcPr>
          <w:p w:rsidR="00000000" w:rsidRDefault="00000000">
            <w:pPr>
              <w:widowControl w:val="0"/>
              <w:spacing w:before="80" w:after="80"/>
              <w:jc w:val="center"/>
              <w:rPr>
                <w:sz w:val="20"/>
                <w:szCs w:val="22"/>
                <w:lang w:val="fr-FR"/>
              </w:rPr>
            </w:pPr>
            <w:r>
              <w:rPr>
                <w:sz w:val="20"/>
                <w:szCs w:val="22"/>
                <w:lang w:val="fr-FR"/>
              </w:rPr>
              <w:t>1 189 245</w:t>
            </w:r>
          </w:p>
        </w:tc>
        <w:tc>
          <w:tcPr>
            <w:tcW w:w="766" w:type="pct"/>
            <w:noWrap/>
            <w:vAlign w:val="bottom"/>
          </w:tcPr>
          <w:p w:rsidR="00000000" w:rsidRDefault="00000000">
            <w:pPr>
              <w:widowControl w:val="0"/>
              <w:spacing w:before="80" w:after="80"/>
              <w:jc w:val="center"/>
              <w:rPr>
                <w:sz w:val="20"/>
                <w:szCs w:val="22"/>
                <w:lang w:val="fr-FR"/>
              </w:rPr>
            </w:pPr>
            <w:r>
              <w:rPr>
                <w:sz w:val="20"/>
                <w:szCs w:val="22"/>
                <w:lang w:val="fr-FR"/>
              </w:rPr>
              <w:t>2 522 742</w:t>
            </w:r>
          </w:p>
        </w:tc>
      </w:tr>
      <w:tr w:rsidR="00000000">
        <w:tc>
          <w:tcPr>
            <w:tcW w:w="449" w:type="pct"/>
            <w:tcBorders>
              <w:bottom w:val="single" w:sz="4" w:space="0" w:color="auto"/>
            </w:tcBorders>
            <w:noWrap/>
            <w:vAlign w:val="bottom"/>
          </w:tcPr>
          <w:p w:rsidR="00000000" w:rsidRDefault="00000000">
            <w:pPr>
              <w:widowControl w:val="0"/>
              <w:spacing w:before="80" w:after="80"/>
              <w:rPr>
                <w:sz w:val="20"/>
                <w:szCs w:val="22"/>
                <w:lang w:val="fr-FR"/>
              </w:rPr>
            </w:pPr>
            <w:r>
              <w:rPr>
                <w:sz w:val="20"/>
                <w:szCs w:val="22"/>
                <w:lang w:val="fr-FR"/>
              </w:rPr>
              <w:t>2005</w:t>
            </w:r>
          </w:p>
        </w:tc>
        <w:tc>
          <w:tcPr>
            <w:tcW w:w="642" w:type="pct"/>
            <w:tcBorders>
              <w:bottom w:val="single" w:sz="4" w:space="0" w:color="auto"/>
            </w:tcBorders>
            <w:noWrap/>
            <w:vAlign w:val="bottom"/>
          </w:tcPr>
          <w:p w:rsidR="00000000" w:rsidRDefault="00000000">
            <w:pPr>
              <w:widowControl w:val="0"/>
              <w:spacing w:before="80" w:after="80"/>
              <w:jc w:val="center"/>
              <w:rPr>
                <w:sz w:val="20"/>
                <w:szCs w:val="22"/>
                <w:lang w:val="fr-FR"/>
              </w:rPr>
            </w:pPr>
            <w:r>
              <w:rPr>
                <w:sz w:val="20"/>
                <w:szCs w:val="22"/>
                <w:lang w:val="fr-FR"/>
              </w:rPr>
              <w:t>1 634 869</w:t>
            </w:r>
          </w:p>
        </w:tc>
        <w:tc>
          <w:tcPr>
            <w:tcW w:w="641" w:type="pct"/>
            <w:tcBorders>
              <w:bottom w:val="single" w:sz="4" w:space="0" w:color="auto"/>
            </w:tcBorders>
            <w:noWrap/>
            <w:vAlign w:val="bottom"/>
          </w:tcPr>
          <w:p w:rsidR="00000000" w:rsidRDefault="00000000">
            <w:pPr>
              <w:widowControl w:val="0"/>
              <w:spacing w:before="80" w:after="80"/>
              <w:jc w:val="center"/>
              <w:rPr>
                <w:sz w:val="20"/>
                <w:szCs w:val="22"/>
                <w:lang w:val="fr-FR"/>
              </w:rPr>
            </w:pPr>
            <w:r>
              <w:rPr>
                <w:sz w:val="20"/>
                <w:szCs w:val="22"/>
                <w:lang w:val="fr-FR"/>
              </w:rPr>
              <w:t>1 712 924</w:t>
            </w:r>
          </w:p>
        </w:tc>
        <w:tc>
          <w:tcPr>
            <w:tcW w:w="834" w:type="pct"/>
            <w:tcBorders>
              <w:bottom w:val="single" w:sz="4" w:space="0" w:color="auto"/>
            </w:tcBorders>
            <w:noWrap/>
            <w:vAlign w:val="bottom"/>
          </w:tcPr>
          <w:p w:rsidR="00000000" w:rsidRDefault="00000000">
            <w:pPr>
              <w:widowControl w:val="0"/>
              <w:spacing w:before="80" w:after="80"/>
              <w:jc w:val="center"/>
              <w:rPr>
                <w:sz w:val="20"/>
                <w:szCs w:val="22"/>
                <w:lang w:val="fr-FR"/>
              </w:rPr>
            </w:pPr>
            <w:r>
              <w:rPr>
                <w:sz w:val="20"/>
                <w:szCs w:val="22"/>
                <w:lang w:val="fr-FR"/>
              </w:rPr>
              <w:t>3 347 793</w:t>
            </w:r>
          </w:p>
        </w:tc>
        <w:tc>
          <w:tcPr>
            <w:tcW w:w="514" w:type="pct"/>
            <w:tcBorders>
              <w:bottom w:val="single" w:sz="4" w:space="0" w:color="auto"/>
            </w:tcBorders>
            <w:noWrap/>
            <w:vAlign w:val="bottom"/>
          </w:tcPr>
          <w:p w:rsidR="00000000" w:rsidRDefault="00000000">
            <w:pPr>
              <w:widowControl w:val="0"/>
              <w:spacing w:before="80" w:after="80"/>
              <w:jc w:val="center"/>
              <w:rPr>
                <w:sz w:val="20"/>
                <w:szCs w:val="22"/>
                <w:lang w:val="fr-FR"/>
              </w:rPr>
            </w:pPr>
            <w:r>
              <w:rPr>
                <w:sz w:val="20"/>
                <w:szCs w:val="22"/>
                <w:lang w:val="fr-FR"/>
              </w:rPr>
              <w:t>2005</w:t>
            </w:r>
          </w:p>
        </w:tc>
        <w:tc>
          <w:tcPr>
            <w:tcW w:w="577" w:type="pct"/>
            <w:tcBorders>
              <w:bottom w:val="single" w:sz="4" w:space="0" w:color="auto"/>
            </w:tcBorders>
            <w:noWrap/>
            <w:vAlign w:val="bottom"/>
          </w:tcPr>
          <w:p w:rsidR="00000000" w:rsidRDefault="00000000">
            <w:pPr>
              <w:widowControl w:val="0"/>
              <w:spacing w:before="80" w:after="80"/>
              <w:jc w:val="center"/>
              <w:rPr>
                <w:sz w:val="20"/>
                <w:szCs w:val="22"/>
                <w:lang w:val="fr-FR"/>
              </w:rPr>
            </w:pPr>
            <w:r>
              <w:rPr>
                <w:sz w:val="20"/>
                <w:szCs w:val="22"/>
                <w:lang w:val="fr-FR"/>
              </w:rPr>
              <w:t>1 348 254</w:t>
            </w:r>
          </w:p>
        </w:tc>
        <w:tc>
          <w:tcPr>
            <w:tcW w:w="577" w:type="pct"/>
            <w:tcBorders>
              <w:bottom w:val="single" w:sz="4" w:space="0" w:color="auto"/>
            </w:tcBorders>
            <w:noWrap/>
            <w:vAlign w:val="bottom"/>
          </w:tcPr>
          <w:p w:rsidR="00000000" w:rsidRDefault="00000000">
            <w:pPr>
              <w:widowControl w:val="0"/>
              <w:spacing w:before="80" w:after="80"/>
              <w:jc w:val="center"/>
              <w:rPr>
                <w:sz w:val="20"/>
                <w:szCs w:val="22"/>
                <w:lang w:val="fr-FR"/>
              </w:rPr>
            </w:pPr>
            <w:r>
              <w:rPr>
                <w:sz w:val="20"/>
                <w:szCs w:val="22"/>
                <w:lang w:val="fr-FR"/>
              </w:rPr>
              <w:t>1 202 604</w:t>
            </w:r>
          </w:p>
        </w:tc>
        <w:tc>
          <w:tcPr>
            <w:tcW w:w="766" w:type="pct"/>
            <w:tcBorders>
              <w:bottom w:val="single" w:sz="4" w:space="0" w:color="auto"/>
            </w:tcBorders>
            <w:noWrap/>
            <w:vAlign w:val="bottom"/>
          </w:tcPr>
          <w:p w:rsidR="00000000" w:rsidRDefault="00000000">
            <w:pPr>
              <w:widowControl w:val="0"/>
              <w:spacing w:before="80" w:after="80"/>
              <w:jc w:val="center"/>
              <w:rPr>
                <w:sz w:val="20"/>
                <w:szCs w:val="22"/>
                <w:lang w:val="fr-FR"/>
              </w:rPr>
            </w:pPr>
            <w:r>
              <w:rPr>
                <w:sz w:val="20"/>
                <w:szCs w:val="22"/>
                <w:lang w:val="fr-FR"/>
              </w:rPr>
              <w:t>2 550 858</w:t>
            </w:r>
          </w:p>
        </w:tc>
      </w:tr>
    </w:tbl>
    <w:p w:rsidR="00000000" w:rsidRDefault="00000000">
      <w:pPr>
        <w:widowControl w:val="0"/>
        <w:spacing w:before="120" w:after="80"/>
        <w:ind w:firstLine="567"/>
        <w:rPr>
          <w:sz w:val="20"/>
          <w:szCs w:val="16"/>
        </w:rPr>
      </w:pPr>
      <w:r>
        <w:rPr>
          <w:i/>
          <w:iCs/>
          <w:sz w:val="20"/>
          <w:szCs w:val="16"/>
          <w:lang w:val="fr-FR"/>
        </w:rPr>
        <w:t xml:space="preserve">Source: </w:t>
      </w:r>
      <w:r>
        <w:rPr>
          <w:sz w:val="20"/>
          <w:szCs w:val="16"/>
          <w:lang w:val="fr-FR"/>
        </w:rPr>
        <w:t xml:space="preserve">DGEEC. Paraguay. </w:t>
      </w:r>
      <w:r>
        <w:rPr>
          <w:sz w:val="20"/>
          <w:szCs w:val="16"/>
        </w:rPr>
        <w:t>Population projection by sex and age group. by urban and rural area 2000-2030</w:t>
      </w:r>
    </w:p>
    <w:p w:rsidR="00000000" w:rsidRDefault="00000000">
      <w:pPr>
        <w:pStyle w:val="xl46"/>
        <w:spacing w:before="0" w:beforeAutospacing="0" w:after="240" w:afterAutospacing="0"/>
        <w:ind w:left="567"/>
        <w:jc w:val="left"/>
        <w:rPr>
          <w:rFonts w:ascii="Times New Roman" w:eastAsia="Times New Roman" w:hAnsi="Times New Roman" w:cs="Times New Roman"/>
          <w:b w:val="0"/>
          <w:bCs w:val="0"/>
          <w:sz w:val="20"/>
          <w:szCs w:val="18"/>
          <w:lang w:val="en-GB" w:eastAsia="en-US"/>
        </w:rPr>
      </w:pPr>
      <w:r>
        <w:rPr>
          <w:rFonts w:ascii="Times New Roman" w:hAnsi="Times New Roman"/>
          <w:szCs w:val="16"/>
          <w:vertAlign w:val="superscript"/>
        </w:rPr>
        <w:t xml:space="preserve">1  </w:t>
      </w:r>
      <w:r>
        <w:rPr>
          <w:rFonts w:ascii="Times New Roman" w:hAnsi="Times New Roman"/>
          <w:b w:val="0"/>
          <w:bCs w:val="0"/>
          <w:sz w:val="20"/>
          <w:szCs w:val="16"/>
        </w:rPr>
        <w:t>Corresponds to population projections, taking census omissions into account.</w:t>
      </w:r>
    </w:p>
    <w:p w:rsidR="00000000" w:rsidRDefault="00000000">
      <w:pPr>
        <w:spacing w:after="240"/>
      </w:pPr>
      <w:r>
        <w:rPr>
          <w:b/>
        </w:rPr>
        <w:t>7.</w:t>
      </w:r>
      <w:r>
        <w:rPr>
          <w:b/>
        </w:rPr>
        <w:tab/>
        <w:t>Women heads of households</w:t>
      </w:r>
    </w:p>
    <w:p w:rsidR="00000000" w:rsidRDefault="00000000">
      <w:pPr>
        <w:spacing w:after="240"/>
      </w:pPr>
      <w:r>
        <w:t>33.</w:t>
      </w:r>
      <w:r>
        <w:tab/>
        <w:t>The sustained increase in the numbers of women heads of households is significant, from 20 per cent in 1992 to 25.9 per cent in 2002. According to the 2004 Household Census, one out of four Paraguayan households is headed by a woman. This development becomes even more significant if one considers that the number of women heads of households has almost tripled in the past 20 years. In 2002, 29.6 per cent of urban households and 20.7 per cent of rural households were headed by women. An important segment of these households live in poverty or extreme poverty.</w:t>
      </w:r>
    </w:p>
    <w:p w:rsidR="00000000" w:rsidRDefault="00000000">
      <w:pPr>
        <w:spacing w:after="240"/>
        <w:jc w:val="center"/>
      </w:pPr>
      <w:r>
        <w:rPr>
          <w:b/>
          <w:bCs/>
          <w:sz w:val="22"/>
          <w:szCs w:val="20"/>
          <w:lang w:val="en-US"/>
        </w:rPr>
        <w:t xml:space="preserve">Paraguay: Households headed by women. </w:t>
      </w:r>
      <w:r>
        <w:rPr>
          <w:b/>
          <w:bCs/>
          <w:sz w:val="22"/>
          <w:szCs w:val="20"/>
        </w:rPr>
        <w:t>Years 1992 and 2002</w:t>
      </w:r>
    </w:p>
    <w:tbl>
      <w:tblPr>
        <w:tblW w:w="3269" w:type="pct"/>
        <w:jc w:val="center"/>
        <w:tblInd w:w="1537" w:type="dxa"/>
        <w:tblCellMar>
          <w:left w:w="0" w:type="dxa"/>
          <w:right w:w="0" w:type="dxa"/>
        </w:tblCellMar>
        <w:tblLook w:val="0000" w:firstRow="0" w:lastRow="0" w:firstColumn="0" w:lastColumn="0" w:noHBand="0" w:noVBand="0"/>
      </w:tblPr>
      <w:tblGrid>
        <w:gridCol w:w="1906"/>
        <w:gridCol w:w="2508"/>
        <w:gridCol w:w="1799"/>
      </w:tblGrid>
      <w:tr w:rsidR="00000000">
        <w:trPr>
          <w:jc w:val="center"/>
        </w:trPr>
        <w:tc>
          <w:tcPr>
            <w:tcW w:w="1890" w:type="dxa"/>
            <w:tcBorders>
              <w:top w:val="single" w:sz="4" w:space="0" w:color="auto"/>
              <w:bottom w:val="single" w:sz="4" w:space="0" w:color="auto"/>
            </w:tcBorders>
            <w:noWrap/>
            <w:vAlign w:val="bottom"/>
          </w:tcPr>
          <w:p w:rsidR="00000000" w:rsidRDefault="00000000">
            <w:pPr>
              <w:pStyle w:val="Heading4"/>
              <w:rPr>
                <w:iCs w:val="0"/>
              </w:rPr>
            </w:pPr>
            <w:r>
              <w:rPr>
                <w:iCs w:val="0"/>
              </w:rPr>
              <w:t>Census</w:t>
            </w:r>
          </w:p>
        </w:tc>
        <w:tc>
          <w:tcPr>
            <w:tcW w:w="2492" w:type="dxa"/>
            <w:tcBorders>
              <w:top w:val="single" w:sz="4" w:space="0" w:color="auto"/>
              <w:bottom w:val="single" w:sz="4" w:space="0" w:color="auto"/>
            </w:tcBorders>
            <w:noWrap/>
            <w:vAlign w:val="bottom"/>
          </w:tcPr>
          <w:p w:rsidR="00000000" w:rsidRDefault="00000000">
            <w:pPr>
              <w:spacing w:before="80" w:after="80"/>
              <w:jc w:val="center"/>
              <w:rPr>
                <w:b/>
                <w:bCs/>
                <w:i/>
                <w:sz w:val="20"/>
                <w:szCs w:val="20"/>
              </w:rPr>
            </w:pPr>
            <w:r>
              <w:rPr>
                <w:b/>
                <w:bCs/>
                <w:i/>
                <w:sz w:val="20"/>
                <w:szCs w:val="20"/>
              </w:rPr>
              <w:t>Number</w:t>
            </w:r>
          </w:p>
        </w:tc>
        <w:tc>
          <w:tcPr>
            <w:tcW w:w="1783" w:type="dxa"/>
            <w:tcBorders>
              <w:top w:val="single" w:sz="4" w:space="0" w:color="auto"/>
              <w:bottom w:val="single" w:sz="4" w:space="0" w:color="auto"/>
            </w:tcBorders>
            <w:noWrap/>
            <w:vAlign w:val="bottom"/>
          </w:tcPr>
          <w:p w:rsidR="00000000" w:rsidRDefault="00000000">
            <w:pPr>
              <w:spacing w:before="80" w:after="80"/>
              <w:jc w:val="center"/>
              <w:rPr>
                <w:b/>
                <w:bCs/>
                <w:i/>
                <w:sz w:val="20"/>
                <w:szCs w:val="20"/>
              </w:rPr>
            </w:pPr>
            <w:r>
              <w:rPr>
                <w:b/>
                <w:bCs/>
                <w:i/>
                <w:sz w:val="20"/>
                <w:szCs w:val="20"/>
              </w:rPr>
              <w:t>Percentage</w:t>
            </w:r>
          </w:p>
        </w:tc>
      </w:tr>
      <w:tr w:rsidR="00000000">
        <w:trPr>
          <w:jc w:val="center"/>
        </w:trPr>
        <w:tc>
          <w:tcPr>
            <w:tcW w:w="1890" w:type="dxa"/>
            <w:noWrap/>
            <w:vAlign w:val="bottom"/>
          </w:tcPr>
          <w:p w:rsidR="00000000" w:rsidRDefault="00000000">
            <w:pPr>
              <w:spacing w:before="80" w:after="80"/>
              <w:jc w:val="center"/>
              <w:rPr>
                <w:sz w:val="20"/>
                <w:szCs w:val="20"/>
              </w:rPr>
            </w:pPr>
            <w:r>
              <w:rPr>
                <w:sz w:val="20"/>
                <w:szCs w:val="20"/>
              </w:rPr>
              <w:t>1992</w:t>
            </w:r>
          </w:p>
        </w:tc>
        <w:tc>
          <w:tcPr>
            <w:tcW w:w="2492" w:type="dxa"/>
            <w:noWrap/>
            <w:vAlign w:val="bottom"/>
          </w:tcPr>
          <w:p w:rsidR="00000000" w:rsidRDefault="00000000">
            <w:pPr>
              <w:pStyle w:val="FootnoteText"/>
              <w:spacing w:before="80" w:after="80"/>
              <w:jc w:val="center"/>
            </w:pPr>
            <w:r>
              <w:t>180 047</w:t>
            </w:r>
          </w:p>
        </w:tc>
        <w:tc>
          <w:tcPr>
            <w:tcW w:w="1783" w:type="dxa"/>
            <w:noWrap/>
            <w:vAlign w:val="bottom"/>
          </w:tcPr>
          <w:p w:rsidR="00000000" w:rsidRDefault="00000000">
            <w:pPr>
              <w:spacing w:before="80" w:after="80"/>
              <w:jc w:val="center"/>
              <w:rPr>
                <w:sz w:val="20"/>
                <w:szCs w:val="20"/>
              </w:rPr>
            </w:pPr>
            <w:r>
              <w:rPr>
                <w:sz w:val="20"/>
                <w:szCs w:val="20"/>
              </w:rPr>
              <w:t>20.8</w:t>
            </w:r>
          </w:p>
        </w:tc>
      </w:tr>
      <w:tr w:rsidR="00000000">
        <w:trPr>
          <w:jc w:val="center"/>
        </w:trPr>
        <w:tc>
          <w:tcPr>
            <w:tcW w:w="1890" w:type="dxa"/>
            <w:noWrap/>
            <w:vAlign w:val="bottom"/>
          </w:tcPr>
          <w:p w:rsidR="00000000" w:rsidRDefault="00000000">
            <w:pPr>
              <w:spacing w:before="80" w:after="80"/>
              <w:jc w:val="center"/>
              <w:rPr>
                <w:sz w:val="20"/>
                <w:szCs w:val="20"/>
              </w:rPr>
            </w:pPr>
            <w:r>
              <w:rPr>
                <w:sz w:val="20"/>
                <w:szCs w:val="20"/>
              </w:rPr>
              <w:t>2002</w:t>
            </w:r>
          </w:p>
        </w:tc>
        <w:tc>
          <w:tcPr>
            <w:tcW w:w="2492" w:type="dxa"/>
            <w:noWrap/>
            <w:vAlign w:val="bottom"/>
          </w:tcPr>
          <w:p w:rsidR="00000000" w:rsidRDefault="00000000">
            <w:pPr>
              <w:spacing w:before="80" w:after="80"/>
              <w:jc w:val="center"/>
              <w:rPr>
                <w:sz w:val="20"/>
                <w:szCs w:val="20"/>
              </w:rPr>
            </w:pPr>
            <w:r>
              <w:rPr>
                <w:sz w:val="20"/>
                <w:szCs w:val="20"/>
              </w:rPr>
              <w:t>287 040</w:t>
            </w:r>
          </w:p>
        </w:tc>
        <w:tc>
          <w:tcPr>
            <w:tcW w:w="1783" w:type="dxa"/>
            <w:noWrap/>
            <w:vAlign w:val="bottom"/>
          </w:tcPr>
          <w:p w:rsidR="00000000" w:rsidRDefault="00000000">
            <w:pPr>
              <w:spacing w:before="80" w:after="80"/>
              <w:jc w:val="center"/>
              <w:rPr>
                <w:sz w:val="20"/>
                <w:szCs w:val="20"/>
              </w:rPr>
            </w:pPr>
            <w:r>
              <w:rPr>
                <w:sz w:val="20"/>
                <w:szCs w:val="20"/>
              </w:rPr>
              <w:t>25.9</w:t>
            </w:r>
          </w:p>
        </w:tc>
      </w:tr>
      <w:tr w:rsidR="00000000">
        <w:trPr>
          <w:jc w:val="center"/>
        </w:trPr>
        <w:tc>
          <w:tcPr>
            <w:tcW w:w="1890" w:type="dxa"/>
            <w:tcBorders>
              <w:bottom w:val="single" w:sz="4" w:space="0" w:color="auto"/>
            </w:tcBorders>
            <w:noWrap/>
            <w:vAlign w:val="bottom"/>
          </w:tcPr>
          <w:p w:rsidR="00000000" w:rsidRDefault="00000000">
            <w:pPr>
              <w:spacing w:before="80" w:after="80"/>
              <w:jc w:val="center"/>
              <w:rPr>
                <w:sz w:val="20"/>
                <w:szCs w:val="20"/>
              </w:rPr>
            </w:pPr>
            <w:r>
              <w:rPr>
                <w:sz w:val="20"/>
                <w:szCs w:val="20"/>
              </w:rPr>
              <w:t>2005</w:t>
            </w:r>
          </w:p>
        </w:tc>
        <w:tc>
          <w:tcPr>
            <w:tcW w:w="2492" w:type="dxa"/>
            <w:tcBorders>
              <w:bottom w:val="single" w:sz="4" w:space="0" w:color="auto"/>
            </w:tcBorders>
            <w:noWrap/>
            <w:vAlign w:val="bottom"/>
          </w:tcPr>
          <w:p w:rsidR="00000000" w:rsidRDefault="00000000">
            <w:pPr>
              <w:spacing w:before="80" w:after="80"/>
              <w:jc w:val="center"/>
              <w:rPr>
                <w:sz w:val="20"/>
                <w:szCs w:val="20"/>
              </w:rPr>
            </w:pPr>
            <w:r>
              <w:rPr>
                <w:sz w:val="20"/>
                <w:szCs w:val="20"/>
              </w:rPr>
              <w:t>371 566</w:t>
            </w:r>
          </w:p>
        </w:tc>
        <w:tc>
          <w:tcPr>
            <w:tcW w:w="1783" w:type="dxa"/>
            <w:tcBorders>
              <w:bottom w:val="single" w:sz="4" w:space="0" w:color="auto"/>
            </w:tcBorders>
            <w:noWrap/>
            <w:vAlign w:val="bottom"/>
          </w:tcPr>
          <w:p w:rsidR="00000000" w:rsidRDefault="00000000">
            <w:pPr>
              <w:spacing w:before="80" w:after="80"/>
              <w:jc w:val="center"/>
              <w:rPr>
                <w:sz w:val="20"/>
                <w:szCs w:val="20"/>
              </w:rPr>
            </w:pPr>
            <w:r>
              <w:rPr>
                <w:sz w:val="20"/>
                <w:szCs w:val="20"/>
              </w:rPr>
              <w:t>27.7</w:t>
            </w:r>
          </w:p>
        </w:tc>
      </w:tr>
    </w:tbl>
    <w:p w:rsidR="00000000" w:rsidRDefault="00000000">
      <w:pPr>
        <w:spacing w:after="240"/>
      </w:pP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US" w:eastAsia="en-US"/>
        </w:rPr>
      </w:pPr>
      <w:r>
        <w:rPr>
          <w:rFonts w:ascii="Times New Roman" w:eastAsia="Times New Roman" w:hAnsi="Times New Roman" w:cs="Times New Roman"/>
          <w:lang w:val="en-US" w:eastAsia="en-US"/>
        </w:rPr>
        <w:br w:type="page"/>
        <w:t>E.  Socio-economic indicators</w:t>
      </w:r>
    </w:p>
    <w:p w:rsidR="00000000" w:rsidRDefault="00000000">
      <w:pPr>
        <w:spacing w:after="240"/>
      </w:pPr>
      <w:r>
        <w:t>34.</w:t>
      </w:r>
      <w:r>
        <w:tab/>
        <w:t>In this section the information available is given under the following headings:</w:t>
      </w:r>
    </w:p>
    <w:p w:rsidR="00000000" w:rsidRDefault="00000000">
      <w:pPr>
        <w:spacing w:after="240"/>
      </w:pPr>
      <w:r>
        <w:rPr>
          <w:b/>
        </w:rPr>
        <w:t>1.</w:t>
      </w:r>
      <w:r>
        <w:rPr>
          <w:b/>
        </w:rPr>
        <w:tab/>
        <w:t>National income per head</w:t>
      </w:r>
    </w:p>
    <w:p w:rsidR="00000000" w:rsidRDefault="00000000">
      <w:pPr>
        <w:spacing w:after="240"/>
      </w:pPr>
      <w:r>
        <w:t>35.</w:t>
      </w:r>
      <w:r>
        <w:tab/>
        <w:t>According to data provided by the Central Bank of Paraguay, the national income per head has been as follows:</w:t>
      </w:r>
    </w:p>
    <w:p w:rsidR="00000000" w:rsidRDefault="00000000">
      <w:pPr>
        <w:pStyle w:val="Heading8"/>
        <w:spacing w:after="240"/>
        <w:rPr>
          <w:sz w:val="22"/>
          <w:szCs w:val="24"/>
          <w:lang w:val="en-US"/>
        </w:rPr>
      </w:pPr>
      <w:r>
        <w:rPr>
          <w:sz w:val="22"/>
          <w:szCs w:val="24"/>
          <w:lang w:val="en-US"/>
        </w:rPr>
        <w:t>Evolution of income per head</w:t>
      </w:r>
    </w:p>
    <w:tbl>
      <w:tblPr>
        <w:tblW w:w="3644" w:type="pct"/>
        <w:jc w:val="center"/>
        <w:tblCellMar>
          <w:left w:w="0" w:type="dxa"/>
          <w:right w:w="0" w:type="dxa"/>
        </w:tblCellMar>
        <w:tblLook w:val="0000" w:firstRow="0" w:lastRow="0" w:firstColumn="0" w:lastColumn="0" w:noHBand="0" w:noVBand="0"/>
      </w:tblPr>
      <w:tblGrid>
        <w:gridCol w:w="1174"/>
        <w:gridCol w:w="1254"/>
        <w:gridCol w:w="1276"/>
        <w:gridCol w:w="1056"/>
        <w:gridCol w:w="1056"/>
        <w:gridCol w:w="1056"/>
      </w:tblGrid>
      <w:tr w:rsidR="00000000">
        <w:tblPrEx>
          <w:tblCellMar>
            <w:top w:w="0" w:type="dxa"/>
            <w:bottom w:w="0" w:type="dxa"/>
          </w:tblCellMar>
        </w:tblPrEx>
        <w:trPr>
          <w:cantSplit/>
          <w:jc w:val="center"/>
        </w:trPr>
        <w:tc>
          <w:tcPr>
            <w:tcW w:w="6872" w:type="dxa"/>
            <w:gridSpan w:val="6"/>
            <w:tcBorders>
              <w:top w:val="single" w:sz="4" w:space="0" w:color="auto"/>
              <w:bottom w:val="single" w:sz="4" w:space="0" w:color="auto"/>
            </w:tcBorders>
          </w:tcPr>
          <w:p w:rsidR="00000000" w:rsidRDefault="00000000">
            <w:pPr>
              <w:autoSpaceDE w:val="0"/>
              <w:autoSpaceDN w:val="0"/>
              <w:adjustRightInd w:val="0"/>
              <w:spacing w:before="80" w:after="80"/>
              <w:jc w:val="center"/>
              <w:rPr>
                <w:b/>
                <w:bCs/>
                <w:i/>
                <w:sz w:val="20"/>
                <w:szCs w:val="20"/>
                <w:lang w:val="en-US"/>
              </w:rPr>
            </w:pPr>
            <w:r>
              <w:rPr>
                <w:b/>
                <w:bCs/>
                <w:i/>
                <w:sz w:val="20"/>
                <w:szCs w:val="20"/>
                <w:lang w:val="en-US"/>
              </w:rPr>
              <w:t>Gross Domestic Product per Head</w:t>
            </w:r>
          </w:p>
        </w:tc>
      </w:tr>
      <w:tr w:rsidR="00000000">
        <w:tblPrEx>
          <w:tblCellMar>
            <w:top w:w="0" w:type="dxa"/>
            <w:bottom w:w="0" w:type="dxa"/>
          </w:tblCellMar>
        </w:tblPrEx>
        <w:trPr>
          <w:jc w:val="center"/>
        </w:trPr>
        <w:tc>
          <w:tcPr>
            <w:tcW w:w="1174" w:type="dxa"/>
            <w:tcBorders>
              <w:bottom w:val="single" w:sz="4" w:space="0" w:color="auto"/>
            </w:tcBorders>
            <w:vAlign w:val="center"/>
          </w:tcPr>
          <w:p w:rsidR="00000000" w:rsidRDefault="00000000">
            <w:pPr>
              <w:pStyle w:val="Heading4"/>
              <w:keepNext w:val="0"/>
              <w:autoSpaceDE w:val="0"/>
              <w:autoSpaceDN w:val="0"/>
              <w:adjustRightInd w:val="0"/>
              <w:rPr>
                <w:iCs w:val="0"/>
              </w:rPr>
            </w:pPr>
            <w:r>
              <w:rPr>
                <w:iCs w:val="0"/>
              </w:rPr>
              <w:t>Year</w:t>
            </w:r>
          </w:p>
        </w:tc>
        <w:tc>
          <w:tcPr>
            <w:tcW w:w="1254" w:type="dxa"/>
            <w:tcBorders>
              <w:bottom w:val="single" w:sz="4" w:space="0" w:color="auto"/>
            </w:tcBorders>
            <w:vAlign w:val="center"/>
          </w:tcPr>
          <w:p w:rsidR="00000000" w:rsidRDefault="00000000">
            <w:pPr>
              <w:autoSpaceDE w:val="0"/>
              <w:autoSpaceDN w:val="0"/>
              <w:adjustRightInd w:val="0"/>
              <w:spacing w:before="80" w:after="80"/>
              <w:jc w:val="center"/>
              <w:rPr>
                <w:b/>
                <w:bCs/>
                <w:i/>
                <w:sz w:val="20"/>
                <w:szCs w:val="20"/>
              </w:rPr>
            </w:pPr>
            <w:r>
              <w:rPr>
                <w:b/>
                <w:bCs/>
                <w:i/>
                <w:sz w:val="20"/>
                <w:szCs w:val="20"/>
              </w:rPr>
              <w:t>Current US dollars</w:t>
            </w:r>
          </w:p>
        </w:tc>
        <w:tc>
          <w:tcPr>
            <w:tcW w:w="1276" w:type="dxa"/>
            <w:tcBorders>
              <w:bottom w:val="single" w:sz="4" w:space="0" w:color="auto"/>
              <w:right w:val="single" w:sz="4" w:space="0" w:color="auto"/>
            </w:tcBorders>
            <w:vAlign w:val="center"/>
          </w:tcPr>
          <w:p w:rsidR="00000000" w:rsidRDefault="00000000">
            <w:pPr>
              <w:autoSpaceDE w:val="0"/>
              <w:autoSpaceDN w:val="0"/>
              <w:adjustRightInd w:val="0"/>
              <w:spacing w:before="80" w:after="80"/>
              <w:jc w:val="center"/>
              <w:rPr>
                <w:b/>
                <w:bCs/>
                <w:i/>
                <w:sz w:val="20"/>
                <w:szCs w:val="20"/>
              </w:rPr>
            </w:pPr>
            <w:r>
              <w:rPr>
                <w:b/>
                <w:bCs/>
                <w:i/>
                <w:sz w:val="20"/>
                <w:szCs w:val="20"/>
              </w:rPr>
              <w:t>Constant US dollars*</w:t>
            </w:r>
          </w:p>
        </w:tc>
        <w:tc>
          <w:tcPr>
            <w:tcW w:w="1056" w:type="dxa"/>
            <w:tcBorders>
              <w:left w:val="single" w:sz="4" w:space="0" w:color="auto"/>
              <w:bottom w:val="single" w:sz="4" w:space="0" w:color="auto"/>
            </w:tcBorders>
            <w:vAlign w:val="center"/>
          </w:tcPr>
          <w:p w:rsidR="00000000" w:rsidRDefault="00000000">
            <w:pPr>
              <w:pStyle w:val="Heading4"/>
              <w:keepNext w:val="0"/>
              <w:autoSpaceDE w:val="0"/>
              <w:autoSpaceDN w:val="0"/>
              <w:adjustRightInd w:val="0"/>
              <w:rPr>
                <w:iCs w:val="0"/>
              </w:rPr>
            </w:pPr>
            <w:r>
              <w:rPr>
                <w:iCs w:val="0"/>
              </w:rPr>
              <w:t>Year</w:t>
            </w:r>
          </w:p>
        </w:tc>
        <w:tc>
          <w:tcPr>
            <w:tcW w:w="1056" w:type="dxa"/>
            <w:tcBorders>
              <w:bottom w:val="single" w:sz="4" w:space="0" w:color="auto"/>
            </w:tcBorders>
            <w:vAlign w:val="center"/>
          </w:tcPr>
          <w:p w:rsidR="00000000" w:rsidRDefault="00000000">
            <w:pPr>
              <w:autoSpaceDE w:val="0"/>
              <w:autoSpaceDN w:val="0"/>
              <w:adjustRightInd w:val="0"/>
              <w:spacing w:before="80" w:after="80"/>
              <w:jc w:val="center"/>
              <w:rPr>
                <w:b/>
                <w:bCs/>
                <w:i/>
                <w:sz w:val="20"/>
                <w:szCs w:val="20"/>
              </w:rPr>
            </w:pPr>
            <w:r>
              <w:rPr>
                <w:b/>
                <w:bCs/>
                <w:i/>
                <w:sz w:val="20"/>
                <w:szCs w:val="20"/>
              </w:rPr>
              <w:t>Current US dollars</w:t>
            </w:r>
          </w:p>
        </w:tc>
        <w:tc>
          <w:tcPr>
            <w:tcW w:w="1056" w:type="dxa"/>
            <w:tcBorders>
              <w:bottom w:val="single" w:sz="4" w:space="0" w:color="auto"/>
            </w:tcBorders>
            <w:vAlign w:val="center"/>
          </w:tcPr>
          <w:p w:rsidR="00000000" w:rsidRDefault="00000000">
            <w:pPr>
              <w:autoSpaceDE w:val="0"/>
              <w:autoSpaceDN w:val="0"/>
              <w:adjustRightInd w:val="0"/>
              <w:spacing w:before="80" w:after="80"/>
              <w:jc w:val="center"/>
              <w:rPr>
                <w:b/>
                <w:bCs/>
                <w:i/>
                <w:sz w:val="20"/>
                <w:szCs w:val="20"/>
              </w:rPr>
            </w:pPr>
            <w:r>
              <w:rPr>
                <w:b/>
                <w:bCs/>
                <w:i/>
                <w:sz w:val="20"/>
                <w:szCs w:val="20"/>
              </w:rPr>
              <w:t>Constant US dollars*</w:t>
            </w:r>
          </w:p>
        </w:tc>
      </w:tr>
      <w:tr w:rsidR="00000000">
        <w:tblPrEx>
          <w:tblCellMar>
            <w:top w:w="0" w:type="dxa"/>
            <w:bottom w:w="0" w:type="dxa"/>
          </w:tblCellMar>
        </w:tblPrEx>
        <w:trPr>
          <w:jc w:val="center"/>
        </w:trPr>
        <w:tc>
          <w:tcPr>
            <w:tcW w:w="1174" w:type="dxa"/>
            <w:tcBorders>
              <w:top w:val="single" w:sz="4" w:space="0" w:color="auto"/>
            </w:tcBorders>
          </w:tcPr>
          <w:p w:rsidR="00000000" w:rsidRDefault="00000000">
            <w:pPr>
              <w:autoSpaceDE w:val="0"/>
              <w:autoSpaceDN w:val="0"/>
              <w:adjustRightInd w:val="0"/>
              <w:spacing w:before="80" w:after="80"/>
              <w:jc w:val="center"/>
              <w:rPr>
                <w:sz w:val="20"/>
                <w:szCs w:val="20"/>
              </w:rPr>
            </w:pPr>
            <w:r>
              <w:rPr>
                <w:sz w:val="20"/>
                <w:szCs w:val="20"/>
              </w:rPr>
              <w:t>1994</w:t>
            </w:r>
          </w:p>
        </w:tc>
        <w:tc>
          <w:tcPr>
            <w:tcW w:w="1254" w:type="dxa"/>
            <w:tcBorders>
              <w:top w:val="single" w:sz="4" w:space="0" w:color="auto"/>
            </w:tcBorders>
          </w:tcPr>
          <w:p w:rsidR="00000000" w:rsidRDefault="00000000">
            <w:pPr>
              <w:autoSpaceDE w:val="0"/>
              <w:autoSpaceDN w:val="0"/>
              <w:adjustRightInd w:val="0"/>
              <w:spacing w:before="80" w:after="80"/>
              <w:jc w:val="center"/>
              <w:rPr>
                <w:sz w:val="20"/>
                <w:szCs w:val="20"/>
              </w:rPr>
            </w:pPr>
            <w:r>
              <w:rPr>
                <w:sz w:val="20"/>
                <w:szCs w:val="20"/>
              </w:rPr>
              <w:t>1 481</w:t>
            </w:r>
          </w:p>
        </w:tc>
        <w:tc>
          <w:tcPr>
            <w:tcW w:w="1276" w:type="dxa"/>
            <w:tcBorders>
              <w:top w:val="single" w:sz="4" w:space="0" w:color="auto"/>
              <w:right w:val="single" w:sz="4" w:space="0" w:color="auto"/>
            </w:tcBorders>
          </w:tcPr>
          <w:p w:rsidR="00000000" w:rsidRDefault="00000000">
            <w:pPr>
              <w:autoSpaceDE w:val="0"/>
              <w:autoSpaceDN w:val="0"/>
              <w:adjustRightInd w:val="0"/>
              <w:spacing w:before="80" w:after="80"/>
              <w:jc w:val="center"/>
              <w:rPr>
                <w:sz w:val="20"/>
                <w:szCs w:val="20"/>
              </w:rPr>
            </w:pPr>
            <w:r>
              <w:rPr>
                <w:sz w:val="20"/>
                <w:szCs w:val="20"/>
              </w:rPr>
              <w:t>1 481</w:t>
            </w:r>
          </w:p>
        </w:tc>
        <w:tc>
          <w:tcPr>
            <w:tcW w:w="1056" w:type="dxa"/>
            <w:tcBorders>
              <w:top w:val="single" w:sz="4" w:space="0" w:color="auto"/>
              <w:left w:val="single" w:sz="4" w:space="0" w:color="auto"/>
            </w:tcBorders>
          </w:tcPr>
          <w:p w:rsidR="00000000" w:rsidRDefault="00000000">
            <w:pPr>
              <w:autoSpaceDE w:val="0"/>
              <w:autoSpaceDN w:val="0"/>
              <w:adjustRightInd w:val="0"/>
              <w:spacing w:before="80" w:after="80"/>
              <w:jc w:val="center"/>
              <w:rPr>
                <w:sz w:val="20"/>
                <w:szCs w:val="20"/>
              </w:rPr>
            </w:pPr>
            <w:r>
              <w:rPr>
                <w:sz w:val="20"/>
                <w:szCs w:val="20"/>
              </w:rPr>
              <w:t>2000</w:t>
            </w:r>
          </w:p>
        </w:tc>
        <w:tc>
          <w:tcPr>
            <w:tcW w:w="1056" w:type="dxa"/>
            <w:tcBorders>
              <w:top w:val="single" w:sz="4" w:space="0" w:color="auto"/>
            </w:tcBorders>
          </w:tcPr>
          <w:p w:rsidR="00000000" w:rsidRDefault="00000000">
            <w:pPr>
              <w:autoSpaceDE w:val="0"/>
              <w:autoSpaceDN w:val="0"/>
              <w:adjustRightInd w:val="0"/>
              <w:spacing w:before="80" w:after="80"/>
              <w:jc w:val="center"/>
              <w:rPr>
                <w:sz w:val="20"/>
                <w:szCs w:val="20"/>
              </w:rPr>
            </w:pPr>
            <w:r>
              <w:rPr>
                <w:sz w:val="20"/>
                <w:szCs w:val="20"/>
              </w:rPr>
              <w:t>1 328</w:t>
            </w:r>
          </w:p>
        </w:tc>
        <w:tc>
          <w:tcPr>
            <w:tcW w:w="1056" w:type="dxa"/>
            <w:tcBorders>
              <w:top w:val="single" w:sz="4" w:space="0" w:color="auto"/>
            </w:tcBorders>
          </w:tcPr>
          <w:p w:rsidR="00000000" w:rsidRDefault="00000000">
            <w:pPr>
              <w:autoSpaceDE w:val="0"/>
              <w:autoSpaceDN w:val="0"/>
              <w:adjustRightInd w:val="0"/>
              <w:spacing w:before="80" w:after="80"/>
              <w:jc w:val="center"/>
              <w:rPr>
                <w:sz w:val="20"/>
                <w:szCs w:val="20"/>
              </w:rPr>
            </w:pPr>
            <w:r>
              <w:rPr>
                <w:sz w:val="20"/>
                <w:szCs w:val="20"/>
              </w:rPr>
              <w:t>1 356</w:t>
            </w:r>
          </w:p>
        </w:tc>
      </w:tr>
      <w:tr w:rsidR="00000000">
        <w:tblPrEx>
          <w:tblCellMar>
            <w:top w:w="0" w:type="dxa"/>
            <w:bottom w:w="0" w:type="dxa"/>
          </w:tblCellMar>
        </w:tblPrEx>
        <w:trPr>
          <w:jc w:val="center"/>
        </w:trPr>
        <w:tc>
          <w:tcPr>
            <w:tcW w:w="1174" w:type="dxa"/>
          </w:tcPr>
          <w:p w:rsidR="00000000" w:rsidRDefault="00000000">
            <w:pPr>
              <w:autoSpaceDE w:val="0"/>
              <w:autoSpaceDN w:val="0"/>
              <w:adjustRightInd w:val="0"/>
              <w:spacing w:before="80" w:after="80"/>
              <w:jc w:val="center"/>
              <w:rPr>
                <w:sz w:val="20"/>
                <w:szCs w:val="20"/>
              </w:rPr>
            </w:pPr>
            <w:r>
              <w:rPr>
                <w:sz w:val="20"/>
                <w:szCs w:val="20"/>
              </w:rPr>
              <w:t>1995</w:t>
            </w:r>
          </w:p>
        </w:tc>
        <w:tc>
          <w:tcPr>
            <w:tcW w:w="1254" w:type="dxa"/>
          </w:tcPr>
          <w:p w:rsidR="00000000" w:rsidRDefault="00000000">
            <w:pPr>
              <w:autoSpaceDE w:val="0"/>
              <w:autoSpaceDN w:val="0"/>
              <w:adjustRightInd w:val="0"/>
              <w:spacing w:before="80" w:after="80"/>
              <w:jc w:val="center"/>
              <w:rPr>
                <w:sz w:val="20"/>
                <w:szCs w:val="20"/>
              </w:rPr>
            </w:pPr>
            <w:r>
              <w:rPr>
                <w:sz w:val="20"/>
                <w:szCs w:val="20"/>
              </w:rPr>
              <w:t>1 672</w:t>
            </w:r>
          </w:p>
        </w:tc>
        <w:tc>
          <w:tcPr>
            <w:tcW w:w="1276" w:type="dxa"/>
            <w:tcBorders>
              <w:right w:val="single" w:sz="4" w:space="0" w:color="auto"/>
            </w:tcBorders>
          </w:tcPr>
          <w:p w:rsidR="00000000" w:rsidRDefault="00000000">
            <w:pPr>
              <w:autoSpaceDE w:val="0"/>
              <w:autoSpaceDN w:val="0"/>
              <w:adjustRightInd w:val="0"/>
              <w:spacing w:before="80" w:after="80"/>
              <w:jc w:val="center"/>
              <w:rPr>
                <w:sz w:val="20"/>
                <w:szCs w:val="20"/>
              </w:rPr>
            </w:pPr>
            <w:r>
              <w:rPr>
                <w:sz w:val="20"/>
                <w:szCs w:val="20"/>
              </w:rPr>
              <w:t>1 526</w:t>
            </w:r>
          </w:p>
        </w:tc>
        <w:tc>
          <w:tcPr>
            <w:tcW w:w="1056" w:type="dxa"/>
            <w:tcBorders>
              <w:left w:val="single" w:sz="4" w:space="0" w:color="auto"/>
            </w:tcBorders>
          </w:tcPr>
          <w:p w:rsidR="00000000" w:rsidRDefault="00000000">
            <w:pPr>
              <w:autoSpaceDE w:val="0"/>
              <w:autoSpaceDN w:val="0"/>
              <w:adjustRightInd w:val="0"/>
              <w:spacing w:before="80" w:after="80"/>
              <w:jc w:val="center"/>
              <w:rPr>
                <w:sz w:val="20"/>
                <w:szCs w:val="20"/>
              </w:rPr>
            </w:pPr>
            <w:r>
              <w:rPr>
                <w:sz w:val="20"/>
                <w:szCs w:val="20"/>
              </w:rPr>
              <w:t>2001</w:t>
            </w:r>
          </w:p>
        </w:tc>
        <w:tc>
          <w:tcPr>
            <w:tcW w:w="1056" w:type="dxa"/>
          </w:tcPr>
          <w:p w:rsidR="00000000" w:rsidRDefault="00000000">
            <w:pPr>
              <w:autoSpaceDE w:val="0"/>
              <w:autoSpaceDN w:val="0"/>
              <w:adjustRightInd w:val="0"/>
              <w:spacing w:before="80" w:after="80"/>
              <w:jc w:val="center"/>
              <w:rPr>
                <w:sz w:val="20"/>
                <w:szCs w:val="20"/>
              </w:rPr>
            </w:pPr>
            <w:r>
              <w:rPr>
                <w:sz w:val="20"/>
                <w:szCs w:val="20"/>
              </w:rPr>
              <w:t>1 182</w:t>
            </w:r>
          </w:p>
        </w:tc>
        <w:tc>
          <w:tcPr>
            <w:tcW w:w="1056" w:type="dxa"/>
          </w:tcPr>
          <w:p w:rsidR="00000000" w:rsidRDefault="00000000">
            <w:pPr>
              <w:autoSpaceDE w:val="0"/>
              <w:autoSpaceDN w:val="0"/>
              <w:adjustRightInd w:val="0"/>
              <w:spacing w:before="80" w:after="80"/>
              <w:jc w:val="center"/>
              <w:rPr>
                <w:sz w:val="20"/>
                <w:szCs w:val="20"/>
              </w:rPr>
            </w:pPr>
            <w:r>
              <w:rPr>
                <w:sz w:val="20"/>
                <w:szCs w:val="20"/>
              </w:rPr>
              <w:t>1 356</w:t>
            </w:r>
          </w:p>
        </w:tc>
      </w:tr>
      <w:tr w:rsidR="00000000">
        <w:tblPrEx>
          <w:tblCellMar>
            <w:top w:w="0" w:type="dxa"/>
            <w:bottom w:w="0" w:type="dxa"/>
          </w:tblCellMar>
        </w:tblPrEx>
        <w:trPr>
          <w:jc w:val="center"/>
        </w:trPr>
        <w:tc>
          <w:tcPr>
            <w:tcW w:w="1174" w:type="dxa"/>
          </w:tcPr>
          <w:p w:rsidR="00000000" w:rsidRDefault="00000000">
            <w:pPr>
              <w:autoSpaceDE w:val="0"/>
              <w:autoSpaceDN w:val="0"/>
              <w:adjustRightInd w:val="0"/>
              <w:spacing w:before="80" w:after="80"/>
              <w:jc w:val="center"/>
              <w:rPr>
                <w:sz w:val="20"/>
                <w:szCs w:val="20"/>
              </w:rPr>
            </w:pPr>
            <w:r>
              <w:rPr>
                <w:sz w:val="20"/>
                <w:szCs w:val="20"/>
              </w:rPr>
              <w:t>1996</w:t>
            </w:r>
          </w:p>
        </w:tc>
        <w:tc>
          <w:tcPr>
            <w:tcW w:w="1254" w:type="dxa"/>
          </w:tcPr>
          <w:p w:rsidR="00000000" w:rsidRDefault="00000000">
            <w:pPr>
              <w:autoSpaceDE w:val="0"/>
              <w:autoSpaceDN w:val="0"/>
              <w:adjustRightInd w:val="0"/>
              <w:spacing w:before="80" w:after="80"/>
              <w:jc w:val="center"/>
              <w:rPr>
                <w:sz w:val="20"/>
                <w:szCs w:val="20"/>
              </w:rPr>
            </w:pPr>
            <w:r>
              <w:rPr>
                <w:sz w:val="20"/>
                <w:szCs w:val="20"/>
              </w:rPr>
              <w:t>1 785</w:t>
            </w:r>
          </w:p>
        </w:tc>
        <w:tc>
          <w:tcPr>
            <w:tcW w:w="1276" w:type="dxa"/>
            <w:tcBorders>
              <w:right w:val="single" w:sz="4" w:space="0" w:color="auto"/>
            </w:tcBorders>
          </w:tcPr>
          <w:p w:rsidR="00000000" w:rsidRDefault="00000000">
            <w:pPr>
              <w:autoSpaceDE w:val="0"/>
              <w:autoSpaceDN w:val="0"/>
              <w:adjustRightInd w:val="0"/>
              <w:spacing w:before="80" w:after="80"/>
              <w:jc w:val="center"/>
              <w:rPr>
                <w:sz w:val="20"/>
                <w:szCs w:val="20"/>
              </w:rPr>
            </w:pPr>
            <w:r>
              <w:rPr>
                <w:sz w:val="20"/>
                <w:szCs w:val="20"/>
              </w:rPr>
              <w:t>1 498</w:t>
            </w:r>
          </w:p>
        </w:tc>
        <w:tc>
          <w:tcPr>
            <w:tcW w:w="1056" w:type="dxa"/>
            <w:tcBorders>
              <w:left w:val="single" w:sz="4" w:space="0" w:color="auto"/>
            </w:tcBorders>
          </w:tcPr>
          <w:p w:rsidR="00000000" w:rsidRDefault="00000000">
            <w:pPr>
              <w:autoSpaceDE w:val="0"/>
              <w:autoSpaceDN w:val="0"/>
              <w:adjustRightInd w:val="0"/>
              <w:spacing w:before="80" w:after="80"/>
              <w:jc w:val="center"/>
              <w:rPr>
                <w:sz w:val="20"/>
                <w:szCs w:val="20"/>
              </w:rPr>
            </w:pPr>
            <w:r>
              <w:rPr>
                <w:sz w:val="20"/>
                <w:szCs w:val="20"/>
              </w:rPr>
              <w:t>2002</w:t>
            </w:r>
          </w:p>
        </w:tc>
        <w:tc>
          <w:tcPr>
            <w:tcW w:w="1056" w:type="dxa"/>
          </w:tcPr>
          <w:p w:rsidR="00000000" w:rsidRDefault="00000000">
            <w:pPr>
              <w:autoSpaceDE w:val="0"/>
              <w:autoSpaceDN w:val="0"/>
              <w:adjustRightInd w:val="0"/>
              <w:spacing w:before="80" w:after="80"/>
              <w:jc w:val="center"/>
              <w:rPr>
                <w:sz w:val="20"/>
                <w:szCs w:val="20"/>
              </w:rPr>
            </w:pPr>
            <w:r>
              <w:rPr>
                <w:sz w:val="20"/>
                <w:szCs w:val="20"/>
              </w:rPr>
              <w:t>915</w:t>
            </w:r>
          </w:p>
        </w:tc>
        <w:tc>
          <w:tcPr>
            <w:tcW w:w="1056" w:type="dxa"/>
          </w:tcPr>
          <w:p w:rsidR="00000000" w:rsidRDefault="00000000">
            <w:pPr>
              <w:autoSpaceDE w:val="0"/>
              <w:autoSpaceDN w:val="0"/>
              <w:adjustRightInd w:val="0"/>
              <w:spacing w:before="80" w:after="80"/>
              <w:jc w:val="center"/>
              <w:rPr>
                <w:sz w:val="20"/>
                <w:szCs w:val="20"/>
              </w:rPr>
            </w:pPr>
            <w:r>
              <w:rPr>
                <w:sz w:val="20"/>
                <w:szCs w:val="20"/>
              </w:rPr>
              <w:t>1 329</w:t>
            </w:r>
          </w:p>
        </w:tc>
      </w:tr>
      <w:tr w:rsidR="00000000">
        <w:tblPrEx>
          <w:tblCellMar>
            <w:top w:w="0" w:type="dxa"/>
            <w:bottom w:w="0" w:type="dxa"/>
          </w:tblCellMar>
        </w:tblPrEx>
        <w:trPr>
          <w:jc w:val="center"/>
        </w:trPr>
        <w:tc>
          <w:tcPr>
            <w:tcW w:w="1174" w:type="dxa"/>
          </w:tcPr>
          <w:p w:rsidR="00000000" w:rsidRDefault="00000000">
            <w:pPr>
              <w:autoSpaceDE w:val="0"/>
              <w:autoSpaceDN w:val="0"/>
              <w:adjustRightInd w:val="0"/>
              <w:spacing w:before="80" w:after="80"/>
              <w:jc w:val="center"/>
              <w:rPr>
                <w:sz w:val="20"/>
                <w:szCs w:val="20"/>
              </w:rPr>
            </w:pPr>
            <w:r>
              <w:rPr>
                <w:sz w:val="20"/>
                <w:szCs w:val="20"/>
              </w:rPr>
              <w:t>1997</w:t>
            </w:r>
          </w:p>
        </w:tc>
        <w:tc>
          <w:tcPr>
            <w:tcW w:w="1254" w:type="dxa"/>
          </w:tcPr>
          <w:p w:rsidR="00000000" w:rsidRDefault="00000000">
            <w:pPr>
              <w:autoSpaceDE w:val="0"/>
              <w:autoSpaceDN w:val="0"/>
              <w:adjustRightInd w:val="0"/>
              <w:spacing w:before="80" w:after="80"/>
              <w:jc w:val="center"/>
              <w:rPr>
                <w:sz w:val="20"/>
                <w:szCs w:val="20"/>
              </w:rPr>
            </w:pPr>
            <w:r>
              <w:rPr>
                <w:sz w:val="20"/>
                <w:szCs w:val="20"/>
              </w:rPr>
              <w:t>1 767</w:t>
            </w:r>
          </w:p>
        </w:tc>
        <w:tc>
          <w:tcPr>
            <w:tcW w:w="1276" w:type="dxa"/>
            <w:tcBorders>
              <w:right w:val="single" w:sz="4" w:space="0" w:color="auto"/>
            </w:tcBorders>
          </w:tcPr>
          <w:p w:rsidR="00000000" w:rsidRDefault="00000000">
            <w:pPr>
              <w:autoSpaceDE w:val="0"/>
              <w:autoSpaceDN w:val="0"/>
              <w:adjustRightInd w:val="0"/>
              <w:spacing w:before="80" w:after="80"/>
              <w:jc w:val="center"/>
              <w:rPr>
                <w:sz w:val="20"/>
                <w:szCs w:val="20"/>
              </w:rPr>
            </w:pPr>
            <w:r>
              <w:rPr>
                <w:sz w:val="20"/>
                <w:szCs w:val="20"/>
              </w:rPr>
              <w:t>1 509</w:t>
            </w:r>
          </w:p>
        </w:tc>
        <w:tc>
          <w:tcPr>
            <w:tcW w:w="1056" w:type="dxa"/>
            <w:tcBorders>
              <w:left w:val="single" w:sz="4" w:space="0" w:color="auto"/>
            </w:tcBorders>
          </w:tcPr>
          <w:p w:rsidR="00000000" w:rsidRDefault="00000000">
            <w:pPr>
              <w:autoSpaceDE w:val="0"/>
              <w:autoSpaceDN w:val="0"/>
              <w:adjustRightInd w:val="0"/>
              <w:spacing w:before="80" w:after="80"/>
              <w:jc w:val="center"/>
              <w:rPr>
                <w:sz w:val="20"/>
                <w:szCs w:val="20"/>
              </w:rPr>
            </w:pPr>
            <w:r>
              <w:rPr>
                <w:sz w:val="20"/>
                <w:szCs w:val="20"/>
              </w:rPr>
              <w:t>2003</w:t>
            </w:r>
          </w:p>
        </w:tc>
        <w:tc>
          <w:tcPr>
            <w:tcW w:w="1056" w:type="dxa"/>
          </w:tcPr>
          <w:p w:rsidR="00000000" w:rsidRDefault="00000000">
            <w:pPr>
              <w:autoSpaceDE w:val="0"/>
              <w:autoSpaceDN w:val="0"/>
              <w:adjustRightInd w:val="0"/>
              <w:spacing w:before="80" w:after="80"/>
              <w:jc w:val="center"/>
              <w:rPr>
                <w:sz w:val="20"/>
                <w:szCs w:val="20"/>
              </w:rPr>
            </w:pPr>
            <w:r>
              <w:rPr>
                <w:sz w:val="20"/>
                <w:szCs w:val="20"/>
              </w:rPr>
              <w:t>978</w:t>
            </w:r>
          </w:p>
        </w:tc>
        <w:tc>
          <w:tcPr>
            <w:tcW w:w="1056" w:type="dxa"/>
          </w:tcPr>
          <w:p w:rsidR="00000000" w:rsidRDefault="00000000">
            <w:pPr>
              <w:autoSpaceDE w:val="0"/>
              <w:autoSpaceDN w:val="0"/>
              <w:adjustRightInd w:val="0"/>
              <w:spacing w:before="80" w:after="80"/>
              <w:jc w:val="center"/>
              <w:rPr>
                <w:sz w:val="20"/>
                <w:szCs w:val="20"/>
              </w:rPr>
            </w:pPr>
            <w:r>
              <w:rPr>
                <w:sz w:val="20"/>
                <w:szCs w:val="20"/>
              </w:rPr>
              <w:t>1 353</w:t>
            </w:r>
          </w:p>
        </w:tc>
      </w:tr>
      <w:tr w:rsidR="00000000">
        <w:tblPrEx>
          <w:tblCellMar>
            <w:top w:w="0" w:type="dxa"/>
            <w:bottom w:w="0" w:type="dxa"/>
          </w:tblCellMar>
        </w:tblPrEx>
        <w:trPr>
          <w:jc w:val="center"/>
        </w:trPr>
        <w:tc>
          <w:tcPr>
            <w:tcW w:w="1174" w:type="dxa"/>
          </w:tcPr>
          <w:p w:rsidR="00000000" w:rsidRDefault="00000000">
            <w:pPr>
              <w:autoSpaceDE w:val="0"/>
              <w:autoSpaceDN w:val="0"/>
              <w:adjustRightInd w:val="0"/>
              <w:spacing w:before="80" w:after="80"/>
              <w:jc w:val="center"/>
              <w:rPr>
                <w:sz w:val="20"/>
                <w:szCs w:val="20"/>
              </w:rPr>
            </w:pPr>
            <w:r>
              <w:rPr>
                <w:sz w:val="20"/>
                <w:szCs w:val="20"/>
              </w:rPr>
              <w:t>1998</w:t>
            </w:r>
          </w:p>
        </w:tc>
        <w:tc>
          <w:tcPr>
            <w:tcW w:w="1254" w:type="dxa"/>
          </w:tcPr>
          <w:p w:rsidR="00000000" w:rsidRDefault="00000000">
            <w:pPr>
              <w:autoSpaceDE w:val="0"/>
              <w:autoSpaceDN w:val="0"/>
              <w:adjustRightInd w:val="0"/>
              <w:spacing w:before="80" w:after="80"/>
              <w:jc w:val="center"/>
              <w:rPr>
                <w:sz w:val="20"/>
                <w:szCs w:val="20"/>
              </w:rPr>
            </w:pPr>
            <w:r>
              <w:rPr>
                <w:sz w:val="20"/>
                <w:szCs w:val="20"/>
              </w:rPr>
              <w:t>1 543</w:t>
            </w:r>
          </w:p>
        </w:tc>
        <w:tc>
          <w:tcPr>
            <w:tcW w:w="1276" w:type="dxa"/>
            <w:tcBorders>
              <w:right w:val="single" w:sz="4" w:space="0" w:color="auto"/>
            </w:tcBorders>
          </w:tcPr>
          <w:p w:rsidR="00000000" w:rsidRDefault="00000000">
            <w:pPr>
              <w:autoSpaceDE w:val="0"/>
              <w:autoSpaceDN w:val="0"/>
              <w:adjustRightInd w:val="0"/>
              <w:spacing w:before="80" w:after="80"/>
              <w:jc w:val="center"/>
              <w:rPr>
                <w:sz w:val="20"/>
                <w:szCs w:val="20"/>
              </w:rPr>
            </w:pPr>
            <w:r>
              <w:rPr>
                <w:sz w:val="20"/>
                <w:szCs w:val="20"/>
              </w:rPr>
              <w:t>1 485</w:t>
            </w:r>
          </w:p>
        </w:tc>
        <w:tc>
          <w:tcPr>
            <w:tcW w:w="1056" w:type="dxa"/>
            <w:tcBorders>
              <w:left w:val="single" w:sz="4" w:space="0" w:color="auto"/>
            </w:tcBorders>
          </w:tcPr>
          <w:p w:rsidR="00000000" w:rsidRDefault="00000000">
            <w:pPr>
              <w:autoSpaceDE w:val="0"/>
              <w:autoSpaceDN w:val="0"/>
              <w:adjustRightInd w:val="0"/>
              <w:spacing w:before="80" w:after="80"/>
              <w:jc w:val="center"/>
              <w:rPr>
                <w:sz w:val="20"/>
                <w:szCs w:val="20"/>
              </w:rPr>
            </w:pPr>
            <w:r>
              <w:rPr>
                <w:sz w:val="20"/>
                <w:szCs w:val="20"/>
              </w:rPr>
              <w:t>2004</w:t>
            </w:r>
          </w:p>
        </w:tc>
        <w:tc>
          <w:tcPr>
            <w:tcW w:w="1056" w:type="dxa"/>
          </w:tcPr>
          <w:p w:rsidR="00000000" w:rsidRDefault="00000000">
            <w:pPr>
              <w:autoSpaceDE w:val="0"/>
              <w:autoSpaceDN w:val="0"/>
              <w:adjustRightInd w:val="0"/>
              <w:spacing w:before="80" w:after="80"/>
              <w:jc w:val="center"/>
              <w:rPr>
                <w:sz w:val="20"/>
                <w:szCs w:val="20"/>
              </w:rPr>
            </w:pPr>
            <w:r>
              <w:rPr>
                <w:sz w:val="20"/>
                <w:szCs w:val="20"/>
              </w:rPr>
              <w:t>1 205</w:t>
            </w:r>
          </w:p>
        </w:tc>
        <w:tc>
          <w:tcPr>
            <w:tcW w:w="1056" w:type="dxa"/>
          </w:tcPr>
          <w:p w:rsidR="00000000" w:rsidRDefault="00000000">
            <w:pPr>
              <w:autoSpaceDE w:val="0"/>
              <w:autoSpaceDN w:val="0"/>
              <w:adjustRightInd w:val="0"/>
              <w:spacing w:before="80" w:after="80"/>
              <w:jc w:val="center"/>
              <w:rPr>
                <w:sz w:val="20"/>
                <w:szCs w:val="20"/>
              </w:rPr>
            </w:pPr>
            <w:r>
              <w:rPr>
                <w:sz w:val="20"/>
                <w:szCs w:val="20"/>
              </w:rPr>
              <w:t>1 382</w:t>
            </w:r>
          </w:p>
        </w:tc>
      </w:tr>
      <w:tr w:rsidR="00000000">
        <w:tblPrEx>
          <w:tblCellMar>
            <w:top w:w="0" w:type="dxa"/>
            <w:bottom w:w="0" w:type="dxa"/>
          </w:tblCellMar>
        </w:tblPrEx>
        <w:trPr>
          <w:jc w:val="center"/>
        </w:trPr>
        <w:tc>
          <w:tcPr>
            <w:tcW w:w="1174" w:type="dxa"/>
            <w:tcBorders>
              <w:bottom w:val="single" w:sz="4" w:space="0" w:color="auto"/>
            </w:tcBorders>
          </w:tcPr>
          <w:p w:rsidR="00000000" w:rsidRDefault="00000000">
            <w:pPr>
              <w:autoSpaceDE w:val="0"/>
              <w:autoSpaceDN w:val="0"/>
              <w:adjustRightInd w:val="0"/>
              <w:spacing w:before="80" w:after="80"/>
              <w:jc w:val="center"/>
              <w:rPr>
                <w:sz w:val="20"/>
                <w:szCs w:val="20"/>
              </w:rPr>
            </w:pPr>
            <w:r>
              <w:rPr>
                <w:sz w:val="20"/>
                <w:szCs w:val="20"/>
              </w:rPr>
              <w:t>1999</w:t>
            </w:r>
          </w:p>
        </w:tc>
        <w:tc>
          <w:tcPr>
            <w:tcW w:w="1254" w:type="dxa"/>
            <w:tcBorders>
              <w:bottom w:val="single" w:sz="4" w:space="0" w:color="auto"/>
            </w:tcBorders>
          </w:tcPr>
          <w:p w:rsidR="00000000" w:rsidRDefault="00000000">
            <w:pPr>
              <w:autoSpaceDE w:val="0"/>
              <w:autoSpaceDN w:val="0"/>
              <w:adjustRightInd w:val="0"/>
              <w:spacing w:before="80" w:after="80"/>
              <w:jc w:val="center"/>
              <w:rPr>
                <w:sz w:val="20"/>
                <w:szCs w:val="20"/>
              </w:rPr>
            </w:pPr>
            <w:r>
              <w:rPr>
                <w:sz w:val="20"/>
                <w:szCs w:val="20"/>
              </w:rPr>
              <w:t>1 394</w:t>
            </w:r>
          </w:p>
        </w:tc>
        <w:tc>
          <w:tcPr>
            <w:tcW w:w="1276" w:type="dxa"/>
            <w:tcBorders>
              <w:bottom w:val="single" w:sz="4" w:space="0" w:color="auto"/>
              <w:right w:val="single" w:sz="4" w:space="0" w:color="auto"/>
            </w:tcBorders>
          </w:tcPr>
          <w:p w:rsidR="00000000" w:rsidRDefault="00000000">
            <w:pPr>
              <w:autoSpaceDE w:val="0"/>
              <w:autoSpaceDN w:val="0"/>
              <w:adjustRightInd w:val="0"/>
              <w:spacing w:before="80" w:after="80"/>
              <w:jc w:val="center"/>
              <w:rPr>
                <w:sz w:val="20"/>
                <w:szCs w:val="20"/>
              </w:rPr>
            </w:pPr>
            <w:r>
              <w:rPr>
                <w:sz w:val="20"/>
                <w:szCs w:val="20"/>
              </w:rPr>
              <w:t>1 433</w:t>
            </w:r>
          </w:p>
        </w:tc>
        <w:tc>
          <w:tcPr>
            <w:tcW w:w="1056" w:type="dxa"/>
            <w:tcBorders>
              <w:left w:val="single" w:sz="4" w:space="0" w:color="auto"/>
              <w:bottom w:val="single" w:sz="4" w:space="0" w:color="auto"/>
            </w:tcBorders>
          </w:tcPr>
          <w:p w:rsidR="00000000" w:rsidRDefault="00000000">
            <w:pPr>
              <w:autoSpaceDE w:val="0"/>
              <w:autoSpaceDN w:val="0"/>
              <w:adjustRightInd w:val="0"/>
              <w:spacing w:before="80" w:after="80"/>
              <w:jc w:val="center"/>
              <w:rPr>
                <w:sz w:val="20"/>
                <w:szCs w:val="20"/>
              </w:rPr>
            </w:pPr>
            <w:r>
              <w:rPr>
                <w:sz w:val="20"/>
                <w:szCs w:val="20"/>
              </w:rPr>
              <w:t>2005</w:t>
            </w:r>
          </w:p>
        </w:tc>
        <w:tc>
          <w:tcPr>
            <w:tcW w:w="1056" w:type="dxa"/>
            <w:tcBorders>
              <w:bottom w:val="single" w:sz="4" w:space="0" w:color="auto"/>
            </w:tcBorders>
          </w:tcPr>
          <w:p w:rsidR="00000000" w:rsidRDefault="00000000">
            <w:pPr>
              <w:autoSpaceDE w:val="0"/>
              <w:autoSpaceDN w:val="0"/>
              <w:adjustRightInd w:val="0"/>
              <w:spacing w:before="80" w:after="80"/>
              <w:jc w:val="center"/>
              <w:rPr>
                <w:sz w:val="20"/>
                <w:szCs w:val="20"/>
              </w:rPr>
            </w:pPr>
            <w:r>
              <w:rPr>
                <w:sz w:val="20"/>
                <w:szCs w:val="20"/>
              </w:rPr>
              <w:t>1 301</w:t>
            </w:r>
          </w:p>
        </w:tc>
        <w:tc>
          <w:tcPr>
            <w:tcW w:w="1056" w:type="dxa"/>
            <w:tcBorders>
              <w:bottom w:val="single" w:sz="4" w:space="0" w:color="auto"/>
            </w:tcBorders>
          </w:tcPr>
          <w:p w:rsidR="00000000" w:rsidRDefault="00000000">
            <w:pPr>
              <w:autoSpaceDE w:val="0"/>
              <w:autoSpaceDN w:val="0"/>
              <w:adjustRightInd w:val="0"/>
              <w:spacing w:before="80" w:after="80"/>
              <w:jc w:val="center"/>
              <w:rPr>
                <w:sz w:val="20"/>
                <w:szCs w:val="20"/>
              </w:rPr>
            </w:pPr>
            <w:r>
              <w:rPr>
                <w:sz w:val="20"/>
                <w:szCs w:val="20"/>
              </w:rPr>
              <w:t>1 393</w:t>
            </w:r>
          </w:p>
        </w:tc>
      </w:tr>
    </w:tbl>
    <w:p w:rsidR="00000000" w:rsidRDefault="00000000">
      <w:pPr>
        <w:spacing w:before="80" w:after="80"/>
        <w:ind w:left="567"/>
        <w:rPr>
          <w:iCs/>
          <w:sz w:val="20"/>
          <w:szCs w:val="16"/>
          <w:lang w:val="es-ES_tradnl"/>
        </w:rPr>
      </w:pPr>
      <w:r>
        <w:rPr>
          <w:i/>
          <w:sz w:val="20"/>
          <w:szCs w:val="16"/>
        </w:rPr>
        <w:t xml:space="preserve">Source: </w:t>
      </w:r>
      <w:r>
        <w:rPr>
          <w:iCs/>
          <w:sz w:val="20"/>
          <w:szCs w:val="16"/>
        </w:rPr>
        <w:t xml:space="preserve">Dept. of National Accounting and Internal Market Division. </w:t>
      </w:r>
      <w:r>
        <w:rPr>
          <w:iCs/>
          <w:sz w:val="20"/>
          <w:szCs w:val="16"/>
          <w:lang w:val="es-ES_tradnl"/>
        </w:rPr>
        <w:t>Central Bank of Paraguay.</w:t>
      </w:r>
    </w:p>
    <w:p w:rsidR="00000000" w:rsidRDefault="00000000">
      <w:pPr>
        <w:spacing w:after="240"/>
        <w:ind w:left="567"/>
        <w:rPr>
          <w:b/>
        </w:rPr>
      </w:pPr>
      <w:r>
        <w:rPr>
          <w:iCs/>
          <w:sz w:val="20"/>
          <w:szCs w:val="16"/>
        </w:rPr>
        <w:t>* 1994 constant.</w:t>
      </w:r>
    </w:p>
    <w:p w:rsidR="00000000" w:rsidRDefault="00000000">
      <w:pPr>
        <w:spacing w:after="240"/>
      </w:pPr>
      <w:r>
        <w:rPr>
          <w:b/>
        </w:rPr>
        <w:t>2.</w:t>
      </w:r>
      <w:r>
        <w:rPr>
          <w:b/>
        </w:rPr>
        <w:tab/>
        <w:t>Gross national product</w:t>
      </w:r>
    </w:p>
    <w:p w:rsidR="00000000" w:rsidRDefault="00000000">
      <w:pPr>
        <w:spacing w:after="240"/>
        <w:rPr>
          <w:b/>
        </w:rPr>
      </w:pPr>
      <w:r>
        <w:t>36.</w:t>
      </w:r>
      <w:r>
        <w:tab/>
        <w:t>The gross national product at market prices, in constant 1994 guaranies, showed a variation of 2.2 per cent in 2005 as compared with 2004, in which there was a variation of 4 per cent.</w:t>
      </w:r>
    </w:p>
    <w:p w:rsidR="00000000" w:rsidRDefault="00000000">
      <w:pPr>
        <w:spacing w:after="240"/>
        <w:rPr>
          <w:b/>
          <w:spacing w:val="-2"/>
        </w:rPr>
      </w:pPr>
      <w:r>
        <w:rPr>
          <w:spacing w:val="-2"/>
        </w:rPr>
        <w:t>37.</w:t>
      </w:r>
      <w:r>
        <w:rPr>
          <w:spacing w:val="-2"/>
        </w:rPr>
        <w:tab/>
        <w:t>In 2005, domestic economic activity was affected by, inter alia, climatic factors, which reduced the size of the harvest of most crops, and the decline in the international prices of export products</w:t>
      </w:r>
      <w:r>
        <w:rPr>
          <w:spacing w:val="-2"/>
          <w:szCs w:val="20"/>
          <w:lang w:val="en-US"/>
        </w:rPr>
        <w:t>.</w:t>
      </w:r>
    </w:p>
    <w:p w:rsidR="00000000" w:rsidRDefault="00000000">
      <w:pPr>
        <w:spacing w:after="240"/>
        <w:rPr>
          <w:szCs w:val="20"/>
          <w:lang w:val="en-US"/>
        </w:rPr>
      </w:pPr>
      <w:r>
        <w:rPr>
          <w:b/>
        </w:rPr>
        <w:t>3.</w:t>
      </w:r>
      <w:r>
        <w:rPr>
          <w:b/>
        </w:rPr>
        <w:tab/>
        <w:t>Rate of inflation</w:t>
      </w:r>
    </w:p>
    <w:p w:rsidR="00000000" w:rsidRDefault="00000000">
      <w:pPr>
        <w:spacing w:after="240"/>
      </w:pPr>
      <w:r>
        <w:t>38.</w:t>
      </w:r>
      <w:r>
        <w:tab/>
        <w:t>According to calculations by the Central Bank of Paraguay, the estimated percentage inflation rate is as follows:</w:t>
      </w:r>
    </w:p>
    <w:tbl>
      <w:tblPr>
        <w:tblW w:w="5000" w:type="pct"/>
        <w:jc w:val="center"/>
        <w:tblLayout w:type="fixed"/>
        <w:tblCellMar>
          <w:left w:w="0" w:type="dxa"/>
          <w:right w:w="0" w:type="dxa"/>
        </w:tblCellMar>
        <w:tblLook w:val="0000" w:firstRow="0" w:lastRow="0" w:firstColumn="0" w:lastColumn="0" w:noHBand="0" w:noVBand="0"/>
      </w:tblPr>
      <w:tblGrid>
        <w:gridCol w:w="1235"/>
        <w:gridCol w:w="683"/>
        <w:gridCol w:w="684"/>
        <w:gridCol w:w="683"/>
        <w:gridCol w:w="682"/>
        <w:gridCol w:w="683"/>
        <w:gridCol w:w="683"/>
        <w:gridCol w:w="682"/>
        <w:gridCol w:w="683"/>
        <w:gridCol w:w="683"/>
        <w:gridCol w:w="682"/>
        <w:gridCol w:w="683"/>
        <w:gridCol w:w="683"/>
      </w:tblGrid>
      <w:tr w:rsidR="00000000">
        <w:tblPrEx>
          <w:tblCellMar>
            <w:top w:w="0" w:type="dxa"/>
            <w:bottom w:w="0" w:type="dxa"/>
          </w:tblCellMar>
        </w:tblPrEx>
        <w:trPr>
          <w:jc w:val="center"/>
        </w:trPr>
        <w:tc>
          <w:tcPr>
            <w:tcW w:w="1243" w:type="dxa"/>
            <w:tcBorders>
              <w:top w:val="single" w:sz="4" w:space="0" w:color="auto"/>
              <w:bottom w:val="single" w:sz="4" w:space="0" w:color="auto"/>
            </w:tcBorders>
          </w:tcPr>
          <w:p w:rsidR="00000000" w:rsidRDefault="00000000">
            <w:pPr>
              <w:widowControl w:val="0"/>
              <w:spacing w:before="80" w:after="80"/>
              <w:jc w:val="center"/>
              <w:rPr>
                <w:b/>
                <w:bCs/>
                <w:i/>
                <w:iCs/>
                <w:sz w:val="20"/>
              </w:rPr>
            </w:pPr>
          </w:p>
        </w:tc>
        <w:tc>
          <w:tcPr>
            <w:tcW w:w="687"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1994</w:t>
            </w:r>
          </w:p>
        </w:tc>
        <w:tc>
          <w:tcPr>
            <w:tcW w:w="688"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1995</w:t>
            </w:r>
          </w:p>
        </w:tc>
        <w:tc>
          <w:tcPr>
            <w:tcW w:w="688"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1996</w:t>
            </w:r>
          </w:p>
        </w:tc>
        <w:tc>
          <w:tcPr>
            <w:tcW w:w="687"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1997</w:t>
            </w:r>
          </w:p>
        </w:tc>
        <w:tc>
          <w:tcPr>
            <w:tcW w:w="688"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1998</w:t>
            </w:r>
          </w:p>
        </w:tc>
        <w:tc>
          <w:tcPr>
            <w:tcW w:w="688"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1999</w:t>
            </w:r>
          </w:p>
        </w:tc>
        <w:tc>
          <w:tcPr>
            <w:tcW w:w="687"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2000</w:t>
            </w:r>
          </w:p>
        </w:tc>
        <w:tc>
          <w:tcPr>
            <w:tcW w:w="688"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2001</w:t>
            </w:r>
          </w:p>
        </w:tc>
        <w:tc>
          <w:tcPr>
            <w:tcW w:w="688"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2002</w:t>
            </w:r>
          </w:p>
        </w:tc>
        <w:tc>
          <w:tcPr>
            <w:tcW w:w="687"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2003</w:t>
            </w:r>
          </w:p>
        </w:tc>
        <w:tc>
          <w:tcPr>
            <w:tcW w:w="688"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2004</w:t>
            </w:r>
          </w:p>
        </w:tc>
        <w:tc>
          <w:tcPr>
            <w:tcW w:w="688" w:type="dxa"/>
            <w:tcBorders>
              <w:top w:val="single" w:sz="4" w:space="0" w:color="auto"/>
              <w:bottom w:val="single" w:sz="4" w:space="0" w:color="auto"/>
            </w:tcBorders>
          </w:tcPr>
          <w:p w:rsidR="00000000" w:rsidRDefault="00000000">
            <w:pPr>
              <w:widowControl w:val="0"/>
              <w:spacing w:before="80" w:after="80"/>
              <w:jc w:val="center"/>
              <w:rPr>
                <w:b/>
                <w:bCs/>
                <w:i/>
                <w:iCs/>
                <w:sz w:val="20"/>
              </w:rPr>
            </w:pPr>
            <w:r>
              <w:rPr>
                <w:b/>
                <w:bCs/>
                <w:i/>
                <w:iCs/>
                <w:sz w:val="20"/>
              </w:rPr>
              <w:t>2005</w:t>
            </w:r>
          </w:p>
        </w:tc>
      </w:tr>
      <w:tr w:rsidR="00000000">
        <w:tblPrEx>
          <w:tblCellMar>
            <w:top w:w="0" w:type="dxa"/>
            <w:bottom w:w="0" w:type="dxa"/>
          </w:tblCellMar>
        </w:tblPrEx>
        <w:trPr>
          <w:jc w:val="center"/>
        </w:trPr>
        <w:tc>
          <w:tcPr>
            <w:tcW w:w="1243" w:type="dxa"/>
            <w:tcBorders>
              <w:top w:val="single" w:sz="4" w:space="0" w:color="auto"/>
              <w:bottom w:val="single" w:sz="4" w:space="0" w:color="auto"/>
            </w:tcBorders>
          </w:tcPr>
          <w:p w:rsidR="00000000" w:rsidRDefault="00000000">
            <w:pPr>
              <w:widowControl w:val="0"/>
              <w:spacing w:before="80" w:after="80"/>
              <w:rPr>
                <w:sz w:val="20"/>
              </w:rPr>
            </w:pPr>
            <w:r>
              <w:rPr>
                <w:sz w:val="20"/>
              </w:rPr>
              <w:t>Inflation</w:t>
            </w:r>
          </w:p>
        </w:tc>
        <w:tc>
          <w:tcPr>
            <w:tcW w:w="687" w:type="dxa"/>
            <w:tcBorders>
              <w:top w:val="single" w:sz="4" w:space="0" w:color="auto"/>
              <w:bottom w:val="single" w:sz="4" w:space="0" w:color="auto"/>
            </w:tcBorders>
          </w:tcPr>
          <w:p w:rsidR="00000000" w:rsidRDefault="00000000">
            <w:pPr>
              <w:widowControl w:val="0"/>
              <w:spacing w:before="80" w:after="80"/>
              <w:jc w:val="center"/>
              <w:rPr>
                <w:sz w:val="20"/>
              </w:rPr>
            </w:pPr>
            <w:r>
              <w:rPr>
                <w:sz w:val="20"/>
              </w:rPr>
              <w:t>18.3</w:t>
            </w:r>
          </w:p>
        </w:tc>
        <w:tc>
          <w:tcPr>
            <w:tcW w:w="688" w:type="dxa"/>
            <w:tcBorders>
              <w:top w:val="single" w:sz="4" w:space="0" w:color="auto"/>
              <w:bottom w:val="single" w:sz="4" w:space="0" w:color="auto"/>
            </w:tcBorders>
          </w:tcPr>
          <w:p w:rsidR="00000000" w:rsidRDefault="00000000">
            <w:pPr>
              <w:widowControl w:val="0"/>
              <w:spacing w:before="80" w:after="80"/>
              <w:jc w:val="center"/>
              <w:rPr>
                <w:sz w:val="20"/>
              </w:rPr>
            </w:pPr>
            <w:r>
              <w:rPr>
                <w:sz w:val="20"/>
              </w:rPr>
              <w:t>10.5</w:t>
            </w:r>
          </w:p>
        </w:tc>
        <w:tc>
          <w:tcPr>
            <w:tcW w:w="688" w:type="dxa"/>
            <w:tcBorders>
              <w:top w:val="single" w:sz="4" w:space="0" w:color="auto"/>
              <w:bottom w:val="single" w:sz="4" w:space="0" w:color="auto"/>
            </w:tcBorders>
          </w:tcPr>
          <w:p w:rsidR="00000000" w:rsidRDefault="00000000">
            <w:pPr>
              <w:widowControl w:val="0"/>
              <w:spacing w:before="80" w:after="80"/>
              <w:jc w:val="center"/>
              <w:rPr>
                <w:sz w:val="20"/>
              </w:rPr>
            </w:pPr>
            <w:r>
              <w:rPr>
                <w:sz w:val="20"/>
              </w:rPr>
              <w:t>8.2</w:t>
            </w:r>
          </w:p>
        </w:tc>
        <w:tc>
          <w:tcPr>
            <w:tcW w:w="687" w:type="dxa"/>
            <w:tcBorders>
              <w:top w:val="single" w:sz="4" w:space="0" w:color="auto"/>
              <w:bottom w:val="single" w:sz="4" w:space="0" w:color="auto"/>
            </w:tcBorders>
          </w:tcPr>
          <w:p w:rsidR="00000000" w:rsidRDefault="00000000">
            <w:pPr>
              <w:widowControl w:val="0"/>
              <w:spacing w:before="80" w:after="80"/>
              <w:jc w:val="center"/>
              <w:rPr>
                <w:sz w:val="20"/>
              </w:rPr>
            </w:pPr>
            <w:r>
              <w:rPr>
                <w:sz w:val="20"/>
              </w:rPr>
              <w:t>6.2</w:t>
            </w:r>
          </w:p>
        </w:tc>
        <w:tc>
          <w:tcPr>
            <w:tcW w:w="688" w:type="dxa"/>
            <w:tcBorders>
              <w:top w:val="single" w:sz="4" w:space="0" w:color="auto"/>
              <w:bottom w:val="single" w:sz="4" w:space="0" w:color="auto"/>
            </w:tcBorders>
          </w:tcPr>
          <w:p w:rsidR="00000000" w:rsidRDefault="00000000">
            <w:pPr>
              <w:widowControl w:val="0"/>
              <w:spacing w:before="80" w:after="80"/>
              <w:jc w:val="center"/>
              <w:rPr>
                <w:sz w:val="20"/>
              </w:rPr>
            </w:pPr>
            <w:r>
              <w:rPr>
                <w:sz w:val="20"/>
              </w:rPr>
              <w:t>14.6</w:t>
            </w:r>
          </w:p>
        </w:tc>
        <w:tc>
          <w:tcPr>
            <w:tcW w:w="688" w:type="dxa"/>
            <w:tcBorders>
              <w:top w:val="single" w:sz="4" w:space="0" w:color="auto"/>
              <w:bottom w:val="single" w:sz="4" w:space="0" w:color="auto"/>
            </w:tcBorders>
          </w:tcPr>
          <w:p w:rsidR="00000000" w:rsidRDefault="00000000">
            <w:pPr>
              <w:widowControl w:val="0"/>
              <w:spacing w:before="80" w:after="80"/>
              <w:jc w:val="center"/>
              <w:rPr>
                <w:sz w:val="20"/>
              </w:rPr>
            </w:pPr>
            <w:r>
              <w:rPr>
                <w:sz w:val="20"/>
              </w:rPr>
              <w:t>5.4</w:t>
            </w:r>
          </w:p>
        </w:tc>
        <w:tc>
          <w:tcPr>
            <w:tcW w:w="687" w:type="dxa"/>
            <w:tcBorders>
              <w:top w:val="single" w:sz="4" w:space="0" w:color="auto"/>
              <w:bottom w:val="single" w:sz="4" w:space="0" w:color="auto"/>
            </w:tcBorders>
          </w:tcPr>
          <w:p w:rsidR="00000000" w:rsidRDefault="00000000">
            <w:pPr>
              <w:widowControl w:val="0"/>
              <w:spacing w:before="80" w:after="80"/>
              <w:jc w:val="center"/>
              <w:rPr>
                <w:sz w:val="20"/>
              </w:rPr>
            </w:pPr>
            <w:r>
              <w:rPr>
                <w:sz w:val="20"/>
              </w:rPr>
              <w:t>8.6</w:t>
            </w:r>
          </w:p>
        </w:tc>
        <w:tc>
          <w:tcPr>
            <w:tcW w:w="688" w:type="dxa"/>
            <w:tcBorders>
              <w:top w:val="single" w:sz="4" w:space="0" w:color="auto"/>
              <w:bottom w:val="single" w:sz="4" w:space="0" w:color="auto"/>
            </w:tcBorders>
          </w:tcPr>
          <w:p w:rsidR="00000000" w:rsidRDefault="00000000">
            <w:pPr>
              <w:widowControl w:val="0"/>
              <w:spacing w:before="80" w:after="80"/>
              <w:jc w:val="center"/>
              <w:rPr>
                <w:sz w:val="20"/>
              </w:rPr>
            </w:pPr>
            <w:r>
              <w:rPr>
                <w:sz w:val="20"/>
              </w:rPr>
              <w:t>8.4</w:t>
            </w:r>
          </w:p>
        </w:tc>
        <w:tc>
          <w:tcPr>
            <w:tcW w:w="688" w:type="dxa"/>
            <w:tcBorders>
              <w:top w:val="single" w:sz="4" w:space="0" w:color="auto"/>
              <w:bottom w:val="single" w:sz="4" w:space="0" w:color="auto"/>
            </w:tcBorders>
          </w:tcPr>
          <w:p w:rsidR="00000000" w:rsidRDefault="00000000">
            <w:pPr>
              <w:widowControl w:val="0"/>
              <w:spacing w:before="80" w:after="80"/>
              <w:jc w:val="center"/>
              <w:rPr>
                <w:sz w:val="20"/>
              </w:rPr>
            </w:pPr>
            <w:r>
              <w:rPr>
                <w:sz w:val="20"/>
              </w:rPr>
              <w:t>14.6</w:t>
            </w:r>
          </w:p>
        </w:tc>
        <w:tc>
          <w:tcPr>
            <w:tcW w:w="687" w:type="dxa"/>
            <w:tcBorders>
              <w:top w:val="single" w:sz="4" w:space="0" w:color="auto"/>
              <w:bottom w:val="single" w:sz="4" w:space="0" w:color="auto"/>
            </w:tcBorders>
          </w:tcPr>
          <w:p w:rsidR="00000000" w:rsidRDefault="00000000">
            <w:pPr>
              <w:widowControl w:val="0"/>
              <w:spacing w:before="80" w:after="80"/>
              <w:jc w:val="center"/>
              <w:rPr>
                <w:sz w:val="20"/>
              </w:rPr>
            </w:pPr>
            <w:r>
              <w:rPr>
                <w:sz w:val="20"/>
              </w:rPr>
              <w:t>9.3</w:t>
            </w:r>
          </w:p>
        </w:tc>
        <w:tc>
          <w:tcPr>
            <w:tcW w:w="688" w:type="dxa"/>
            <w:tcBorders>
              <w:top w:val="single" w:sz="4" w:space="0" w:color="auto"/>
              <w:bottom w:val="single" w:sz="4" w:space="0" w:color="auto"/>
            </w:tcBorders>
          </w:tcPr>
          <w:p w:rsidR="00000000" w:rsidRDefault="00000000">
            <w:pPr>
              <w:widowControl w:val="0"/>
              <w:spacing w:before="80" w:after="80"/>
              <w:jc w:val="center"/>
              <w:rPr>
                <w:sz w:val="20"/>
              </w:rPr>
            </w:pPr>
            <w:r>
              <w:rPr>
                <w:sz w:val="20"/>
              </w:rPr>
              <w:t>2.8</w:t>
            </w:r>
          </w:p>
        </w:tc>
        <w:tc>
          <w:tcPr>
            <w:tcW w:w="688" w:type="dxa"/>
            <w:tcBorders>
              <w:top w:val="single" w:sz="4" w:space="0" w:color="auto"/>
              <w:bottom w:val="single" w:sz="4" w:space="0" w:color="auto"/>
            </w:tcBorders>
          </w:tcPr>
          <w:p w:rsidR="00000000" w:rsidRDefault="00000000">
            <w:pPr>
              <w:widowControl w:val="0"/>
              <w:spacing w:before="80" w:after="80"/>
              <w:jc w:val="center"/>
              <w:rPr>
                <w:sz w:val="20"/>
              </w:rPr>
            </w:pPr>
            <w:r>
              <w:rPr>
                <w:sz w:val="20"/>
              </w:rPr>
              <w:t>9.9</w:t>
            </w:r>
          </w:p>
        </w:tc>
      </w:tr>
    </w:tbl>
    <w:p w:rsidR="00000000" w:rsidRDefault="00000000">
      <w:pPr>
        <w:pStyle w:val="xl23"/>
        <w:keepNext/>
        <w:widowControl w:val="0"/>
        <w:spacing w:before="240" w:beforeAutospacing="0" w:after="240" w:afterAutospacing="0"/>
        <w:rPr>
          <w:rFonts w:ascii="Times New Roman" w:hAnsi="Times New Roman" w:cs="Times New Roman"/>
          <w:bCs w:val="0"/>
          <w:lang w:val="en-GB" w:eastAsia="en-US"/>
        </w:rPr>
      </w:pPr>
      <w:r>
        <w:rPr>
          <w:rFonts w:ascii="Times New Roman" w:hAnsi="Times New Roman" w:cs="Times New Roman"/>
          <w:bCs w:val="0"/>
          <w:lang w:val="en-GB" w:eastAsia="en-US"/>
        </w:rPr>
        <w:t>4.</w:t>
      </w:r>
      <w:r>
        <w:rPr>
          <w:rFonts w:ascii="Times New Roman" w:hAnsi="Times New Roman" w:cs="Times New Roman"/>
          <w:bCs w:val="0"/>
          <w:lang w:val="en-GB" w:eastAsia="en-US"/>
        </w:rPr>
        <w:tab/>
        <w:t>Economically active population (EAP) by economic sector</w:t>
      </w:r>
    </w:p>
    <w:p w:rsidR="00000000" w:rsidRDefault="00000000">
      <w:pPr>
        <w:keepNext/>
        <w:spacing w:after="240"/>
        <w:sectPr w:rsidR="00000000">
          <w:headerReference w:type="even" r:id="rId16"/>
          <w:pgSz w:w="11907" w:h="16840" w:code="9"/>
          <w:pgMar w:top="851" w:right="1247" w:bottom="1418" w:left="1247" w:header="720" w:footer="720" w:gutter="0"/>
          <w:cols w:space="720"/>
          <w:docGrid w:linePitch="360"/>
        </w:sectPr>
      </w:pPr>
      <w:r>
        <w:t>39.</w:t>
      </w:r>
      <w:r>
        <w:tab/>
        <w:t>Data produced by the 2002 census reveal the following indicators:</w:t>
      </w:r>
    </w:p>
    <w:p w:rsidR="00000000" w:rsidRDefault="00000000">
      <w:pPr>
        <w:numPr>
          <w:ilvl w:val="1"/>
          <w:numId w:val="10"/>
        </w:numPr>
        <w:spacing w:after="240"/>
        <w:ind w:left="0" w:firstLine="0"/>
        <w:rPr>
          <w:b/>
        </w:rPr>
      </w:pPr>
      <w:r>
        <w:rPr>
          <w:b/>
        </w:rPr>
        <w:t>Employment – Total population</w:t>
      </w:r>
    </w:p>
    <w:p w:rsidR="00000000" w:rsidRDefault="00000000">
      <w:pPr>
        <w:pStyle w:val="xl46"/>
        <w:spacing w:before="0" w:beforeAutospacing="0" w:after="240" w:afterAutospacing="0"/>
        <w:rPr>
          <w:rFonts w:ascii="Times New Roman" w:eastAsia="Times New Roman" w:hAnsi="Times New Roman" w:cs="Times New Roman"/>
          <w:b w:val="0"/>
          <w:bCs w:val="0"/>
          <w:szCs w:val="16"/>
          <w:lang w:val="en-GB" w:eastAsia="en-US"/>
        </w:rPr>
      </w:pPr>
      <w:r>
        <w:rPr>
          <w:rFonts w:ascii="Times New Roman" w:eastAsia="Times New Roman" w:hAnsi="Times New Roman" w:cs="Times New Roman"/>
          <w:bCs w:val="0"/>
          <w:szCs w:val="16"/>
          <w:lang w:val="en-GB" w:eastAsia="en-US"/>
        </w:rPr>
        <w:t>Employment indicators for the total population. Period 1995-2005</w:t>
      </w:r>
    </w:p>
    <w:tbl>
      <w:tblPr>
        <w:tblW w:w="5000" w:type="pct"/>
        <w:jc w:val="center"/>
        <w:tblLayout w:type="fixed"/>
        <w:tblCellMar>
          <w:left w:w="0" w:type="dxa"/>
          <w:right w:w="0" w:type="dxa"/>
        </w:tblCellMar>
        <w:tblLook w:val="0000" w:firstRow="0" w:lastRow="0" w:firstColumn="0" w:lastColumn="0" w:noHBand="0" w:noVBand="0"/>
      </w:tblPr>
      <w:tblGrid>
        <w:gridCol w:w="2531"/>
        <w:gridCol w:w="899"/>
        <w:gridCol w:w="919"/>
        <w:gridCol w:w="896"/>
        <w:gridCol w:w="919"/>
        <w:gridCol w:w="896"/>
        <w:gridCol w:w="901"/>
        <w:gridCol w:w="1082"/>
        <w:gridCol w:w="896"/>
        <w:gridCol w:w="1199"/>
        <w:gridCol w:w="1275"/>
        <w:gridCol w:w="1275"/>
        <w:gridCol w:w="899"/>
      </w:tblGrid>
      <w:tr w:rsidR="00000000">
        <w:trPr>
          <w:cantSplit/>
          <w:jc w:val="center"/>
        </w:trPr>
        <w:tc>
          <w:tcPr>
            <w:tcW w:w="868" w:type="pct"/>
            <w:vMerge w:val="restart"/>
            <w:tcBorders>
              <w:top w:val="single" w:sz="4" w:space="0" w:color="auto"/>
            </w:tcBorders>
            <w:vAlign w:val="center"/>
          </w:tcPr>
          <w:p w:rsidR="00000000" w:rsidRDefault="00000000">
            <w:pPr>
              <w:spacing w:before="60" w:after="60"/>
              <w:jc w:val="center"/>
              <w:rPr>
                <w:b/>
                <w:bCs/>
                <w:i/>
                <w:iCs/>
                <w:sz w:val="20"/>
                <w:szCs w:val="20"/>
              </w:rPr>
            </w:pPr>
            <w:r>
              <w:rPr>
                <w:b/>
                <w:bCs/>
                <w:i/>
                <w:iCs/>
                <w:sz w:val="20"/>
                <w:szCs w:val="20"/>
              </w:rPr>
              <w:t>CLASSIFICATION</w:t>
            </w:r>
          </w:p>
        </w:tc>
        <w:tc>
          <w:tcPr>
            <w:tcW w:w="930" w:type="pct"/>
            <w:gridSpan w:val="3"/>
            <w:tcBorders>
              <w:top w:val="single" w:sz="4" w:space="0" w:color="auto"/>
              <w:bottom w:val="single" w:sz="4" w:space="0" w:color="auto"/>
            </w:tcBorders>
            <w:vAlign w:val="center"/>
          </w:tcPr>
          <w:p w:rsidR="00000000" w:rsidRDefault="00000000">
            <w:pPr>
              <w:spacing w:before="60" w:after="60"/>
              <w:jc w:val="center"/>
              <w:rPr>
                <w:b/>
                <w:bCs/>
                <w:i/>
                <w:iCs/>
                <w:sz w:val="20"/>
                <w:szCs w:val="20"/>
              </w:rPr>
            </w:pPr>
            <w:r>
              <w:rPr>
                <w:b/>
                <w:bCs/>
                <w:i/>
                <w:iCs/>
                <w:sz w:val="20"/>
                <w:szCs w:val="20"/>
              </w:rPr>
              <w:t>1995(*)</w:t>
            </w:r>
          </w:p>
        </w:tc>
        <w:tc>
          <w:tcPr>
            <w:tcW w:w="931" w:type="pct"/>
            <w:gridSpan w:val="3"/>
            <w:tcBorders>
              <w:top w:val="single" w:sz="4" w:space="0" w:color="auto"/>
              <w:bottom w:val="single" w:sz="4" w:space="0" w:color="auto"/>
            </w:tcBorders>
            <w:vAlign w:val="center"/>
          </w:tcPr>
          <w:p w:rsidR="00000000" w:rsidRDefault="00000000">
            <w:pPr>
              <w:spacing w:before="60" w:after="60"/>
              <w:jc w:val="center"/>
              <w:rPr>
                <w:b/>
                <w:bCs/>
                <w:i/>
                <w:iCs/>
                <w:sz w:val="20"/>
                <w:szCs w:val="20"/>
              </w:rPr>
            </w:pPr>
            <w:r>
              <w:rPr>
                <w:b/>
                <w:bCs/>
                <w:i/>
                <w:iCs/>
                <w:sz w:val="20"/>
                <w:szCs w:val="20"/>
              </w:rPr>
              <w:t>1999(*)</w:t>
            </w:r>
          </w:p>
        </w:tc>
        <w:tc>
          <w:tcPr>
            <w:tcW w:w="1089" w:type="pct"/>
            <w:gridSpan w:val="3"/>
            <w:tcBorders>
              <w:top w:val="single" w:sz="4" w:space="0" w:color="auto"/>
              <w:bottom w:val="single" w:sz="4" w:space="0" w:color="auto"/>
            </w:tcBorders>
            <w:vAlign w:val="center"/>
          </w:tcPr>
          <w:p w:rsidR="00000000" w:rsidRDefault="00000000">
            <w:pPr>
              <w:spacing w:before="60" w:after="60"/>
              <w:jc w:val="center"/>
              <w:rPr>
                <w:b/>
                <w:bCs/>
                <w:i/>
                <w:iCs/>
                <w:sz w:val="20"/>
                <w:szCs w:val="20"/>
              </w:rPr>
            </w:pPr>
            <w:r>
              <w:rPr>
                <w:b/>
                <w:bCs/>
                <w:i/>
                <w:iCs/>
                <w:sz w:val="20"/>
                <w:szCs w:val="20"/>
              </w:rPr>
              <w:t>2004</w:t>
            </w:r>
          </w:p>
        </w:tc>
        <w:tc>
          <w:tcPr>
            <w:tcW w:w="1182" w:type="pct"/>
            <w:gridSpan w:val="3"/>
            <w:tcBorders>
              <w:top w:val="single" w:sz="4" w:space="0" w:color="auto"/>
              <w:bottom w:val="single" w:sz="4" w:space="0" w:color="auto"/>
            </w:tcBorders>
            <w:vAlign w:val="center"/>
          </w:tcPr>
          <w:p w:rsidR="00000000" w:rsidRDefault="00000000">
            <w:pPr>
              <w:spacing w:before="60" w:after="60"/>
              <w:jc w:val="center"/>
              <w:rPr>
                <w:b/>
                <w:bCs/>
                <w:i/>
                <w:iCs/>
                <w:sz w:val="20"/>
                <w:szCs w:val="20"/>
              </w:rPr>
            </w:pPr>
            <w:r>
              <w:rPr>
                <w:b/>
                <w:bCs/>
                <w:i/>
                <w:iCs/>
                <w:sz w:val="20"/>
                <w:szCs w:val="20"/>
              </w:rPr>
              <w:t>2005</w:t>
            </w:r>
          </w:p>
        </w:tc>
      </w:tr>
      <w:tr w:rsidR="00000000">
        <w:trPr>
          <w:cantSplit/>
          <w:jc w:val="center"/>
        </w:trPr>
        <w:tc>
          <w:tcPr>
            <w:tcW w:w="868" w:type="pct"/>
            <w:vMerge/>
            <w:tcBorders>
              <w:bottom w:val="single" w:sz="4" w:space="0" w:color="auto"/>
            </w:tcBorders>
            <w:vAlign w:val="center"/>
          </w:tcPr>
          <w:p w:rsidR="00000000" w:rsidRDefault="00000000">
            <w:pPr>
              <w:spacing w:before="60" w:after="60"/>
              <w:jc w:val="center"/>
              <w:rPr>
                <w:b/>
                <w:bCs/>
                <w:i/>
                <w:iCs/>
                <w:sz w:val="20"/>
                <w:szCs w:val="20"/>
              </w:rPr>
            </w:pPr>
          </w:p>
        </w:tc>
        <w:tc>
          <w:tcPr>
            <w:tcW w:w="308" w:type="pct"/>
            <w:tcBorders>
              <w:top w:val="single" w:sz="4" w:space="0" w:color="auto"/>
              <w:bottom w:val="single" w:sz="4" w:space="0" w:color="auto"/>
            </w:tcBorders>
            <w:vAlign w:val="center"/>
          </w:tcPr>
          <w:p w:rsidR="00000000" w:rsidRDefault="00000000">
            <w:pPr>
              <w:spacing w:before="60" w:after="60"/>
              <w:jc w:val="center"/>
              <w:rPr>
                <w:b/>
                <w:bCs/>
                <w:i/>
                <w:iCs/>
                <w:sz w:val="20"/>
                <w:szCs w:val="20"/>
              </w:rPr>
            </w:pPr>
            <w:r>
              <w:rPr>
                <w:b/>
                <w:bCs/>
                <w:i/>
                <w:iCs/>
                <w:sz w:val="20"/>
                <w:szCs w:val="20"/>
              </w:rPr>
              <w:t>Total</w:t>
            </w:r>
          </w:p>
        </w:tc>
        <w:tc>
          <w:tcPr>
            <w:tcW w:w="315" w:type="pct"/>
            <w:tcBorders>
              <w:top w:val="single" w:sz="4" w:space="0" w:color="auto"/>
              <w:bottom w:val="single" w:sz="4" w:space="0" w:color="auto"/>
            </w:tcBorders>
            <w:vAlign w:val="center"/>
          </w:tcPr>
          <w:p w:rsidR="00000000" w:rsidRDefault="00000000">
            <w:pPr>
              <w:spacing w:before="60" w:after="60"/>
              <w:jc w:val="center"/>
              <w:rPr>
                <w:b/>
                <w:bCs/>
                <w:i/>
                <w:iCs/>
                <w:sz w:val="20"/>
                <w:szCs w:val="20"/>
              </w:rPr>
            </w:pPr>
            <w:r>
              <w:rPr>
                <w:b/>
                <w:bCs/>
                <w:i/>
                <w:iCs/>
                <w:sz w:val="20"/>
                <w:szCs w:val="20"/>
              </w:rPr>
              <w:t>Men</w:t>
            </w:r>
          </w:p>
        </w:tc>
        <w:tc>
          <w:tcPr>
            <w:tcW w:w="307" w:type="pct"/>
            <w:tcBorders>
              <w:top w:val="single" w:sz="4" w:space="0" w:color="auto"/>
              <w:bottom w:val="single" w:sz="4" w:space="0" w:color="auto"/>
            </w:tcBorders>
            <w:vAlign w:val="center"/>
          </w:tcPr>
          <w:p w:rsidR="00000000" w:rsidRDefault="00000000">
            <w:pPr>
              <w:spacing w:before="60" w:after="60"/>
              <w:jc w:val="center"/>
              <w:rPr>
                <w:b/>
                <w:bCs/>
                <w:i/>
                <w:iCs/>
                <w:sz w:val="20"/>
                <w:szCs w:val="20"/>
              </w:rPr>
            </w:pPr>
            <w:r>
              <w:rPr>
                <w:b/>
                <w:bCs/>
                <w:i/>
                <w:iCs/>
                <w:sz w:val="20"/>
                <w:szCs w:val="20"/>
              </w:rPr>
              <w:t>Women</w:t>
            </w:r>
          </w:p>
        </w:tc>
        <w:tc>
          <w:tcPr>
            <w:tcW w:w="315" w:type="pct"/>
            <w:tcBorders>
              <w:top w:val="single" w:sz="4" w:space="0" w:color="auto"/>
              <w:bottom w:val="single" w:sz="4" w:space="0" w:color="auto"/>
            </w:tcBorders>
            <w:vAlign w:val="center"/>
          </w:tcPr>
          <w:p w:rsidR="00000000" w:rsidRDefault="00000000">
            <w:pPr>
              <w:spacing w:before="60" w:after="60"/>
              <w:jc w:val="center"/>
              <w:rPr>
                <w:b/>
                <w:bCs/>
                <w:i/>
                <w:iCs/>
                <w:sz w:val="20"/>
                <w:szCs w:val="20"/>
              </w:rPr>
            </w:pPr>
            <w:r>
              <w:rPr>
                <w:b/>
                <w:bCs/>
                <w:i/>
                <w:iCs/>
                <w:sz w:val="20"/>
                <w:szCs w:val="20"/>
              </w:rPr>
              <w:t>Total</w:t>
            </w:r>
          </w:p>
        </w:tc>
        <w:tc>
          <w:tcPr>
            <w:tcW w:w="307" w:type="pct"/>
            <w:tcBorders>
              <w:top w:val="single" w:sz="4" w:space="0" w:color="auto"/>
              <w:bottom w:val="single" w:sz="4" w:space="0" w:color="auto"/>
            </w:tcBorders>
            <w:vAlign w:val="center"/>
          </w:tcPr>
          <w:p w:rsidR="00000000" w:rsidRDefault="00000000">
            <w:pPr>
              <w:spacing w:before="60" w:after="60"/>
              <w:jc w:val="center"/>
              <w:rPr>
                <w:b/>
                <w:bCs/>
                <w:i/>
                <w:iCs/>
                <w:sz w:val="20"/>
                <w:szCs w:val="20"/>
              </w:rPr>
            </w:pPr>
            <w:r>
              <w:rPr>
                <w:b/>
                <w:bCs/>
                <w:i/>
                <w:iCs/>
                <w:sz w:val="20"/>
                <w:szCs w:val="20"/>
              </w:rPr>
              <w:t>Men</w:t>
            </w:r>
          </w:p>
        </w:tc>
        <w:tc>
          <w:tcPr>
            <w:tcW w:w="309" w:type="pct"/>
            <w:tcBorders>
              <w:top w:val="single" w:sz="4" w:space="0" w:color="auto"/>
              <w:bottom w:val="single" w:sz="4" w:space="0" w:color="auto"/>
            </w:tcBorders>
            <w:vAlign w:val="center"/>
          </w:tcPr>
          <w:p w:rsidR="00000000" w:rsidRDefault="00000000">
            <w:pPr>
              <w:spacing w:before="60" w:after="60"/>
              <w:jc w:val="center"/>
              <w:rPr>
                <w:b/>
                <w:bCs/>
                <w:i/>
                <w:iCs/>
                <w:sz w:val="20"/>
                <w:szCs w:val="20"/>
              </w:rPr>
            </w:pPr>
            <w:r>
              <w:rPr>
                <w:b/>
                <w:bCs/>
                <w:i/>
                <w:iCs/>
                <w:sz w:val="20"/>
                <w:szCs w:val="20"/>
              </w:rPr>
              <w:t>Women</w:t>
            </w:r>
          </w:p>
        </w:tc>
        <w:tc>
          <w:tcPr>
            <w:tcW w:w="371" w:type="pct"/>
            <w:tcBorders>
              <w:top w:val="single" w:sz="4" w:space="0" w:color="auto"/>
              <w:bottom w:val="single" w:sz="4" w:space="0" w:color="auto"/>
            </w:tcBorders>
            <w:vAlign w:val="center"/>
          </w:tcPr>
          <w:p w:rsidR="00000000" w:rsidRDefault="00000000">
            <w:pPr>
              <w:spacing w:before="60" w:after="60"/>
              <w:jc w:val="center"/>
              <w:rPr>
                <w:b/>
                <w:bCs/>
                <w:i/>
                <w:iCs/>
                <w:sz w:val="20"/>
                <w:szCs w:val="20"/>
              </w:rPr>
            </w:pPr>
            <w:r>
              <w:rPr>
                <w:b/>
                <w:bCs/>
                <w:i/>
                <w:iCs/>
                <w:sz w:val="20"/>
                <w:szCs w:val="20"/>
              </w:rPr>
              <w:t>Total</w:t>
            </w:r>
          </w:p>
        </w:tc>
        <w:tc>
          <w:tcPr>
            <w:tcW w:w="307" w:type="pct"/>
            <w:tcBorders>
              <w:top w:val="single" w:sz="4" w:space="0" w:color="auto"/>
              <w:bottom w:val="single" w:sz="4" w:space="0" w:color="auto"/>
            </w:tcBorders>
            <w:vAlign w:val="center"/>
          </w:tcPr>
          <w:p w:rsidR="00000000" w:rsidRDefault="00000000">
            <w:pPr>
              <w:spacing w:before="60" w:after="60"/>
              <w:jc w:val="center"/>
              <w:rPr>
                <w:b/>
                <w:bCs/>
                <w:i/>
                <w:iCs/>
                <w:sz w:val="20"/>
                <w:szCs w:val="20"/>
              </w:rPr>
            </w:pPr>
            <w:r>
              <w:rPr>
                <w:b/>
                <w:bCs/>
                <w:i/>
                <w:iCs/>
                <w:sz w:val="20"/>
                <w:szCs w:val="20"/>
              </w:rPr>
              <w:t>Men</w:t>
            </w:r>
          </w:p>
        </w:tc>
        <w:tc>
          <w:tcPr>
            <w:tcW w:w="411" w:type="pct"/>
            <w:tcBorders>
              <w:top w:val="single" w:sz="4" w:space="0" w:color="auto"/>
              <w:bottom w:val="single" w:sz="4" w:space="0" w:color="auto"/>
            </w:tcBorders>
            <w:vAlign w:val="center"/>
          </w:tcPr>
          <w:p w:rsidR="00000000" w:rsidRDefault="00000000">
            <w:pPr>
              <w:spacing w:before="60" w:after="60"/>
              <w:jc w:val="center"/>
              <w:rPr>
                <w:b/>
                <w:bCs/>
                <w:i/>
                <w:iCs/>
                <w:sz w:val="20"/>
                <w:szCs w:val="20"/>
              </w:rPr>
            </w:pPr>
            <w:r>
              <w:rPr>
                <w:b/>
                <w:bCs/>
                <w:i/>
                <w:iCs/>
                <w:sz w:val="20"/>
                <w:szCs w:val="20"/>
              </w:rPr>
              <w:t>Women</w:t>
            </w:r>
          </w:p>
        </w:tc>
        <w:tc>
          <w:tcPr>
            <w:tcW w:w="437" w:type="pct"/>
            <w:tcBorders>
              <w:top w:val="single" w:sz="4" w:space="0" w:color="auto"/>
              <w:bottom w:val="single" w:sz="4" w:space="0" w:color="auto"/>
            </w:tcBorders>
            <w:vAlign w:val="center"/>
          </w:tcPr>
          <w:p w:rsidR="00000000" w:rsidRDefault="00000000">
            <w:pPr>
              <w:spacing w:before="60" w:after="60"/>
              <w:jc w:val="center"/>
              <w:rPr>
                <w:b/>
                <w:bCs/>
                <w:i/>
                <w:iCs/>
                <w:sz w:val="20"/>
                <w:szCs w:val="20"/>
              </w:rPr>
            </w:pPr>
            <w:r>
              <w:rPr>
                <w:b/>
                <w:bCs/>
                <w:i/>
                <w:iCs/>
                <w:sz w:val="20"/>
                <w:szCs w:val="20"/>
              </w:rPr>
              <w:t>Total</w:t>
            </w:r>
          </w:p>
        </w:tc>
        <w:tc>
          <w:tcPr>
            <w:tcW w:w="437" w:type="pct"/>
            <w:tcBorders>
              <w:top w:val="single" w:sz="4" w:space="0" w:color="auto"/>
              <w:bottom w:val="single" w:sz="4" w:space="0" w:color="auto"/>
            </w:tcBorders>
            <w:vAlign w:val="center"/>
          </w:tcPr>
          <w:p w:rsidR="00000000" w:rsidRDefault="00000000">
            <w:pPr>
              <w:spacing w:before="60" w:after="60"/>
              <w:jc w:val="center"/>
              <w:rPr>
                <w:b/>
                <w:bCs/>
                <w:i/>
                <w:iCs/>
                <w:sz w:val="20"/>
                <w:szCs w:val="20"/>
              </w:rPr>
            </w:pPr>
            <w:r>
              <w:rPr>
                <w:b/>
                <w:bCs/>
                <w:i/>
                <w:iCs/>
                <w:sz w:val="20"/>
                <w:szCs w:val="20"/>
              </w:rPr>
              <w:t>Men</w:t>
            </w:r>
          </w:p>
        </w:tc>
        <w:tc>
          <w:tcPr>
            <w:tcW w:w="308" w:type="pct"/>
            <w:tcBorders>
              <w:top w:val="single" w:sz="4" w:space="0" w:color="auto"/>
              <w:bottom w:val="single" w:sz="4" w:space="0" w:color="auto"/>
            </w:tcBorders>
            <w:vAlign w:val="center"/>
          </w:tcPr>
          <w:p w:rsidR="00000000" w:rsidRDefault="00000000">
            <w:pPr>
              <w:spacing w:before="60" w:after="60"/>
              <w:jc w:val="center"/>
              <w:rPr>
                <w:b/>
                <w:bCs/>
                <w:i/>
                <w:iCs/>
                <w:sz w:val="20"/>
                <w:szCs w:val="20"/>
              </w:rPr>
            </w:pPr>
            <w:r>
              <w:rPr>
                <w:b/>
                <w:bCs/>
                <w:i/>
                <w:iCs/>
                <w:sz w:val="20"/>
                <w:szCs w:val="20"/>
              </w:rPr>
              <w:t>Women</w:t>
            </w:r>
          </w:p>
        </w:tc>
      </w:tr>
      <w:tr w:rsidR="00000000">
        <w:trPr>
          <w:jc w:val="center"/>
        </w:trPr>
        <w:tc>
          <w:tcPr>
            <w:tcW w:w="868" w:type="pct"/>
            <w:tcBorders>
              <w:top w:val="single" w:sz="4" w:space="0" w:color="auto"/>
            </w:tcBorders>
            <w:noWrap/>
            <w:vAlign w:val="bottom"/>
          </w:tcPr>
          <w:p w:rsidR="00000000" w:rsidRDefault="00000000">
            <w:pPr>
              <w:pStyle w:val="FootnoteText"/>
              <w:spacing w:before="60" w:after="60"/>
            </w:pPr>
            <w:r>
              <w:t>Economically active population (EAP) (**)</w:t>
            </w:r>
          </w:p>
        </w:tc>
        <w:tc>
          <w:tcPr>
            <w:tcW w:w="308" w:type="pct"/>
            <w:tcBorders>
              <w:top w:val="single" w:sz="4" w:space="0" w:color="auto"/>
            </w:tcBorders>
            <w:noWrap/>
            <w:vAlign w:val="bottom"/>
          </w:tcPr>
          <w:p w:rsidR="00000000" w:rsidRDefault="00000000">
            <w:pPr>
              <w:spacing w:before="60" w:after="60"/>
              <w:jc w:val="right"/>
              <w:rPr>
                <w:sz w:val="20"/>
                <w:szCs w:val="20"/>
              </w:rPr>
            </w:pPr>
            <w:r>
              <w:rPr>
                <w:sz w:val="20"/>
                <w:szCs w:val="20"/>
              </w:rPr>
              <w:t>2 323 585</w:t>
            </w:r>
          </w:p>
        </w:tc>
        <w:tc>
          <w:tcPr>
            <w:tcW w:w="315" w:type="pct"/>
            <w:tcBorders>
              <w:top w:val="single" w:sz="4" w:space="0" w:color="auto"/>
            </w:tcBorders>
            <w:noWrap/>
            <w:vAlign w:val="bottom"/>
          </w:tcPr>
          <w:p w:rsidR="00000000" w:rsidRDefault="00000000">
            <w:pPr>
              <w:spacing w:before="60" w:after="60"/>
              <w:jc w:val="right"/>
              <w:rPr>
                <w:sz w:val="20"/>
                <w:szCs w:val="20"/>
              </w:rPr>
            </w:pPr>
            <w:r>
              <w:rPr>
                <w:sz w:val="20"/>
                <w:szCs w:val="20"/>
              </w:rPr>
              <w:t>1 372 209</w:t>
            </w:r>
          </w:p>
        </w:tc>
        <w:tc>
          <w:tcPr>
            <w:tcW w:w="307" w:type="pct"/>
            <w:tcBorders>
              <w:top w:val="single" w:sz="4" w:space="0" w:color="auto"/>
            </w:tcBorders>
            <w:noWrap/>
            <w:vAlign w:val="bottom"/>
          </w:tcPr>
          <w:p w:rsidR="00000000" w:rsidRDefault="00000000">
            <w:pPr>
              <w:spacing w:before="60" w:after="60"/>
              <w:jc w:val="right"/>
              <w:rPr>
                <w:sz w:val="20"/>
                <w:szCs w:val="20"/>
              </w:rPr>
            </w:pPr>
            <w:r>
              <w:rPr>
                <w:sz w:val="20"/>
                <w:szCs w:val="20"/>
              </w:rPr>
              <w:t>951 376</w:t>
            </w:r>
          </w:p>
        </w:tc>
        <w:tc>
          <w:tcPr>
            <w:tcW w:w="315" w:type="pct"/>
            <w:tcBorders>
              <w:top w:val="single" w:sz="4" w:space="0" w:color="auto"/>
            </w:tcBorders>
            <w:noWrap/>
            <w:vAlign w:val="bottom"/>
          </w:tcPr>
          <w:p w:rsidR="00000000" w:rsidRDefault="00000000">
            <w:pPr>
              <w:spacing w:before="60" w:after="60"/>
              <w:jc w:val="right"/>
              <w:rPr>
                <w:sz w:val="20"/>
                <w:szCs w:val="20"/>
              </w:rPr>
            </w:pPr>
            <w:r>
              <w:rPr>
                <w:sz w:val="20"/>
                <w:szCs w:val="20"/>
              </w:rPr>
              <w:t>2 147 011</w:t>
            </w:r>
          </w:p>
        </w:tc>
        <w:tc>
          <w:tcPr>
            <w:tcW w:w="307" w:type="pct"/>
            <w:tcBorders>
              <w:top w:val="single" w:sz="4" w:space="0" w:color="auto"/>
            </w:tcBorders>
            <w:noWrap/>
            <w:vAlign w:val="bottom"/>
          </w:tcPr>
          <w:p w:rsidR="00000000" w:rsidRDefault="00000000">
            <w:pPr>
              <w:spacing w:before="60" w:after="60"/>
              <w:jc w:val="right"/>
              <w:rPr>
                <w:sz w:val="20"/>
                <w:szCs w:val="20"/>
              </w:rPr>
            </w:pPr>
            <w:r>
              <w:rPr>
                <w:sz w:val="20"/>
                <w:szCs w:val="20"/>
              </w:rPr>
              <w:t>1 358 681</w:t>
            </w:r>
          </w:p>
        </w:tc>
        <w:tc>
          <w:tcPr>
            <w:tcW w:w="309" w:type="pct"/>
            <w:tcBorders>
              <w:top w:val="single" w:sz="4" w:space="0" w:color="auto"/>
            </w:tcBorders>
            <w:noWrap/>
            <w:vAlign w:val="bottom"/>
          </w:tcPr>
          <w:p w:rsidR="00000000" w:rsidRDefault="00000000">
            <w:pPr>
              <w:spacing w:before="60" w:after="60"/>
              <w:jc w:val="right"/>
              <w:rPr>
                <w:sz w:val="20"/>
                <w:szCs w:val="20"/>
              </w:rPr>
            </w:pPr>
            <w:r>
              <w:rPr>
                <w:sz w:val="20"/>
                <w:szCs w:val="20"/>
              </w:rPr>
              <w:t>788 330</w:t>
            </w:r>
          </w:p>
        </w:tc>
        <w:tc>
          <w:tcPr>
            <w:tcW w:w="371" w:type="pct"/>
            <w:tcBorders>
              <w:top w:val="single" w:sz="4" w:space="0" w:color="auto"/>
            </w:tcBorders>
            <w:noWrap/>
            <w:vAlign w:val="bottom"/>
          </w:tcPr>
          <w:p w:rsidR="00000000" w:rsidRDefault="00000000">
            <w:pPr>
              <w:spacing w:before="60" w:after="60"/>
              <w:jc w:val="right"/>
              <w:rPr>
                <w:sz w:val="20"/>
                <w:szCs w:val="20"/>
              </w:rPr>
            </w:pPr>
            <w:r>
              <w:rPr>
                <w:sz w:val="20"/>
                <w:szCs w:val="20"/>
              </w:rPr>
              <w:t>2 762 459</w:t>
            </w:r>
          </w:p>
        </w:tc>
        <w:tc>
          <w:tcPr>
            <w:tcW w:w="307" w:type="pct"/>
            <w:tcBorders>
              <w:top w:val="single" w:sz="4" w:space="0" w:color="auto"/>
            </w:tcBorders>
            <w:noWrap/>
            <w:vAlign w:val="bottom"/>
          </w:tcPr>
          <w:p w:rsidR="00000000" w:rsidRDefault="00000000">
            <w:pPr>
              <w:spacing w:before="60" w:after="60"/>
              <w:jc w:val="right"/>
              <w:rPr>
                <w:sz w:val="20"/>
                <w:szCs w:val="20"/>
              </w:rPr>
            </w:pPr>
            <w:r>
              <w:rPr>
                <w:sz w:val="20"/>
                <w:szCs w:val="20"/>
              </w:rPr>
              <w:t>1 657 617</w:t>
            </w:r>
          </w:p>
        </w:tc>
        <w:tc>
          <w:tcPr>
            <w:tcW w:w="411" w:type="pct"/>
            <w:tcBorders>
              <w:top w:val="single" w:sz="4" w:space="0" w:color="auto"/>
            </w:tcBorders>
            <w:noWrap/>
            <w:vAlign w:val="bottom"/>
          </w:tcPr>
          <w:p w:rsidR="00000000" w:rsidRDefault="00000000">
            <w:pPr>
              <w:spacing w:before="60" w:after="60"/>
              <w:jc w:val="right"/>
              <w:rPr>
                <w:sz w:val="20"/>
                <w:szCs w:val="20"/>
              </w:rPr>
            </w:pPr>
            <w:r>
              <w:rPr>
                <w:sz w:val="20"/>
                <w:szCs w:val="20"/>
              </w:rPr>
              <w:t>1 104 842</w:t>
            </w:r>
          </w:p>
        </w:tc>
        <w:tc>
          <w:tcPr>
            <w:tcW w:w="437" w:type="pct"/>
            <w:tcBorders>
              <w:top w:val="single" w:sz="4" w:space="0" w:color="auto"/>
            </w:tcBorders>
            <w:noWrap/>
            <w:vAlign w:val="bottom"/>
          </w:tcPr>
          <w:p w:rsidR="00000000" w:rsidRDefault="00000000">
            <w:pPr>
              <w:spacing w:before="60" w:after="60"/>
              <w:jc w:val="right"/>
              <w:rPr>
                <w:sz w:val="20"/>
                <w:szCs w:val="20"/>
              </w:rPr>
            </w:pPr>
            <w:r>
              <w:rPr>
                <w:sz w:val="20"/>
                <w:szCs w:val="20"/>
              </w:rPr>
              <w:t>2 779 810</w:t>
            </w:r>
          </w:p>
        </w:tc>
        <w:tc>
          <w:tcPr>
            <w:tcW w:w="437" w:type="pct"/>
            <w:tcBorders>
              <w:top w:val="single" w:sz="4" w:space="0" w:color="auto"/>
            </w:tcBorders>
            <w:noWrap/>
            <w:vAlign w:val="bottom"/>
          </w:tcPr>
          <w:p w:rsidR="00000000" w:rsidRDefault="00000000">
            <w:pPr>
              <w:spacing w:before="60" w:after="60"/>
              <w:jc w:val="right"/>
              <w:rPr>
                <w:sz w:val="20"/>
                <w:szCs w:val="20"/>
              </w:rPr>
            </w:pPr>
            <w:r>
              <w:rPr>
                <w:sz w:val="20"/>
                <w:szCs w:val="20"/>
              </w:rPr>
              <w:t>1 680 474</w:t>
            </w:r>
          </w:p>
        </w:tc>
        <w:tc>
          <w:tcPr>
            <w:tcW w:w="308" w:type="pct"/>
            <w:tcBorders>
              <w:top w:val="single" w:sz="4" w:space="0" w:color="auto"/>
            </w:tcBorders>
            <w:noWrap/>
            <w:vAlign w:val="bottom"/>
          </w:tcPr>
          <w:p w:rsidR="00000000" w:rsidRDefault="00000000">
            <w:pPr>
              <w:spacing w:before="60" w:after="60"/>
              <w:jc w:val="right"/>
              <w:rPr>
                <w:sz w:val="20"/>
                <w:szCs w:val="20"/>
              </w:rPr>
            </w:pPr>
            <w:r>
              <w:rPr>
                <w:sz w:val="20"/>
                <w:szCs w:val="20"/>
              </w:rPr>
              <w:t>1 099 336</w:t>
            </w:r>
          </w:p>
        </w:tc>
      </w:tr>
      <w:tr w:rsidR="00000000">
        <w:trPr>
          <w:jc w:val="center"/>
        </w:trPr>
        <w:tc>
          <w:tcPr>
            <w:tcW w:w="868" w:type="pct"/>
            <w:noWrap/>
            <w:vAlign w:val="bottom"/>
          </w:tcPr>
          <w:p w:rsidR="00000000" w:rsidRDefault="00000000">
            <w:pPr>
              <w:spacing w:before="60" w:after="60"/>
              <w:rPr>
                <w:sz w:val="20"/>
                <w:szCs w:val="20"/>
              </w:rPr>
            </w:pPr>
            <w:r>
              <w:rPr>
                <w:sz w:val="20"/>
                <w:szCs w:val="20"/>
              </w:rPr>
              <w:t>Economically inactive population (EIP) (**)</w:t>
            </w:r>
          </w:p>
        </w:tc>
        <w:tc>
          <w:tcPr>
            <w:tcW w:w="308" w:type="pct"/>
            <w:noWrap/>
            <w:vAlign w:val="bottom"/>
          </w:tcPr>
          <w:p w:rsidR="00000000" w:rsidRDefault="00000000">
            <w:pPr>
              <w:spacing w:before="60" w:after="60"/>
              <w:jc w:val="right"/>
              <w:rPr>
                <w:sz w:val="20"/>
                <w:szCs w:val="20"/>
              </w:rPr>
            </w:pPr>
            <w:r>
              <w:rPr>
                <w:sz w:val="20"/>
                <w:szCs w:val="20"/>
              </w:rPr>
              <w:t>1 034 481</w:t>
            </w:r>
          </w:p>
        </w:tc>
        <w:tc>
          <w:tcPr>
            <w:tcW w:w="315" w:type="pct"/>
            <w:noWrap/>
            <w:vAlign w:val="bottom"/>
          </w:tcPr>
          <w:p w:rsidR="00000000" w:rsidRDefault="00000000">
            <w:pPr>
              <w:spacing w:before="60" w:after="60"/>
              <w:jc w:val="right"/>
              <w:rPr>
                <w:sz w:val="20"/>
                <w:szCs w:val="20"/>
              </w:rPr>
            </w:pPr>
            <w:r>
              <w:rPr>
                <w:sz w:val="20"/>
                <w:szCs w:val="20"/>
              </w:rPr>
              <w:t>294 439</w:t>
            </w:r>
          </w:p>
        </w:tc>
        <w:tc>
          <w:tcPr>
            <w:tcW w:w="307" w:type="pct"/>
            <w:noWrap/>
            <w:vAlign w:val="bottom"/>
          </w:tcPr>
          <w:p w:rsidR="00000000" w:rsidRDefault="00000000">
            <w:pPr>
              <w:spacing w:before="60" w:after="60"/>
              <w:jc w:val="right"/>
              <w:rPr>
                <w:sz w:val="20"/>
                <w:szCs w:val="20"/>
              </w:rPr>
            </w:pPr>
            <w:r>
              <w:rPr>
                <w:sz w:val="20"/>
                <w:szCs w:val="20"/>
              </w:rPr>
              <w:t>740 043</w:t>
            </w:r>
          </w:p>
        </w:tc>
        <w:tc>
          <w:tcPr>
            <w:tcW w:w="315" w:type="pct"/>
            <w:noWrap/>
            <w:vAlign w:val="bottom"/>
          </w:tcPr>
          <w:p w:rsidR="00000000" w:rsidRDefault="00000000">
            <w:pPr>
              <w:spacing w:before="60" w:after="60"/>
              <w:jc w:val="right"/>
              <w:rPr>
                <w:sz w:val="20"/>
                <w:szCs w:val="20"/>
              </w:rPr>
            </w:pPr>
            <w:r>
              <w:rPr>
                <w:sz w:val="20"/>
                <w:szCs w:val="20"/>
              </w:rPr>
              <w:t>1 599 408</w:t>
            </w:r>
          </w:p>
        </w:tc>
        <w:tc>
          <w:tcPr>
            <w:tcW w:w="307" w:type="pct"/>
            <w:noWrap/>
            <w:vAlign w:val="bottom"/>
          </w:tcPr>
          <w:p w:rsidR="00000000" w:rsidRDefault="00000000">
            <w:pPr>
              <w:spacing w:before="60" w:after="60"/>
              <w:jc w:val="right"/>
              <w:rPr>
                <w:sz w:val="20"/>
                <w:szCs w:val="20"/>
              </w:rPr>
            </w:pPr>
            <w:r>
              <w:rPr>
                <w:sz w:val="20"/>
                <w:szCs w:val="20"/>
              </w:rPr>
              <w:t>479 352</w:t>
            </w:r>
          </w:p>
        </w:tc>
        <w:tc>
          <w:tcPr>
            <w:tcW w:w="309" w:type="pct"/>
            <w:noWrap/>
            <w:vAlign w:val="bottom"/>
          </w:tcPr>
          <w:p w:rsidR="00000000" w:rsidRDefault="00000000">
            <w:pPr>
              <w:spacing w:before="60" w:after="60"/>
              <w:jc w:val="right"/>
              <w:rPr>
                <w:sz w:val="20"/>
                <w:szCs w:val="20"/>
              </w:rPr>
            </w:pPr>
            <w:r>
              <w:rPr>
                <w:sz w:val="20"/>
                <w:szCs w:val="20"/>
              </w:rPr>
              <w:t>1 120 057</w:t>
            </w:r>
          </w:p>
        </w:tc>
        <w:tc>
          <w:tcPr>
            <w:tcW w:w="371" w:type="pct"/>
            <w:noWrap/>
            <w:vAlign w:val="bottom"/>
          </w:tcPr>
          <w:p w:rsidR="00000000" w:rsidRDefault="00000000">
            <w:pPr>
              <w:spacing w:before="60" w:after="60"/>
              <w:jc w:val="right"/>
              <w:rPr>
                <w:sz w:val="20"/>
                <w:szCs w:val="20"/>
              </w:rPr>
            </w:pPr>
            <w:r>
              <w:rPr>
                <w:sz w:val="20"/>
                <w:szCs w:val="20"/>
              </w:rPr>
              <w:t>1 592 459</w:t>
            </w:r>
          </w:p>
        </w:tc>
        <w:tc>
          <w:tcPr>
            <w:tcW w:w="307" w:type="pct"/>
            <w:noWrap/>
            <w:vAlign w:val="bottom"/>
          </w:tcPr>
          <w:p w:rsidR="00000000" w:rsidRDefault="00000000">
            <w:pPr>
              <w:spacing w:before="60" w:after="60"/>
              <w:jc w:val="right"/>
              <w:rPr>
                <w:sz w:val="20"/>
                <w:szCs w:val="20"/>
              </w:rPr>
            </w:pPr>
            <w:r>
              <w:rPr>
                <w:sz w:val="20"/>
                <w:szCs w:val="20"/>
              </w:rPr>
              <w:t>505 698</w:t>
            </w:r>
          </w:p>
        </w:tc>
        <w:tc>
          <w:tcPr>
            <w:tcW w:w="411" w:type="pct"/>
            <w:noWrap/>
            <w:vAlign w:val="bottom"/>
          </w:tcPr>
          <w:p w:rsidR="00000000" w:rsidRDefault="00000000">
            <w:pPr>
              <w:spacing w:before="60" w:after="60"/>
              <w:jc w:val="right"/>
              <w:rPr>
                <w:sz w:val="20"/>
                <w:szCs w:val="20"/>
              </w:rPr>
            </w:pPr>
            <w:r>
              <w:rPr>
                <w:sz w:val="20"/>
                <w:szCs w:val="20"/>
              </w:rPr>
              <w:t>1 086 761</w:t>
            </w:r>
          </w:p>
        </w:tc>
        <w:tc>
          <w:tcPr>
            <w:tcW w:w="437" w:type="pct"/>
            <w:noWrap/>
            <w:vAlign w:val="bottom"/>
          </w:tcPr>
          <w:p w:rsidR="00000000" w:rsidRDefault="00000000">
            <w:pPr>
              <w:spacing w:before="60" w:after="60"/>
              <w:jc w:val="right"/>
              <w:rPr>
                <w:sz w:val="20"/>
                <w:szCs w:val="20"/>
              </w:rPr>
            </w:pPr>
            <w:r>
              <w:rPr>
                <w:sz w:val="20"/>
                <w:szCs w:val="20"/>
              </w:rPr>
              <w:t>1 718 453</w:t>
            </w:r>
          </w:p>
        </w:tc>
        <w:tc>
          <w:tcPr>
            <w:tcW w:w="437" w:type="pct"/>
            <w:noWrap/>
            <w:vAlign w:val="bottom"/>
          </w:tcPr>
          <w:p w:rsidR="00000000" w:rsidRDefault="00000000">
            <w:pPr>
              <w:spacing w:before="60" w:after="60"/>
              <w:jc w:val="right"/>
              <w:rPr>
                <w:sz w:val="20"/>
                <w:szCs w:val="20"/>
              </w:rPr>
            </w:pPr>
            <w:r>
              <w:rPr>
                <w:sz w:val="20"/>
                <w:szCs w:val="20"/>
              </w:rPr>
              <w:t>556 169</w:t>
            </w:r>
          </w:p>
        </w:tc>
        <w:tc>
          <w:tcPr>
            <w:tcW w:w="308" w:type="pct"/>
            <w:noWrap/>
            <w:vAlign w:val="bottom"/>
          </w:tcPr>
          <w:p w:rsidR="00000000" w:rsidRDefault="00000000">
            <w:pPr>
              <w:spacing w:before="60" w:after="60"/>
              <w:jc w:val="right"/>
              <w:rPr>
                <w:sz w:val="20"/>
                <w:szCs w:val="20"/>
              </w:rPr>
            </w:pPr>
            <w:r>
              <w:rPr>
                <w:sz w:val="20"/>
                <w:szCs w:val="20"/>
              </w:rPr>
              <w:t>1 162 284</w:t>
            </w:r>
          </w:p>
        </w:tc>
      </w:tr>
      <w:tr w:rsidR="00000000">
        <w:trPr>
          <w:jc w:val="center"/>
        </w:trPr>
        <w:tc>
          <w:tcPr>
            <w:tcW w:w="868" w:type="pct"/>
            <w:noWrap/>
            <w:vAlign w:val="bottom"/>
          </w:tcPr>
          <w:p w:rsidR="00000000" w:rsidRDefault="00000000">
            <w:pPr>
              <w:spacing w:before="60" w:after="60"/>
              <w:rPr>
                <w:sz w:val="20"/>
                <w:szCs w:val="20"/>
              </w:rPr>
            </w:pPr>
            <w:r>
              <w:rPr>
                <w:sz w:val="20"/>
                <w:szCs w:val="20"/>
              </w:rPr>
              <w:t>Employed population</w:t>
            </w:r>
          </w:p>
        </w:tc>
        <w:tc>
          <w:tcPr>
            <w:tcW w:w="308" w:type="pct"/>
            <w:noWrap/>
            <w:vAlign w:val="bottom"/>
          </w:tcPr>
          <w:p w:rsidR="00000000" w:rsidRDefault="00000000">
            <w:pPr>
              <w:spacing w:before="60" w:after="60"/>
              <w:jc w:val="right"/>
              <w:rPr>
                <w:sz w:val="20"/>
                <w:szCs w:val="20"/>
              </w:rPr>
            </w:pPr>
            <w:r>
              <w:rPr>
                <w:sz w:val="20"/>
                <w:szCs w:val="20"/>
              </w:rPr>
              <w:t>2 245 742</w:t>
            </w:r>
          </w:p>
        </w:tc>
        <w:tc>
          <w:tcPr>
            <w:tcW w:w="315" w:type="pct"/>
            <w:noWrap/>
            <w:vAlign w:val="bottom"/>
          </w:tcPr>
          <w:p w:rsidR="00000000" w:rsidRDefault="00000000">
            <w:pPr>
              <w:spacing w:before="60" w:after="60"/>
              <w:jc w:val="right"/>
              <w:rPr>
                <w:sz w:val="20"/>
                <w:szCs w:val="20"/>
              </w:rPr>
            </w:pPr>
            <w:r>
              <w:rPr>
                <w:sz w:val="20"/>
                <w:szCs w:val="20"/>
              </w:rPr>
              <w:t>1 330 321</w:t>
            </w:r>
          </w:p>
        </w:tc>
        <w:tc>
          <w:tcPr>
            <w:tcW w:w="307" w:type="pct"/>
            <w:noWrap/>
            <w:vAlign w:val="bottom"/>
          </w:tcPr>
          <w:p w:rsidR="00000000" w:rsidRDefault="00000000">
            <w:pPr>
              <w:spacing w:before="60" w:after="60"/>
              <w:jc w:val="right"/>
              <w:rPr>
                <w:sz w:val="20"/>
                <w:szCs w:val="20"/>
              </w:rPr>
            </w:pPr>
            <w:r>
              <w:rPr>
                <w:sz w:val="20"/>
                <w:szCs w:val="20"/>
              </w:rPr>
              <w:t>915 421</w:t>
            </w:r>
          </w:p>
        </w:tc>
        <w:tc>
          <w:tcPr>
            <w:tcW w:w="315" w:type="pct"/>
            <w:noWrap/>
            <w:vAlign w:val="bottom"/>
          </w:tcPr>
          <w:p w:rsidR="00000000" w:rsidRDefault="00000000">
            <w:pPr>
              <w:spacing w:before="60" w:after="60"/>
              <w:jc w:val="right"/>
              <w:rPr>
                <w:sz w:val="20"/>
                <w:szCs w:val="20"/>
              </w:rPr>
            </w:pPr>
            <w:r>
              <w:rPr>
                <w:sz w:val="20"/>
                <w:szCs w:val="20"/>
              </w:rPr>
              <w:t>2 000 412</w:t>
            </w:r>
          </w:p>
        </w:tc>
        <w:tc>
          <w:tcPr>
            <w:tcW w:w="307" w:type="pct"/>
            <w:noWrap/>
            <w:vAlign w:val="bottom"/>
          </w:tcPr>
          <w:p w:rsidR="00000000" w:rsidRDefault="00000000">
            <w:pPr>
              <w:spacing w:before="60" w:after="60"/>
              <w:jc w:val="right"/>
              <w:rPr>
                <w:sz w:val="20"/>
                <w:szCs w:val="20"/>
              </w:rPr>
            </w:pPr>
            <w:r>
              <w:rPr>
                <w:sz w:val="20"/>
                <w:szCs w:val="20"/>
              </w:rPr>
              <w:t>1 270 898</w:t>
            </w:r>
          </w:p>
        </w:tc>
        <w:tc>
          <w:tcPr>
            <w:tcW w:w="309" w:type="pct"/>
            <w:noWrap/>
            <w:vAlign w:val="bottom"/>
          </w:tcPr>
          <w:p w:rsidR="00000000" w:rsidRDefault="00000000">
            <w:pPr>
              <w:spacing w:before="60" w:after="60"/>
              <w:jc w:val="right"/>
              <w:rPr>
                <w:sz w:val="20"/>
                <w:szCs w:val="20"/>
              </w:rPr>
            </w:pPr>
            <w:r>
              <w:rPr>
                <w:sz w:val="20"/>
                <w:szCs w:val="20"/>
              </w:rPr>
              <w:t>729 514</w:t>
            </w:r>
          </w:p>
        </w:tc>
        <w:tc>
          <w:tcPr>
            <w:tcW w:w="371" w:type="pct"/>
            <w:noWrap/>
            <w:vAlign w:val="bottom"/>
          </w:tcPr>
          <w:p w:rsidR="00000000" w:rsidRDefault="00000000">
            <w:pPr>
              <w:spacing w:before="60" w:after="60"/>
              <w:jc w:val="right"/>
              <w:rPr>
                <w:sz w:val="20"/>
                <w:szCs w:val="20"/>
              </w:rPr>
            </w:pPr>
            <w:r>
              <w:rPr>
                <w:sz w:val="20"/>
                <w:szCs w:val="20"/>
              </w:rPr>
              <w:t>2 560 612</w:t>
            </w:r>
          </w:p>
        </w:tc>
        <w:tc>
          <w:tcPr>
            <w:tcW w:w="307" w:type="pct"/>
            <w:noWrap/>
            <w:vAlign w:val="bottom"/>
          </w:tcPr>
          <w:p w:rsidR="00000000" w:rsidRDefault="00000000">
            <w:pPr>
              <w:spacing w:before="60" w:after="60"/>
              <w:jc w:val="right"/>
              <w:rPr>
                <w:sz w:val="20"/>
                <w:szCs w:val="20"/>
              </w:rPr>
            </w:pPr>
            <w:r>
              <w:rPr>
                <w:sz w:val="20"/>
                <w:szCs w:val="20"/>
              </w:rPr>
              <w:t>1 561 745</w:t>
            </w:r>
          </w:p>
        </w:tc>
        <w:tc>
          <w:tcPr>
            <w:tcW w:w="411" w:type="pct"/>
            <w:noWrap/>
            <w:vAlign w:val="bottom"/>
          </w:tcPr>
          <w:p w:rsidR="00000000" w:rsidRDefault="00000000">
            <w:pPr>
              <w:spacing w:before="60" w:after="60"/>
              <w:jc w:val="right"/>
              <w:rPr>
                <w:sz w:val="20"/>
                <w:szCs w:val="20"/>
              </w:rPr>
            </w:pPr>
            <w:r>
              <w:rPr>
                <w:sz w:val="20"/>
                <w:szCs w:val="20"/>
              </w:rPr>
              <w:t>998 867</w:t>
            </w:r>
          </w:p>
        </w:tc>
        <w:tc>
          <w:tcPr>
            <w:tcW w:w="437" w:type="pct"/>
            <w:noWrap/>
            <w:vAlign w:val="bottom"/>
          </w:tcPr>
          <w:p w:rsidR="00000000" w:rsidRDefault="00000000">
            <w:pPr>
              <w:spacing w:before="60" w:after="60"/>
              <w:jc w:val="right"/>
              <w:rPr>
                <w:sz w:val="20"/>
                <w:szCs w:val="20"/>
              </w:rPr>
            </w:pPr>
            <w:r>
              <w:rPr>
                <w:sz w:val="20"/>
                <w:szCs w:val="20"/>
              </w:rPr>
              <w:t>2 617 708</w:t>
            </w:r>
          </w:p>
        </w:tc>
        <w:tc>
          <w:tcPr>
            <w:tcW w:w="437" w:type="pct"/>
            <w:noWrap/>
            <w:vAlign w:val="bottom"/>
          </w:tcPr>
          <w:p w:rsidR="00000000" w:rsidRDefault="00000000">
            <w:pPr>
              <w:spacing w:before="60" w:after="60"/>
              <w:jc w:val="right"/>
              <w:rPr>
                <w:sz w:val="20"/>
                <w:szCs w:val="20"/>
              </w:rPr>
            </w:pPr>
            <w:r>
              <w:rPr>
                <w:sz w:val="20"/>
                <w:szCs w:val="20"/>
              </w:rPr>
              <w:t>1 598 232</w:t>
            </w:r>
          </w:p>
        </w:tc>
        <w:tc>
          <w:tcPr>
            <w:tcW w:w="308" w:type="pct"/>
            <w:noWrap/>
            <w:vAlign w:val="bottom"/>
          </w:tcPr>
          <w:p w:rsidR="00000000" w:rsidRDefault="00000000">
            <w:pPr>
              <w:spacing w:before="60" w:after="60"/>
              <w:jc w:val="right"/>
              <w:rPr>
                <w:sz w:val="20"/>
                <w:szCs w:val="20"/>
              </w:rPr>
            </w:pPr>
            <w:r>
              <w:rPr>
                <w:sz w:val="20"/>
                <w:szCs w:val="20"/>
              </w:rPr>
              <w:t>1 019 476</w:t>
            </w:r>
          </w:p>
        </w:tc>
      </w:tr>
      <w:tr w:rsidR="00000000">
        <w:trPr>
          <w:jc w:val="center"/>
        </w:trPr>
        <w:tc>
          <w:tcPr>
            <w:tcW w:w="868" w:type="pct"/>
            <w:noWrap/>
            <w:vAlign w:val="bottom"/>
          </w:tcPr>
          <w:p w:rsidR="00000000" w:rsidRDefault="00000000">
            <w:pPr>
              <w:spacing w:before="60" w:after="60"/>
              <w:rPr>
                <w:sz w:val="20"/>
                <w:szCs w:val="20"/>
              </w:rPr>
            </w:pPr>
            <w:r>
              <w:rPr>
                <w:sz w:val="20"/>
                <w:szCs w:val="20"/>
              </w:rPr>
              <w:t>Overt unemployment</w:t>
            </w:r>
          </w:p>
        </w:tc>
        <w:tc>
          <w:tcPr>
            <w:tcW w:w="308" w:type="pct"/>
            <w:noWrap/>
            <w:vAlign w:val="bottom"/>
          </w:tcPr>
          <w:p w:rsidR="00000000" w:rsidRDefault="00000000">
            <w:pPr>
              <w:spacing w:before="60" w:after="60"/>
              <w:jc w:val="right"/>
              <w:rPr>
                <w:sz w:val="20"/>
                <w:szCs w:val="20"/>
              </w:rPr>
            </w:pPr>
            <w:r>
              <w:rPr>
                <w:sz w:val="20"/>
                <w:szCs w:val="20"/>
              </w:rPr>
              <w:t>77 843</w:t>
            </w:r>
          </w:p>
        </w:tc>
        <w:tc>
          <w:tcPr>
            <w:tcW w:w="315" w:type="pct"/>
            <w:noWrap/>
            <w:vAlign w:val="bottom"/>
          </w:tcPr>
          <w:p w:rsidR="00000000" w:rsidRDefault="00000000">
            <w:pPr>
              <w:spacing w:before="60" w:after="60"/>
              <w:jc w:val="right"/>
              <w:rPr>
                <w:sz w:val="20"/>
                <w:szCs w:val="20"/>
              </w:rPr>
            </w:pPr>
            <w:r>
              <w:rPr>
                <w:sz w:val="20"/>
                <w:szCs w:val="20"/>
              </w:rPr>
              <w:t>41 888</w:t>
            </w:r>
          </w:p>
        </w:tc>
        <w:tc>
          <w:tcPr>
            <w:tcW w:w="307" w:type="pct"/>
            <w:noWrap/>
            <w:vAlign w:val="bottom"/>
          </w:tcPr>
          <w:p w:rsidR="00000000" w:rsidRDefault="00000000">
            <w:pPr>
              <w:spacing w:before="60" w:after="60"/>
              <w:jc w:val="right"/>
              <w:rPr>
                <w:sz w:val="20"/>
                <w:szCs w:val="20"/>
              </w:rPr>
            </w:pPr>
            <w:r>
              <w:rPr>
                <w:sz w:val="20"/>
                <w:szCs w:val="20"/>
              </w:rPr>
              <w:t>35 955</w:t>
            </w:r>
          </w:p>
        </w:tc>
        <w:tc>
          <w:tcPr>
            <w:tcW w:w="315" w:type="pct"/>
            <w:noWrap/>
            <w:vAlign w:val="bottom"/>
          </w:tcPr>
          <w:p w:rsidR="00000000" w:rsidRDefault="00000000">
            <w:pPr>
              <w:spacing w:before="60" w:after="60"/>
              <w:jc w:val="right"/>
              <w:rPr>
                <w:sz w:val="20"/>
                <w:szCs w:val="20"/>
              </w:rPr>
            </w:pPr>
            <w:r>
              <w:rPr>
                <w:sz w:val="20"/>
                <w:szCs w:val="20"/>
              </w:rPr>
              <w:t>146 599</w:t>
            </w:r>
          </w:p>
        </w:tc>
        <w:tc>
          <w:tcPr>
            <w:tcW w:w="307" w:type="pct"/>
            <w:noWrap/>
            <w:vAlign w:val="bottom"/>
          </w:tcPr>
          <w:p w:rsidR="00000000" w:rsidRDefault="00000000">
            <w:pPr>
              <w:spacing w:before="60" w:after="60"/>
              <w:jc w:val="right"/>
              <w:rPr>
                <w:sz w:val="20"/>
                <w:szCs w:val="20"/>
              </w:rPr>
            </w:pPr>
            <w:r>
              <w:rPr>
                <w:sz w:val="20"/>
                <w:szCs w:val="20"/>
              </w:rPr>
              <w:t>87 782</w:t>
            </w:r>
          </w:p>
        </w:tc>
        <w:tc>
          <w:tcPr>
            <w:tcW w:w="309" w:type="pct"/>
            <w:noWrap/>
            <w:vAlign w:val="bottom"/>
          </w:tcPr>
          <w:p w:rsidR="00000000" w:rsidRDefault="00000000">
            <w:pPr>
              <w:spacing w:before="60" w:after="60"/>
              <w:jc w:val="right"/>
              <w:rPr>
                <w:sz w:val="20"/>
                <w:szCs w:val="20"/>
              </w:rPr>
            </w:pPr>
            <w:r>
              <w:rPr>
                <w:sz w:val="20"/>
                <w:szCs w:val="20"/>
              </w:rPr>
              <w:t>58 816</w:t>
            </w:r>
          </w:p>
        </w:tc>
        <w:tc>
          <w:tcPr>
            <w:tcW w:w="371" w:type="pct"/>
            <w:noWrap/>
            <w:vAlign w:val="bottom"/>
          </w:tcPr>
          <w:p w:rsidR="00000000" w:rsidRDefault="00000000">
            <w:pPr>
              <w:spacing w:before="60" w:after="60"/>
              <w:jc w:val="right"/>
              <w:rPr>
                <w:sz w:val="20"/>
                <w:szCs w:val="20"/>
              </w:rPr>
            </w:pPr>
            <w:r>
              <w:rPr>
                <w:sz w:val="20"/>
                <w:szCs w:val="20"/>
              </w:rPr>
              <w:t>201 847</w:t>
            </w:r>
          </w:p>
        </w:tc>
        <w:tc>
          <w:tcPr>
            <w:tcW w:w="307" w:type="pct"/>
            <w:noWrap/>
            <w:vAlign w:val="bottom"/>
          </w:tcPr>
          <w:p w:rsidR="00000000" w:rsidRDefault="00000000">
            <w:pPr>
              <w:spacing w:before="60" w:after="60"/>
              <w:jc w:val="right"/>
              <w:rPr>
                <w:sz w:val="20"/>
                <w:szCs w:val="20"/>
              </w:rPr>
            </w:pPr>
            <w:r>
              <w:rPr>
                <w:sz w:val="20"/>
                <w:szCs w:val="20"/>
              </w:rPr>
              <w:t>95 872</w:t>
            </w:r>
          </w:p>
        </w:tc>
        <w:tc>
          <w:tcPr>
            <w:tcW w:w="411" w:type="pct"/>
            <w:noWrap/>
            <w:vAlign w:val="bottom"/>
          </w:tcPr>
          <w:p w:rsidR="00000000" w:rsidRDefault="00000000">
            <w:pPr>
              <w:spacing w:before="60" w:after="60"/>
              <w:jc w:val="right"/>
              <w:rPr>
                <w:sz w:val="20"/>
                <w:szCs w:val="20"/>
              </w:rPr>
            </w:pPr>
            <w:r>
              <w:rPr>
                <w:sz w:val="20"/>
                <w:szCs w:val="20"/>
              </w:rPr>
              <w:t>105 975</w:t>
            </w:r>
          </w:p>
        </w:tc>
        <w:tc>
          <w:tcPr>
            <w:tcW w:w="437" w:type="pct"/>
            <w:noWrap/>
            <w:vAlign w:val="bottom"/>
          </w:tcPr>
          <w:p w:rsidR="00000000" w:rsidRDefault="00000000">
            <w:pPr>
              <w:spacing w:before="60" w:after="60"/>
              <w:jc w:val="right"/>
              <w:rPr>
                <w:sz w:val="20"/>
                <w:szCs w:val="20"/>
              </w:rPr>
            </w:pPr>
            <w:r>
              <w:rPr>
                <w:sz w:val="20"/>
                <w:szCs w:val="20"/>
              </w:rPr>
              <w:t>162 102</w:t>
            </w:r>
          </w:p>
        </w:tc>
        <w:tc>
          <w:tcPr>
            <w:tcW w:w="437" w:type="pct"/>
            <w:noWrap/>
            <w:vAlign w:val="bottom"/>
          </w:tcPr>
          <w:p w:rsidR="00000000" w:rsidRDefault="00000000">
            <w:pPr>
              <w:spacing w:before="60" w:after="60"/>
              <w:jc w:val="right"/>
              <w:rPr>
                <w:sz w:val="20"/>
                <w:szCs w:val="20"/>
              </w:rPr>
            </w:pPr>
            <w:r>
              <w:rPr>
                <w:sz w:val="20"/>
                <w:szCs w:val="20"/>
              </w:rPr>
              <w:t>82 242</w:t>
            </w:r>
          </w:p>
        </w:tc>
        <w:tc>
          <w:tcPr>
            <w:tcW w:w="308" w:type="pct"/>
            <w:noWrap/>
            <w:vAlign w:val="bottom"/>
          </w:tcPr>
          <w:p w:rsidR="00000000" w:rsidRDefault="00000000">
            <w:pPr>
              <w:spacing w:before="60" w:after="60"/>
              <w:jc w:val="right"/>
              <w:rPr>
                <w:sz w:val="20"/>
                <w:szCs w:val="20"/>
              </w:rPr>
            </w:pPr>
            <w:r>
              <w:rPr>
                <w:sz w:val="20"/>
                <w:szCs w:val="20"/>
              </w:rPr>
              <w:t>79 860</w:t>
            </w:r>
          </w:p>
        </w:tc>
      </w:tr>
      <w:tr w:rsidR="00000000">
        <w:trPr>
          <w:jc w:val="center"/>
        </w:trPr>
        <w:tc>
          <w:tcPr>
            <w:tcW w:w="868" w:type="pct"/>
            <w:noWrap/>
            <w:vAlign w:val="bottom"/>
          </w:tcPr>
          <w:p w:rsidR="00000000" w:rsidRDefault="00000000">
            <w:pPr>
              <w:spacing w:before="60" w:after="60"/>
              <w:rPr>
                <w:sz w:val="20"/>
                <w:szCs w:val="20"/>
              </w:rPr>
            </w:pPr>
            <w:r>
              <w:rPr>
                <w:sz w:val="20"/>
                <w:szCs w:val="20"/>
              </w:rPr>
              <w:t>Invisible unemployment</w:t>
            </w:r>
          </w:p>
        </w:tc>
        <w:tc>
          <w:tcPr>
            <w:tcW w:w="308" w:type="pct"/>
            <w:noWrap/>
            <w:vAlign w:val="bottom"/>
          </w:tcPr>
          <w:p w:rsidR="00000000" w:rsidRDefault="00000000">
            <w:pPr>
              <w:spacing w:before="60" w:after="60"/>
              <w:jc w:val="right"/>
              <w:rPr>
                <w:sz w:val="20"/>
                <w:szCs w:val="20"/>
              </w:rPr>
            </w:pPr>
            <w:r>
              <w:rPr>
                <w:sz w:val="20"/>
                <w:szCs w:val="20"/>
              </w:rPr>
              <w:t>62 021</w:t>
            </w:r>
          </w:p>
        </w:tc>
        <w:tc>
          <w:tcPr>
            <w:tcW w:w="315" w:type="pct"/>
            <w:noWrap/>
            <w:vAlign w:val="bottom"/>
          </w:tcPr>
          <w:p w:rsidR="00000000" w:rsidRDefault="00000000">
            <w:pPr>
              <w:spacing w:before="60" w:after="60"/>
              <w:jc w:val="right"/>
              <w:rPr>
                <w:sz w:val="20"/>
                <w:szCs w:val="20"/>
              </w:rPr>
            </w:pPr>
            <w:r>
              <w:rPr>
                <w:sz w:val="20"/>
                <w:szCs w:val="20"/>
              </w:rPr>
              <w:t>26 046</w:t>
            </w:r>
          </w:p>
        </w:tc>
        <w:tc>
          <w:tcPr>
            <w:tcW w:w="307" w:type="pct"/>
            <w:noWrap/>
            <w:vAlign w:val="bottom"/>
          </w:tcPr>
          <w:p w:rsidR="00000000" w:rsidRDefault="00000000">
            <w:pPr>
              <w:spacing w:before="60" w:after="60"/>
              <w:jc w:val="right"/>
              <w:rPr>
                <w:sz w:val="20"/>
                <w:szCs w:val="20"/>
              </w:rPr>
            </w:pPr>
            <w:r>
              <w:rPr>
                <w:sz w:val="20"/>
                <w:szCs w:val="20"/>
              </w:rPr>
              <w:t>35 975</w:t>
            </w:r>
          </w:p>
        </w:tc>
        <w:tc>
          <w:tcPr>
            <w:tcW w:w="315" w:type="pct"/>
            <w:noWrap/>
            <w:vAlign w:val="bottom"/>
          </w:tcPr>
          <w:p w:rsidR="00000000" w:rsidRDefault="00000000">
            <w:pPr>
              <w:spacing w:before="60" w:after="60"/>
              <w:jc w:val="right"/>
              <w:rPr>
                <w:sz w:val="20"/>
                <w:szCs w:val="20"/>
              </w:rPr>
            </w:pPr>
            <w:r>
              <w:rPr>
                <w:sz w:val="20"/>
                <w:szCs w:val="20"/>
              </w:rPr>
              <w:t>231 852</w:t>
            </w:r>
          </w:p>
        </w:tc>
        <w:tc>
          <w:tcPr>
            <w:tcW w:w="307" w:type="pct"/>
            <w:noWrap/>
            <w:vAlign w:val="bottom"/>
          </w:tcPr>
          <w:p w:rsidR="00000000" w:rsidRDefault="00000000">
            <w:pPr>
              <w:spacing w:before="60" w:after="60"/>
              <w:jc w:val="right"/>
              <w:rPr>
                <w:sz w:val="20"/>
                <w:szCs w:val="20"/>
              </w:rPr>
            </w:pPr>
            <w:r>
              <w:rPr>
                <w:sz w:val="20"/>
                <w:szCs w:val="20"/>
              </w:rPr>
              <w:t>80 529</w:t>
            </w:r>
          </w:p>
        </w:tc>
        <w:tc>
          <w:tcPr>
            <w:tcW w:w="309" w:type="pct"/>
            <w:noWrap/>
            <w:vAlign w:val="bottom"/>
          </w:tcPr>
          <w:p w:rsidR="00000000" w:rsidRDefault="00000000">
            <w:pPr>
              <w:spacing w:before="60" w:after="60"/>
              <w:jc w:val="right"/>
              <w:rPr>
                <w:sz w:val="20"/>
                <w:szCs w:val="20"/>
              </w:rPr>
            </w:pPr>
            <w:r>
              <w:rPr>
                <w:sz w:val="20"/>
                <w:szCs w:val="20"/>
              </w:rPr>
              <w:t>151 323</w:t>
            </w:r>
          </w:p>
        </w:tc>
        <w:tc>
          <w:tcPr>
            <w:tcW w:w="371" w:type="pct"/>
            <w:noWrap/>
            <w:vAlign w:val="bottom"/>
          </w:tcPr>
          <w:p w:rsidR="00000000" w:rsidRDefault="00000000">
            <w:pPr>
              <w:spacing w:before="60" w:after="60"/>
              <w:jc w:val="right"/>
              <w:rPr>
                <w:sz w:val="20"/>
                <w:szCs w:val="20"/>
              </w:rPr>
            </w:pPr>
            <w:r>
              <w:rPr>
                <w:sz w:val="20"/>
                <w:szCs w:val="20"/>
              </w:rPr>
              <w:t>112 297</w:t>
            </w:r>
          </w:p>
        </w:tc>
        <w:tc>
          <w:tcPr>
            <w:tcW w:w="307" w:type="pct"/>
            <w:noWrap/>
            <w:vAlign w:val="bottom"/>
          </w:tcPr>
          <w:p w:rsidR="00000000" w:rsidRDefault="00000000">
            <w:pPr>
              <w:spacing w:before="60" w:after="60"/>
              <w:jc w:val="right"/>
              <w:rPr>
                <w:sz w:val="20"/>
                <w:szCs w:val="20"/>
              </w:rPr>
            </w:pPr>
            <w:r>
              <w:rPr>
                <w:sz w:val="20"/>
                <w:szCs w:val="20"/>
              </w:rPr>
              <w:t>40 578</w:t>
            </w:r>
          </w:p>
        </w:tc>
        <w:tc>
          <w:tcPr>
            <w:tcW w:w="411" w:type="pct"/>
            <w:noWrap/>
            <w:vAlign w:val="bottom"/>
          </w:tcPr>
          <w:p w:rsidR="00000000" w:rsidRDefault="00000000">
            <w:pPr>
              <w:spacing w:before="60" w:after="60"/>
              <w:jc w:val="right"/>
              <w:rPr>
                <w:sz w:val="20"/>
                <w:szCs w:val="20"/>
              </w:rPr>
            </w:pPr>
            <w:r>
              <w:rPr>
                <w:sz w:val="20"/>
                <w:szCs w:val="20"/>
              </w:rPr>
              <w:t>71 719</w:t>
            </w:r>
          </w:p>
        </w:tc>
        <w:tc>
          <w:tcPr>
            <w:tcW w:w="437" w:type="pct"/>
            <w:noWrap/>
            <w:vAlign w:val="bottom"/>
          </w:tcPr>
          <w:p w:rsidR="00000000" w:rsidRDefault="00000000">
            <w:pPr>
              <w:spacing w:before="60" w:after="60"/>
              <w:jc w:val="right"/>
              <w:rPr>
                <w:sz w:val="20"/>
                <w:szCs w:val="20"/>
              </w:rPr>
            </w:pPr>
            <w:r>
              <w:rPr>
                <w:sz w:val="20"/>
                <w:szCs w:val="20"/>
              </w:rPr>
              <w:t>108 132</w:t>
            </w:r>
          </w:p>
        </w:tc>
        <w:tc>
          <w:tcPr>
            <w:tcW w:w="437" w:type="pct"/>
            <w:noWrap/>
            <w:vAlign w:val="bottom"/>
          </w:tcPr>
          <w:p w:rsidR="00000000" w:rsidRDefault="00000000">
            <w:pPr>
              <w:spacing w:before="60" w:after="60"/>
              <w:jc w:val="right"/>
              <w:rPr>
                <w:sz w:val="20"/>
                <w:szCs w:val="20"/>
              </w:rPr>
            </w:pPr>
            <w:r>
              <w:rPr>
                <w:sz w:val="20"/>
                <w:szCs w:val="20"/>
              </w:rPr>
              <w:t>42 011</w:t>
            </w:r>
          </w:p>
        </w:tc>
        <w:tc>
          <w:tcPr>
            <w:tcW w:w="308" w:type="pct"/>
            <w:noWrap/>
            <w:vAlign w:val="bottom"/>
          </w:tcPr>
          <w:p w:rsidR="00000000" w:rsidRDefault="00000000">
            <w:pPr>
              <w:spacing w:before="60" w:after="60"/>
              <w:jc w:val="right"/>
              <w:rPr>
                <w:sz w:val="20"/>
                <w:szCs w:val="20"/>
              </w:rPr>
            </w:pPr>
            <w:r>
              <w:rPr>
                <w:sz w:val="20"/>
                <w:szCs w:val="20"/>
              </w:rPr>
              <w:t>66 121</w:t>
            </w:r>
          </w:p>
        </w:tc>
      </w:tr>
      <w:tr w:rsidR="00000000">
        <w:trPr>
          <w:jc w:val="center"/>
        </w:trPr>
        <w:tc>
          <w:tcPr>
            <w:tcW w:w="868" w:type="pct"/>
            <w:noWrap/>
            <w:vAlign w:val="bottom"/>
          </w:tcPr>
          <w:p w:rsidR="00000000" w:rsidRDefault="00000000">
            <w:pPr>
              <w:spacing w:before="60" w:after="60"/>
              <w:rPr>
                <w:sz w:val="20"/>
                <w:szCs w:val="20"/>
              </w:rPr>
            </w:pPr>
            <w:r>
              <w:rPr>
                <w:sz w:val="20"/>
                <w:szCs w:val="20"/>
              </w:rPr>
              <w:t>Underemployed population</w:t>
            </w:r>
          </w:p>
        </w:tc>
        <w:tc>
          <w:tcPr>
            <w:tcW w:w="308" w:type="pct"/>
            <w:noWrap/>
            <w:vAlign w:val="bottom"/>
          </w:tcPr>
          <w:p w:rsidR="00000000" w:rsidRDefault="00000000">
            <w:pPr>
              <w:spacing w:before="60" w:after="60"/>
              <w:jc w:val="right"/>
              <w:rPr>
                <w:sz w:val="20"/>
                <w:szCs w:val="20"/>
              </w:rPr>
            </w:pPr>
            <w:r>
              <w:rPr>
                <w:sz w:val="20"/>
                <w:szCs w:val="20"/>
              </w:rPr>
              <w:t>388 639</w:t>
            </w:r>
          </w:p>
        </w:tc>
        <w:tc>
          <w:tcPr>
            <w:tcW w:w="315" w:type="pct"/>
            <w:noWrap/>
            <w:vAlign w:val="bottom"/>
          </w:tcPr>
          <w:p w:rsidR="00000000" w:rsidRDefault="00000000">
            <w:pPr>
              <w:spacing w:before="60" w:after="60"/>
              <w:jc w:val="right"/>
              <w:rPr>
                <w:sz w:val="20"/>
                <w:szCs w:val="20"/>
              </w:rPr>
            </w:pPr>
            <w:r>
              <w:rPr>
                <w:sz w:val="20"/>
                <w:szCs w:val="20"/>
              </w:rPr>
              <w:t>209 084</w:t>
            </w:r>
          </w:p>
        </w:tc>
        <w:tc>
          <w:tcPr>
            <w:tcW w:w="307" w:type="pct"/>
            <w:noWrap/>
            <w:vAlign w:val="bottom"/>
          </w:tcPr>
          <w:p w:rsidR="00000000" w:rsidRDefault="00000000">
            <w:pPr>
              <w:spacing w:before="60" w:after="60"/>
              <w:jc w:val="right"/>
              <w:rPr>
                <w:sz w:val="20"/>
                <w:szCs w:val="20"/>
              </w:rPr>
            </w:pPr>
            <w:r>
              <w:rPr>
                <w:sz w:val="20"/>
                <w:szCs w:val="20"/>
              </w:rPr>
              <w:t>179 555</w:t>
            </w:r>
          </w:p>
        </w:tc>
        <w:tc>
          <w:tcPr>
            <w:tcW w:w="315" w:type="pct"/>
            <w:noWrap/>
            <w:vAlign w:val="bottom"/>
          </w:tcPr>
          <w:p w:rsidR="00000000" w:rsidRDefault="00000000">
            <w:pPr>
              <w:spacing w:before="60" w:after="60"/>
              <w:jc w:val="right"/>
              <w:rPr>
                <w:sz w:val="20"/>
                <w:szCs w:val="20"/>
              </w:rPr>
            </w:pPr>
            <w:r>
              <w:rPr>
                <w:sz w:val="20"/>
                <w:szCs w:val="20"/>
              </w:rPr>
              <w:t>377 500</w:t>
            </w:r>
          </w:p>
        </w:tc>
        <w:tc>
          <w:tcPr>
            <w:tcW w:w="307" w:type="pct"/>
            <w:noWrap/>
            <w:vAlign w:val="bottom"/>
          </w:tcPr>
          <w:p w:rsidR="00000000" w:rsidRDefault="00000000">
            <w:pPr>
              <w:spacing w:before="60" w:after="60"/>
              <w:jc w:val="right"/>
              <w:rPr>
                <w:sz w:val="20"/>
                <w:szCs w:val="20"/>
              </w:rPr>
            </w:pPr>
            <w:r>
              <w:rPr>
                <w:sz w:val="20"/>
                <w:szCs w:val="20"/>
              </w:rPr>
              <w:t>201 950</w:t>
            </w:r>
          </w:p>
        </w:tc>
        <w:tc>
          <w:tcPr>
            <w:tcW w:w="309" w:type="pct"/>
            <w:noWrap/>
            <w:vAlign w:val="bottom"/>
          </w:tcPr>
          <w:p w:rsidR="00000000" w:rsidRDefault="00000000">
            <w:pPr>
              <w:spacing w:before="60" w:after="60"/>
              <w:jc w:val="right"/>
              <w:rPr>
                <w:sz w:val="20"/>
                <w:szCs w:val="20"/>
              </w:rPr>
            </w:pPr>
            <w:r>
              <w:rPr>
                <w:sz w:val="20"/>
                <w:szCs w:val="20"/>
              </w:rPr>
              <w:t>175 551</w:t>
            </w:r>
          </w:p>
        </w:tc>
        <w:tc>
          <w:tcPr>
            <w:tcW w:w="371" w:type="pct"/>
            <w:noWrap/>
            <w:vAlign w:val="bottom"/>
          </w:tcPr>
          <w:p w:rsidR="00000000" w:rsidRDefault="00000000">
            <w:pPr>
              <w:spacing w:before="60" w:after="60"/>
              <w:jc w:val="right"/>
              <w:rPr>
                <w:sz w:val="20"/>
                <w:szCs w:val="20"/>
              </w:rPr>
            </w:pPr>
            <w:r>
              <w:rPr>
                <w:sz w:val="20"/>
                <w:szCs w:val="20"/>
              </w:rPr>
              <w:t>667 735</w:t>
            </w:r>
          </w:p>
        </w:tc>
        <w:tc>
          <w:tcPr>
            <w:tcW w:w="307" w:type="pct"/>
            <w:noWrap/>
            <w:vAlign w:val="bottom"/>
          </w:tcPr>
          <w:p w:rsidR="00000000" w:rsidRDefault="00000000">
            <w:pPr>
              <w:spacing w:before="60" w:after="60"/>
              <w:jc w:val="right"/>
              <w:rPr>
                <w:sz w:val="20"/>
                <w:szCs w:val="20"/>
              </w:rPr>
            </w:pPr>
            <w:r>
              <w:rPr>
                <w:sz w:val="20"/>
                <w:szCs w:val="20"/>
              </w:rPr>
              <w:t>362 174</w:t>
            </w:r>
          </w:p>
        </w:tc>
        <w:tc>
          <w:tcPr>
            <w:tcW w:w="411" w:type="pct"/>
            <w:noWrap/>
            <w:vAlign w:val="bottom"/>
          </w:tcPr>
          <w:p w:rsidR="00000000" w:rsidRDefault="00000000">
            <w:pPr>
              <w:spacing w:before="60" w:after="60"/>
              <w:jc w:val="right"/>
              <w:rPr>
                <w:sz w:val="20"/>
                <w:szCs w:val="20"/>
              </w:rPr>
            </w:pPr>
            <w:r>
              <w:rPr>
                <w:sz w:val="20"/>
                <w:szCs w:val="20"/>
              </w:rPr>
              <w:t>305 561</w:t>
            </w:r>
          </w:p>
        </w:tc>
        <w:tc>
          <w:tcPr>
            <w:tcW w:w="437" w:type="pct"/>
            <w:noWrap/>
            <w:vAlign w:val="bottom"/>
          </w:tcPr>
          <w:p w:rsidR="00000000" w:rsidRDefault="00000000">
            <w:pPr>
              <w:spacing w:before="60" w:after="60"/>
              <w:jc w:val="right"/>
              <w:rPr>
                <w:sz w:val="20"/>
                <w:szCs w:val="20"/>
              </w:rPr>
            </w:pPr>
            <w:r>
              <w:rPr>
                <w:sz w:val="20"/>
                <w:szCs w:val="20"/>
              </w:rPr>
              <w:t>698 492</w:t>
            </w:r>
          </w:p>
        </w:tc>
        <w:tc>
          <w:tcPr>
            <w:tcW w:w="437" w:type="pct"/>
            <w:noWrap/>
            <w:vAlign w:val="bottom"/>
          </w:tcPr>
          <w:p w:rsidR="00000000" w:rsidRDefault="00000000">
            <w:pPr>
              <w:spacing w:before="60" w:after="60"/>
              <w:jc w:val="right"/>
              <w:rPr>
                <w:sz w:val="20"/>
                <w:szCs w:val="20"/>
              </w:rPr>
            </w:pPr>
            <w:r>
              <w:rPr>
                <w:sz w:val="20"/>
                <w:szCs w:val="20"/>
              </w:rPr>
              <w:t>372 649</w:t>
            </w:r>
          </w:p>
        </w:tc>
        <w:tc>
          <w:tcPr>
            <w:tcW w:w="308" w:type="pct"/>
            <w:noWrap/>
            <w:vAlign w:val="bottom"/>
          </w:tcPr>
          <w:p w:rsidR="00000000" w:rsidRDefault="00000000">
            <w:pPr>
              <w:spacing w:before="60" w:after="60"/>
              <w:jc w:val="right"/>
              <w:rPr>
                <w:sz w:val="20"/>
                <w:szCs w:val="20"/>
              </w:rPr>
            </w:pPr>
            <w:r>
              <w:rPr>
                <w:sz w:val="20"/>
                <w:szCs w:val="20"/>
              </w:rPr>
              <w:t>325 843</w:t>
            </w:r>
          </w:p>
        </w:tc>
      </w:tr>
      <w:tr w:rsidR="00000000">
        <w:trPr>
          <w:jc w:val="center"/>
        </w:trPr>
        <w:tc>
          <w:tcPr>
            <w:tcW w:w="868" w:type="pct"/>
            <w:noWrap/>
            <w:vAlign w:val="bottom"/>
          </w:tcPr>
          <w:p w:rsidR="00000000" w:rsidRDefault="00000000">
            <w:pPr>
              <w:spacing w:before="60" w:after="60"/>
              <w:rPr>
                <w:sz w:val="20"/>
                <w:szCs w:val="20"/>
              </w:rPr>
            </w:pPr>
            <w:r>
              <w:rPr>
                <w:sz w:val="20"/>
                <w:szCs w:val="20"/>
              </w:rPr>
              <w:t>Visible underemployed population</w:t>
            </w:r>
          </w:p>
        </w:tc>
        <w:tc>
          <w:tcPr>
            <w:tcW w:w="308" w:type="pct"/>
            <w:noWrap/>
            <w:vAlign w:val="bottom"/>
          </w:tcPr>
          <w:p w:rsidR="00000000" w:rsidRDefault="00000000">
            <w:pPr>
              <w:spacing w:before="60" w:after="60"/>
              <w:jc w:val="right"/>
              <w:rPr>
                <w:sz w:val="20"/>
                <w:szCs w:val="20"/>
              </w:rPr>
            </w:pPr>
            <w:r>
              <w:rPr>
                <w:sz w:val="20"/>
                <w:szCs w:val="20"/>
              </w:rPr>
              <w:t>141 582</w:t>
            </w:r>
          </w:p>
        </w:tc>
        <w:tc>
          <w:tcPr>
            <w:tcW w:w="315" w:type="pct"/>
            <w:noWrap/>
            <w:vAlign w:val="bottom"/>
          </w:tcPr>
          <w:p w:rsidR="00000000" w:rsidRDefault="00000000">
            <w:pPr>
              <w:spacing w:before="60" w:after="60"/>
              <w:jc w:val="right"/>
              <w:rPr>
                <w:sz w:val="20"/>
                <w:szCs w:val="20"/>
              </w:rPr>
            </w:pPr>
            <w:r>
              <w:rPr>
                <w:sz w:val="20"/>
                <w:szCs w:val="20"/>
              </w:rPr>
              <w:t>60 712</w:t>
            </w:r>
          </w:p>
        </w:tc>
        <w:tc>
          <w:tcPr>
            <w:tcW w:w="307" w:type="pct"/>
            <w:noWrap/>
            <w:vAlign w:val="bottom"/>
          </w:tcPr>
          <w:p w:rsidR="00000000" w:rsidRDefault="00000000">
            <w:pPr>
              <w:spacing w:before="60" w:after="60"/>
              <w:jc w:val="right"/>
              <w:rPr>
                <w:sz w:val="20"/>
                <w:szCs w:val="20"/>
              </w:rPr>
            </w:pPr>
            <w:r>
              <w:rPr>
                <w:sz w:val="20"/>
                <w:szCs w:val="20"/>
              </w:rPr>
              <w:t>80 870</w:t>
            </w:r>
          </w:p>
        </w:tc>
        <w:tc>
          <w:tcPr>
            <w:tcW w:w="315" w:type="pct"/>
            <w:noWrap/>
            <w:vAlign w:val="bottom"/>
          </w:tcPr>
          <w:p w:rsidR="00000000" w:rsidRDefault="00000000">
            <w:pPr>
              <w:spacing w:before="60" w:after="60"/>
              <w:jc w:val="right"/>
              <w:rPr>
                <w:sz w:val="20"/>
                <w:szCs w:val="20"/>
              </w:rPr>
            </w:pPr>
            <w:r>
              <w:rPr>
                <w:sz w:val="20"/>
                <w:szCs w:val="20"/>
              </w:rPr>
              <w:t>130 549</w:t>
            </w:r>
          </w:p>
        </w:tc>
        <w:tc>
          <w:tcPr>
            <w:tcW w:w="307" w:type="pct"/>
            <w:noWrap/>
            <w:vAlign w:val="bottom"/>
          </w:tcPr>
          <w:p w:rsidR="00000000" w:rsidRDefault="00000000">
            <w:pPr>
              <w:spacing w:before="60" w:after="60"/>
              <w:jc w:val="right"/>
              <w:rPr>
                <w:sz w:val="20"/>
                <w:szCs w:val="20"/>
              </w:rPr>
            </w:pPr>
            <w:r>
              <w:rPr>
                <w:sz w:val="20"/>
                <w:szCs w:val="20"/>
              </w:rPr>
              <w:t>50 640</w:t>
            </w:r>
          </w:p>
        </w:tc>
        <w:tc>
          <w:tcPr>
            <w:tcW w:w="309" w:type="pct"/>
            <w:noWrap/>
            <w:vAlign w:val="bottom"/>
          </w:tcPr>
          <w:p w:rsidR="00000000" w:rsidRDefault="00000000">
            <w:pPr>
              <w:spacing w:before="60" w:after="60"/>
              <w:jc w:val="right"/>
              <w:rPr>
                <w:sz w:val="20"/>
                <w:szCs w:val="20"/>
              </w:rPr>
            </w:pPr>
            <w:r>
              <w:rPr>
                <w:sz w:val="20"/>
                <w:szCs w:val="20"/>
              </w:rPr>
              <w:t>79 909</w:t>
            </w:r>
          </w:p>
        </w:tc>
        <w:tc>
          <w:tcPr>
            <w:tcW w:w="371" w:type="pct"/>
            <w:noWrap/>
            <w:vAlign w:val="bottom"/>
          </w:tcPr>
          <w:p w:rsidR="00000000" w:rsidRDefault="00000000">
            <w:pPr>
              <w:spacing w:before="60" w:after="60"/>
              <w:jc w:val="right"/>
              <w:rPr>
                <w:sz w:val="20"/>
                <w:szCs w:val="20"/>
              </w:rPr>
            </w:pPr>
            <w:r>
              <w:rPr>
                <w:sz w:val="20"/>
                <w:szCs w:val="20"/>
              </w:rPr>
              <w:t>223 010</w:t>
            </w:r>
          </w:p>
        </w:tc>
        <w:tc>
          <w:tcPr>
            <w:tcW w:w="307" w:type="pct"/>
            <w:noWrap/>
            <w:vAlign w:val="bottom"/>
          </w:tcPr>
          <w:p w:rsidR="00000000" w:rsidRDefault="00000000">
            <w:pPr>
              <w:spacing w:before="60" w:after="60"/>
              <w:jc w:val="right"/>
              <w:rPr>
                <w:sz w:val="20"/>
                <w:szCs w:val="20"/>
              </w:rPr>
            </w:pPr>
            <w:r>
              <w:rPr>
                <w:sz w:val="20"/>
                <w:szCs w:val="20"/>
              </w:rPr>
              <w:t>96 493</w:t>
            </w:r>
          </w:p>
        </w:tc>
        <w:tc>
          <w:tcPr>
            <w:tcW w:w="411" w:type="pct"/>
            <w:noWrap/>
            <w:vAlign w:val="bottom"/>
          </w:tcPr>
          <w:p w:rsidR="00000000" w:rsidRDefault="00000000">
            <w:pPr>
              <w:spacing w:before="60" w:after="60"/>
              <w:jc w:val="right"/>
              <w:rPr>
                <w:sz w:val="20"/>
                <w:szCs w:val="20"/>
              </w:rPr>
            </w:pPr>
            <w:r>
              <w:rPr>
                <w:sz w:val="20"/>
                <w:szCs w:val="20"/>
              </w:rPr>
              <w:t>126 517</w:t>
            </w:r>
          </w:p>
        </w:tc>
        <w:tc>
          <w:tcPr>
            <w:tcW w:w="437" w:type="pct"/>
            <w:noWrap/>
            <w:vAlign w:val="bottom"/>
          </w:tcPr>
          <w:p w:rsidR="00000000" w:rsidRDefault="00000000">
            <w:pPr>
              <w:spacing w:before="60" w:after="60"/>
              <w:jc w:val="right"/>
              <w:rPr>
                <w:sz w:val="20"/>
                <w:szCs w:val="20"/>
              </w:rPr>
            </w:pPr>
            <w:r>
              <w:rPr>
                <w:sz w:val="20"/>
                <w:szCs w:val="20"/>
              </w:rPr>
              <w:t>187 029</w:t>
            </w:r>
          </w:p>
        </w:tc>
        <w:tc>
          <w:tcPr>
            <w:tcW w:w="437" w:type="pct"/>
            <w:noWrap/>
            <w:vAlign w:val="bottom"/>
          </w:tcPr>
          <w:p w:rsidR="00000000" w:rsidRDefault="00000000">
            <w:pPr>
              <w:spacing w:before="60" w:after="60"/>
              <w:jc w:val="right"/>
              <w:rPr>
                <w:sz w:val="20"/>
                <w:szCs w:val="20"/>
              </w:rPr>
            </w:pPr>
            <w:r>
              <w:rPr>
                <w:sz w:val="20"/>
                <w:szCs w:val="20"/>
              </w:rPr>
              <w:t>72 851</w:t>
            </w:r>
          </w:p>
        </w:tc>
        <w:tc>
          <w:tcPr>
            <w:tcW w:w="308" w:type="pct"/>
            <w:noWrap/>
            <w:vAlign w:val="bottom"/>
          </w:tcPr>
          <w:p w:rsidR="00000000" w:rsidRDefault="00000000">
            <w:pPr>
              <w:spacing w:before="60" w:after="60"/>
              <w:jc w:val="right"/>
              <w:rPr>
                <w:sz w:val="20"/>
                <w:szCs w:val="20"/>
              </w:rPr>
            </w:pPr>
            <w:r>
              <w:rPr>
                <w:sz w:val="20"/>
                <w:szCs w:val="20"/>
              </w:rPr>
              <w:t>114 178</w:t>
            </w:r>
          </w:p>
        </w:tc>
      </w:tr>
      <w:tr w:rsidR="00000000">
        <w:trPr>
          <w:jc w:val="center"/>
        </w:trPr>
        <w:tc>
          <w:tcPr>
            <w:tcW w:w="868" w:type="pct"/>
            <w:noWrap/>
            <w:vAlign w:val="bottom"/>
          </w:tcPr>
          <w:p w:rsidR="00000000" w:rsidRDefault="00000000">
            <w:pPr>
              <w:spacing w:before="60" w:after="60"/>
              <w:rPr>
                <w:sz w:val="20"/>
                <w:szCs w:val="20"/>
              </w:rPr>
            </w:pPr>
            <w:r>
              <w:rPr>
                <w:sz w:val="20"/>
                <w:szCs w:val="20"/>
              </w:rPr>
              <w:t>Invisible underemployed population</w:t>
            </w:r>
          </w:p>
        </w:tc>
        <w:tc>
          <w:tcPr>
            <w:tcW w:w="308" w:type="pct"/>
            <w:noWrap/>
            <w:vAlign w:val="bottom"/>
          </w:tcPr>
          <w:p w:rsidR="00000000" w:rsidRDefault="00000000">
            <w:pPr>
              <w:spacing w:before="60" w:after="60"/>
              <w:jc w:val="right"/>
              <w:rPr>
                <w:sz w:val="20"/>
                <w:szCs w:val="20"/>
              </w:rPr>
            </w:pPr>
            <w:r>
              <w:rPr>
                <w:sz w:val="20"/>
                <w:szCs w:val="20"/>
              </w:rPr>
              <w:t>247 057</w:t>
            </w:r>
          </w:p>
        </w:tc>
        <w:tc>
          <w:tcPr>
            <w:tcW w:w="315" w:type="pct"/>
            <w:noWrap/>
            <w:vAlign w:val="bottom"/>
          </w:tcPr>
          <w:p w:rsidR="00000000" w:rsidRDefault="00000000">
            <w:pPr>
              <w:spacing w:before="60" w:after="60"/>
              <w:jc w:val="right"/>
              <w:rPr>
                <w:sz w:val="20"/>
                <w:szCs w:val="20"/>
              </w:rPr>
            </w:pPr>
            <w:r>
              <w:rPr>
                <w:sz w:val="20"/>
                <w:szCs w:val="20"/>
              </w:rPr>
              <w:t>148 372</w:t>
            </w:r>
          </w:p>
        </w:tc>
        <w:tc>
          <w:tcPr>
            <w:tcW w:w="307" w:type="pct"/>
            <w:noWrap/>
            <w:vAlign w:val="bottom"/>
          </w:tcPr>
          <w:p w:rsidR="00000000" w:rsidRDefault="00000000">
            <w:pPr>
              <w:spacing w:before="60" w:after="60"/>
              <w:jc w:val="right"/>
              <w:rPr>
                <w:sz w:val="20"/>
                <w:szCs w:val="20"/>
              </w:rPr>
            </w:pPr>
            <w:r>
              <w:rPr>
                <w:sz w:val="20"/>
                <w:szCs w:val="20"/>
              </w:rPr>
              <w:t>98 685</w:t>
            </w:r>
          </w:p>
        </w:tc>
        <w:tc>
          <w:tcPr>
            <w:tcW w:w="315" w:type="pct"/>
            <w:noWrap/>
            <w:vAlign w:val="bottom"/>
          </w:tcPr>
          <w:p w:rsidR="00000000" w:rsidRDefault="00000000">
            <w:pPr>
              <w:spacing w:before="60" w:after="60"/>
              <w:jc w:val="right"/>
              <w:rPr>
                <w:sz w:val="20"/>
                <w:szCs w:val="20"/>
              </w:rPr>
            </w:pPr>
            <w:r>
              <w:rPr>
                <w:sz w:val="20"/>
                <w:szCs w:val="20"/>
              </w:rPr>
              <w:t>246 951</w:t>
            </w:r>
          </w:p>
        </w:tc>
        <w:tc>
          <w:tcPr>
            <w:tcW w:w="307" w:type="pct"/>
            <w:noWrap/>
            <w:vAlign w:val="bottom"/>
          </w:tcPr>
          <w:p w:rsidR="00000000" w:rsidRDefault="00000000">
            <w:pPr>
              <w:spacing w:before="60" w:after="60"/>
              <w:jc w:val="right"/>
              <w:rPr>
                <w:sz w:val="20"/>
                <w:szCs w:val="20"/>
              </w:rPr>
            </w:pPr>
            <w:r>
              <w:rPr>
                <w:sz w:val="20"/>
                <w:szCs w:val="20"/>
              </w:rPr>
              <w:t>151 309</w:t>
            </w:r>
          </w:p>
        </w:tc>
        <w:tc>
          <w:tcPr>
            <w:tcW w:w="309" w:type="pct"/>
            <w:noWrap/>
            <w:vAlign w:val="bottom"/>
          </w:tcPr>
          <w:p w:rsidR="00000000" w:rsidRDefault="00000000">
            <w:pPr>
              <w:spacing w:before="60" w:after="60"/>
              <w:jc w:val="right"/>
              <w:rPr>
                <w:sz w:val="20"/>
                <w:szCs w:val="20"/>
              </w:rPr>
            </w:pPr>
            <w:r>
              <w:rPr>
                <w:sz w:val="20"/>
                <w:szCs w:val="20"/>
              </w:rPr>
              <w:t>95 642</w:t>
            </w:r>
          </w:p>
        </w:tc>
        <w:tc>
          <w:tcPr>
            <w:tcW w:w="371" w:type="pct"/>
            <w:noWrap/>
            <w:vAlign w:val="bottom"/>
          </w:tcPr>
          <w:p w:rsidR="00000000" w:rsidRDefault="00000000">
            <w:pPr>
              <w:spacing w:before="60" w:after="60"/>
              <w:jc w:val="right"/>
              <w:rPr>
                <w:sz w:val="20"/>
                <w:szCs w:val="20"/>
              </w:rPr>
            </w:pPr>
            <w:r>
              <w:rPr>
                <w:sz w:val="20"/>
                <w:szCs w:val="20"/>
              </w:rPr>
              <w:t>444 725</w:t>
            </w:r>
          </w:p>
        </w:tc>
        <w:tc>
          <w:tcPr>
            <w:tcW w:w="307" w:type="pct"/>
            <w:noWrap/>
            <w:vAlign w:val="bottom"/>
          </w:tcPr>
          <w:p w:rsidR="00000000" w:rsidRDefault="00000000">
            <w:pPr>
              <w:spacing w:before="60" w:after="60"/>
              <w:jc w:val="right"/>
              <w:rPr>
                <w:sz w:val="20"/>
                <w:szCs w:val="20"/>
              </w:rPr>
            </w:pPr>
            <w:r>
              <w:rPr>
                <w:sz w:val="20"/>
                <w:szCs w:val="20"/>
              </w:rPr>
              <w:t>265 681</w:t>
            </w:r>
          </w:p>
        </w:tc>
        <w:tc>
          <w:tcPr>
            <w:tcW w:w="411" w:type="pct"/>
            <w:noWrap/>
            <w:vAlign w:val="bottom"/>
          </w:tcPr>
          <w:p w:rsidR="00000000" w:rsidRDefault="00000000">
            <w:pPr>
              <w:spacing w:before="60" w:after="60"/>
              <w:jc w:val="right"/>
              <w:rPr>
                <w:sz w:val="20"/>
                <w:szCs w:val="20"/>
              </w:rPr>
            </w:pPr>
            <w:r>
              <w:rPr>
                <w:sz w:val="20"/>
                <w:szCs w:val="20"/>
              </w:rPr>
              <w:t>179 044</w:t>
            </w:r>
          </w:p>
        </w:tc>
        <w:tc>
          <w:tcPr>
            <w:tcW w:w="437" w:type="pct"/>
            <w:noWrap/>
            <w:vAlign w:val="bottom"/>
          </w:tcPr>
          <w:p w:rsidR="00000000" w:rsidRDefault="00000000">
            <w:pPr>
              <w:spacing w:before="60" w:after="60"/>
              <w:jc w:val="right"/>
              <w:rPr>
                <w:sz w:val="20"/>
                <w:szCs w:val="20"/>
              </w:rPr>
            </w:pPr>
            <w:r>
              <w:rPr>
                <w:sz w:val="20"/>
                <w:szCs w:val="20"/>
              </w:rPr>
              <w:t>511 463</w:t>
            </w:r>
          </w:p>
        </w:tc>
        <w:tc>
          <w:tcPr>
            <w:tcW w:w="437" w:type="pct"/>
            <w:noWrap/>
            <w:vAlign w:val="bottom"/>
          </w:tcPr>
          <w:p w:rsidR="00000000" w:rsidRDefault="00000000">
            <w:pPr>
              <w:spacing w:before="60" w:after="60"/>
              <w:jc w:val="right"/>
              <w:rPr>
                <w:sz w:val="20"/>
                <w:szCs w:val="20"/>
              </w:rPr>
            </w:pPr>
            <w:r>
              <w:rPr>
                <w:sz w:val="20"/>
                <w:szCs w:val="20"/>
              </w:rPr>
              <w:t>299 798</w:t>
            </w:r>
          </w:p>
        </w:tc>
        <w:tc>
          <w:tcPr>
            <w:tcW w:w="308" w:type="pct"/>
            <w:noWrap/>
            <w:vAlign w:val="bottom"/>
          </w:tcPr>
          <w:p w:rsidR="00000000" w:rsidRDefault="00000000">
            <w:pPr>
              <w:spacing w:before="60" w:after="60"/>
              <w:jc w:val="right"/>
              <w:rPr>
                <w:sz w:val="20"/>
                <w:szCs w:val="20"/>
              </w:rPr>
            </w:pPr>
            <w:r>
              <w:rPr>
                <w:sz w:val="20"/>
                <w:szCs w:val="20"/>
              </w:rPr>
              <w:t>211 665</w:t>
            </w:r>
          </w:p>
        </w:tc>
      </w:tr>
      <w:tr w:rsidR="00000000">
        <w:trPr>
          <w:jc w:val="center"/>
        </w:trPr>
        <w:tc>
          <w:tcPr>
            <w:tcW w:w="868" w:type="pct"/>
            <w:noWrap/>
            <w:vAlign w:val="bottom"/>
          </w:tcPr>
          <w:p w:rsidR="00000000" w:rsidRDefault="00000000">
            <w:pPr>
              <w:spacing w:before="60" w:after="60"/>
              <w:rPr>
                <w:b/>
                <w:bCs/>
                <w:sz w:val="20"/>
                <w:szCs w:val="20"/>
              </w:rPr>
            </w:pPr>
            <w:r>
              <w:rPr>
                <w:b/>
                <w:bCs/>
                <w:sz w:val="20"/>
                <w:szCs w:val="20"/>
              </w:rPr>
              <w:t> </w:t>
            </w:r>
            <w:r>
              <w:rPr>
                <w:b/>
                <w:bCs/>
                <w:sz w:val="20"/>
              </w:rPr>
              <w:t>Total population</w:t>
            </w:r>
          </w:p>
        </w:tc>
        <w:tc>
          <w:tcPr>
            <w:tcW w:w="308" w:type="pct"/>
            <w:noWrap/>
            <w:vAlign w:val="bottom"/>
          </w:tcPr>
          <w:p w:rsidR="00000000" w:rsidRDefault="00000000">
            <w:pPr>
              <w:widowControl w:val="0"/>
              <w:spacing w:before="60" w:after="60"/>
              <w:jc w:val="right"/>
              <w:rPr>
                <w:b/>
                <w:bCs/>
                <w:color w:val="000000"/>
                <w:sz w:val="20"/>
                <w:szCs w:val="20"/>
              </w:rPr>
            </w:pPr>
            <w:r>
              <w:rPr>
                <w:b/>
                <w:bCs/>
                <w:color w:val="000000"/>
                <w:sz w:val="20"/>
                <w:szCs w:val="20"/>
              </w:rPr>
              <w:t>4 707 341</w:t>
            </w:r>
          </w:p>
        </w:tc>
        <w:tc>
          <w:tcPr>
            <w:tcW w:w="315" w:type="pct"/>
            <w:noWrap/>
            <w:vAlign w:val="bottom"/>
          </w:tcPr>
          <w:p w:rsidR="00000000" w:rsidRDefault="00000000">
            <w:pPr>
              <w:widowControl w:val="0"/>
              <w:spacing w:before="60" w:after="60"/>
              <w:jc w:val="right"/>
              <w:rPr>
                <w:b/>
                <w:bCs/>
                <w:color w:val="000000"/>
                <w:sz w:val="20"/>
                <w:szCs w:val="20"/>
              </w:rPr>
            </w:pPr>
            <w:r>
              <w:rPr>
                <w:b/>
                <w:bCs/>
                <w:color w:val="000000"/>
                <w:sz w:val="20"/>
                <w:szCs w:val="20"/>
              </w:rPr>
              <w:t>2 354 873</w:t>
            </w:r>
          </w:p>
        </w:tc>
        <w:tc>
          <w:tcPr>
            <w:tcW w:w="307" w:type="pct"/>
            <w:noWrap/>
            <w:vAlign w:val="bottom"/>
          </w:tcPr>
          <w:p w:rsidR="00000000" w:rsidRDefault="00000000">
            <w:pPr>
              <w:widowControl w:val="0"/>
              <w:spacing w:before="60" w:after="60"/>
              <w:jc w:val="right"/>
              <w:rPr>
                <w:b/>
                <w:bCs/>
                <w:color w:val="000000"/>
                <w:sz w:val="20"/>
                <w:szCs w:val="20"/>
              </w:rPr>
            </w:pPr>
            <w:r>
              <w:rPr>
                <w:b/>
                <w:bCs/>
                <w:color w:val="000000"/>
                <w:sz w:val="20"/>
                <w:szCs w:val="20"/>
              </w:rPr>
              <w:t>2 352 468</w:t>
            </w:r>
          </w:p>
        </w:tc>
        <w:tc>
          <w:tcPr>
            <w:tcW w:w="315" w:type="pct"/>
            <w:noWrap/>
            <w:vAlign w:val="bottom"/>
          </w:tcPr>
          <w:p w:rsidR="00000000" w:rsidRDefault="00000000">
            <w:pPr>
              <w:widowControl w:val="0"/>
              <w:spacing w:before="60" w:after="60"/>
              <w:jc w:val="right"/>
              <w:rPr>
                <w:b/>
                <w:bCs/>
                <w:color w:val="000000"/>
                <w:sz w:val="20"/>
                <w:szCs w:val="20"/>
              </w:rPr>
            </w:pPr>
            <w:r>
              <w:rPr>
                <w:b/>
                <w:bCs/>
                <w:color w:val="000000"/>
                <w:sz w:val="20"/>
                <w:szCs w:val="20"/>
              </w:rPr>
              <w:t>5 132 678</w:t>
            </w:r>
          </w:p>
        </w:tc>
        <w:tc>
          <w:tcPr>
            <w:tcW w:w="307" w:type="pct"/>
            <w:noWrap/>
            <w:vAlign w:val="bottom"/>
          </w:tcPr>
          <w:p w:rsidR="00000000" w:rsidRDefault="00000000">
            <w:pPr>
              <w:widowControl w:val="0"/>
              <w:spacing w:before="60" w:after="60"/>
              <w:jc w:val="right"/>
              <w:rPr>
                <w:b/>
                <w:bCs/>
                <w:color w:val="000000"/>
                <w:sz w:val="20"/>
                <w:szCs w:val="20"/>
              </w:rPr>
            </w:pPr>
            <w:r>
              <w:rPr>
                <w:b/>
                <w:bCs/>
                <w:color w:val="000000"/>
                <w:sz w:val="20"/>
                <w:szCs w:val="20"/>
              </w:rPr>
              <w:t>2 526 387</w:t>
            </w:r>
          </w:p>
        </w:tc>
        <w:tc>
          <w:tcPr>
            <w:tcW w:w="309" w:type="pct"/>
            <w:noWrap/>
            <w:vAlign w:val="bottom"/>
          </w:tcPr>
          <w:p w:rsidR="00000000" w:rsidRDefault="00000000">
            <w:pPr>
              <w:widowControl w:val="0"/>
              <w:spacing w:before="60" w:after="60"/>
              <w:jc w:val="right"/>
              <w:rPr>
                <w:b/>
                <w:bCs/>
                <w:color w:val="000000"/>
                <w:sz w:val="20"/>
                <w:szCs w:val="20"/>
              </w:rPr>
            </w:pPr>
            <w:r>
              <w:rPr>
                <w:b/>
                <w:bCs/>
                <w:color w:val="000000"/>
                <w:sz w:val="20"/>
                <w:szCs w:val="20"/>
              </w:rPr>
              <w:t>2 606 291</w:t>
            </w:r>
          </w:p>
        </w:tc>
        <w:tc>
          <w:tcPr>
            <w:tcW w:w="371" w:type="pct"/>
            <w:noWrap/>
            <w:vAlign w:val="bottom"/>
          </w:tcPr>
          <w:p w:rsidR="00000000" w:rsidRDefault="00000000">
            <w:pPr>
              <w:widowControl w:val="0"/>
              <w:spacing w:before="60" w:after="60"/>
              <w:jc w:val="right"/>
              <w:rPr>
                <w:b/>
                <w:bCs/>
                <w:color w:val="000000"/>
                <w:sz w:val="20"/>
                <w:szCs w:val="20"/>
              </w:rPr>
            </w:pPr>
            <w:r>
              <w:rPr>
                <w:b/>
                <w:bCs/>
                <w:color w:val="000000"/>
                <w:sz w:val="20"/>
                <w:szCs w:val="20"/>
              </w:rPr>
              <w:t>5 701 675</w:t>
            </w:r>
          </w:p>
        </w:tc>
        <w:tc>
          <w:tcPr>
            <w:tcW w:w="307" w:type="pct"/>
            <w:noWrap/>
            <w:vAlign w:val="bottom"/>
          </w:tcPr>
          <w:p w:rsidR="00000000" w:rsidRDefault="00000000">
            <w:pPr>
              <w:widowControl w:val="0"/>
              <w:spacing w:before="60" w:after="60"/>
              <w:jc w:val="right"/>
              <w:rPr>
                <w:b/>
                <w:bCs/>
                <w:color w:val="000000"/>
                <w:sz w:val="20"/>
                <w:szCs w:val="20"/>
              </w:rPr>
            </w:pPr>
            <w:r>
              <w:rPr>
                <w:b/>
                <w:bCs/>
                <w:color w:val="000000"/>
                <w:sz w:val="20"/>
                <w:szCs w:val="20"/>
              </w:rPr>
              <w:t>2 859 583</w:t>
            </w:r>
          </w:p>
        </w:tc>
        <w:tc>
          <w:tcPr>
            <w:tcW w:w="411" w:type="pct"/>
            <w:noWrap/>
            <w:vAlign w:val="bottom"/>
          </w:tcPr>
          <w:p w:rsidR="00000000" w:rsidRDefault="00000000">
            <w:pPr>
              <w:widowControl w:val="0"/>
              <w:spacing w:before="60" w:after="60"/>
              <w:jc w:val="right"/>
              <w:rPr>
                <w:b/>
                <w:bCs/>
                <w:color w:val="000000"/>
                <w:sz w:val="20"/>
                <w:szCs w:val="20"/>
              </w:rPr>
            </w:pPr>
            <w:r>
              <w:rPr>
                <w:b/>
                <w:bCs/>
                <w:color w:val="000000"/>
                <w:sz w:val="20"/>
                <w:szCs w:val="20"/>
              </w:rPr>
              <w:t>2 842 092</w:t>
            </w:r>
          </w:p>
        </w:tc>
        <w:tc>
          <w:tcPr>
            <w:tcW w:w="437" w:type="pct"/>
            <w:noWrap/>
            <w:vAlign w:val="bottom"/>
          </w:tcPr>
          <w:p w:rsidR="00000000" w:rsidRDefault="00000000">
            <w:pPr>
              <w:widowControl w:val="0"/>
              <w:spacing w:before="60" w:after="60"/>
              <w:jc w:val="right"/>
              <w:rPr>
                <w:b/>
                <w:bCs/>
                <w:color w:val="000000"/>
                <w:sz w:val="20"/>
                <w:szCs w:val="20"/>
              </w:rPr>
            </w:pPr>
            <w:r>
              <w:rPr>
                <w:b/>
                <w:bCs/>
                <w:color w:val="000000"/>
                <w:sz w:val="20"/>
                <w:szCs w:val="20"/>
              </w:rPr>
              <w:t>5 837 253</w:t>
            </w:r>
          </w:p>
        </w:tc>
        <w:tc>
          <w:tcPr>
            <w:tcW w:w="437" w:type="pct"/>
            <w:noWrap/>
            <w:vAlign w:val="bottom"/>
          </w:tcPr>
          <w:p w:rsidR="00000000" w:rsidRDefault="00000000">
            <w:pPr>
              <w:widowControl w:val="0"/>
              <w:spacing w:before="60" w:after="60"/>
              <w:jc w:val="right"/>
              <w:rPr>
                <w:b/>
                <w:bCs/>
                <w:color w:val="000000"/>
                <w:sz w:val="20"/>
                <w:szCs w:val="20"/>
              </w:rPr>
            </w:pPr>
            <w:r>
              <w:rPr>
                <w:b/>
                <w:bCs/>
                <w:color w:val="000000"/>
                <w:sz w:val="20"/>
                <w:szCs w:val="20"/>
              </w:rPr>
              <w:t>2 916 060</w:t>
            </w:r>
          </w:p>
        </w:tc>
        <w:tc>
          <w:tcPr>
            <w:tcW w:w="308" w:type="pct"/>
            <w:noWrap/>
            <w:vAlign w:val="bottom"/>
          </w:tcPr>
          <w:p w:rsidR="00000000" w:rsidRDefault="00000000">
            <w:pPr>
              <w:widowControl w:val="0"/>
              <w:spacing w:before="60" w:after="60"/>
              <w:jc w:val="right"/>
              <w:rPr>
                <w:b/>
                <w:bCs/>
                <w:color w:val="000000"/>
                <w:sz w:val="20"/>
                <w:szCs w:val="20"/>
              </w:rPr>
            </w:pPr>
            <w:r>
              <w:rPr>
                <w:b/>
                <w:bCs/>
                <w:color w:val="000000"/>
                <w:sz w:val="20"/>
                <w:szCs w:val="20"/>
              </w:rPr>
              <w:t>2 921 193</w:t>
            </w:r>
          </w:p>
        </w:tc>
      </w:tr>
      <w:tr w:rsidR="00000000">
        <w:trPr>
          <w:jc w:val="center"/>
        </w:trPr>
        <w:tc>
          <w:tcPr>
            <w:tcW w:w="868" w:type="pct"/>
            <w:noWrap/>
            <w:vAlign w:val="bottom"/>
          </w:tcPr>
          <w:p w:rsidR="00000000" w:rsidRDefault="00000000">
            <w:pPr>
              <w:spacing w:before="60" w:after="60"/>
              <w:rPr>
                <w:sz w:val="20"/>
                <w:szCs w:val="20"/>
              </w:rPr>
            </w:pPr>
            <w:r>
              <w:rPr>
                <w:sz w:val="20"/>
                <w:szCs w:val="20"/>
              </w:rPr>
              <w:t>Activity rate</w:t>
            </w:r>
          </w:p>
        </w:tc>
        <w:tc>
          <w:tcPr>
            <w:tcW w:w="308" w:type="pct"/>
            <w:noWrap/>
            <w:vAlign w:val="bottom"/>
          </w:tcPr>
          <w:p w:rsidR="00000000" w:rsidRDefault="00000000">
            <w:pPr>
              <w:spacing w:before="60" w:after="60"/>
              <w:ind w:right="284"/>
              <w:jc w:val="right"/>
              <w:rPr>
                <w:sz w:val="20"/>
                <w:szCs w:val="20"/>
              </w:rPr>
            </w:pPr>
            <w:r>
              <w:rPr>
                <w:sz w:val="20"/>
                <w:szCs w:val="20"/>
              </w:rPr>
              <w:t>69.2</w:t>
            </w:r>
          </w:p>
        </w:tc>
        <w:tc>
          <w:tcPr>
            <w:tcW w:w="315" w:type="pct"/>
            <w:noWrap/>
            <w:vAlign w:val="bottom"/>
          </w:tcPr>
          <w:p w:rsidR="00000000" w:rsidRDefault="00000000">
            <w:pPr>
              <w:spacing w:before="60" w:after="60"/>
              <w:ind w:right="284"/>
              <w:jc w:val="right"/>
              <w:rPr>
                <w:sz w:val="20"/>
                <w:szCs w:val="20"/>
              </w:rPr>
            </w:pPr>
            <w:r>
              <w:rPr>
                <w:sz w:val="20"/>
                <w:szCs w:val="20"/>
              </w:rPr>
              <w:t>82.3</w:t>
            </w:r>
          </w:p>
        </w:tc>
        <w:tc>
          <w:tcPr>
            <w:tcW w:w="307" w:type="pct"/>
            <w:noWrap/>
            <w:vAlign w:val="bottom"/>
          </w:tcPr>
          <w:p w:rsidR="00000000" w:rsidRDefault="00000000">
            <w:pPr>
              <w:spacing w:before="60" w:after="60"/>
              <w:ind w:right="284"/>
              <w:jc w:val="right"/>
              <w:rPr>
                <w:sz w:val="20"/>
                <w:szCs w:val="20"/>
              </w:rPr>
            </w:pPr>
            <w:r>
              <w:rPr>
                <w:sz w:val="20"/>
                <w:szCs w:val="20"/>
              </w:rPr>
              <w:t>56.2</w:t>
            </w:r>
          </w:p>
        </w:tc>
        <w:tc>
          <w:tcPr>
            <w:tcW w:w="315" w:type="pct"/>
            <w:noWrap/>
            <w:vAlign w:val="bottom"/>
          </w:tcPr>
          <w:p w:rsidR="00000000" w:rsidRDefault="00000000">
            <w:pPr>
              <w:spacing w:before="60" w:after="60"/>
              <w:ind w:right="284"/>
              <w:jc w:val="right"/>
              <w:rPr>
                <w:sz w:val="20"/>
                <w:szCs w:val="20"/>
              </w:rPr>
            </w:pPr>
            <w:r>
              <w:rPr>
                <w:sz w:val="20"/>
                <w:szCs w:val="20"/>
              </w:rPr>
              <w:t>57.3</w:t>
            </w:r>
          </w:p>
        </w:tc>
        <w:tc>
          <w:tcPr>
            <w:tcW w:w="307" w:type="pct"/>
            <w:noWrap/>
            <w:vAlign w:val="bottom"/>
          </w:tcPr>
          <w:p w:rsidR="00000000" w:rsidRDefault="00000000">
            <w:pPr>
              <w:spacing w:before="60" w:after="60"/>
              <w:ind w:right="284"/>
              <w:jc w:val="right"/>
              <w:rPr>
                <w:sz w:val="20"/>
                <w:szCs w:val="20"/>
              </w:rPr>
            </w:pPr>
            <w:r>
              <w:rPr>
                <w:sz w:val="20"/>
                <w:szCs w:val="20"/>
              </w:rPr>
              <w:t>73.9</w:t>
            </w:r>
          </w:p>
        </w:tc>
        <w:tc>
          <w:tcPr>
            <w:tcW w:w="309" w:type="pct"/>
            <w:noWrap/>
            <w:vAlign w:val="bottom"/>
          </w:tcPr>
          <w:p w:rsidR="00000000" w:rsidRDefault="00000000">
            <w:pPr>
              <w:spacing w:before="60" w:after="60"/>
              <w:ind w:right="284"/>
              <w:jc w:val="right"/>
              <w:rPr>
                <w:sz w:val="20"/>
                <w:szCs w:val="20"/>
              </w:rPr>
            </w:pPr>
            <w:r>
              <w:rPr>
                <w:sz w:val="20"/>
                <w:szCs w:val="20"/>
              </w:rPr>
              <w:t>41.3</w:t>
            </w:r>
          </w:p>
        </w:tc>
        <w:tc>
          <w:tcPr>
            <w:tcW w:w="371" w:type="pct"/>
            <w:noWrap/>
            <w:vAlign w:val="bottom"/>
          </w:tcPr>
          <w:p w:rsidR="00000000" w:rsidRDefault="00000000">
            <w:pPr>
              <w:spacing w:before="60" w:after="60"/>
              <w:ind w:right="284"/>
              <w:jc w:val="right"/>
              <w:rPr>
                <w:sz w:val="20"/>
                <w:szCs w:val="20"/>
              </w:rPr>
            </w:pPr>
            <w:r>
              <w:rPr>
                <w:sz w:val="20"/>
                <w:szCs w:val="20"/>
              </w:rPr>
              <w:t>63.4</w:t>
            </w:r>
          </w:p>
        </w:tc>
        <w:tc>
          <w:tcPr>
            <w:tcW w:w="307" w:type="pct"/>
            <w:noWrap/>
            <w:vAlign w:val="bottom"/>
          </w:tcPr>
          <w:p w:rsidR="00000000" w:rsidRDefault="00000000">
            <w:pPr>
              <w:spacing w:before="60" w:after="60"/>
              <w:ind w:right="284"/>
              <w:jc w:val="right"/>
              <w:rPr>
                <w:sz w:val="20"/>
                <w:szCs w:val="20"/>
              </w:rPr>
            </w:pPr>
            <w:r>
              <w:rPr>
                <w:sz w:val="20"/>
                <w:szCs w:val="20"/>
              </w:rPr>
              <w:t>76.6</w:t>
            </w:r>
          </w:p>
        </w:tc>
        <w:tc>
          <w:tcPr>
            <w:tcW w:w="411" w:type="pct"/>
            <w:noWrap/>
            <w:vAlign w:val="bottom"/>
          </w:tcPr>
          <w:p w:rsidR="00000000" w:rsidRDefault="00000000">
            <w:pPr>
              <w:spacing w:before="60" w:after="60"/>
              <w:ind w:right="284"/>
              <w:jc w:val="right"/>
              <w:rPr>
                <w:sz w:val="20"/>
                <w:szCs w:val="20"/>
              </w:rPr>
            </w:pPr>
            <w:r>
              <w:rPr>
                <w:sz w:val="20"/>
                <w:szCs w:val="20"/>
              </w:rPr>
              <w:t>50.4</w:t>
            </w:r>
          </w:p>
        </w:tc>
        <w:tc>
          <w:tcPr>
            <w:tcW w:w="437" w:type="pct"/>
            <w:noWrap/>
            <w:vAlign w:val="bottom"/>
          </w:tcPr>
          <w:p w:rsidR="00000000" w:rsidRDefault="00000000">
            <w:pPr>
              <w:spacing w:before="60" w:after="60"/>
              <w:ind w:right="284"/>
              <w:jc w:val="right"/>
              <w:rPr>
                <w:sz w:val="20"/>
                <w:szCs w:val="20"/>
              </w:rPr>
            </w:pPr>
            <w:r>
              <w:rPr>
                <w:sz w:val="20"/>
                <w:szCs w:val="20"/>
              </w:rPr>
              <w:t>61.8</w:t>
            </w:r>
          </w:p>
        </w:tc>
        <w:tc>
          <w:tcPr>
            <w:tcW w:w="437" w:type="pct"/>
            <w:noWrap/>
            <w:vAlign w:val="bottom"/>
          </w:tcPr>
          <w:p w:rsidR="00000000" w:rsidRDefault="00000000">
            <w:pPr>
              <w:spacing w:before="60" w:after="60"/>
              <w:ind w:right="284"/>
              <w:jc w:val="right"/>
              <w:rPr>
                <w:sz w:val="20"/>
                <w:szCs w:val="20"/>
              </w:rPr>
            </w:pPr>
            <w:r>
              <w:rPr>
                <w:sz w:val="20"/>
                <w:szCs w:val="20"/>
              </w:rPr>
              <w:t>75.1</w:t>
            </w:r>
          </w:p>
        </w:tc>
        <w:tc>
          <w:tcPr>
            <w:tcW w:w="308" w:type="pct"/>
            <w:noWrap/>
            <w:vAlign w:val="bottom"/>
          </w:tcPr>
          <w:p w:rsidR="00000000" w:rsidRDefault="00000000">
            <w:pPr>
              <w:spacing w:before="60" w:after="60"/>
              <w:ind w:right="284"/>
              <w:jc w:val="right"/>
              <w:rPr>
                <w:sz w:val="20"/>
                <w:szCs w:val="20"/>
              </w:rPr>
            </w:pPr>
            <w:r>
              <w:rPr>
                <w:sz w:val="20"/>
                <w:szCs w:val="20"/>
              </w:rPr>
              <w:t>48.6</w:t>
            </w:r>
          </w:p>
        </w:tc>
      </w:tr>
      <w:tr w:rsidR="00000000">
        <w:trPr>
          <w:jc w:val="center"/>
        </w:trPr>
        <w:tc>
          <w:tcPr>
            <w:tcW w:w="868" w:type="pct"/>
            <w:noWrap/>
            <w:vAlign w:val="bottom"/>
          </w:tcPr>
          <w:p w:rsidR="00000000" w:rsidRDefault="00000000">
            <w:pPr>
              <w:spacing w:before="60" w:after="60"/>
              <w:rPr>
                <w:sz w:val="20"/>
                <w:szCs w:val="20"/>
              </w:rPr>
            </w:pPr>
            <w:r>
              <w:rPr>
                <w:sz w:val="20"/>
                <w:szCs w:val="20"/>
              </w:rPr>
              <w:t>Employment rate</w:t>
            </w:r>
          </w:p>
        </w:tc>
        <w:tc>
          <w:tcPr>
            <w:tcW w:w="308" w:type="pct"/>
            <w:noWrap/>
            <w:vAlign w:val="bottom"/>
          </w:tcPr>
          <w:p w:rsidR="00000000" w:rsidRDefault="00000000">
            <w:pPr>
              <w:spacing w:before="60" w:after="60"/>
              <w:ind w:right="284"/>
              <w:jc w:val="right"/>
              <w:rPr>
                <w:sz w:val="20"/>
                <w:szCs w:val="20"/>
              </w:rPr>
            </w:pPr>
            <w:r>
              <w:rPr>
                <w:sz w:val="20"/>
                <w:szCs w:val="20"/>
              </w:rPr>
              <w:t>96.6</w:t>
            </w:r>
          </w:p>
        </w:tc>
        <w:tc>
          <w:tcPr>
            <w:tcW w:w="315" w:type="pct"/>
            <w:noWrap/>
            <w:vAlign w:val="bottom"/>
          </w:tcPr>
          <w:p w:rsidR="00000000" w:rsidRDefault="00000000">
            <w:pPr>
              <w:spacing w:before="60" w:after="60"/>
              <w:ind w:right="284"/>
              <w:jc w:val="right"/>
              <w:rPr>
                <w:sz w:val="20"/>
                <w:szCs w:val="20"/>
              </w:rPr>
            </w:pPr>
            <w:r>
              <w:rPr>
                <w:sz w:val="20"/>
                <w:szCs w:val="20"/>
              </w:rPr>
              <w:t>96.9</w:t>
            </w:r>
          </w:p>
        </w:tc>
        <w:tc>
          <w:tcPr>
            <w:tcW w:w="307" w:type="pct"/>
            <w:noWrap/>
            <w:vAlign w:val="bottom"/>
          </w:tcPr>
          <w:p w:rsidR="00000000" w:rsidRDefault="00000000">
            <w:pPr>
              <w:spacing w:before="60" w:after="60"/>
              <w:ind w:right="284"/>
              <w:jc w:val="right"/>
              <w:rPr>
                <w:sz w:val="20"/>
                <w:szCs w:val="20"/>
              </w:rPr>
            </w:pPr>
            <w:r>
              <w:rPr>
                <w:sz w:val="20"/>
                <w:szCs w:val="20"/>
              </w:rPr>
              <w:t>96.2</w:t>
            </w:r>
          </w:p>
        </w:tc>
        <w:tc>
          <w:tcPr>
            <w:tcW w:w="315" w:type="pct"/>
            <w:noWrap/>
            <w:vAlign w:val="bottom"/>
          </w:tcPr>
          <w:p w:rsidR="00000000" w:rsidRDefault="00000000">
            <w:pPr>
              <w:spacing w:before="60" w:after="60"/>
              <w:ind w:right="284"/>
              <w:jc w:val="right"/>
              <w:rPr>
                <w:sz w:val="20"/>
                <w:szCs w:val="20"/>
              </w:rPr>
            </w:pPr>
            <w:r>
              <w:rPr>
                <w:sz w:val="20"/>
                <w:szCs w:val="20"/>
              </w:rPr>
              <w:t>93.2</w:t>
            </w:r>
          </w:p>
        </w:tc>
        <w:tc>
          <w:tcPr>
            <w:tcW w:w="307" w:type="pct"/>
            <w:noWrap/>
            <w:vAlign w:val="bottom"/>
          </w:tcPr>
          <w:p w:rsidR="00000000" w:rsidRDefault="00000000">
            <w:pPr>
              <w:spacing w:before="60" w:after="60"/>
              <w:ind w:right="284"/>
              <w:jc w:val="right"/>
              <w:rPr>
                <w:sz w:val="20"/>
                <w:szCs w:val="20"/>
              </w:rPr>
            </w:pPr>
            <w:r>
              <w:rPr>
                <w:sz w:val="20"/>
                <w:szCs w:val="20"/>
              </w:rPr>
              <w:t>93.5</w:t>
            </w:r>
          </w:p>
        </w:tc>
        <w:tc>
          <w:tcPr>
            <w:tcW w:w="309" w:type="pct"/>
            <w:noWrap/>
            <w:vAlign w:val="bottom"/>
          </w:tcPr>
          <w:p w:rsidR="00000000" w:rsidRDefault="00000000">
            <w:pPr>
              <w:spacing w:before="60" w:after="60"/>
              <w:ind w:right="284"/>
              <w:jc w:val="right"/>
              <w:rPr>
                <w:sz w:val="20"/>
                <w:szCs w:val="20"/>
              </w:rPr>
            </w:pPr>
            <w:r>
              <w:rPr>
                <w:sz w:val="20"/>
                <w:szCs w:val="20"/>
              </w:rPr>
              <w:t>92.5</w:t>
            </w:r>
          </w:p>
        </w:tc>
        <w:tc>
          <w:tcPr>
            <w:tcW w:w="371" w:type="pct"/>
            <w:noWrap/>
            <w:vAlign w:val="bottom"/>
          </w:tcPr>
          <w:p w:rsidR="00000000" w:rsidRDefault="00000000">
            <w:pPr>
              <w:spacing w:before="60" w:after="60"/>
              <w:ind w:right="284"/>
              <w:jc w:val="right"/>
              <w:rPr>
                <w:sz w:val="20"/>
                <w:szCs w:val="20"/>
              </w:rPr>
            </w:pPr>
            <w:r>
              <w:rPr>
                <w:sz w:val="20"/>
                <w:szCs w:val="20"/>
              </w:rPr>
              <w:t>92.7</w:t>
            </w:r>
          </w:p>
        </w:tc>
        <w:tc>
          <w:tcPr>
            <w:tcW w:w="307" w:type="pct"/>
            <w:noWrap/>
            <w:vAlign w:val="bottom"/>
          </w:tcPr>
          <w:p w:rsidR="00000000" w:rsidRDefault="00000000">
            <w:pPr>
              <w:spacing w:before="60" w:after="60"/>
              <w:ind w:right="284"/>
              <w:jc w:val="right"/>
              <w:rPr>
                <w:sz w:val="20"/>
                <w:szCs w:val="20"/>
              </w:rPr>
            </w:pPr>
            <w:r>
              <w:rPr>
                <w:sz w:val="20"/>
                <w:szCs w:val="20"/>
              </w:rPr>
              <w:t>94.2</w:t>
            </w:r>
          </w:p>
        </w:tc>
        <w:tc>
          <w:tcPr>
            <w:tcW w:w="411" w:type="pct"/>
            <w:noWrap/>
            <w:vAlign w:val="bottom"/>
          </w:tcPr>
          <w:p w:rsidR="00000000" w:rsidRDefault="00000000">
            <w:pPr>
              <w:spacing w:before="60" w:after="60"/>
              <w:ind w:right="284"/>
              <w:jc w:val="right"/>
              <w:rPr>
                <w:sz w:val="20"/>
                <w:szCs w:val="20"/>
              </w:rPr>
            </w:pPr>
            <w:r>
              <w:rPr>
                <w:sz w:val="20"/>
                <w:szCs w:val="20"/>
              </w:rPr>
              <w:t>90.4</w:t>
            </w:r>
          </w:p>
        </w:tc>
        <w:tc>
          <w:tcPr>
            <w:tcW w:w="437" w:type="pct"/>
            <w:noWrap/>
            <w:vAlign w:val="bottom"/>
          </w:tcPr>
          <w:p w:rsidR="00000000" w:rsidRDefault="00000000">
            <w:pPr>
              <w:spacing w:before="60" w:after="60"/>
              <w:ind w:right="284"/>
              <w:jc w:val="right"/>
              <w:rPr>
                <w:sz w:val="20"/>
                <w:szCs w:val="20"/>
              </w:rPr>
            </w:pPr>
            <w:r>
              <w:rPr>
                <w:sz w:val="20"/>
                <w:szCs w:val="20"/>
              </w:rPr>
              <w:t>94.2</w:t>
            </w:r>
          </w:p>
        </w:tc>
        <w:tc>
          <w:tcPr>
            <w:tcW w:w="437" w:type="pct"/>
            <w:noWrap/>
            <w:vAlign w:val="bottom"/>
          </w:tcPr>
          <w:p w:rsidR="00000000" w:rsidRDefault="00000000">
            <w:pPr>
              <w:spacing w:before="60" w:after="60"/>
              <w:ind w:right="284"/>
              <w:jc w:val="right"/>
              <w:rPr>
                <w:sz w:val="20"/>
                <w:szCs w:val="20"/>
              </w:rPr>
            </w:pPr>
            <w:r>
              <w:rPr>
                <w:sz w:val="20"/>
                <w:szCs w:val="20"/>
              </w:rPr>
              <w:t>95.1</w:t>
            </w:r>
          </w:p>
        </w:tc>
        <w:tc>
          <w:tcPr>
            <w:tcW w:w="308" w:type="pct"/>
            <w:noWrap/>
            <w:vAlign w:val="bottom"/>
          </w:tcPr>
          <w:p w:rsidR="00000000" w:rsidRDefault="00000000">
            <w:pPr>
              <w:spacing w:before="60" w:after="60"/>
              <w:ind w:right="284"/>
              <w:jc w:val="right"/>
              <w:rPr>
                <w:sz w:val="20"/>
                <w:szCs w:val="20"/>
              </w:rPr>
            </w:pPr>
            <w:r>
              <w:rPr>
                <w:sz w:val="20"/>
                <w:szCs w:val="20"/>
              </w:rPr>
              <w:t>92.7</w:t>
            </w:r>
          </w:p>
        </w:tc>
      </w:tr>
      <w:tr w:rsidR="00000000">
        <w:trPr>
          <w:jc w:val="center"/>
        </w:trPr>
        <w:tc>
          <w:tcPr>
            <w:tcW w:w="868" w:type="pct"/>
            <w:noWrap/>
            <w:vAlign w:val="bottom"/>
          </w:tcPr>
          <w:p w:rsidR="00000000" w:rsidRDefault="00000000">
            <w:pPr>
              <w:spacing w:before="60" w:after="60"/>
              <w:rPr>
                <w:sz w:val="20"/>
                <w:szCs w:val="20"/>
              </w:rPr>
            </w:pPr>
            <w:r>
              <w:rPr>
                <w:sz w:val="20"/>
                <w:szCs w:val="20"/>
              </w:rPr>
              <w:t>Open unemployment rate</w:t>
            </w:r>
          </w:p>
        </w:tc>
        <w:tc>
          <w:tcPr>
            <w:tcW w:w="308" w:type="pct"/>
            <w:noWrap/>
            <w:vAlign w:val="bottom"/>
          </w:tcPr>
          <w:p w:rsidR="00000000" w:rsidRDefault="00000000">
            <w:pPr>
              <w:spacing w:before="60" w:after="60"/>
              <w:ind w:right="284"/>
              <w:jc w:val="right"/>
              <w:rPr>
                <w:sz w:val="20"/>
                <w:szCs w:val="20"/>
              </w:rPr>
            </w:pPr>
            <w:r>
              <w:rPr>
                <w:sz w:val="20"/>
                <w:szCs w:val="20"/>
              </w:rPr>
              <w:t>3.4</w:t>
            </w:r>
          </w:p>
        </w:tc>
        <w:tc>
          <w:tcPr>
            <w:tcW w:w="315" w:type="pct"/>
            <w:noWrap/>
            <w:vAlign w:val="bottom"/>
          </w:tcPr>
          <w:p w:rsidR="00000000" w:rsidRDefault="00000000">
            <w:pPr>
              <w:spacing w:before="60" w:after="60"/>
              <w:ind w:right="284"/>
              <w:jc w:val="right"/>
              <w:rPr>
                <w:sz w:val="20"/>
                <w:szCs w:val="20"/>
              </w:rPr>
            </w:pPr>
            <w:r>
              <w:rPr>
                <w:sz w:val="20"/>
                <w:szCs w:val="20"/>
              </w:rPr>
              <w:t>3.1</w:t>
            </w:r>
          </w:p>
        </w:tc>
        <w:tc>
          <w:tcPr>
            <w:tcW w:w="307" w:type="pct"/>
            <w:noWrap/>
            <w:vAlign w:val="bottom"/>
          </w:tcPr>
          <w:p w:rsidR="00000000" w:rsidRDefault="00000000">
            <w:pPr>
              <w:spacing w:before="60" w:after="60"/>
              <w:ind w:right="284"/>
              <w:jc w:val="right"/>
              <w:rPr>
                <w:sz w:val="20"/>
                <w:szCs w:val="20"/>
              </w:rPr>
            </w:pPr>
            <w:r>
              <w:rPr>
                <w:sz w:val="20"/>
                <w:szCs w:val="20"/>
              </w:rPr>
              <w:t>3.8</w:t>
            </w:r>
          </w:p>
        </w:tc>
        <w:tc>
          <w:tcPr>
            <w:tcW w:w="315" w:type="pct"/>
            <w:noWrap/>
            <w:vAlign w:val="bottom"/>
          </w:tcPr>
          <w:p w:rsidR="00000000" w:rsidRDefault="00000000">
            <w:pPr>
              <w:spacing w:before="60" w:after="60"/>
              <w:ind w:right="284"/>
              <w:jc w:val="right"/>
              <w:rPr>
                <w:sz w:val="20"/>
                <w:szCs w:val="20"/>
              </w:rPr>
            </w:pPr>
            <w:r>
              <w:rPr>
                <w:sz w:val="20"/>
                <w:szCs w:val="20"/>
              </w:rPr>
              <w:t>6.8</w:t>
            </w:r>
          </w:p>
        </w:tc>
        <w:tc>
          <w:tcPr>
            <w:tcW w:w="307" w:type="pct"/>
            <w:noWrap/>
            <w:vAlign w:val="bottom"/>
          </w:tcPr>
          <w:p w:rsidR="00000000" w:rsidRDefault="00000000">
            <w:pPr>
              <w:spacing w:before="60" w:after="60"/>
              <w:ind w:right="284"/>
              <w:jc w:val="right"/>
              <w:rPr>
                <w:sz w:val="20"/>
                <w:szCs w:val="20"/>
              </w:rPr>
            </w:pPr>
            <w:r>
              <w:rPr>
                <w:sz w:val="20"/>
                <w:szCs w:val="20"/>
              </w:rPr>
              <w:t>6.5</w:t>
            </w:r>
          </w:p>
        </w:tc>
        <w:tc>
          <w:tcPr>
            <w:tcW w:w="309" w:type="pct"/>
            <w:noWrap/>
            <w:vAlign w:val="bottom"/>
          </w:tcPr>
          <w:p w:rsidR="00000000" w:rsidRDefault="00000000">
            <w:pPr>
              <w:spacing w:before="60" w:after="60"/>
              <w:ind w:right="284"/>
              <w:jc w:val="right"/>
              <w:rPr>
                <w:sz w:val="20"/>
                <w:szCs w:val="20"/>
              </w:rPr>
            </w:pPr>
            <w:r>
              <w:rPr>
                <w:sz w:val="20"/>
                <w:szCs w:val="20"/>
              </w:rPr>
              <w:t>7.5</w:t>
            </w:r>
          </w:p>
        </w:tc>
        <w:tc>
          <w:tcPr>
            <w:tcW w:w="371" w:type="pct"/>
            <w:noWrap/>
            <w:vAlign w:val="bottom"/>
          </w:tcPr>
          <w:p w:rsidR="00000000" w:rsidRDefault="00000000">
            <w:pPr>
              <w:spacing w:before="60" w:after="60"/>
              <w:ind w:right="284"/>
              <w:jc w:val="right"/>
              <w:rPr>
                <w:sz w:val="20"/>
                <w:szCs w:val="20"/>
              </w:rPr>
            </w:pPr>
            <w:r>
              <w:rPr>
                <w:sz w:val="20"/>
                <w:szCs w:val="20"/>
              </w:rPr>
              <w:t>7.3</w:t>
            </w:r>
          </w:p>
        </w:tc>
        <w:tc>
          <w:tcPr>
            <w:tcW w:w="307" w:type="pct"/>
            <w:noWrap/>
            <w:vAlign w:val="bottom"/>
          </w:tcPr>
          <w:p w:rsidR="00000000" w:rsidRDefault="00000000">
            <w:pPr>
              <w:spacing w:before="60" w:after="60"/>
              <w:ind w:right="284"/>
              <w:jc w:val="right"/>
              <w:rPr>
                <w:sz w:val="20"/>
                <w:szCs w:val="20"/>
              </w:rPr>
            </w:pPr>
            <w:r>
              <w:rPr>
                <w:sz w:val="20"/>
                <w:szCs w:val="20"/>
              </w:rPr>
              <w:t>5.8</w:t>
            </w:r>
          </w:p>
        </w:tc>
        <w:tc>
          <w:tcPr>
            <w:tcW w:w="411" w:type="pct"/>
            <w:noWrap/>
            <w:vAlign w:val="bottom"/>
          </w:tcPr>
          <w:p w:rsidR="00000000" w:rsidRDefault="00000000">
            <w:pPr>
              <w:spacing w:before="60" w:after="60"/>
              <w:ind w:right="284"/>
              <w:jc w:val="right"/>
              <w:rPr>
                <w:sz w:val="20"/>
                <w:szCs w:val="20"/>
              </w:rPr>
            </w:pPr>
            <w:r>
              <w:rPr>
                <w:sz w:val="20"/>
                <w:szCs w:val="20"/>
              </w:rPr>
              <w:t>9.6</w:t>
            </w:r>
          </w:p>
        </w:tc>
        <w:tc>
          <w:tcPr>
            <w:tcW w:w="437" w:type="pct"/>
            <w:noWrap/>
            <w:vAlign w:val="bottom"/>
          </w:tcPr>
          <w:p w:rsidR="00000000" w:rsidRDefault="00000000">
            <w:pPr>
              <w:spacing w:before="60" w:after="60"/>
              <w:ind w:right="284"/>
              <w:jc w:val="right"/>
              <w:rPr>
                <w:sz w:val="20"/>
                <w:szCs w:val="20"/>
              </w:rPr>
            </w:pPr>
            <w:r>
              <w:rPr>
                <w:sz w:val="20"/>
                <w:szCs w:val="20"/>
              </w:rPr>
              <w:t>5.8</w:t>
            </w:r>
          </w:p>
        </w:tc>
        <w:tc>
          <w:tcPr>
            <w:tcW w:w="437" w:type="pct"/>
            <w:noWrap/>
            <w:vAlign w:val="bottom"/>
          </w:tcPr>
          <w:p w:rsidR="00000000" w:rsidRDefault="00000000">
            <w:pPr>
              <w:spacing w:before="60" w:after="60"/>
              <w:ind w:right="284"/>
              <w:jc w:val="right"/>
              <w:rPr>
                <w:sz w:val="20"/>
                <w:szCs w:val="20"/>
              </w:rPr>
            </w:pPr>
            <w:r>
              <w:rPr>
                <w:sz w:val="20"/>
                <w:szCs w:val="20"/>
              </w:rPr>
              <w:t>4.9</w:t>
            </w:r>
          </w:p>
        </w:tc>
        <w:tc>
          <w:tcPr>
            <w:tcW w:w="308" w:type="pct"/>
            <w:noWrap/>
            <w:vAlign w:val="bottom"/>
          </w:tcPr>
          <w:p w:rsidR="00000000" w:rsidRDefault="00000000">
            <w:pPr>
              <w:spacing w:before="60" w:after="60"/>
              <w:ind w:right="284"/>
              <w:jc w:val="right"/>
              <w:rPr>
                <w:sz w:val="20"/>
                <w:szCs w:val="20"/>
              </w:rPr>
            </w:pPr>
            <w:r>
              <w:rPr>
                <w:sz w:val="20"/>
                <w:szCs w:val="20"/>
              </w:rPr>
              <w:t>7.3</w:t>
            </w:r>
          </w:p>
        </w:tc>
      </w:tr>
      <w:tr w:rsidR="00000000">
        <w:trPr>
          <w:jc w:val="center"/>
        </w:trPr>
        <w:tc>
          <w:tcPr>
            <w:tcW w:w="868" w:type="pct"/>
            <w:noWrap/>
            <w:vAlign w:val="bottom"/>
          </w:tcPr>
          <w:p w:rsidR="00000000" w:rsidRDefault="00000000">
            <w:pPr>
              <w:spacing w:before="60" w:after="60"/>
              <w:rPr>
                <w:sz w:val="20"/>
                <w:szCs w:val="20"/>
              </w:rPr>
            </w:pPr>
            <w:r>
              <w:rPr>
                <w:sz w:val="20"/>
                <w:szCs w:val="20"/>
              </w:rPr>
              <w:t>Invisible unemployment rate</w:t>
            </w:r>
          </w:p>
        </w:tc>
        <w:tc>
          <w:tcPr>
            <w:tcW w:w="308" w:type="pct"/>
            <w:noWrap/>
            <w:vAlign w:val="bottom"/>
          </w:tcPr>
          <w:p w:rsidR="00000000" w:rsidRDefault="00000000">
            <w:pPr>
              <w:spacing w:before="60" w:after="60"/>
              <w:ind w:right="284"/>
              <w:jc w:val="right"/>
              <w:rPr>
                <w:sz w:val="20"/>
                <w:szCs w:val="20"/>
              </w:rPr>
            </w:pPr>
            <w:r>
              <w:rPr>
                <w:sz w:val="20"/>
                <w:szCs w:val="20"/>
              </w:rPr>
              <w:t>2.6</w:t>
            </w:r>
          </w:p>
        </w:tc>
        <w:tc>
          <w:tcPr>
            <w:tcW w:w="315" w:type="pct"/>
            <w:noWrap/>
            <w:vAlign w:val="bottom"/>
          </w:tcPr>
          <w:p w:rsidR="00000000" w:rsidRDefault="00000000">
            <w:pPr>
              <w:spacing w:before="60" w:after="60"/>
              <w:ind w:right="284"/>
              <w:jc w:val="right"/>
              <w:rPr>
                <w:sz w:val="20"/>
                <w:szCs w:val="20"/>
              </w:rPr>
            </w:pPr>
            <w:r>
              <w:rPr>
                <w:sz w:val="20"/>
                <w:szCs w:val="20"/>
              </w:rPr>
              <w:t>1.9</w:t>
            </w:r>
          </w:p>
        </w:tc>
        <w:tc>
          <w:tcPr>
            <w:tcW w:w="307" w:type="pct"/>
            <w:noWrap/>
            <w:vAlign w:val="bottom"/>
          </w:tcPr>
          <w:p w:rsidR="00000000" w:rsidRDefault="00000000">
            <w:pPr>
              <w:spacing w:before="60" w:after="60"/>
              <w:ind w:right="284"/>
              <w:jc w:val="right"/>
              <w:rPr>
                <w:sz w:val="20"/>
                <w:szCs w:val="20"/>
              </w:rPr>
            </w:pPr>
            <w:r>
              <w:rPr>
                <w:sz w:val="20"/>
                <w:szCs w:val="20"/>
              </w:rPr>
              <w:t>3.6</w:t>
            </w:r>
          </w:p>
        </w:tc>
        <w:tc>
          <w:tcPr>
            <w:tcW w:w="315" w:type="pct"/>
            <w:noWrap/>
            <w:vAlign w:val="bottom"/>
          </w:tcPr>
          <w:p w:rsidR="00000000" w:rsidRDefault="00000000">
            <w:pPr>
              <w:spacing w:before="60" w:after="60"/>
              <w:ind w:right="284"/>
              <w:jc w:val="right"/>
              <w:rPr>
                <w:sz w:val="20"/>
                <w:szCs w:val="20"/>
              </w:rPr>
            </w:pPr>
            <w:r>
              <w:rPr>
                <w:sz w:val="20"/>
                <w:szCs w:val="20"/>
              </w:rPr>
              <w:t>9.7</w:t>
            </w:r>
          </w:p>
        </w:tc>
        <w:tc>
          <w:tcPr>
            <w:tcW w:w="307" w:type="pct"/>
            <w:noWrap/>
            <w:vAlign w:val="bottom"/>
          </w:tcPr>
          <w:p w:rsidR="00000000" w:rsidRDefault="00000000">
            <w:pPr>
              <w:spacing w:before="60" w:after="60"/>
              <w:ind w:right="284"/>
              <w:jc w:val="right"/>
              <w:rPr>
                <w:sz w:val="20"/>
                <w:szCs w:val="20"/>
              </w:rPr>
            </w:pPr>
            <w:r>
              <w:rPr>
                <w:sz w:val="20"/>
                <w:szCs w:val="20"/>
              </w:rPr>
              <w:t>5.6</w:t>
            </w:r>
          </w:p>
        </w:tc>
        <w:tc>
          <w:tcPr>
            <w:tcW w:w="309" w:type="pct"/>
            <w:noWrap/>
            <w:vAlign w:val="bottom"/>
          </w:tcPr>
          <w:p w:rsidR="00000000" w:rsidRDefault="00000000">
            <w:pPr>
              <w:spacing w:before="60" w:after="60"/>
              <w:ind w:right="284"/>
              <w:jc w:val="right"/>
              <w:rPr>
                <w:sz w:val="20"/>
                <w:szCs w:val="20"/>
              </w:rPr>
            </w:pPr>
            <w:r>
              <w:rPr>
                <w:sz w:val="20"/>
                <w:szCs w:val="20"/>
              </w:rPr>
              <w:t>16.1</w:t>
            </w:r>
          </w:p>
        </w:tc>
        <w:tc>
          <w:tcPr>
            <w:tcW w:w="371" w:type="pct"/>
            <w:noWrap/>
            <w:vAlign w:val="bottom"/>
          </w:tcPr>
          <w:p w:rsidR="00000000" w:rsidRDefault="00000000">
            <w:pPr>
              <w:spacing w:before="60" w:after="60"/>
              <w:ind w:right="284"/>
              <w:jc w:val="right"/>
              <w:rPr>
                <w:sz w:val="20"/>
                <w:szCs w:val="20"/>
              </w:rPr>
            </w:pPr>
            <w:r>
              <w:rPr>
                <w:sz w:val="20"/>
                <w:szCs w:val="20"/>
              </w:rPr>
              <w:t>3.9</w:t>
            </w:r>
          </w:p>
        </w:tc>
        <w:tc>
          <w:tcPr>
            <w:tcW w:w="307" w:type="pct"/>
            <w:noWrap/>
            <w:vAlign w:val="bottom"/>
          </w:tcPr>
          <w:p w:rsidR="00000000" w:rsidRDefault="00000000">
            <w:pPr>
              <w:spacing w:before="60" w:after="60"/>
              <w:ind w:right="284"/>
              <w:jc w:val="right"/>
              <w:rPr>
                <w:sz w:val="20"/>
                <w:szCs w:val="20"/>
              </w:rPr>
            </w:pPr>
            <w:r>
              <w:rPr>
                <w:sz w:val="20"/>
                <w:szCs w:val="20"/>
              </w:rPr>
              <w:t>2.4</w:t>
            </w:r>
          </w:p>
        </w:tc>
        <w:tc>
          <w:tcPr>
            <w:tcW w:w="411" w:type="pct"/>
            <w:noWrap/>
            <w:vAlign w:val="bottom"/>
          </w:tcPr>
          <w:p w:rsidR="00000000" w:rsidRDefault="00000000">
            <w:pPr>
              <w:spacing w:before="60" w:after="60"/>
              <w:ind w:right="284"/>
              <w:jc w:val="right"/>
              <w:rPr>
                <w:sz w:val="20"/>
                <w:szCs w:val="20"/>
              </w:rPr>
            </w:pPr>
            <w:r>
              <w:rPr>
                <w:sz w:val="20"/>
                <w:szCs w:val="20"/>
              </w:rPr>
              <w:t>6.1</w:t>
            </w:r>
          </w:p>
        </w:tc>
        <w:tc>
          <w:tcPr>
            <w:tcW w:w="437" w:type="pct"/>
            <w:noWrap/>
            <w:vAlign w:val="bottom"/>
          </w:tcPr>
          <w:p w:rsidR="00000000" w:rsidRDefault="00000000">
            <w:pPr>
              <w:spacing w:before="60" w:after="60"/>
              <w:ind w:right="284"/>
              <w:jc w:val="right"/>
              <w:rPr>
                <w:sz w:val="20"/>
                <w:szCs w:val="20"/>
              </w:rPr>
            </w:pPr>
            <w:r>
              <w:rPr>
                <w:sz w:val="20"/>
                <w:szCs w:val="20"/>
              </w:rPr>
              <w:t>3.7</w:t>
            </w:r>
          </w:p>
        </w:tc>
        <w:tc>
          <w:tcPr>
            <w:tcW w:w="437" w:type="pct"/>
            <w:noWrap/>
            <w:vAlign w:val="bottom"/>
          </w:tcPr>
          <w:p w:rsidR="00000000" w:rsidRDefault="00000000">
            <w:pPr>
              <w:spacing w:before="60" w:after="60"/>
              <w:ind w:right="284"/>
              <w:jc w:val="right"/>
              <w:rPr>
                <w:sz w:val="20"/>
                <w:szCs w:val="20"/>
              </w:rPr>
            </w:pPr>
            <w:r>
              <w:rPr>
                <w:sz w:val="20"/>
                <w:szCs w:val="20"/>
              </w:rPr>
              <w:t>2.4</w:t>
            </w:r>
          </w:p>
        </w:tc>
        <w:tc>
          <w:tcPr>
            <w:tcW w:w="308" w:type="pct"/>
            <w:noWrap/>
            <w:vAlign w:val="bottom"/>
          </w:tcPr>
          <w:p w:rsidR="00000000" w:rsidRDefault="00000000">
            <w:pPr>
              <w:spacing w:before="60" w:after="60"/>
              <w:ind w:right="284"/>
              <w:jc w:val="right"/>
              <w:rPr>
                <w:sz w:val="20"/>
                <w:szCs w:val="20"/>
              </w:rPr>
            </w:pPr>
            <w:r>
              <w:rPr>
                <w:sz w:val="20"/>
                <w:szCs w:val="20"/>
              </w:rPr>
              <w:t>5.7</w:t>
            </w:r>
          </w:p>
        </w:tc>
      </w:tr>
      <w:tr w:rsidR="00000000">
        <w:trPr>
          <w:jc w:val="center"/>
        </w:trPr>
        <w:tc>
          <w:tcPr>
            <w:tcW w:w="868" w:type="pct"/>
            <w:noWrap/>
            <w:vAlign w:val="bottom"/>
          </w:tcPr>
          <w:p w:rsidR="00000000" w:rsidRDefault="00000000">
            <w:pPr>
              <w:spacing w:before="60" w:after="60"/>
              <w:rPr>
                <w:sz w:val="20"/>
                <w:szCs w:val="20"/>
              </w:rPr>
            </w:pPr>
            <w:r>
              <w:rPr>
                <w:sz w:val="20"/>
                <w:szCs w:val="20"/>
              </w:rPr>
              <w:t>Total underemployment rate</w:t>
            </w:r>
          </w:p>
        </w:tc>
        <w:tc>
          <w:tcPr>
            <w:tcW w:w="308" w:type="pct"/>
            <w:noWrap/>
            <w:vAlign w:val="bottom"/>
          </w:tcPr>
          <w:p w:rsidR="00000000" w:rsidRDefault="00000000">
            <w:pPr>
              <w:spacing w:before="60" w:after="60"/>
              <w:ind w:right="284"/>
              <w:jc w:val="right"/>
              <w:rPr>
                <w:sz w:val="20"/>
                <w:szCs w:val="20"/>
              </w:rPr>
            </w:pPr>
            <w:r>
              <w:rPr>
                <w:sz w:val="20"/>
                <w:szCs w:val="20"/>
              </w:rPr>
              <w:t>16.7</w:t>
            </w:r>
          </w:p>
        </w:tc>
        <w:tc>
          <w:tcPr>
            <w:tcW w:w="315" w:type="pct"/>
            <w:noWrap/>
            <w:vAlign w:val="bottom"/>
          </w:tcPr>
          <w:p w:rsidR="00000000" w:rsidRDefault="00000000">
            <w:pPr>
              <w:spacing w:before="60" w:after="60"/>
              <w:ind w:right="284"/>
              <w:jc w:val="right"/>
              <w:rPr>
                <w:sz w:val="20"/>
                <w:szCs w:val="20"/>
              </w:rPr>
            </w:pPr>
            <w:r>
              <w:rPr>
                <w:sz w:val="20"/>
                <w:szCs w:val="20"/>
              </w:rPr>
              <w:t>15.2</w:t>
            </w:r>
          </w:p>
        </w:tc>
        <w:tc>
          <w:tcPr>
            <w:tcW w:w="307" w:type="pct"/>
            <w:noWrap/>
            <w:vAlign w:val="bottom"/>
          </w:tcPr>
          <w:p w:rsidR="00000000" w:rsidRDefault="00000000">
            <w:pPr>
              <w:spacing w:before="60" w:after="60"/>
              <w:ind w:right="284"/>
              <w:jc w:val="right"/>
              <w:rPr>
                <w:sz w:val="20"/>
                <w:szCs w:val="20"/>
              </w:rPr>
            </w:pPr>
            <w:r>
              <w:rPr>
                <w:sz w:val="20"/>
                <w:szCs w:val="20"/>
              </w:rPr>
              <w:t>18.9</w:t>
            </w:r>
          </w:p>
        </w:tc>
        <w:tc>
          <w:tcPr>
            <w:tcW w:w="315" w:type="pct"/>
            <w:noWrap/>
            <w:vAlign w:val="bottom"/>
          </w:tcPr>
          <w:p w:rsidR="00000000" w:rsidRDefault="00000000">
            <w:pPr>
              <w:spacing w:before="60" w:after="60"/>
              <w:ind w:right="284"/>
              <w:jc w:val="right"/>
              <w:rPr>
                <w:sz w:val="20"/>
                <w:szCs w:val="20"/>
              </w:rPr>
            </w:pPr>
            <w:r>
              <w:rPr>
                <w:sz w:val="20"/>
                <w:szCs w:val="20"/>
              </w:rPr>
              <w:t>17.6</w:t>
            </w:r>
          </w:p>
        </w:tc>
        <w:tc>
          <w:tcPr>
            <w:tcW w:w="307" w:type="pct"/>
            <w:noWrap/>
            <w:vAlign w:val="bottom"/>
          </w:tcPr>
          <w:p w:rsidR="00000000" w:rsidRDefault="00000000">
            <w:pPr>
              <w:spacing w:before="60" w:after="60"/>
              <w:ind w:right="284"/>
              <w:jc w:val="right"/>
              <w:rPr>
                <w:sz w:val="20"/>
                <w:szCs w:val="20"/>
              </w:rPr>
            </w:pPr>
            <w:r>
              <w:rPr>
                <w:sz w:val="20"/>
                <w:szCs w:val="20"/>
              </w:rPr>
              <w:t>14.9</w:t>
            </w:r>
          </w:p>
        </w:tc>
        <w:tc>
          <w:tcPr>
            <w:tcW w:w="309" w:type="pct"/>
            <w:noWrap/>
            <w:vAlign w:val="bottom"/>
          </w:tcPr>
          <w:p w:rsidR="00000000" w:rsidRDefault="00000000">
            <w:pPr>
              <w:spacing w:before="60" w:after="60"/>
              <w:ind w:right="284"/>
              <w:jc w:val="right"/>
              <w:rPr>
                <w:sz w:val="20"/>
                <w:szCs w:val="20"/>
              </w:rPr>
            </w:pPr>
            <w:r>
              <w:rPr>
                <w:sz w:val="20"/>
                <w:szCs w:val="20"/>
              </w:rPr>
              <w:t>22.3</w:t>
            </w:r>
          </w:p>
        </w:tc>
        <w:tc>
          <w:tcPr>
            <w:tcW w:w="371" w:type="pct"/>
            <w:noWrap/>
            <w:vAlign w:val="bottom"/>
          </w:tcPr>
          <w:p w:rsidR="00000000" w:rsidRDefault="00000000">
            <w:pPr>
              <w:spacing w:before="60" w:after="60"/>
              <w:ind w:right="284"/>
              <w:jc w:val="right"/>
              <w:rPr>
                <w:sz w:val="20"/>
                <w:szCs w:val="20"/>
              </w:rPr>
            </w:pPr>
            <w:r>
              <w:rPr>
                <w:sz w:val="20"/>
                <w:szCs w:val="20"/>
              </w:rPr>
              <w:t>24.2</w:t>
            </w:r>
          </w:p>
        </w:tc>
        <w:tc>
          <w:tcPr>
            <w:tcW w:w="307" w:type="pct"/>
            <w:noWrap/>
            <w:vAlign w:val="bottom"/>
          </w:tcPr>
          <w:p w:rsidR="00000000" w:rsidRDefault="00000000">
            <w:pPr>
              <w:spacing w:before="60" w:after="60"/>
              <w:ind w:right="284"/>
              <w:jc w:val="right"/>
              <w:rPr>
                <w:sz w:val="20"/>
                <w:szCs w:val="20"/>
              </w:rPr>
            </w:pPr>
            <w:r>
              <w:rPr>
                <w:sz w:val="20"/>
                <w:szCs w:val="20"/>
              </w:rPr>
              <w:t>21.8</w:t>
            </w:r>
          </w:p>
        </w:tc>
        <w:tc>
          <w:tcPr>
            <w:tcW w:w="411" w:type="pct"/>
            <w:noWrap/>
            <w:vAlign w:val="bottom"/>
          </w:tcPr>
          <w:p w:rsidR="00000000" w:rsidRDefault="00000000">
            <w:pPr>
              <w:spacing w:before="60" w:after="60"/>
              <w:ind w:right="284"/>
              <w:jc w:val="right"/>
              <w:rPr>
                <w:sz w:val="20"/>
                <w:szCs w:val="20"/>
              </w:rPr>
            </w:pPr>
            <w:r>
              <w:rPr>
                <w:sz w:val="20"/>
                <w:szCs w:val="20"/>
              </w:rPr>
              <w:t>27.7</w:t>
            </w:r>
          </w:p>
        </w:tc>
        <w:tc>
          <w:tcPr>
            <w:tcW w:w="437" w:type="pct"/>
            <w:noWrap/>
            <w:vAlign w:val="bottom"/>
          </w:tcPr>
          <w:p w:rsidR="00000000" w:rsidRDefault="00000000">
            <w:pPr>
              <w:spacing w:before="60" w:after="60"/>
              <w:ind w:right="284"/>
              <w:jc w:val="right"/>
              <w:rPr>
                <w:sz w:val="20"/>
                <w:szCs w:val="20"/>
              </w:rPr>
            </w:pPr>
            <w:r>
              <w:rPr>
                <w:sz w:val="20"/>
                <w:szCs w:val="20"/>
              </w:rPr>
              <w:t>25.1</w:t>
            </w:r>
          </w:p>
        </w:tc>
        <w:tc>
          <w:tcPr>
            <w:tcW w:w="437" w:type="pct"/>
            <w:noWrap/>
            <w:vAlign w:val="bottom"/>
          </w:tcPr>
          <w:p w:rsidR="00000000" w:rsidRDefault="00000000">
            <w:pPr>
              <w:spacing w:before="60" w:after="60"/>
              <w:ind w:right="284"/>
              <w:jc w:val="right"/>
              <w:rPr>
                <w:sz w:val="20"/>
                <w:szCs w:val="20"/>
              </w:rPr>
            </w:pPr>
            <w:r>
              <w:rPr>
                <w:sz w:val="20"/>
                <w:szCs w:val="20"/>
              </w:rPr>
              <w:t>22.2</w:t>
            </w:r>
          </w:p>
        </w:tc>
        <w:tc>
          <w:tcPr>
            <w:tcW w:w="308" w:type="pct"/>
            <w:noWrap/>
            <w:vAlign w:val="bottom"/>
          </w:tcPr>
          <w:p w:rsidR="00000000" w:rsidRDefault="00000000">
            <w:pPr>
              <w:spacing w:before="60" w:after="60"/>
              <w:ind w:right="284"/>
              <w:jc w:val="right"/>
              <w:rPr>
                <w:sz w:val="20"/>
                <w:szCs w:val="20"/>
              </w:rPr>
            </w:pPr>
            <w:r>
              <w:rPr>
                <w:sz w:val="20"/>
                <w:szCs w:val="20"/>
              </w:rPr>
              <w:t>29.6</w:t>
            </w:r>
          </w:p>
        </w:tc>
      </w:tr>
      <w:tr w:rsidR="00000000">
        <w:trPr>
          <w:jc w:val="center"/>
        </w:trPr>
        <w:tc>
          <w:tcPr>
            <w:tcW w:w="868" w:type="pct"/>
            <w:noWrap/>
            <w:vAlign w:val="bottom"/>
          </w:tcPr>
          <w:p w:rsidR="00000000" w:rsidRDefault="00000000">
            <w:pPr>
              <w:spacing w:before="60" w:after="60"/>
              <w:rPr>
                <w:sz w:val="20"/>
                <w:szCs w:val="20"/>
              </w:rPr>
            </w:pPr>
            <w:r>
              <w:rPr>
                <w:sz w:val="20"/>
                <w:szCs w:val="20"/>
              </w:rPr>
              <w:t>Visible underemployment rate</w:t>
            </w:r>
          </w:p>
        </w:tc>
        <w:tc>
          <w:tcPr>
            <w:tcW w:w="308" w:type="pct"/>
            <w:noWrap/>
            <w:vAlign w:val="bottom"/>
          </w:tcPr>
          <w:p w:rsidR="00000000" w:rsidRDefault="00000000">
            <w:pPr>
              <w:spacing w:before="60" w:after="60"/>
              <w:ind w:right="284"/>
              <w:jc w:val="right"/>
              <w:rPr>
                <w:sz w:val="20"/>
                <w:szCs w:val="20"/>
              </w:rPr>
            </w:pPr>
            <w:r>
              <w:rPr>
                <w:sz w:val="20"/>
                <w:szCs w:val="20"/>
              </w:rPr>
              <w:t>6.1</w:t>
            </w:r>
          </w:p>
        </w:tc>
        <w:tc>
          <w:tcPr>
            <w:tcW w:w="315" w:type="pct"/>
            <w:noWrap/>
            <w:vAlign w:val="bottom"/>
          </w:tcPr>
          <w:p w:rsidR="00000000" w:rsidRDefault="00000000">
            <w:pPr>
              <w:spacing w:before="60" w:after="60"/>
              <w:ind w:right="284"/>
              <w:jc w:val="right"/>
              <w:rPr>
                <w:sz w:val="20"/>
                <w:szCs w:val="20"/>
              </w:rPr>
            </w:pPr>
            <w:r>
              <w:rPr>
                <w:sz w:val="20"/>
                <w:szCs w:val="20"/>
              </w:rPr>
              <w:t>4.4</w:t>
            </w:r>
          </w:p>
        </w:tc>
        <w:tc>
          <w:tcPr>
            <w:tcW w:w="307" w:type="pct"/>
            <w:noWrap/>
            <w:vAlign w:val="bottom"/>
          </w:tcPr>
          <w:p w:rsidR="00000000" w:rsidRDefault="00000000">
            <w:pPr>
              <w:spacing w:before="60" w:after="60"/>
              <w:ind w:right="284"/>
              <w:jc w:val="right"/>
              <w:rPr>
                <w:sz w:val="20"/>
                <w:szCs w:val="20"/>
              </w:rPr>
            </w:pPr>
            <w:r>
              <w:rPr>
                <w:sz w:val="20"/>
                <w:szCs w:val="20"/>
              </w:rPr>
              <w:t>8.5</w:t>
            </w:r>
          </w:p>
        </w:tc>
        <w:tc>
          <w:tcPr>
            <w:tcW w:w="315" w:type="pct"/>
            <w:noWrap/>
            <w:vAlign w:val="bottom"/>
          </w:tcPr>
          <w:p w:rsidR="00000000" w:rsidRDefault="00000000">
            <w:pPr>
              <w:spacing w:before="60" w:after="60"/>
              <w:ind w:right="284"/>
              <w:jc w:val="right"/>
              <w:rPr>
                <w:sz w:val="20"/>
                <w:szCs w:val="20"/>
              </w:rPr>
            </w:pPr>
            <w:r>
              <w:rPr>
                <w:sz w:val="20"/>
                <w:szCs w:val="20"/>
              </w:rPr>
              <w:t>6.1</w:t>
            </w:r>
          </w:p>
        </w:tc>
        <w:tc>
          <w:tcPr>
            <w:tcW w:w="307" w:type="pct"/>
            <w:noWrap/>
            <w:vAlign w:val="bottom"/>
          </w:tcPr>
          <w:p w:rsidR="00000000" w:rsidRDefault="00000000">
            <w:pPr>
              <w:spacing w:before="60" w:after="60"/>
              <w:ind w:right="284"/>
              <w:jc w:val="right"/>
              <w:rPr>
                <w:sz w:val="20"/>
                <w:szCs w:val="20"/>
              </w:rPr>
            </w:pPr>
            <w:r>
              <w:rPr>
                <w:sz w:val="20"/>
                <w:szCs w:val="20"/>
              </w:rPr>
              <w:t>3.7</w:t>
            </w:r>
          </w:p>
        </w:tc>
        <w:tc>
          <w:tcPr>
            <w:tcW w:w="309" w:type="pct"/>
            <w:noWrap/>
            <w:vAlign w:val="bottom"/>
          </w:tcPr>
          <w:p w:rsidR="00000000" w:rsidRDefault="00000000">
            <w:pPr>
              <w:spacing w:before="60" w:after="60"/>
              <w:ind w:right="284"/>
              <w:jc w:val="right"/>
              <w:rPr>
                <w:sz w:val="20"/>
                <w:szCs w:val="20"/>
              </w:rPr>
            </w:pPr>
            <w:r>
              <w:rPr>
                <w:sz w:val="20"/>
                <w:szCs w:val="20"/>
              </w:rPr>
              <w:t>10.1</w:t>
            </w:r>
          </w:p>
        </w:tc>
        <w:tc>
          <w:tcPr>
            <w:tcW w:w="371" w:type="pct"/>
            <w:noWrap/>
            <w:vAlign w:val="bottom"/>
          </w:tcPr>
          <w:p w:rsidR="00000000" w:rsidRDefault="00000000">
            <w:pPr>
              <w:spacing w:before="60" w:after="60"/>
              <w:ind w:right="284"/>
              <w:jc w:val="right"/>
              <w:rPr>
                <w:sz w:val="20"/>
                <w:szCs w:val="20"/>
              </w:rPr>
            </w:pPr>
            <w:r>
              <w:rPr>
                <w:sz w:val="20"/>
                <w:szCs w:val="20"/>
              </w:rPr>
              <w:t>8.1</w:t>
            </w:r>
          </w:p>
        </w:tc>
        <w:tc>
          <w:tcPr>
            <w:tcW w:w="307" w:type="pct"/>
            <w:noWrap/>
            <w:vAlign w:val="bottom"/>
          </w:tcPr>
          <w:p w:rsidR="00000000" w:rsidRDefault="00000000">
            <w:pPr>
              <w:spacing w:before="60" w:after="60"/>
              <w:ind w:right="284"/>
              <w:jc w:val="right"/>
              <w:rPr>
                <w:sz w:val="20"/>
                <w:szCs w:val="20"/>
              </w:rPr>
            </w:pPr>
            <w:r>
              <w:rPr>
                <w:sz w:val="20"/>
                <w:szCs w:val="20"/>
              </w:rPr>
              <w:t>5.8</w:t>
            </w:r>
          </w:p>
        </w:tc>
        <w:tc>
          <w:tcPr>
            <w:tcW w:w="411" w:type="pct"/>
            <w:noWrap/>
            <w:vAlign w:val="bottom"/>
          </w:tcPr>
          <w:p w:rsidR="00000000" w:rsidRDefault="00000000">
            <w:pPr>
              <w:spacing w:before="60" w:after="60"/>
              <w:ind w:right="284"/>
              <w:jc w:val="right"/>
              <w:rPr>
                <w:sz w:val="20"/>
                <w:szCs w:val="20"/>
              </w:rPr>
            </w:pPr>
            <w:r>
              <w:rPr>
                <w:sz w:val="20"/>
                <w:szCs w:val="20"/>
              </w:rPr>
              <w:t>11.5</w:t>
            </w:r>
          </w:p>
        </w:tc>
        <w:tc>
          <w:tcPr>
            <w:tcW w:w="437" w:type="pct"/>
            <w:noWrap/>
            <w:vAlign w:val="bottom"/>
          </w:tcPr>
          <w:p w:rsidR="00000000" w:rsidRDefault="00000000">
            <w:pPr>
              <w:spacing w:before="60" w:after="60"/>
              <w:ind w:right="284"/>
              <w:jc w:val="right"/>
              <w:rPr>
                <w:sz w:val="20"/>
                <w:szCs w:val="20"/>
              </w:rPr>
            </w:pPr>
            <w:r>
              <w:rPr>
                <w:sz w:val="20"/>
                <w:szCs w:val="20"/>
              </w:rPr>
              <w:t>6.7</w:t>
            </w:r>
          </w:p>
        </w:tc>
        <w:tc>
          <w:tcPr>
            <w:tcW w:w="437" w:type="pct"/>
            <w:noWrap/>
            <w:vAlign w:val="bottom"/>
          </w:tcPr>
          <w:p w:rsidR="00000000" w:rsidRDefault="00000000">
            <w:pPr>
              <w:spacing w:before="60" w:after="60"/>
              <w:ind w:right="284"/>
              <w:jc w:val="right"/>
              <w:rPr>
                <w:sz w:val="20"/>
                <w:szCs w:val="20"/>
              </w:rPr>
            </w:pPr>
            <w:r>
              <w:rPr>
                <w:sz w:val="20"/>
                <w:szCs w:val="20"/>
              </w:rPr>
              <w:t>4.3</w:t>
            </w:r>
          </w:p>
        </w:tc>
        <w:tc>
          <w:tcPr>
            <w:tcW w:w="308" w:type="pct"/>
            <w:noWrap/>
            <w:vAlign w:val="bottom"/>
          </w:tcPr>
          <w:p w:rsidR="00000000" w:rsidRDefault="00000000">
            <w:pPr>
              <w:spacing w:before="60" w:after="60"/>
              <w:ind w:right="284"/>
              <w:jc w:val="right"/>
              <w:rPr>
                <w:sz w:val="20"/>
                <w:szCs w:val="20"/>
              </w:rPr>
            </w:pPr>
            <w:r>
              <w:rPr>
                <w:sz w:val="20"/>
                <w:szCs w:val="20"/>
              </w:rPr>
              <w:t>10.4</w:t>
            </w:r>
          </w:p>
        </w:tc>
      </w:tr>
      <w:tr w:rsidR="00000000">
        <w:trPr>
          <w:jc w:val="center"/>
        </w:trPr>
        <w:tc>
          <w:tcPr>
            <w:tcW w:w="868" w:type="pct"/>
            <w:tcBorders>
              <w:bottom w:val="single" w:sz="4" w:space="0" w:color="auto"/>
            </w:tcBorders>
            <w:noWrap/>
            <w:vAlign w:val="bottom"/>
          </w:tcPr>
          <w:p w:rsidR="00000000" w:rsidRDefault="00000000">
            <w:pPr>
              <w:spacing w:before="60" w:after="60"/>
              <w:rPr>
                <w:sz w:val="20"/>
                <w:szCs w:val="20"/>
              </w:rPr>
            </w:pPr>
            <w:r>
              <w:rPr>
                <w:sz w:val="20"/>
                <w:szCs w:val="20"/>
              </w:rPr>
              <w:t>Invisible underemployment rate</w:t>
            </w:r>
          </w:p>
        </w:tc>
        <w:tc>
          <w:tcPr>
            <w:tcW w:w="308" w:type="pct"/>
            <w:tcBorders>
              <w:bottom w:val="single" w:sz="4" w:space="0" w:color="auto"/>
            </w:tcBorders>
            <w:noWrap/>
            <w:vAlign w:val="bottom"/>
          </w:tcPr>
          <w:p w:rsidR="00000000" w:rsidRDefault="00000000">
            <w:pPr>
              <w:spacing w:before="60" w:after="60"/>
              <w:ind w:right="284"/>
              <w:jc w:val="right"/>
              <w:rPr>
                <w:sz w:val="20"/>
                <w:szCs w:val="20"/>
              </w:rPr>
            </w:pPr>
            <w:r>
              <w:rPr>
                <w:sz w:val="20"/>
                <w:szCs w:val="20"/>
              </w:rPr>
              <w:t>10.6</w:t>
            </w:r>
          </w:p>
        </w:tc>
        <w:tc>
          <w:tcPr>
            <w:tcW w:w="315" w:type="pct"/>
            <w:tcBorders>
              <w:bottom w:val="single" w:sz="4" w:space="0" w:color="auto"/>
            </w:tcBorders>
            <w:noWrap/>
            <w:vAlign w:val="bottom"/>
          </w:tcPr>
          <w:p w:rsidR="00000000" w:rsidRDefault="00000000">
            <w:pPr>
              <w:spacing w:before="60" w:after="60"/>
              <w:ind w:right="284"/>
              <w:jc w:val="right"/>
              <w:rPr>
                <w:sz w:val="20"/>
                <w:szCs w:val="20"/>
              </w:rPr>
            </w:pPr>
            <w:r>
              <w:rPr>
                <w:sz w:val="20"/>
                <w:szCs w:val="20"/>
              </w:rPr>
              <w:t>10.8</w:t>
            </w:r>
          </w:p>
        </w:tc>
        <w:tc>
          <w:tcPr>
            <w:tcW w:w="307" w:type="pct"/>
            <w:tcBorders>
              <w:bottom w:val="single" w:sz="4" w:space="0" w:color="auto"/>
            </w:tcBorders>
            <w:noWrap/>
            <w:vAlign w:val="bottom"/>
          </w:tcPr>
          <w:p w:rsidR="00000000" w:rsidRDefault="00000000">
            <w:pPr>
              <w:spacing w:before="60" w:after="60"/>
              <w:ind w:right="284"/>
              <w:jc w:val="right"/>
              <w:rPr>
                <w:sz w:val="20"/>
                <w:szCs w:val="20"/>
              </w:rPr>
            </w:pPr>
            <w:r>
              <w:rPr>
                <w:sz w:val="20"/>
                <w:szCs w:val="20"/>
              </w:rPr>
              <w:t>10.4</w:t>
            </w:r>
          </w:p>
        </w:tc>
        <w:tc>
          <w:tcPr>
            <w:tcW w:w="315" w:type="pct"/>
            <w:tcBorders>
              <w:bottom w:val="single" w:sz="4" w:space="0" w:color="auto"/>
            </w:tcBorders>
            <w:noWrap/>
            <w:vAlign w:val="bottom"/>
          </w:tcPr>
          <w:p w:rsidR="00000000" w:rsidRDefault="00000000">
            <w:pPr>
              <w:spacing w:before="60" w:after="60"/>
              <w:ind w:right="284"/>
              <w:jc w:val="right"/>
              <w:rPr>
                <w:sz w:val="20"/>
                <w:szCs w:val="20"/>
              </w:rPr>
            </w:pPr>
            <w:r>
              <w:rPr>
                <w:sz w:val="20"/>
                <w:szCs w:val="20"/>
              </w:rPr>
              <w:t>11.5</w:t>
            </w:r>
          </w:p>
        </w:tc>
        <w:tc>
          <w:tcPr>
            <w:tcW w:w="307" w:type="pct"/>
            <w:tcBorders>
              <w:bottom w:val="single" w:sz="4" w:space="0" w:color="auto"/>
            </w:tcBorders>
            <w:noWrap/>
            <w:vAlign w:val="bottom"/>
          </w:tcPr>
          <w:p w:rsidR="00000000" w:rsidRDefault="00000000">
            <w:pPr>
              <w:spacing w:before="60" w:after="60"/>
              <w:ind w:right="284"/>
              <w:jc w:val="right"/>
              <w:rPr>
                <w:sz w:val="20"/>
                <w:szCs w:val="20"/>
              </w:rPr>
            </w:pPr>
            <w:r>
              <w:rPr>
                <w:sz w:val="20"/>
                <w:szCs w:val="20"/>
              </w:rPr>
              <w:t>11.1</w:t>
            </w:r>
          </w:p>
        </w:tc>
        <w:tc>
          <w:tcPr>
            <w:tcW w:w="309" w:type="pct"/>
            <w:tcBorders>
              <w:bottom w:val="single" w:sz="4" w:space="0" w:color="auto"/>
            </w:tcBorders>
            <w:noWrap/>
            <w:vAlign w:val="bottom"/>
          </w:tcPr>
          <w:p w:rsidR="00000000" w:rsidRDefault="00000000">
            <w:pPr>
              <w:spacing w:before="60" w:after="60"/>
              <w:ind w:right="284"/>
              <w:jc w:val="right"/>
              <w:rPr>
                <w:sz w:val="20"/>
                <w:szCs w:val="20"/>
              </w:rPr>
            </w:pPr>
            <w:r>
              <w:rPr>
                <w:sz w:val="20"/>
                <w:szCs w:val="20"/>
              </w:rPr>
              <w:t>12.1</w:t>
            </w:r>
          </w:p>
        </w:tc>
        <w:tc>
          <w:tcPr>
            <w:tcW w:w="371" w:type="pct"/>
            <w:tcBorders>
              <w:bottom w:val="single" w:sz="4" w:space="0" w:color="auto"/>
            </w:tcBorders>
            <w:noWrap/>
            <w:vAlign w:val="bottom"/>
          </w:tcPr>
          <w:p w:rsidR="00000000" w:rsidRDefault="00000000">
            <w:pPr>
              <w:spacing w:before="60" w:after="60"/>
              <w:ind w:right="284"/>
              <w:jc w:val="right"/>
              <w:rPr>
                <w:sz w:val="20"/>
                <w:szCs w:val="20"/>
              </w:rPr>
            </w:pPr>
            <w:r>
              <w:rPr>
                <w:sz w:val="20"/>
                <w:szCs w:val="20"/>
              </w:rPr>
              <w:t>16.1</w:t>
            </w:r>
          </w:p>
        </w:tc>
        <w:tc>
          <w:tcPr>
            <w:tcW w:w="307" w:type="pct"/>
            <w:tcBorders>
              <w:bottom w:val="single" w:sz="4" w:space="0" w:color="auto"/>
            </w:tcBorders>
            <w:noWrap/>
            <w:vAlign w:val="bottom"/>
          </w:tcPr>
          <w:p w:rsidR="00000000" w:rsidRDefault="00000000">
            <w:pPr>
              <w:spacing w:before="60" w:after="60"/>
              <w:ind w:right="284"/>
              <w:jc w:val="right"/>
              <w:rPr>
                <w:sz w:val="20"/>
                <w:szCs w:val="20"/>
              </w:rPr>
            </w:pPr>
            <w:r>
              <w:rPr>
                <w:sz w:val="20"/>
                <w:szCs w:val="20"/>
              </w:rPr>
              <w:t>16.0</w:t>
            </w:r>
          </w:p>
        </w:tc>
        <w:tc>
          <w:tcPr>
            <w:tcW w:w="411" w:type="pct"/>
            <w:tcBorders>
              <w:bottom w:val="single" w:sz="4" w:space="0" w:color="auto"/>
            </w:tcBorders>
            <w:noWrap/>
            <w:vAlign w:val="bottom"/>
          </w:tcPr>
          <w:p w:rsidR="00000000" w:rsidRDefault="00000000">
            <w:pPr>
              <w:spacing w:before="60" w:after="60"/>
              <w:ind w:right="284"/>
              <w:jc w:val="right"/>
              <w:rPr>
                <w:sz w:val="20"/>
                <w:szCs w:val="20"/>
              </w:rPr>
            </w:pPr>
            <w:r>
              <w:rPr>
                <w:sz w:val="20"/>
                <w:szCs w:val="20"/>
              </w:rPr>
              <w:t>16.2</w:t>
            </w:r>
          </w:p>
        </w:tc>
        <w:tc>
          <w:tcPr>
            <w:tcW w:w="437" w:type="pct"/>
            <w:tcBorders>
              <w:bottom w:val="single" w:sz="4" w:space="0" w:color="auto"/>
            </w:tcBorders>
            <w:noWrap/>
            <w:vAlign w:val="bottom"/>
          </w:tcPr>
          <w:p w:rsidR="00000000" w:rsidRDefault="00000000">
            <w:pPr>
              <w:spacing w:before="60" w:after="60"/>
              <w:ind w:right="284"/>
              <w:jc w:val="right"/>
              <w:rPr>
                <w:sz w:val="20"/>
                <w:szCs w:val="20"/>
              </w:rPr>
            </w:pPr>
            <w:r>
              <w:rPr>
                <w:sz w:val="20"/>
                <w:szCs w:val="20"/>
              </w:rPr>
              <w:t>18.4</w:t>
            </w:r>
          </w:p>
        </w:tc>
        <w:tc>
          <w:tcPr>
            <w:tcW w:w="437" w:type="pct"/>
            <w:tcBorders>
              <w:bottom w:val="single" w:sz="4" w:space="0" w:color="auto"/>
            </w:tcBorders>
            <w:noWrap/>
            <w:vAlign w:val="bottom"/>
          </w:tcPr>
          <w:p w:rsidR="00000000" w:rsidRDefault="00000000">
            <w:pPr>
              <w:spacing w:before="60" w:after="60"/>
              <w:ind w:right="284"/>
              <w:jc w:val="right"/>
              <w:rPr>
                <w:sz w:val="20"/>
                <w:szCs w:val="20"/>
              </w:rPr>
            </w:pPr>
            <w:r>
              <w:rPr>
                <w:sz w:val="20"/>
                <w:szCs w:val="20"/>
              </w:rPr>
              <w:t>17.8</w:t>
            </w:r>
          </w:p>
        </w:tc>
        <w:tc>
          <w:tcPr>
            <w:tcW w:w="308" w:type="pct"/>
            <w:tcBorders>
              <w:bottom w:val="single" w:sz="4" w:space="0" w:color="auto"/>
            </w:tcBorders>
            <w:noWrap/>
            <w:vAlign w:val="bottom"/>
          </w:tcPr>
          <w:p w:rsidR="00000000" w:rsidRDefault="00000000">
            <w:pPr>
              <w:spacing w:before="60" w:after="60"/>
              <w:ind w:right="284"/>
              <w:jc w:val="right"/>
              <w:rPr>
                <w:sz w:val="20"/>
                <w:szCs w:val="20"/>
              </w:rPr>
            </w:pPr>
            <w:r>
              <w:rPr>
                <w:sz w:val="20"/>
                <w:szCs w:val="20"/>
              </w:rPr>
              <w:t>19.3</w:t>
            </w:r>
          </w:p>
        </w:tc>
      </w:tr>
    </w:tbl>
    <w:p w:rsidR="00000000" w:rsidRDefault="00000000">
      <w:pPr>
        <w:spacing w:before="60" w:after="60"/>
        <w:ind w:left="567"/>
        <w:rPr>
          <w:bCs/>
          <w:sz w:val="20"/>
          <w:szCs w:val="16"/>
        </w:rPr>
      </w:pPr>
      <w:r>
        <w:rPr>
          <w:sz w:val="20"/>
          <w:szCs w:val="16"/>
          <w:lang w:val="en-US"/>
        </w:rPr>
        <w:t>(*) In the Permanent Household Survey 1995. Data adjusted to the findings of the 2003 census. (**) Population under 10 years of age.</w:t>
      </w:r>
    </w:p>
    <w:p w:rsidR="00000000" w:rsidRDefault="00000000">
      <w:pPr>
        <w:spacing w:before="60" w:after="240"/>
        <w:ind w:left="567"/>
        <w:rPr>
          <w:b/>
          <w:szCs w:val="16"/>
        </w:rPr>
      </w:pPr>
      <w:r>
        <w:rPr>
          <w:bCs/>
          <w:i/>
          <w:iCs/>
          <w:sz w:val="20"/>
          <w:szCs w:val="16"/>
        </w:rPr>
        <w:t xml:space="preserve">Source: </w:t>
      </w:r>
      <w:r>
        <w:rPr>
          <w:bCs/>
          <w:sz w:val="20"/>
          <w:szCs w:val="16"/>
        </w:rPr>
        <w:t>STP/DGEEC. Permanent Household Survey 1995. 1999. 2004. 2005.</w:t>
      </w:r>
    </w:p>
    <w:p w:rsidR="00000000" w:rsidRDefault="00000000">
      <w:pPr>
        <w:numPr>
          <w:ilvl w:val="2"/>
          <w:numId w:val="10"/>
        </w:numPr>
        <w:spacing w:after="240"/>
        <w:rPr>
          <w:b/>
        </w:rPr>
      </w:pPr>
      <w:r>
        <w:rPr>
          <w:b/>
          <w:szCs w:val="16"/>
        </w:rPr>
        <w:br w:type="page"/>
      </w:r>
      <w:r>
        <w:rPr>
          <w:b/>
        </w:rPr>
        <w:t xml:space="preserve">Employment – Adult population    </w:t>
      </w:r>
    </w:p>
    <w:p w:rsidR="00000000" w:rsidRDefault="00000000">
      <w:pPr>
        <w:spacing w:after="240"/>
        <w:jc w:val="center"/>
        <w:rPr>
          <w:b/>
          <w:sz w:val="22"/>
        </w:rPr>
      </w:pPr>
      <w:r>
        <w:rPr>
          <w:b/>
          <w:bCs/>
          <w:sz w:val="22"/>
          <w:szCs w:val="20"/>
          <w:lang w:val="en-US"/>
        </w:rPr>
        <w:t xml:space="preserve">Employment indicators of the adult population. </w:t>
      </w:r>
      <w:r>
        <w:rPr>
          <w:b/>
          <w:bCs/>
          <w:sz w:val="22"/>
          <w:szCs w:val="20"/>
        </w:rPr>
        <w:t>Period 1995-2005</w:t>
      </w:r>
    </w:p>
    <w:tbl>
      <w:tblPr>
        <w:tblW w:w="5000" w:type="pct"/>
        <w:tblLayout w:type="fixed"/>
        <w:tblCellMar>
          <w:left w:w="0" w:type="dxa"/>
          <w:right w:w="0" w:type="dxa"/>
        </w:tblCellMar>
        <w:tblLook w:val="0000" w:firstRow="0" w:lastRow="0" w:firstColumn="0" w:lastColumn="0" w:noHBand="0" w:noVBand="0"/>
      </w:tblPr>
      <w:tblGrid>
        <w:gridCol w:w="2433"/>
        <w:gridCol w:w="1066"/>
        <w:gridCol w:w="889"/>
        <w:gridCol w:w="889"/>
        <w:gridCol w:w="1066"/>
        <w:gridCol w:w="889"/>
        <w:gridCol w:w="756"/>
        <w:gridCol w:w="1017"/>
        <w:gridCol w:w="1018"/>
        <w:gridCol w:w="1018"/>
        <w:gridCol w:w="1182"/>
        <w:gridCol w:w="1182"/>
        <w:gridCol w:w="1182"/>
      </w:tblGrid>
      <w:tr w:rsidR="00000000">
        <w:trPr>
          <w:cantSplit/>
        </w:trPr>
        <w:tc>
          <w:tcPr>
            <w:tcW w:w="2433" w:type="dxa"/>
            <w:vMerge w:val="restart"/>
            <w:tcBorders>
              <w:top w:val="single" w:sz="4" w:space="0" w:color="auto"/>
            </w:tcBorders>
            <w:noWrap/>
            <w:vAlign w:val="center"/>
          </w:tcPr>
          <w:p w:rsidR="00000000" w:rsidRDefault="00000000">
            <w:pPr>
              <w:pStyle w:val="Heading4"/>
              <w:spacing w:before="60" w:after="60"/>
            </w:pPr>
            <w:r>
              <w:t>CLASSIFICATION</w:t>
            </w:r>
          </w:p>
        </w:tc>
        <w:tc>
          <w:tcPr>
            <w:tcW w:w="2844" w:type="dxa"/>
            <w:gridSpan w:val="3"/>
            <w:tcBorders>
              <w:top w:val="single" w:sz="4" w:space="0" w:color="auto"/>
              <w:bottom w:val="single" w:sz="4" w:space="0" w:color="auto"/>
            </w:tcBorders>
            <w:noWrap/>
            <w:vAlign w:val="center"/>
          </w:tcPr>
          <w:p w:rsidR="00000000" w:rsidRDefault="00000000">
            <w:pPr>
              <w:spacing w:before="60" w:after="60"/>
              <w:jc w:val="center"/>
              <w:rPr>
                <w:b/>
                <w:bCs/>
                <w:i/>
                <w:iCs/>
                <w:sz w:val="20"/>
                <w:szCs w:val="20"/>
              </w:rPr>
            </w:pPr>
            <w:r>
              <w:rPr>
                <w:b/>
                <w:bCs/>
                <w:i/>
                <w:iCs/>
                <w:sz w:val="20"/>
                <w:szCs w:val="20"/>
              </w:rPr>
              <w:t>1995(*)</w:t>
            </w:r>
          </w:p>
        </w:tc>
        <w:tc>
          <w:tcPr>
            <w:tcW w:w="2711" w:type="dxa"/>
            <w:gridSpan w:val="3"/>
            <w:tcBorders>
              <w:top w:val="single" w:sz="4" w:space="0" w:color="auto"/>
              <w:bottom w:val="single" w:sz="4" w:space="0" w:color="auto"/>
            </w:tcBorders>
            <w:noWrap/>
            <w:vAlign w:val="center"/>
          </w:tcPr>
          <w:p w:rsidR="00000000" w:rsidRDefault="00000000">
            <w:pPr>
              <w:spacing w:before="60" w:after="60"/>
              <w:jc w:val="center"/>
              <w:rPr>
                <w:b/>
                <w:bCs/>
                <w:i/>
                <w:iCs/>
                <w:sz w:val="20"/>
                <w:szCs w:val="20"/>
              </w:rPr>
            </w:pPr>
            <w:r>
              <w:rPr>
                <w:b/>
                <w:bCs/>
                <w:i/>
                <w:iCs/>
                <w:sz w:val="20"/>
                <w:szCs w:val="20"/>
              </w:rPr>
              <w:t>1999(*)</w:t>
            </w:r>
          </w:p>
        </w:tc>
        <w:tc>
          <w:tcPr>
            <w:tcW w:w="3053" w:type="dxa"/>
            <w:gridSpan w:val="3"/>
            <w:tcBorders>
              <w:top w:val="single" w:sz="4" w:space="0" w:color="auto"/>
              <w:bottom w:val="single" w:sz="4" w:space="0" w:color="auto"/>
            </w:tcBorders>
            <w:noWrap/>
            <w:vAlign w:val="center"/>
          </w:tcPr>
          <w:p w:rsidR="00000000" w:rsidRDefault="00000000">
            <w:pPr>
              <w:spacing w:before="60" w:after="60"/>
              <w:jc w:val="center"/>
              <w:rPr>
                <w:b/>
                <w:bCs/>
                <w:i/>
                <w:iCs/>
                <w:sz w:val="20"/>
                <w:szCs w:val="20"/>
              </w:rPr>
            </w:pPr>
            <w:r>
              <w:rPr>
                <w:b/>
                <w:bCs/>
                <w:i/>
                <w:iCs/>
                <w:sz w:val="20"/>
                <w:szCs w:val="20"/>
              </w:rPr>
              <w:t>2004</w:t>
            </w:r>
          </w:p>
        </w:tc>
        <w:tc>
          <w:tcPr>
            <w:tcW w:w="3546" w:type="dxa"/>
            <w:gridSpan w:val="3"/>
            <w:tcBorders>
              <w:top w:val="single" w:sz="4" w:space="0" w:color="auto"/>
              <w:bottom w:val="single" w:sz="4" w:space="0" w:color="auto"/>
            </w:tcBorders>
            <w:noWrap/>
            <w:vAlign w:val="center"/>
          </w:tcPr>
          <w:p w:rsidR="00000000" w:rsidRDefault="00000000">
            <w:pPr>
              <w:spacing w:before="60" w:after="60"/>
              <w:jc w:val="center"/>
              <w:rPr>
                <w:b/>
                <w:bCs/>
                <w:i/>
                <w:iCs/>
                <w:sz w:val="20"/>
                <w:szCs w:val="20"/>
              </w:rPr>
            </w:pPr>
            <w:r>
              <w:rPr>
                <w:b/>
                <w:bCs/>
                <w:i/>
                <w:iCs/>
                <w:sz w:val="20"/>
                <w:szCs w:val="20"/>
              </w:rPr>
              <w:t>2005</w:t>
            </w:r>
          </w:p>
        </w:tc>
      </w:tr>
      <w:tr w:rsidR="00000000">
        <w:trPr>
          <w:cantSplit/>
        </w:trPr>
        <w:tc>
          <w:tcPr>
            <w:tcW w:w="2433" w:type="dxa"/>
            <w:vMerge/>
            <w:tcBorders>
              <w:bottom w:val="single" w:sz="4" w:space="0" w:color="auto"/>
            </w:tcBorders>
            <w:noWrap/>
            <w:vAlign w:val="center"/>
          </w:tcPr>
          <w:p w:rsidR="00000000" w:rsidRDefault="00000000">
            <w:pPr>
              <w:spacing w:before="60" w:after="60"/>
              <w:jc w:val="center"/>
              <w:rPr>
                <w:b/>
                <w:bCs/>
                <w:i/>
                <w:iCs/>
                <w:sz w:val="20"/>
                <w:szCs w:val="20"/>
              </w:rPr>
            </w:pPr>
          </w:p>
        </w:tc>
        <w:tc>
          <w:tcPr>
            <w:tcW w:w="1066" w:type="dxa"/>
            <w:tcBorders>
              <w:top w:val="single" w:sz="4" w:space="0" w:color="auto"/>
              <w:bottom w:val="single" w:sz="4" w:space="0" w:color="auto"/>
            </w:tcBorders>
            <w:noWrap/>
            <w:vAlign w:val="center"/>
          </w:tcPr>
          <w:p w:rsidR="00000000" w:rsidRDefault="00000000">
            <w:pPr>
              <w:pStyle w:val="Heading4"/>
              <w:spacing w:before="60" w:after="60"/>
            </w:pPr>
            <w:r>
              <w:t>Total</w:t>
            </w:r>
          </w:p>
        </w:tc>
        <w:tc>
          <w:tcPr>
            <w:tcW w:w="889" w:type="dxa"/>
            <w:tcBorders>
              <w:top w:val="single" w:sz="4" w:space="0" w:color="auto"/>
              <w:bottom w:val="single" w:sz="4" w:space="0" w:color="auto"/>
            </w:tcBorders>
            <w:noWrap/>
            <w:vAlign w:val="center"/>
          </w:tcPr>
          <w:p w:rsidR="00000000" w:rsidRDefault="00000000">
            <w:pPr>
              <w:spacing w:before="60" w:after="60"/>
              <w:jc w:val="center"/>
              <w:rPr>
                <w:b/>
                <w:bCs/>
                <w:i/>
                <w:iCs/>
                <w:sz w:val="20"/>
                <w:szCs w:val="20"/>
              </w:rPr>
            </w:pPr>
            <w:r>
              <w:rPr>
                <w:b/>
                <w:bCs/>
                <w:i/>
                <w:iCs/>
                <w:sz w:val="20"/>
                <w:szCs w:val="20"/>
              </w:rPr>
              <w:t>Men</w:t>
            </w:r>
          </w:p>
        </w:tc>
        <w:tc>
          <w:tcPr>
            <w:tcW w:w="889" w:type="dxa"/>
            <w:tcBorders>
              <w:top w:val="single" w:sz="4" w:space="0" w:color="auto"/>
              <w:bottom w:val="single" w:sz="4" w:space="0" w:color="auto"/>
            </w:tcBorders>
            <w:noWrap/>
            <w:vAlign w:val="center"/>
          </w:tcPr>
          <w:p w:rsidR="00000000" w:rsidRDefault="00000000">
            <w:pPr>
              <w:spacing w:before="60" w:after="60"/>
              <w:jc w:val="center"/>
              <w:rPr>
                <w:b/>
                <w:bCs/>
                <w:i/>
                <w:iCs/>
                <w:sz w:val="20"/>
                <w:szCs w:val="20"/>
              </w:rPr>
            </w:pPr>
            <w:r>
              <w:rPr>
                <w:b/>
                <w:bCs/>
                <w:i/>
                <w:iCs/>
                <w:sz w:val="20"/>
                <w:szCs w:val="20"/>
              </w:rPr>
              <w:t>Women</w:t>
            </w:r>
          </w:p>
        </w:tc>
        <w:tc>
          <w:tcPr>
            <w:tcW w:w="1066" w:type="dxa"/>
            <w:tcBorders>
              <w:top w:val="single" w:sz="4" w:space="0" w:color="auto"/>
              <w:bottom w:val="single" w:sz="4" w:space="0" w:color="auto"/>
            </w:tcBorders>
            <w:noWrap/>
            <w:vAlign w:val="center"/>
          </w:tcPr>
          <w:p w:rsidR="00000000" w:rsidRDefault="00000000">
            <w:pPr>
              <w:spacing w:before="60" w:after="60"/>
              <w:jc w:val="center"/>
              <w:rPr>
                <w:b/>
                <w:bCs/>
                <w:i/>
                <w:iCs/>
                <w:sz w:val="20"/>
                <w:szCs w:val="20"/>
              </w:rPr>
            </w:pPr>
            <w:r>
              <w:rPr>
                <w:b/>
                <w:bCs/>
                <w:i/>
                <w:iCs/>
                <w:sz w:val="20"/>
                <w:szCs w:val="20"/>
              </w:rPr>
              <w:t>Total</w:t>
            </w:r>
          </w:p>
        </w:tc>
        <w:tc>
          <w:tcPr>
            <w:tcW w:w="889" w:type="dxa"/>
            <w:tcBorders>
              <w:top w:val="single" w:sz="4" w:space="0" w:color="auto"/>
              <w:bottom w:val="single" w:sz="4" w:space="0" w:color="auto"/>
            </w:tcBorders>
            <w:noWrap/>
            <w:vAlign w:val="center"/>
          </w:tcPr>
          <w:p w:rsidR="00000000" w:rsidRDefault="00000000">
            <w:pPr>
              <w:spacing w:before="60" w:after="60"/>
              <w:jc w:val="center"/>
              <w:rPr>
                <w:b/>
                <w:bCs/>
                <w:i/>
                <w:iCs/>
                <w:sz w:val="20"/>
                <w:szCs w:val="20"/>
              </w:rPr>
            </w:pPr>
            <w:r>
              <w:rPr>
                <w:b/>
                <w:bCs/>
                <w:i/>
                <w:iCs/>
                <w:sz w:val="20"/>
                <w:szCs w:val="20"/>
              </w:rPr>
              <w:t>Men</w:t>
            </w:r>
          </w:p>
        </w:tc>
        <w:tc>
          <w:tcPr>
            <w:tcW w:w="756" w:type="dxa"/>
            <w:tcBorders>
              <w:top w:val="single" w:sz="4" w:space="0" w:color="auto"/>
              <w:bottom w:val="single" w:sz="4" w:space="0" w:color="auto"/>
            </w:tcBorders>
            <w:noWrap/>
            <w:vAlign w:val="center"/>
          </w:tcPr>
          <w:p w:rsidR="00000000" w:rsidRDefault="00000000">
            <w:pPr>
              <w:spacing w:before="60" w:after="60"/>
              <w:jc w:val="center"/>
              <w:rPr>
                <w:b/>
                <w:bCs/>
                <w:i/>
                <w:iCs/>
                <w:sz w:val="20"/>
                <w:szCs w:val="20"/>
              </w:rPr>
            </w:pPr>
            <w:r>
              <w:rPr>
                <w:b/>
                <w:bCs/>
                <w:i/>
                <w:iCs/>
                <w:sz w:val="20"/>
                <w:szCs w:val="20"/>
              </w:rPr>
              <w:t>Women</w:t>
            </w:r>
          </w:p>
        </w:tc>
        <w:tc>
          <w:tcPr>
            <w:tcW w:w="1017" w:type="dxa"/>
            <w:tcBorders>
              <w:top w:val="single" w:sz="4" w:space="0" w:color="auto"/>
              <w:bottom w:val="single" w:sz="4" w:space="0" w:color="auto"/>
            </w:tcBorders>
            <w:noWrap/>
            <w:vAlign w:val="center"/>
          </w:tcPr>
          <w:p w:rsidR="00000000" w:rsidRDefault="00000000">
            <w:pPr>
              <w:spacing w:before="60" w:after="60"/>
              <w:jc w:val="center"/>
              <w:rPr>
                <w:b/>
                <w:bCs/>
                <w:i/>
                <w:iCs/>
                <w:sz w:val="20"/>
                <w:szCs w:val="20"/>
              </w:rPr>
            </w:pPr>
            <w:r>
              <w:rPr>
                <w:b/>
                <w:bCs/>
                <w:i/>
                <w:iCs/>
                <w:sz w:val="20"/>
                <w:szCs w:val="20"/>
              </w:rPr>
              <w:t>Total</w:t>
            </w:r>
          </w:p>
        </w:tc>
        <w:tc>
          <w:tcPr>
            <w:tcW w:w="1018" w:type="dxa"/>
            <w:tcBorders>
              <w:top w:val="single" w:sz="4" w:space="0" w:color="auto"/>
              <w:bottom w:val="single" w:sz="4" w:space="0" w:color="auto"/>
            </w:tcBorders>
            <w:noWrap/>
            <w:vAlign w:val="center"/>
          </w:tcPr>
          <w:p w:rsidR="00000000" w:rsidRDefault="00000000">
            <w:pPr>
              <w:spacing w:before="60" w:after="60"/>
              <w:jc w:val="center"/>
              <w:rPr>
                <w:b/>
                <w:bCs/>
                <w:i/>
                <w:iCs/>
                <w:sz w:val="20"/>
                <w:szCs w:val="20"/>
              </w:rPr>
            </w:pPr>
            <w:r>
              <w:rPr>
                <w:b/>
                <w:bCs/>
                <w:i/>
                <w:iCs/>
                <w:sz w:val="20"/>
                <w:szCs w:val="20"/>
              </w:rPr>
              <w:t>Men</w:t>
            </w:r>
          </w:p>
        </w:tc>
        <w:tc>
          <w:tcPr>
            <w:tcW w:w="1018" w:type="dxa"/>
            <w:tcBorders>
              <w:top w:val="single" w:sz="4" w:space="0" w:color="auto"/>
              <w:bottom w:val="single" w:sz="4" w:space="0" w:color="auto"/>
            </w:tcBorders>
            <w:noWrap/>
            <w:vAlign w:val="center"/>
          </w:tcPr>
          <w:p w:rsidR="00000000" w:rsidRDefault="00000000">
            <w:pPr>
              <w:spacing w:before="60" w:after="60"/>
              <w:jc w:val="center"/>
              <w:rPr>
                <w:b/>
                <w:bCs/>
                <w:i/>
                <w:iCs/>
                <w:sz w:val="20"/>
                <w:szCs w:val="20"/>
              </w:rPr>
            </w:pPr>
            <w:r>
              <w:rPr>
                <w:b/>
                <w:bCs/>
                <w:i/>
                <w:iCs/>
                <w:sz w:val="20"/>
                <w:szCs w:val="20"/>
              </w:rPr>
              <w:t>Women</w:t>
            </w:r>
          </w:p>
        </w:tc>
        <w:tc>
          <w:tcPr>
            <w:tcW w:w="1182" w:type="dxa"/>
            <w:tcBorders>
              <w:top w:val="single" w:sz="4" w:space="0" w:color="auto"/>
              <w:bottom w:val="single" w:sz="4" w:space="0" w:color="auto"/>
            </w:tcBorders>
            <w:noWrap/>
            <w:vAlign w:val="center"/>
          </w:tcPr>
          <w:p w:rsidR="00000000" w:rsidRDefault="00000000">
            <w:pPr>
              <w:spacing w:before="60" w:after="60"/>
              <w:jc w:val="center"/>
              <w:rPr>
                <w:b/>
                <w:bCs/>
                <w:i/>
                <w:iCs/>
                <w:sz w:val="20"/>
                <w:szCs w:val="20"/>
              </w:rPr>
            </w:pPr>
            <w:r>
              <w:rPr>
                <w:b/>
                <w:bCs/>
                <w:i/>
                <w:iCs/>
                <w:sz w:val="20"/>
                <w:szCs w:val="20"/>
              </w:rPr>
              <w:t>Total</w:t>
            </w:r>
          </w:p>
        </w:tc>
        <w:tc>
          <w:tcPr>
            <w:tcW w:w="1182" w:type="dxa"/>
            <w:tcBorders>
              <w:top w:val="single" w:sz="4" w:space="0" w:color="auto"/>
              <w:bottom w:val="single" w:sz="4" w:space="0" w:color="auto"/>
            </w:tcBorders>
            <w:noWrap/>
            <w:vAlign w:val="center"/>
          </w:tcPr>
          <w:p w:rsidR="00000000" w:rsidRDefault="00000000">
            <w:pPr>
              <w:spacing w:before="60" w:after="60"/>
              <w:jc w:val="center"/>
              <w:rPr>
                <w:b/>
                <w:bCs/>
                <w:i/>
                <w:iCs/>
                <w:sz w:val="20"/>
                <w:szCs w:val="20"/>
              </w:rPr>
            </w:pPr>
            <w:r>
              <w:rPr>
                <w:b/>
                <w:bCs/>
                <w:i/>
                <w:iCs/>
                <w:sz w:val="20"/>
                <w:szCs w:val="20"/>
              </w:rPr>
              <w:t>Men</w:t>
            </w:r>
          </w:p>
        </w:tc>
        <w:tc>
          <w:tcPr>
            <w:tcW w:w="1182" w:type="dxa"/>
            <w:tcBorders>
              <w:top w:val="single" w:sz="4" w:space="0" w:color="auto"/>
              <w:bottom w:val="single" w:sz="4" w:space="0" w:color="auto"/>
            </w:tcBorders>
            <w:noWrap/>
            <w:vAlign w:val="center"/>
          </w:tcPr>
          <w:p w:rsidR="00000000" w:rsidRDefault="00000000">
            <w:pPr>
              <w:spacing w:before="60" w:after="60"/>
              <w:jc w:val="center"/>
              <w:rPr>
                <w:b/>
                <w:bCs/>
                <w:i/>
                <w:iCs/>
                <w:sz w:val="20"/>
                <w:szCs w:val="20"/>
              </w:rPr>
            </w:pPr>
            <w:r>
              <w:rPr>
                <w:b/>
                <w:bCs/>
                <w:i/>
                <w:iCs/>
                <w:sz w:val="20"/>
                <w:szCs w:val="20"/>
              </w:rPr>
              <w:t>Women</w:t>
            </w:r>
          </w:p>
        </w:tc>
      </w:tr>
      <w:tr w:rsidR="00000000">
        <w:tc>
          <w:tcPr>
            <w:tcW w:w="2433" w:type="dxa"/>
            <w:tcBorders>
              <w:top w:val="single" w:sz="4" w:space="0" w:color="auto"/>
            </w:tcBorders>
            <w:noWrap/>
            <w:vAlign w:val="bottom"/>
          </w:tcPr>
          <w:p w:rsidR="00000000" w:rsidRDefault="00000000">
            <w:pPr>
              <w:pStyle w:val="FootnoteText"/>
              <w:spacing w:before="60" w:after="60"/>
              <w:rPr>
                <w:szCs w:val="18"/>
              </w:rPr>
            </w:pPr>
            <w:r>
              <w:rPr>
                <w:szCs w:val="18"/>
              </w:rPr>
              <w:t>Economically inactive population (EIP) (**)</w:t>
            </w:r>
          </w:p>
        </w:tc>
        <w:tc>
          <w:tcPr>
            <w:tcW w:w="1066" w:type="dxa"/>
            <w:tcBorders>
              <w:top w:val="single" w:sz="4" w:space="0" w:color="auto"/>
            </w:tcBorders>
            <w:noWrap/>
            <w:vAlign w:val="bottom"/>
          </w:tcPr>
          <w:p w:rsidR="00000000" w:rsidRDefault="00000000">
            <w:pPr>
              <w:spacing w:before="60" w:after="60"/>
              <w:ind w:right="57"/>
              <w:jc w:val="right"/>
              <w:rPr>
                <w:sz w:val="20"/>
                <w:szCs w:val="20"/>
              </w:rPr>
            </w:pPr>
            <w:r>
              <w:rPr>
                <w:sz w:val="20"/>
                <w:szCs w:val="20"/>
              </w:rPr>
              <w:t>347 908</w:t>
            </w:r>
          </w:p>
        </w:tc>
        <w:tc>
          <w:tcPr>
            <w:tcW w:w="889" w:type="dxa"/>
            <w:tcBorders>
              <w:top w:val="single" w:sz="4" w:space="0" w:color="auto"/>
            </w:tcBorders>
            <w:noWrap/>
            <w:vAlign w:val="bottom"/>
          </w:tcPr>
          <w:p w:rsidR="00000000" w:rsidRDefault="00000000">
            <w:pPr>
              <w:spacing w:before="60" w:after="60"/>
              <w:ind w:right="57"/>
              <w:jc w:val="right"/>
              <w:rPr>
                <w:sz w:val="20"/>
                <w:szCs w:val="20"/>
              </w:rPr>
            </w:pPr>
            <w:r>
              <w:rPr>
                <w:sz w:val="20"/>
                <w:szCs w:val="20"/>
              </w:rPr>
              <w:t>65 791</w:t>
            </w:r>
          </w:p>
        </w:tc>
        <w:tc>
          <w:tcPr>
            <w:tcW w:w="889" w:type="dxa"/>
            <w:tcBorders>
              <w:top w:val="single" w:sz="4" w:space="0" w:color="auto"/>
            </w:tcBorders>
            <w:noWrap/>
            <w:vAlign w:val="bottom"/>
          </w:tcPr>
          <w:p w:rsidR="00000000" w:rsidRDefault="00000000">
            <w:pPr>
              <w:spacing w:before="60" w:after="60"/>
              <w:ind w:right="57"/>
              <w:jc w:val="right"/>
              <w:rPr>
                <w:sz w:val="20"/>
                <w:szCs w:val="20"/>
              </w:rPr>
            </w:pPr>
            <w:r>
              <w:rPr>
                <w:sz w:val="20"/>
                <w:szCs w:val="20"/>
              </w:rPr>
              <w:t>282 117</w:t>
            </w:r>
          </w:p>
        </w:tc>
        <w:tc>
          <w:tcPr>
            <w:tcW w:w="1066" w:type="dxa"/>
            <w:tcBorders>
              <w:top w:val="single" w:sz="4" w:space="0" w:color="auto"/>
            </w:tcBorders>
            <w:noWrap/>
            <w:vAlign w:val="bottom"/>
          </w:tcPr>
          <w:p w:rsidR="00000000" w:rsidRDefault="00000000">
            <w:pPr>
              <w:spacing w:before="60" w:after="60"/>
              <w:ind w:right="57"/>
              <w:jc w:val="right"/>
              <w:rPr>
                <w:sz w:val="20"/>
                <w:szCs w:val="20"/>
              </w:rPr>
            </w:pPr>
            <w:r>
              <w:rPr>
                <w:sz w:val="20"/>
                <w:szCs w:val="20"/>
              </w:rPr>
              <w:t>531 396</w:t>
            </w:r>
          </w:p>
        </w:tc>
        <w:tc>
          <w:tcPr>
            <w:tcW w:w="889" w:type="dxa"/>
            <w:tcBorders>
              <w:top w:val="single" w:sz="4" w:space="0" w:color="auto"/>
            </w:tcBorders>
            <w:noWrap/>
            <w:vAlign w:val="bottom"/>
          </w:tcPr>
          <w:p w:rsidR="00000000" w:rsidRDefault="00000000">
            <w:pPr>
              <w:spacing w:before="60" w:after="60"/>
              <w:ind w:right="57"/>
              <w:jc w:val="right"/>
              <w:rPr>
                <w:sz w:val="20"/>
                <w:szCs w:val="20"/>
              </w:rPr>
            </w:pPr>
            <w:r>
              <w:rPr>
                <w:sz w:val="20"/>
                <w:szCs w:val="20"/>
              </w:rPr>
              <w:t>83 604</w:t>
            </w:r>
          </w:p>
        </w:tc>
        <w:tc>
          <w:tcPr>
            <w:tcW w:w="756" w:type="dxa"/>
            <w:tcBorders>
              <w:top w:val="single" w:sz="4" w:space="0" w:color="auto"/>
            </w:tcBorders>
            <w:noWrap/>
            <w:vAlign w:val="bottom"/>
          </w:tcPr>
          <w:p w:rsidR="00000000" w:rsidRDefault="00000000">
            <w:pPr>
              <w:spacing w:before="60" w:after="60"/>
              <w:ind w:right="57"/>
              <w:jc w:val="right"/>
              <w:rPr>
                <w:sz w:val="20"/>
                <w:szCs w:val="20"/>
              </w:rPr>
            </w:pPr>
            <w:r>
              <w:rPr>
                <w:sz w:val="20"/>
                <w:szCs w:val="20"/>
              </w:rPr>
              <w:t>447 792</w:t>
            </w:r>
          </w:p>
        </w:tc>
        <w:tc>
          <w:tcPr>
            <w:tcW w:w="1017" w:type="dxa"/>
            <w:tcBorders>
              <w:top w:val="single" w:sz="4" w:space="0" w:color="auto"/>
            </w:tcBorders>
            <w:noWrap/>
            <w:vAlign w:val="bottom"/>
          </w:tcPr>
          <w:p w:rsidR="00000000" w:rsidRDefault="00000000">
            <w:pPr>
              <w:spacing w:before="60" w:after="60"/>
              <w:ind w:right="57"/>
              <w:jc w:val="right"/>
              <w:rPr>
                <w:sz w:val="20"/>
                <w:szCs w:val="20"/>
              </w:rPr>
            </w:pPr>
            <w:r>
              <w:rPr>
                <w:sz w:val="20"/>
                <w:szCs w:val="20"/>
              </w:rPr>
              <w:t>505 209</w:t>
            </w:r>
          </w:p>
        </w:tc>
        <w:tc>
          <w:tcPr>
            <w:tcW w:w="1018" w:type="dxa"/>
            <w:tcBorders>
              <w:top w:val="single" w:sz="4" w:space="0" w:color="auto"/>
            </w:tcBorders>
            <w:noWrap/>
            <w:vAlign w:val="bottom"/>
          </w:tcPr>
          <w:p w:rsidR="00000000" w:rsidRDefault="00000000">
            <w:pPr>
              <w:spacing w:before="60" w:after="60"/>
              <w:ind w:right="57"/>
              <w:jc w:val="right"/>
              <w:rPr>
                <w:sz w:val="20"/>
                <w:szCs w:val="20"/>
              </w:rPr>
            </w:pPr>
            <w:r>
              <w:rPr>
                <w:sz w:val="20"/>
                <w:szCs w:val="20"/>
              </w:rPr>
              <w:t>102 844</w:t>
            </w:r>
          </w:p>
        </w:tc>
        <w:tc>
          <w:tcPr>
            <w:tcW w:w="1018" w:type="dxa"/>
            <w:tcBorders>
              <w:top w:val="single" w:sz="4" w:space="0" w:color="auto"/>
            </w:tcBorders>
            <w:noWrap/>
            <w:vAlign w:val="bottom"/>
          </w:tcPr>
          <w:p w:rsidR="00000000" w:rsidRDefault="00000000">
            <w:pPr>
              <w:spacing w:before="60" w:after="60"/>
              <w:ind w:right="57"/>
              <w:jc w:val="right"/>
              <w:rPr>
                <w:sz w:val="20"/>
                <w:szCs w:val="20"/>
              </w:rPr>
            </w:pPr>
            <w:r>
              <w:rPr>
                <w:sz w:val="20"/>
                <w:szCs w:val="20"/>
              </w:rPr>
              <w:t>402 365</w:t>
            </w:r>
          </w:p>
        </w:tc>
        <w:tc>
          <w:tcPr>
            <w:tcW w:w="1182" w:type="dxa"/>
            <w:tcBorders>
              <w:top w:val="single" w:sz="4" w:space="0" w:color="auto"/>
            </w:tcBorders>
            <w:noWrap/>
            <w:vAlign w:val="bottom"/>
          </w:tcPr>
          <w:p w:rsidR="00000000" w:rsidRDefault="00000000">
            <w:pPr>
              <w:spacing w:before="60" w:after="60"/>
              <w:ind w:right="57"/>
              <w:jc w:val="right"/>
              <w:rPr>
                <w:sz w:val="20"/>
                <w:szCs w:val="20"/>
              </w:rPr>
            </w:pPr>
            <w:r>
              <w:rPr>
                <w:sz w:val="20"/>
                <w:szCs w:val="20"/>
              </w:rPr>
              <w:t>550 301</w:t>
            </w:r>
          </w:p>
        </w:tc>
        <w:tc>
          <w:tcPr>
            <w:tcW w:w="1182" w:type="dxa"/>
            <w:tcBorders>
              <w:top w:val="single" w:sz="4" w:space="0" w:color="auto"/>
            </w:tcBorders>
            <w:noWrap/>
            <w:vAlign w:val="bottom"/>
          </w:tcPr>
          <w:p w:rsidR="00000000" w:rsidRDefault="00000000">
            <w:pPr>
              <w:spacing w:before="60" w:after="60"/>
              <w:ind w:right="57"/>
              <w:jc w:val="right"/>
              <w:rPr>
                <w:sz w:val="20"/>
                <w:szCs w:val="20"/>
              </w:rPr>
            </w:pPr>
            <w:r>
              <w:rPr>
                <w:sz w:val="20"/>
                <w:szCs w:val="20"/>
              </w:rPr>
              <w:t>104 797</w:t>
            </w:r>
          </w:p>
        </w:tc>
        <w:tc>
          <w:tcPr>
            <w:tcW w:w="1182" w:type="dxa"/>
            <w:tcBorders>
              <w:top w:val="single" w:sz="4" w:space="0" w:color="auto"/>
            </w:tcBorders>
            <w:noWrap/>
            <w:vAlign w:val="bottom"/>
          </w:tcPr>
          <w:p w:rsidR="00000000" w:rsidRDefault="00000000">
            <w:pPr>
              <w:spacing w:before="60" w:after="60"/>
              <w:ind w:right="57"/>
              <w:jc w:val="right"/>
              <w:rPr>
                <w:sz w:val="20"/>
                <w:szCs w:val="20"/>
              </w:rPr>
            </w:pPr>
            <w:r>
              <w:rPr>
                <w:sz w:val="20"/>
                <w:szCs w:val="20"/>
              </w:rPr>
              <w:t>445 504</w:t>
            </w:r>
          </w:p>
        </w:tc>
      </w:tr>
      <w:tr w:rsidR="00000000">
        <w:tc>
          <w:tcPr>
            <w:tcW w:w="2433" w:type="dxa"/>
            <w:noWrap/>
            <w:vAlign w:val="bottom"/>
          </w:tcPr>
          <w:p w:rsidR="00000000" w:rsidRDefault="00000000">
            <w:pPr>
              <w:spacing w:before="60" w:after="60"/>
              <w:rPr>
                <w:sz w:val="20"/>
                <w:szCs w:val="18"/>
              </w:rPr>
            </w:pPr>
            <w:r>
              <w:rPr>
                <w:sz w:val="20"/>
                <w:szCs w:val="18"/>
              </w:rPr>
              <w:t>Occupied population</w:t>
            </w:r>
          </w:p>
        </w:tc>
        <w:tc>
          <w:tcPr>
            <w:tcW w:w="1066" w:type="dxa"/>
            <w:noWrap/>
            <w:vAlign w:val="bottom"/>
          </w:tcPr>
          <w:p w:rsidR="00000000" w:rsidRDefault="00000000">
            <w:pPr>
              <w:spacing w:before="60" w:after="60"/>
              <w:ind w:right="57"/>
              <w:jc w:val="right"/>
              <w:rPr>
                <w:sz w:val="20"/>
                <w:szCs w:val="20"/>
              </w:rPr>
            </w:pPr>
            <w:r>
              <w:rPr>
                <w:sz w:val="20"/>
                <w:szCs w:val="20"/>
              </w:rPr>
              <w:t>1 240 322</w:t>
            </w:r>
          </w:p>
        </w:tc>
        <w:tc>
          <w:tcPr>
            <w:tcW w:w="889" w:type="dxa"/>
            <w:noWrap/>
            <w:vAlign w:val="bottom"/>
          </w:tcPr>
          <w:p w:rsidR="00000000" w:rsidRDefault="00000000">
            <w:pPr>
              <w:spacing w:before="60" w:after="60"/>
              <w:ind w:right="57"/>
              <w:jc w:val="right"/>
              <w:rPr>
                <w:sz w:val="20"/>
                <w:szCs w:val="20"/>
              </w:rPr>
            </w:pPr>
            <w:r>
              <w:rPr>
                <w:sz w:val="20"/>
                <w:szCs w:val="20"/>
              </w:rPr>
              <w:t>716 363</w:t>
            </w:r>
          </w:p>
        </w:tc>
        <w:tc>
          <w:tcPr>
            <w:tcW w:w="889" w:type="dxa"/>
            <w:noWrap/>
            <w:vAlign w:val="bottom"/>
          </w:tcPr>
          <w:p w:rsidR="00000000" w:rsidRDefault="00000000">
            <w:pPr>
              <w:spacing w:before="60" w:after="60"/>
              <w:ind w:right="57"/>
              <w:jc w:val="right"/>
              <w:rPr>
                <w:sz w:val="20"/>
                <w:szCs w:val="20"/>
              </w:rPr>
            </w:pPr>
            <w:r>
              <w:rPr>
                <w:sz w:val="20"/>
                <w:szCs w:val="20"/>
              </w:rPr>
              <w:t>523 959</w:t>
            </w:r>
          </w:p>
        </w:tc>
        <w:tc>
          <w:tcPr>
            <w:tcW w:w="1066" w:type="dxa"/>
            <w:noWrap/>
            <w:vAlign w:val="bottom"/>
          </w:tcPr>
          <w:p w:rsidR="00000000" w:rsidRDefault="00000000">
            <w:pPr>
              <w:spacing w:before="60" w:after="60"/>
              <w:ind w:right="57"/>
              <w:jc w:val="right"/>
              <w:rPr>
                <w:sz w:val="20"/>
                <w:szCs w:val="20"/>
              </w:rPr>
            </w:pPr>
            <w:r>
              <w:rPr>
                <w:sz w:val="20"/>
                <w:szCs w:val="20"/>
              </w:rPr>
              <w:t>1 201 604</w:t>
            </w:r>
          </w:p>
        </w:tc>
        <w:tc>
          <w:tcPr>
            <w:tcW w:w="889" w:type="dxa"/>
            <w:noWrap/>
            <w:vAlign w:val="bottom"/>
          </w:tcPr>
          <w:p w:rsidR="00000000" w:rsidRDefault="00000000">
            <w:pPr>
              <w:spacing w:before="60" w:after="60"/>
              <w:ind w:right="57"/>
              <w:jc w:val="right"/>
              <w:rPr>
                <w:sz w:val="20"/>
                <w:szCs w:val="20"/>
              </w:rPr>
            </w:pPr>
            <w:r>
              <w:rPr>
                <w:sz w:val="20"/>
                <w:szCs w:val="20"/>
              </w:rPr>
              <w:t>752 059</w:t>
            </w:r>
          </w:p>
        </w:tc>
        <w:tc>
          <w:tcPr>
            <w:tcW w:w="756" w:type="dxa"/>
            <w:noWrap/>
            <w:vAlign w:val="bottom"/>
          </w:tcPr>
          <w:p w:rsidR="00000000" w:rsidRDefault="00000000">
            <w:pPr>
              <w:spacing w:before="60" w:after="60"/>
              <w:ind w:right="57"/>
              <w:jc w:val="right"/>
              <w:rPr>
                <w:sz w:val="20"/>
                <w:szCs w:val="20"/>
              </w:rPr>
            </w:pPr>
            <w:r>
              <w:rPr>
                <w:sz w:val="20"/>
                <w:szCs w:val="20"/>
              </w:rPr>
              <w:t>449 545</w:t>
            </w:r>
          </w:p>
        </w:tc>
        <w:tc>
          <w:tcPr>
            <w:tcW w:w="1017" w:type="dxa"/>
            <w:noWrap/>
            <w:vAlign w:val="bottom"/>
          </w:tcPr>
          <w:p w:rsidR="00000000" w:rsidRDefault="00000000">
            <w:pPr>
              <w:spacing w:before="60" w:after="60"/>
              <w:ind w:right="57"/>
              <w:jc w:val="right"/>
              <w:rPr>
                <w:sz w:val="20"/>
                <w:szCs w:val="20"/>
              </w:rPr>
            </w:pPr>
            <w:r>
              <w:rPr>
                <w:sz w:val="20"/>
                <w:szCs w:val="20"/>
              </w:rPr>
              <w:t>1 484 480</w:t>
            </w:r>
          </w:p>
        </w:tc>
        <w:tc>
          <w:tcPr>
            <w:tcW w:w="1018" w:type="dxa"/>
            <w:noWrap/>
            <w:vAlign w:val="bottom"/>
          </w:tcPr>
          <w:p w:rsidR="00000000" w:rsidRDefault="00000000">
            <w:pPr>
              <w:spacing w:before="60" w:after="60"/>
              <w:ind w:right="57"/>
              <w:jc w:val="right"/>
              <w:rPr>
                <w:sz w:val="20"/>
                <w:szCs w:val="20"/>
              </w:rPr>
            </w:pPr>
            <w:r>
              <w:rPr>
                <w:sz w:val="20"/>
                <w:szCs w:val="20"/>
              </w:rPr>
              <w:t>874 669</w:t>
            </w:r>
          </w:p>
        </w:tc>
        <w:tc>
          <w:tcPr>
            <w:tcW w:w="1018" w:type="dxa"/>
            <w:noWrap/>
            <w:vAlign w:val="bottom"/>
          </w:tcPr>
          <w:p w:rsidR="00000000" w:rsidRDefault="00000000">
            <w:pPr>
              <w:spacing w:before="60" w:after="60"/>
              <w:ind w:right="57"/>
              <w:jc w:val="right"/>
              <w:rPr>
                <w:sz w:val="20"/>
                <w:szCs w:val="20"/>
              </w:rPr>
            </w:pPr>
            <w:r>
              <w:rPr>
                <w:sz w:val="20"/>
                <w:szCs w:val="20"/>
              </w:rPr>
              <w:t>609 811</w:t>
            </w:r>
          </w:p>
        </w:tc>
        <w:tc>
          <w:tcPr>
            <w:tcW w:w="1182" w:type="dxa"/>
            <w:noWrap/>
            <w:vAlign w:val="bottom"/>
          </w:tcPr>
          <w:p w:rsidR="00000000" w:rsidRDefault="00000000">
            <w:pPr>
              <w:spacing w:before="60" w:after="60"/>
              <w:ind w:right="57"/>
              <w:jc w:val="right"/>
              <w:rPr>
                <w:sz w:val="20"/>
                <w:szCs w:val="20"/>
              </w:rPr>
            </w:pPr>
            <w:r>
              <w:rPr>
                <w:sz w:val="20"/>
                <w:szCs w:val="20"/>
              </w:rPr>
              <w:t>1 587 170</w:t>
            </w:r>
          </w:p>
        </w:tc>
        <w:tc>
          <w:tcPr>
            <w:tcW w:w="1182" w:type="dxa"/>
            <w:noWrap/>
            <w:vAlign w:val="bottom"/>
          </w:tcPr>
          <w:p w:rsidR="00000000" w:rsidRDefault="00000000">
            <w:pPr>
              <w:spacing w:before="60" w:after="60"/>
              <w:ind w:right="57"/>
              <w:jc w:val="right"/>
              <w:rPr>
                <w:sz w:val="20"/>
                <w:szCs w:val="20"/>
              </w:rPr>
            </w:pPr>
            <w:r>
              <w:rPr>
                <w:sz w:val="20"/>
                <w:szCs w:val="20"/>
              </w:rPr>
              <w:t>934 295</w:t>
            </w:r>
          </w:p>
        </w:tc>
        <w:tc>
          <w:tcPr>
            <w:tcW w:w="1182" w:type="dxa"/>
            <w:noWrap/>
            <w:vAlign w:val="bottom"/>
          </w:tcPr>
          <w:p w:rsidR="00000000" w:rsidRDefault="00000000">
            <w:pPr>
              <w:spacing w:before="60" w:after="60"/>
              <w:ind w:right="57"/>
              <w:jc w:val="right"/>
              <w:rPr>
                <w:sz w:val="20"/>
                <w:szCs w:val="20"/>
              </w:rPr>
            </w:pPr>
            <w:r>
              <w:rPr>
                <w:sz w:val="20"/>
                <w:szCs w:val="20"/>
              </w:rPr>
              <w:t>652 875</w:t>
            </w:r>
          </w:p>
        </w:tc>
      </w:tr>
      <w:tr w:rsidR="00000000">
        <w:tc>
          <w:tcPr>
            <w:tcW w:w="2433" w:type="dxa"/>
            <w:noWrap/>
            <w:vAlign w:val="bottom"/>
          </w:tcPr>
          <w:p w:rsidR="00000000" w:rsidRDefault="00000000">
            <w:pPr>
              <w:spacing w:before="60" w:after="60"/>
              <w:rPr>
                <w:sz w:val="20"/>
                <w:szCs w:val="18"/>
              </w:rPr>
            </w:pPr>
            <w:r>
              <w:rPr>
                <w:sz w:val="20"/>
                <w:szCs w:val="18"/>
              </w:rPr>
              <w:t>Open unemployment</w:t>
            </w:r>
          </w:p>
        </w:tc>
        <w:tc>
          <w:tcPr>
            <w:tcW w:w="1066" w:type="dxa"/>
            <w:noWrap/>
            <w:vAlign w:val="bottom"/>
          </w:tcPr>
          <w:p w:rsidR="00000000" w:rsidRDefault="00000000">
            <w:pPr>
              <w:spacing w:before="60" w:after="60"/>
              <w:ind w:right="57"/>
              <w:jc w:val="right"/>
              <w:rPr>
                <w:sz w:val="20"/>
                <w:szCs w:val="20"/>
              </w:rPr>
            </w:pPr>
            <w:r>
              <w:rPr>
                <w:sz w:val="20"/>
                <w:szCs w:val="20"/>
              </w:rPr>
              <w:t>27 362</w:t>
            </w:r>
          </w:p>
        </w:tc>
        <w:tc>
          <w:tcPr>
            <w:tcW w:w="889" w:type="dxa"/>
            <w:noWrap/>
            <w:vAlign w:val="bottom"/>
          </w:tcPr>
          <w:p w:rsidR="00000000" w:rsidRDefault="00000000">
            <w:pPr>
              <w:spacing w:before="60" w:after="60"/>
              <w:ind w:right="57"/>
              <w:jc w:val="right"/>
              <w:rPr>
                <w:sz w:val="20"/>
                <w:szCs w:val="20"/>
              </w:rPr>
            </w:pPr>
            <w:r>
              <w:rPr>
                <w:sz w:val="20"/>
                <w:szCs w:val="20"/>
              </w:rPr>
              <w:t>15 257</w:t>
            </w:r>
          </w:p>
        </w:tc>
        <w:tc>
          <w:tcPr>
            <w:tcW w:w="889" w:type="dxa"/>
            <w:noWrap/>
            <w:vAlign w:val="bottom"/>
          </w:tcPr>
          <w:p w:rsidR="00000000" w:rsidRDefault="00000000">
            <w:pPr>
              <w:spacing w:before="60" w:after="60"/>
              <w:ind w:right="57"/>
              <w:jc w:val="right"/>
              <w:rPr>
                <w:sz w:val="20"/>
                <w:szCs w:val="20"/>
              </w:rPr>
            </w:pPr>
            <w:r>
              <w:rPr>
                <w:sz w:val="20"/>
                <w:szCs w:val="20"/>
              </w:rPr>
              <w:t>12 105</w:t>
            </w:r>
          </w:p>
        </w:tc>
        <w:tc>
          <w:tcPr>
            <w:tcW w:w="1066" w:type="dxa"/>
            <w:noWrap/>
            <w:vAlign w:val="bottom"/>
          </w:tcPr>
          <w:p w:rsidR="00000000" w:rsidRDefault="00000000">
            <w:pPr>
              <w:spacing w:before="60" w:after="60"/>
              <w:ind w:right="57"/>
              <w:jc w:val="right"/>
              <w:rPr>
                <w:sz w:val="20"/>
                <w:szCs w:val="20"/>
              </w:rPr>
            </w:pPr>
            <w:r>
              <w:rPr>
                <w:sz w:val="20"/>
                <w:szCs w:val="20"/>
              </w:rPr>
              <w:t>55 489</w:t>
            </w:r>
          </w:p>
        </w:tc>
        <w:tc>
          <w:tcPr>
            <w:tcW w:w="889" w:type="dxa"/>
            <w:noWrap/>
            <w:vAlign w:val="bottom"/>
          </w:tcPr>
          <w:p w:rsidR="00000000" w:rsidRDefault="00000000">
            <w:pPr>
              <w:spacing w:before="60" w:after="60"/>
              <w:ind w:right="57"/>
              <w:jc w:val="right"/>
              <w:rPr>
                <w:sz w:val="20"/>
                <w:szCs w:val="20"/>
              </w:rPr>
            </w:pPr>
            <w:r>
              <w:rPr>
                <w:sz w:val="20"/>
                <w:szCs w:val="20"/>
              </w:rPr>
              <w:t>33 035</w:t>
            </w:r>
          </w:p>
        </w:tc>
        <w:tc>
          <w:tcPr>
            <w:tcW w:w="756" w:type="dxa"/>
            <w:noWrap/>
            <w:vAlign w:val="bottom"/>
          </w:tcPr>
          <w:p w:rsidR="00000000" w:rsidRDefault="00000000">
            <w:pPr>
              <w:spacing w:before="60" w:after="60"/>
              <w:ind w:right="57"/>
              <w:jc w:val="right"/>
              <w:rPr>
                <w:sz w:val="20"/>
                <w:szCs w:val="20"/>
              </w:rPr>
            </w:pPr>
            <w:r>
              <w:rPr>
                <w:sz w:val="20"/>
                <w:szCs w:val="20"/>
              </w:rPr>
              <w:t>22 454</w:t>
            </w:r>
          </w:p>
        </w:tc>
        <w:tc>
          <w:tcPr>
            <w:tcW w:w="1017" w:type="dxa"/>
            <w:noWrap/>
            <w:vAlign w:val="bottom"/>
          </w:tcPr>
          <w:p w:rsidR="00000000" w:rsidRDefault="00000000">
            <w:pPr>
              <w:spacing w:before="60" w:after="60"/>
              <w:ind w:right="57"/>
              <w:jc w:val="right"/>
              <w:rPr>
                <w:sz w:val="20"/>
                <w:szCs w:val="20"/>
              </w:rPr>
            </w:pPr>
            <w:r>
              <w:rPr>
                <w:sz w:val="20"/>
                <w:szCs w:val="20"/>
              </w:rPr>
              <w:t>68 703</w:t>
            </w:r>
          </w:p>
        </w:tc>
        <w:tc>
          <w:tcPr>
            <w:tcW w:w="1018" w:type="dxa"/>
            <w:noWrap/>
            <w:vAlign w:val="bottom"/>
          </w:tcPr>
          <w:p w:rsidR="00000000" w:rsidRDefault="00000000">
            <w:pPr>
              <w:spacing w:before="60" w:after="60"/>
              <w:ind w:right="57"/>
              <w:jc w:val="right"/>
              <w:rPr>
                <w:sz w:val="20"/>
                <w:szCs w:val="20"/>
              </w:rPr>
            </w:pPr>
            <w:r>
              <w:rPr>
                <w:sz w:val="20"/>
                <w:szCs w:val="20"/>
              </w:rPr>
              <w:t>36 417</w:t>
            </w:r>
          </w:p>
        </w:tc>
        <w:tc>
          <w:tcPr>
            <w:tcW w:w="1018" w:type="dxa"/>
            <w:noWrap/>
            <w:vAlign w:val="bottom"/>
          </w:tcPr>
          <w:p w:rsidR="00000000" w:rsidRDefault="00000000">
            <w:pPr>
              <w:spacing w:before="60" w:after="60"/>
              <w:ind w:right="57"/>
              <w:jc w:val="right"/>
              <w:rPr>
                <w:sz w:val="20"/>
                <w:szCs w:val="20"/>
              </w:rPr>
            </w:pPr>
            <w:r>
              <w:rPr>
                <w:sz w:val="20"/>
                <w:szCs w:val="20"/>
              </w:rPr>
              <w:t>32 286</w:t>
            </w:r>
          </w:p>
        </w:tc>
        <w:tc>
          <w:tcPr>
            <w:tcW w:w="1182" w:type="dxa"/>
            <w:noWrap/>
            <w:vAlign w:val="bottom"/>
          </w:tcPr>
          <w:p w:rsidR="00000000" w:rsidRDefault="00000000">
            <w:pPr>
              <w:spacing w:before="60" w:after="60"/>
              <w:ind w:right="57"/>
              <w:jc w:val="right"/>
              <w:rPr>
                <w:sz w:val="20"/>
                <w:szCs w:val="20"/>
              </w:rPr>
            </w:pPr>
            <w:r>
              <w:rPr>
                <w:sz w:val="20"/>
                <w:szCs w:val="20"/>
              </w:rPr>
              <w:t xml:space="preserve"> 52 434 </w:t>
            </w:r>
          </w:p>
        </w:tc>
        <w:tc>
          <w:tcPr>
            <w:tcW w:w="1182" w:type="dxa"/>
            <w:noWrap/>
            <w:vAlign w:val="bottom"/>
          </w:tcPr>
          <w:p w:rsidR="00000000" w:rsidRDefault="00000000">
            <w:pPr>
              <w:spacing w:before="60" w:after="60"/>
              <w:ind w:right="57"/>
              <w:jc w:val="right"/>
              <w:rPr>
                <w:sz w:val="20"/>
                <w:szCs w:val="20"/>
              </w:rPr>
            </w:pPr>
            <w:r>
              <w:rPr>
                <w:sz w:val="20"/>
                <w:szCs w:val="20"/>
              </w:rPr>
              <w:t xml:space="preserve"> 27 913 </w:t>
            </w:r>
          </w:p>
        </w:tc>
        <w:tc>
          <w:tcPr>
            <w:tcW w:w="1182" w:type="dxa"/>
            <w:noWrap/>
            <w:vAlign w:val="bottom"/>
          </w:tcPr>
          <w:p w:rsidR="00000000" w:rsidRDefault="00000000">
            <w:pPr>
              <w:spacing w:before="60" w:after="60"/>
              <w:ind w:right="57"/>
              <w:jc w:val="right"/>
              <w:rPr>
                <w:sz w:val="20"/>
                <w:szCs w:val="20"/>
              </w:rPr>
            </w:pPr>
            <w:r>
              <w:rPr>
                <w:sz w:val="20"/>
                <w:szCs w:val="20"/>
              </w:rPr>
              <w:t xml:space="preserve"> 24 521 </w:t>
            </w:r>
          </w:p>
        </w:tc>
      </w:tr>
      <w:tr w:rsidR="00000000">
        <w:tc>
          <w:tcPr>
            <w:tcW w:w="2433" w:type="dxa"/>
            <w:noWrap/>
            <w:vAlign w:val="bottom"/>
          </w:tcPr>
          <w:p w:rsidR="00000000" w:rsidRDefault="00000000">
            <w:pPr>
              <w:spacing w:before="60" w:after="60"/>
              <w:rPr>
                <w:sz w:val="20"/>
                <w:szCs w:val="18"/>
              </w:rPr>
            </w:pPr>
            <w:r>
              <w:rPr>
                <w:sz w:val="20"/>
                <w:szCs w:val="18"/>
              </w:rPr>
              <w:t>Hidden unemployment</w:t>
            </w:r>
          </w:p>
        </w:tc>
        <w:tc>
          <w:tcPr>
            <w:tcW w:w="1066" w:type="dxa"/>
            <w:noWrap/>
            <w:vAlign w:val="bottom"/>
          </w:tcPr>
          <w:p w:rsidR="00000000" w:rsidRDefault="00000000">
            <w:pPr>
              <w:spacing w:before="60" w:after="60"/>
              <w:ind w:right="57"/>
              <w:jc w:val="right"/>
              <w:rPr>
                <w:sz w:val="20"/>
                <w:szCs w:val="20"/>
              </w:rPr>
            </w:pPr>
            <w:r>
              <w:rPr>
                <w:sz w:val="20"/>
                <w:szCs w:val="20"/>
              </w:rPr>
              <w:t>14 068</w:t>
            </w:r>
          </w:p>
        </w:tc>
        <w:tc>
          <w:tcPr>
            <w:tcW w:w="889" w:type="dxa"/>
            <w:noWrap/>
            <w:vAlign w:val="bottom"/>
          </w:tcPr>
          <w:p w:rsidR="00000000" w:rsidRDefault="00000000">
            <w:pPr>
              <w:spacing w:before="60" w:after="60"/>
              <w:ind w:right="57"/>
              <w:jc w:val="right"/>
              <w:rPr>
                <w:sz w:val="20"/>
                <w:szCs w:val="20"/>
              </w:rPr>
            </w:pPr>
            <w:r>
              <w:rPr>
                <w:sz w:val="20"/>
                <w:szCs w:val="20"/>
              </w:rPr>
              <w:t>2 928</w:t>
            </w:r>
          </w:p>
        </w:tc>
        <w:tc>
          <w:tcPr>
            <w:tcW w:w="889" w:type="dxa"/>
            <w:noWrap/>
            <w:vAlign w:val="bottom"/>
          </w:tcPr>
          <w:p w:rsidR="00000000" w:rsidRDefault="00000000">
            <w:pPr>
              <w:spacing w:before="60" w:after="60"/>
              <w:ind w:right="57"/>
              <w:jc w:val="right"/>
              <w:rPr>
                <w:sz w:val="20"/>
                <w:szCs w:val="20"/>
              </w:rPr>
            </w:pPr>
            <w:r>
              <w:rPr>
                <w:sz w:val="20"/>
                <w:szCs w:val="20"/>
              </w:rPr>
              <w:t>11 140</w:t>
            </w:r>
          </w:p>
        </w:tc>
        <w:tc>
          <w:tcPr>
            <w:tcW w:w="1066" w:type="dxa"/>
            <w:noWrap/>
            <w:vAlign w:val="bottom"/>
          </w:tcPr>
          <w:p w:rsidR="00000000" w:rsidRDefault="00000000">
            <w:pPr>
              <w:spacing w:before="60" w:after="60"/>
              <w:ind w:right="57"/>
              <w:jc w:val="right"/>
              <w:rPr>
                <w:sz w:val="20"/>
                <w:szCs w:val="20"/>
              </w:rPr>
            </w:pPr>
            <w:r>
              <w:rPr>
                <w:sz w:val="20"/>
                <w:szCs w:val="20"/>
              </w:rPr>
              <w:t>62 735</w:t>
            </w:r>
          </w:p>
        </w:tc>
        <w:tc>
          <w:tcPr>
            <w:tcW w:w="889" w:type="dxa"/>
            <w:noWrap/>
            <w:vAlign w:val="bottom"/>
          </w:tcPr>
          <w:p w:rsidR="00000000" w:rsidRDefault="00000000">
            <w:pPr>
              <w:spacing w:before="60" w:after="60"/>
              <w:ind w:right="57"/>
              <w:jc w:val="right"/>
              <w:rPr>
                <w:sz w:val="20"/>
                <w:szCs w:val="20"/>
              </w:rPr>
            </w:pPr>
            <w:r>
              <w:rPr>
                <w:sz w:val="20"/>
                <w:szCs w:val="20"/>
              </w:rPr>
              <w:t>12 308</w:t>
            </w:r>
          </w:p>
        </w:tc>
        <w:tc>
          <w:tcPr>
            <w:tcW w:w="756" w:type="dxa"/>
            <w:noWrap/>
            <w:vAlign w:val="bottom"/>
          </w:tcPr>
          <w:p w:rsidR="00000000" w:rsidRDefault="00000000">
            <w:pPr>
              <w:spacing w:before="60" w:after="60"/>
              <w:ind w:right="57"/>
              <w:jc w:val="right"/>
              <w:rPr>
                <w:sz w:val="20"/>
                <w:szCs w:val="20"/>
              </w:rPr>
            </w:pPr>
            <w:r>
              <w:rPr>
                <w:sz w:val="20"/>
                <w:szCs w:val="20"/>
              </w:rPr>
              <w:t>50 427</w:t>
            </w:r>
          </w:p>
        </w:tc>
        <w:tc>
          <w:tcPr>
            <w:tcW w:w="1017" w:type="dxa"/>
            <w:noWrap/>
            <w:vAlign w:val="bottom"/>
          </w:tcPr>
          <w:p w:rsidR="00000000" w:rsidRDefault="00000000">
            <w:pPr>
              <w:spacing w:before="60" w:after="60"/>
              <w:ind w:right="57"/>
              <w:jc w:val="right"/>
              <w:rPr>
                <w:sz w:val="20"/>
                <w:szCs w:val="20"/>
              </w:rPr>
            </w:pPr>
            <w:r>
              <w:rPr>
                <w:sz w:val="20"/>
                <w:szCs w:val="20"/>
              </w:rPr>
              <w:t>31 453</w:t>
            </w:r>
          </w:p>
        </w:tc>
        <w:tc>
          <w:tcPr>
            <w:tcW w:w="1018" w:type="dxa"/>
            <w:noWrap/>
            <w:vAlign w:val="bottom"/>
          </w:tcPr>
          <w:p w:rsidR="00000000" w:rsidRDefault="00000000">
            <w:pPr>
              <w:spacing w:before="60" w:after="60"/>
              <w:ind w:right="57"/>
              <w:jc w:val="right"/>
              <w:rPr>
                <w:sz w:val="20"/>
                <w:szCs w:val="20"/>
              </w:rPr>
            </w:pPr>
            <w:r>
              <w:rPr>
                <w:sz w:val="20"/>
                <w:szCs w:val="20"/>
              </w:rPr>
              <w:t>8 483</w:t>
            </w:r>
          </w:p>
        </w:tc>
        <w:tc>
          <w:tcPr>
            <w:tcW w:w="1018" w:type="dxa"/>
            <w:noWrap/>
            <w:vAlign w:val="bottom"/>
          </w:tcPr>
          <w:p w:rsidR="00000000" w:rsidRDefault="00000000">
            <w:pPr>
              <w:spacing w:before="60" w:after="60"/>
              <w:ind w:right="57"/>
              <w:jc w:val="right"/>
              <w:rPr>
                <w:sz w:val="20"/>
                <w:szCs w:val="20"/>
              </w:rPr>
            </w:pPr>
            <w:r>
              <w:rPr>
                <w:sz w:val="20"/>
                <w:szCs w:val="20"/>
              </w:rPr>
              <w:t>22 970</w:t>
            </w:r>
          </w:p>
        </w:tc>
        <w:tc>
          <w:tcPr>
            <w:tcW w:w="1182" w:type="dxa"/>
            <w:noWrap/>
            <w:vAlign w:val="bottom"/>
          </w:tcPr>
          <w:p w:rsidR="00000000" w:rsidRDefault="00000000">
            <w:pPr>
              <w:spacing w:before="60" w:after="60"/>
              <w:ind w:right="57"/>
              <w:jc w:val="right"/>
              <w:rPr>
                <w:sz w:val="20"/>
                <w:szCs w:val="20"/>
              </w:rPr>
            </w:pPr>
            <w:r>
              <w:rPr>
                <w:sz w:val="20"/>
                <w:szCs w:val="20"/>
              </w:rPr>
              <w:t>38 915</w:t>
            </w:r>
          </w:p>
        </w:tc>
        <w:tc>
          <w:tcPr>
            <w:tcW w:w="1182" w:type="dxa"/>
            <w:noWrap/>
            <w:vAlign w:val="bottom"/>
          </w:tcPr>
          <w:p w:rsidR="00000000" w:rsidRDefault="00000000">
            <w:pPr>
              <w:spacing w:before="60" w:after="60"/>
              <w:ind w:right="57"/>
              <w:jc w:val="right"/>
              <w:rPr>
                <w:sz w:val="20"/>
                <w:szCs w:val="20"/>
              </w:rPr>
            </w:pPr>
            <w:r>
              <w:rPr>
                <w:sz w:val="20"/>
                <w:szCs w:val="20"/>
              </w:rPr>
              <w:t>15 457</w:t>
            </w:r>
          </w:p>
        </w:tc>
        <w:tc>
          <w:tcPr>
            <w:tcW w:w="1182" w:type="dxa"/>
            <w:noWrap/>
            <w:vAlign w:val="bottom"/>
          </w:tcPr>
          <w:p w:rsidR="00000000" w:rsidRDefault="00000000">
            <w:pPr>
              <w:spacing w:before="60" w:after="60"/>
              <w:ind w:right="57"/>
              <w:jc w:val="right"/>
              <w:rPr>
                <w:sz w:val="20"/>
                <w:szCs w:val="20"/>
              </w:rPr>
            </w:pPr>
            <w:r>
              <w:rPr>
                <w:sz w:val="20"/>
                <w:szCs w:val="20"/>
              </w:rPr>
              <w:t>23 458</w:t>
            </w:r>
          </w:p>
        </w:tc>
      </w:tr>
      <w:tr w:rsidR="00000000">
        <w:tc>
          <w:tcPr>
            <w:tcW w:w="2433" w:type="dxa"/>
            <w:noWrap/>
            <w:vAlign w:val="bottom"/>
          </w:tcPr>
          <w:p w:rsidR="00000000" w:rsidRDefault="00000000">
            <w:pPr>
              <w:spacing w:before="60" w:after="60"/>
              <w:rPr>
                <w:sz w:val="20"/>
                <w:szCs w:val="18"/>
              </w:rPr>
            </w:pPr>
            <w:r>
              <w:rPr>
                <w:sz w:val="20"/>
                <w:szCs w:val="18"/>
              </w:rPr>
              <w:t>Underemployed population</w:t>
            </w:r>
          </w:p>
        </w:tc>
        <w:tc>
          <w:tcPr>
            <w:tcW w:w="1066" w:type="dxa"/>
            <w:noWrap/>
            <w:vAlign w:val="bottom"/>
          </w:tcPr>
          <w:p w:rsidR="00000000" w:rsidRDefault="00000000">
            <w:pPr>
              <w:spacing w:before="60" w:after="60"/>
              <w:ind w:right="57"/>
              <w:jc w:val="right"/>
              <w:rPr>
                <w:sz w:val="20"/>
                <w:szCs w:val="20"/>
              </w:rPr>
            </w:pPr>
            <w:r>
              <w:rPr>
                <w:sz w:val="20"/>
                <w:szCs w:val="20"/>
              </w:rPr>
              <w:t>163 421</w:t>
            </w:r>
          </w:p>
        </w:tc>
        <w:tc>
          <w:tcPr>
            <w:tcW w:w="889" w:type="dxa"/>
            <w:noWrap/>
            <w:vAlign w:val="bottom"/>
          </w:tcPr>
          <w:p w:rsidR="00000000" w:rsidRDefault="00000000">
            <w:pPr>
              <w:spacing w:before="60" w:after="60"/>
              <w:ind w:right="57"/>
              <w:jc w:val="right"/>
              <w:rPr>
                <w:sz w:val="20"/>
                <w:szCs w:val="20"/>
              </w:rPr>
            </w:pPr>
            <w:r>
              <w:rPr>
                <w:sz w:val="20"/>
                <w:szCs w:val="20"/>
              </w:rPr>
              <w:t>85 261</w:t>
            </w:r>
          </w:p>
        </w:tc>
        <w:tc>
          <w:tcPr>
            <w:tcW w:w="889" w:type="dxa"/>
            <w:noWrap/>
            <w:vAlign w:val="bottom"/>
          </w:tcPr>
          <w:p w:rsidR="00000000" w:rsidRDefault="00000000">
            <w:pPr>
              <w:spacing w:before="60" w:after="60"/>
              <w:ind w:right="57"/>
              <w:jc w:val="right"/>
              <w:rPr>
                <w:sz w:val="20"/>
                <w:szCs w:val="20"/>
              </w:rPr>
            </w:pPr>
            <w:r>
              <w:rPr>
                <w:sz w:val="20"/>
                <w:szCs w:val="20"/>
              </w:rPr>
              <w:t>78 160</w:t>
            </w:r>
          </w:p>
        </w:tc>
        <w:tc>
          <w:tcPr>
            <w:tcW w:w="1066" w:type="dxa"/>
            <w:noWrap/>
            <w:vAlign w:val="bottom"/>
          </w:tcPr>
          <w:p w:rsidR="00000000" w:rsidRDefault="00000000">
            <w:pPr>
              <w:spacing w:before="60" w:after="60"/>
              <w:ind w:right="57"/>
              <w:jc w:val="right"/>
              <w:rPr>
                <w:sz w:val="20"/>
                <w:szCs w:val="20"/>
              </w:rPr>
            </w:pPr>
            <w:r>
              <w:rPr>
                <w:sz w:val="20"/>
                <w:szCs w:val="20"/>
              </w:rPr>
              <w:t>164 197</w:t>
            </w:r>
          </w:p>
        </w:tc>
        <w:tc>
          <w:tcPr>
            <w:tcW w:w="889" w:type="dxa"/>
            <w:noWrap/>
            <w:vAlign w:val="bottom"/>
          </w:tcPr>
          <w:p w:rsidR="00000000" w:rsidRDefault="00000000">
            <w:pPr>
              <w:spacing w:before="60" w:after="60"/>
              <w:ind w:right="57"/>
              <w:jc w:val="right"/>
              <w:rPr>
                <w:sz w:val="20"/>
                <w:szCs w:val="20"/>
              </w:rPr>
            </w:pPr>
            <w:r>
              <w:rPr>
                <w:sz w:val="20"/>
                <w:szCs w:val="20"/>
              </w:rPr>
              <w:t>81 525</w:t>
            </w:r>
          </w:p>
        </w:tc>
        <w:tc>
          <w:tcPr>
            <w:tcW w:w="756" w:type="dxa"/>
            <w:noWrap/>
            <w:vAlign w:val="bottom"/>
          </w:tcPr>
          <w:p w:rsidR="00000000" w:rsidRDefault="00000000">
            <w:pPr>
              <w:spacing w:before="60" w:after="60"/>
              <w:ind w:right="57"/>
              <w:jc w:val="right"/>
              <w:rPr>
                <w:sz w:val="20"/>
                <w:szCs w:val="20"/>
              </w:rPr>
            </w:pPr>
            <w:r>
              <w:rPr>
                <w:sz w:val="20"/>
                <w:szCs w:val="20"/>
              </w:rPr>
              <w:t>82 673</w:t>
            </w:r>
          </w:p>
        </w:tc>
        <w:tc>
          <w:tcPr>
            <w:tcW w:w="1017" w:type="dxa"/>
            <w:noWrap/>
            <w:vAlign w:val="bottom"/>
          </w:tcPr>
          <w:p w:rsidR="00000000" w:rsidRDefault="00000000">
            <w:pPr>
              <w:spacing w:before="60" w:after="60"/>
              <w:ind w:right="57"/>
              <w:jc w:val="right"/>
              <w:rPr>
                <w:sz w:val="20"/>
                <w:szCs w:val="20"/>
              </w:rPr>
            </w:pPr>
            <w:r>
              <w:rPr>
                <w:sz w:val="20"/>
                <w:szCs w:val="20"/>
              </w:rPr>
              <w:t>280 790</w:t>
            </w:r>
          </w:p>
        </w:tc>
        <w:tc>
          <w:tcPr>
            <w:tcW w:w="1018" w:type="dxa"/>
            <w:noWrap/>
            <w:vAlign w:val="bottom"/>
          </w:tcPr>
          <w:p w:rsidR="00000000" w:rsidRDefault="00000000">
            <w:pPr>
              <w:spacing w:before="60" w:after="60"/>
              <w:ind w:right="57"/>
              <w:jc w:val="right"/>
              <w:rPr>
                <w:sz w:val="20"/>
                <w:szCs w:val="20"/>
              </w:rPr>
            </w:pPr>
            <w:r>
              <w:rPr>
                <w:sz w:val="20"/>
                <w:szCs w:val="20"/>
              </w:rPr>
              <w:t>142 771</w:t>
            </w:r>
          </w:p>
        </w:tc>
        <w:tc>
          <w:tcPr>
            <w:tcW w:w="1018" w:type="dxa"/>
            <w:noWrap/>
            <w:vAlign w:val="bottom"/>
          </w:tcPr>
          <w:p w:rsidR="00000000" w:rsidRDefault="00000000">
            <w:pPr>
              <w:spacing w:before="60" w:after="60"/>
              <w:ind w:right="57"/>
              <w:jc w:val="right"/>
              <w:rPr>
                <w:sz w:val="20"/>
                <w:szCs w:val="20"/>
              </w:rPr>
            </w:pPr>
            <w:r>
              <w:rPr>
                <w:sz w:val="20"/>
                <w:szCs w:val="20"/>
              </w:rPr>
              <w:t>138 019</w:t>
            </w:r>
          </w:p>
        </w:tc>
        <w:tc>
          <w:tcPr>
            <w:tcW w:w="1182" w:type="dxa"/>
            <w:noWrap/>
            <w:vAlign w:val="bottom"/>
          </w:tcPr>
          <w:p w:rsidR="00000000" w:rsidRDefault="00000000">
            <w:pPr>
              <w:spacing w:before="60" w:after="60"/>
              <w:ind w:right="57"/>
              <w:jc w:val="right"/>
              <w:rPr>
                <w:sz w:val="20"/>
                <w:szCs w:val="20"/>
              </w:rPr>
            </w:pPr>
            <w:r>
              <w:rPr>
                <w:sz w:val="20"/>
                <w:szCs w:val="20"/>
              </w:rPr>
              <w:t>307 205</w:t>
            </w:r>
          </w:p>
        </w:tc>
        <w:tc>
          <w:tcPr>
            <w:tcW w:w="1182" w:type="dxa"/>
            <w:noWrap/>
            <w:vAlign w:val="bottom"/>
          </w:tcPr>
          <w:p w:rsidR="00000000" w:rsidRDefault="00000000">
            <w:pPr>
              <w:spacing w:before="60" w:after="60"/>
              <w:ind w:right="57"/>
              <w:jc w:val="right"/>
              <w:rPr>
                <w:sz w:val="20"/>
                <w:szCs w:val="20"/>
              </w:rPr>
            </w:pPr>
            <w:r>
              <w:rPr>
                <w:sz w:val="20"/>
                <w:szCs w:val="20"/>
              </w:rPr>
              <w:t>151 976</w:t>
            </w:r>
          </w:p>
        </w:tc>
        <w:tc>
          <w:tcPr>
            <w:tcW w:w="1182" w:type="dxa"/>
            <w:noWrap/>
            <w:vAlign w:val="bottom"/>
          </w:tcPr>
          <w:p w:rsidR="00000000" w:rsidRDefault="00000000">
            <w:pPr>
              <w:spacing w:before="60" w:after="60"/>
              <w:ind w:right="57"/>
              <w:jc w:val="right"/>
              <w:rPr>
                <w:sz w:val="20"/>
                <w:szCs w:val="20"/>
              </w:rPr>
            </w:pPr>
            <w:r>
              <w:rPr>
                <w:sz w:val="20"/>
                <w:szCs w:val="20"/>
              </w:rPr>
              <w:t>155 229</w:t>
            </w:r>
          </w:p>
        </w:tc>
      </w:tr>
      <w:tr w:rsidR="00000000">
        <w:tc>
          <w:tcPr>
            <w:tcW w:w="2433" w:type="dxa"/>
            <w:noWrap/>
            <w:vAlign w:val="bottom"/>
          </w:tcPr>
          <w:p w:rsidR="00000000" w:rsidRDefault="00000000">
            <w:pPr>
              <w:spacing w:before="60" w:after="60"/>
              <w:rPr>
                <w:sz w:val="20"/>
                <w:szCs w:val="18"/>
              </w:rPr>
            </w:pPr>
            <w:r>
              <w:rPr>
                <w:sz w:val="20"/>
                <w:szCs w:val="18"/>
              </w:rPr>
              <w:t>Visible underemployed population</w:t>
            </w:r>
          </w:p>
        </w:tc>
        <w:tc>
          <w:tcPr>
            <w:tcW w:w="1066" w:type="dxa"/>
            <w:noWrap/>
            <w:vAlign w:val="bottom"/>
          </w:tcPr>
          <w:p w:rsidR="00000000" w:rsidRDefault="00000000">
            <w:pPr>
              <w:spacing w:before="60" w:after="60"/>
              <w:ind w:right="57"/>
              <w:jc w:val="right"/>
              <w:rPr>
                <w:sz w:val="20"/>
                <w:szCs w:val="20"/>
              </w:rPr>
            </w:pPr>
            <w:r>
              <w:rPr>
                <w:sz w:val="20"/>
                <w:szCs w:val="20"/>
              </w:rPr>
              <w:t>69 941</w:t>
            </w:r>
          </w:p>
        </w:tc>
        <w:tc>
          <w:tcPr>
            <w:tcW w:w="889" w:type="dxa"/>
            <w:noWrap/>
            <w:vAlign w:val="bottom"/>
          </w:tcPr>
          <w:p w:rsidR="00000000" w:rsidRDefault="00000000">
            <w:pPr>
              <w:spacing w:before="60" w:after="60"/>
              <w:ind w:right="57"/>
              <w:jc w:val="right"/>
              <w:rPr>
                <w:sz w:val="20"/>
                <w:szCs w:val="20"/>
              </w:rPr>
            </w:pPr>
            <w:r>
              <w:rPr>
                <w:sz w:val="20"/>
                <w:szCs w:val="20"/>
              </w:rPr>
              <w:t>26 201</w:t>
            </w:r>
          </w:p>
        </w:tc>
        <w:tc>
          <w:tcPr>
            <w:tcW w:w="889" w:type="dxa"/>
            <w:noWrap/>
            <w:vAlign w:val="bottom"/>
          </w:tcPr>
          <w:p w:rsidR="00000000" w:rsidRDefault="00000000">
            <w:pPr>
              <w:spacing w:before="60" w:after="60"/>
              <w:ind w:right="57"/>
              <w:jc w:val="right"/>
              <w:rPr>
                <w:sz w:val="20"/>
                <w:szCs w:val="20"/>
              </w:rPr>
            </w:pPr>
            <w:r>
              <w:rPr>
                <w:sz w:val="20"/>
                <w:szCs w:val="20"/>
              </w:rPr>
              <w:t>43 740</w:t>
            </w:r>
          </w:p>
        </w:tc>
        <w:tc>
          <w:tcPr>
            <w:tcW w:w="1066" w:type="dxa"/>
            <w:noWrap/>
            <w:vAlign w:val="bottom"/>
          </w:tcPr>
          <w:p w:rsidR="00000000" w:rsidRDefault="00000000">
            <w:pPr>
              <w:spacing w:before="60" w:after="60"/>
              <w:ind w:right="57"/>
              <w:jc w:val="right"/>
              <w:rPr>
                <w:sz w:val="20"/>
                <w:szCs w:val="20"/>
              </w:rPr>
            </w:pPr>
            <w:r>
              <w:rPr>
                <w:sz w:val="20"/>
                <w:szCs w:val="20"/>
              </w:rPr>
              <w:t>66 441</w:t>
            </w:r>
          </w:p>
        </w:tc>
        <w:tc>
          <w:tcPr>
            <w:tcW w:w="889" w:type="dxa"/>
            <w:noWrap/>
            <w:vAlign w:val="bottom"/>
          </w:tcPr>
          <w:p w:rsidR="00000000" w:rsidRDefault="00000000">
            <w:pPr>
              <w:spacing w:before="60" w:after="60"/>
              <w:ind w:right="57"/>
              <w:jc w:val="right"/>
              <w:rPr>
                <w:sz w:val="20"/>
                <w:szCs w:val="20"/>
              </w:rPr>
            </w:pPr>
            <w:r>
              <w:rPr>
                <w:sz w:val="20"/>
                <w:szCs w:val="20"/>
              </w:rPr>
              <w:t>18 933</w:t>
            </w:r>
          </w:p>
        </w:tc>
        <w:tc>
          <w:tcPr>
            <w:tcW w:w="756" w:type="dxa"/>
            <w:noWrap/>
            <w:vAlign w:val="bottom"/>
          </w:tcPr>
          <w:p w:rsidR="00000000" w:rsidRDefault="00000000">
            <w:pPr>
              <w:spacing w:before="60" w:after="60"/>
              <w:ind w:right="57"/>
              <w:jc w:val="right"/>
              <w:rPr>
                <w:sz w:val="20"/>
                <w:szCs w:val="20"/>
              </w:rPr>
            </w:pPr>
            <w:r>
              <w:rPr>
                <w:sz w:val="20"/>
                <w:szCs w:val="20"/>
              </w:rPr>
              <w:t>47 508</w:t>
            </w:r>
          </w:p>
        </w:tc>
        <w:tc>
          <w:tcPr>
            <w:tcW w:w="1017" w:type="dxa"/>
            <w:noWrap/>
            <w:vAlign w:val="bottom"/>
          </w:tcPr>
          <w:p w:rsidR="00000000" w:rsidRDefault="00000000">
            <w:pPr>
              <w:spacing w:before="60" w:after="60"/>
              <w:ind w:right="57"/>
              <w:jc w:val="right"/>
              <w:rPr>
                <w:sz w:val="20"/>
                <w:szCs w:val="20"/>
              </w:rPr>
            </w:pPr>
            <w:r>
              <w:rPr>
                <w:sz w:val="20"/>
                <w:szCs w:val="20"/>
              </w:rPr>
              <w:t>106 954</w:t>
            </w:r>
          </w:p>
        </w:tc>
        <w:tc>
          <w:tcPr>
            <w:tcW w:w="1018" w:type="dxa"/>
            <w:noWrap/>
            <w:vAlign w:val="bottom"/>
          </w:tcPr>
          <w:p w:rsidR="00000000" w:rsidRDefault="00000000">
            <w:pPr>
              <w:spacing w:before="60" w:after="60"/>
              <w:ind w:right="57"/>
              <w:jc w:val="right"/>
              <w:rPr>
                <w:sz w:val="20"/>
                <w:szCs w:val="20"/>
              </w:rPr>
            </w:pPr>
            <w:r>
              <w:rPr>
                <w:sz w:val="20"/>
                <w:szCs w:val="20"/>
              </w:rPr>
              <w:t>36 105</w:t>
            </w:r>
          </w:p>
        </w:tc>
        <w:tc>
          <w:tcPr>
            <w:tcW w:w="1018" w:type="dxa"/>
            <w:noWrap/>
            <w:vAlign w:val="bottom"/>
          </w:tcPr>
          <w:p w:rsidR="00000000" w:rsidRDefault="00000000">
            <w:pPr>
              <w:spacing w:before="60" w:after="60"/>
              <w:ind w:right="57"/>
              <w:jc w:val="right"/>
              <w:rPr>
                <w:sz w:val="20"/>
                <w:szCs w:val="20"/>
              </w:rPr>
            </w:pPr>
            <w:r>
              <w:rPr>
                <w:sz w:val="20"/>
                <w:szCs w:val="20"/>
              </w:rPr>
              <w:t>70 849</w:t>
            </w:r>
          </w:p>
        </w:tc>
        <w:tc>
          <w:tcPr>
            <w:tcW w:w="1182" w:type="dxa"/>
            <w:noWrap/>
            <w:vAlign w:val="bottom"/>
          </w:tcPr>
          <w:p w:rsidR="00000000" w:rsidRDefault="00000000">
            <w:pPr>
              <w:spacing w:before="60" w:after="60"/>
              <w:ind w:right="57"/>
              <w:jc w:val="right"/>
              <w:rPr>
                <w:sz w:val="20"/>
                <w:szCs w:val="20"/>
              </w:rPr>
            </w:pPr>
            <w:r>
              <w:rPr>
                <w:sz w:val="20"/>
                <w:szCs w:val="20"/>
              </w:rPr>
              <w:t>99 212</w:t>
            </w:r>
          </w:p>
        </w:tc>
        <w:tc>
          <w:tcPr>
            <w:tcW w:w="1182" w:type="dxa"/>
            <w:noWrap/>
            <w:vAlign w:val="bottom"/>
          </w:tcPr>
          <w:p w:rsidR="00000000" w:rsidRDefault="00000000">
            <w:pPr>
              <w:spacing w:before="60" w:after="60"/>
              <w:ind w:right="57"/>
              <w:jc w:val="right"/>
              <w:rPr>
                <w:sz w:val="20"/>
                <w:szCs w:val="20"/>
              </w:rPr>
            </w:pPr>
            <w:r>
              <w:rPr>
                <w:sz w:val="20"/>
                <w:szCs w:val="20"/>
              </w:rPr>
              <w:t>29 934</w:t>
            </w:r>
          </w:p>
        </w:tc>
        <w:tc>
          <w:tcPr>
            <w:tcW w:w="1182" w:type="dxa"/>
            <w:noWrap/>
            <w:vAlign w:val="bottom"/>
          </w:tcPr>
          <w:p w:rsidR="00000000" w:rsidRDefault="00000000">
            <w:pPr>
              <w:spacing w:before="60" w:after="60"/>
              <w:ind w:right="57"/>
              <w:jc w:val="right"/>
              <w:rPr>
                <w:sz w:val="20"/>
                <w:szCs w:val="20"/>
              </w:rPr>
            </w:pPr>
            <w:r>
              <w:rPr>
                <w:sz w:val="20"/>
                <w:szCs w:val="20"/>
              </w:rPr>
              <w:t>69 278</w:t>
            </w:r>
          </w:p>
        </w:tc>
      </w:tr>
      <w:tr w:rsidR="00000000">
        <w:tc>
          <w:tcPr>
            <w:tcW w:w="2433" w:type="dxa"/>
            <w:noWrap/>
            <w:vAlign w:val="bottom"/>
          </w:tcPr>
          <w:p w:rsidR="00000000" w:rsidRDefault="00000000">
            <w:pPr>
              <w:spacing w:before="60" w:after="60"/>
              <w:rPr>
                <w:sz w:val="20"/>
                <w:szCs w:val="18"/>
              </w:rPr>
            </w:pPr>
            <w:r>
              <w:rPr>
                <w:sz w:val="20"/>
                <w:szCs w:val="18"/>
              </w:rPr>
              <w:t>Invisible underemployed population</w:t>
            </w:r>
          </w:p>
        </w:tc>
        <w:tc>
          <w:tcPr>
            <w:tcW w:w="1066" w:type="dxa"/>
            <w:noWrap/>
            <w:vAlign w:val="bottom"/>
          </w:tcPr>
          <w:p w:rsidR="00000000" w:rsidRDefault="00000000">
            <w:pPr>
              <w:spacing w:before="60" w:after="60"/>
              <w:ind w:right="57"/>
              <w:jc w:val="right"/>
              <w:rPr>
                <w:sz w:val="20"/>
                <w:szCs w:val="20"/>
              </w:rPr>
            </w:pPr>
            <w:r>
              <w:rPr>
                <w:sz w:val="20"/>
                <w:szCs w:val="20"/>
              </w:rPr>
              <w:t>93 480</w:t>
            </w:r>
          </w:p>
        </w:tc>
        <w:tc>
          <w:tcPr>
            <w:tcW w:w="889" w:type="dxa"/>
            <w:noWrap/>
            <w:vAlign w:val="bottom"/>
          </w:tcPr>
          <w:p w:rsidR="00000000" w:rsidRDefault="00000000">
            <w:pPr>
              <w:spacing w:before="60" w:after="60"/>
              <w:ind w:right="57"/>
              <w:jc w:val="right"/>
              <w:rPr>
                <w:sz w:val="20"/>
                <w:szCs w:val="20"/>
              </w:rPr>
            </w:pPr>
            <w:r>
              <w:rPr>
                <w:sz w:val="20"/>
                <w:szCs w:val="20"/>
              </w:rPr>
              <w:t>59 059</w:t>
            </w:r>
          </w:p>
        </w:tc>
        <w:tc>
          <w:tcPr>
            <w:tcW w:w="889" w:type="dxa"/>
            <w:noWrap/>
            <w:vAlign w:val="bottom"/>
          </w:tcPr>
          <w:p w:rsidR="00000000" w:rsidRDefault="00000000">
            <w:pPr>
              <w:spacing w:before="60" w:after="60"/>
              <w:ind w:right="57"/>
              <w:jc w:val="right"/>
              <w:rPr>
                <w:sz w:val="20"/>
                <w:szCs w:val="20"/>
              </w:rPr>
            </w:pPr>
            <w:r>
              <w:rPr>
                <w:sz w:val="20"/>
                <w:szCs w:val="20"/>
              </w:rPr>
              <w:t>34 421</w:t>
            </w:r>
          </w:p>
        </w:tc>
        <w:tc>
          <w:tcPr>
            <w:tcW w:w="1066" w:type="dxa"/>
            <w:noWrap/>
            <w:vAlign w:val="bottom"/>
          </w:tcPr>
          <w:p w:rsidR="00000000" w:rsidRDefault="00000000">
            <w:pPr>
              <w:spacing w:before="60" w:after="60"/>
              <w:ind w:right="57"/>
              <w:jc w:val="right"/>
              <w:rPr>
                <w:sz w:val="20"/>
                <w:szCs w:val="20"/>
              </w:rPr>
            </w:pPr>
            <w:r>
              <w:rPr>
                <w:sz w:val="20"/>
                <w:szCs w:val="20"/>
              </w:rPr>
              <w:t>97 756</w:t>
            </w:r>
          </w:p>
        </w:tc>
        <w:tc>
          <w:tcPr>
            <w:tcW w:w="889" w:type="dxa"/>
            <w:noWrap/>
            <w:vAlign w:val="bottom"/>
          </w:tcPr>
          <w:p w:rsidR="00000000" w:rsidRDefault="00000000">
            <w:pPr>
              <w:spacing w:before="60" w:after="60"/>
              <w:ind w:right="57"/>
              <w:jc w:val="right"/>
              <w:rPr>
                <w:sz w:val="20"/>
                <w:szCs w:val="20"/>
              </w:rPr>
            </w:pPr>
            <w:r>
              <w:rPr>
                <w:sz w:val="20"/>
                <w:szCs w:val="20"/>
              </w:rPr>
              <w:t>62 591</w:t>
            </w:r>
          </w:p>
        </w:tc>
        <w:tc>
          <w:tcPr>
            <w:tcW w:w="756" w:type="dxa"/>
            <w:noWrap/>
            <w:vAlign w:val="bottom"/>
          </w:tcPr>
          <w:p w:rsidR="00000000" w:rsidRDefault="00000000">
            <w:pPr>
              <w:spacing w:before="60" w:after="60"/>
              <w:ind w:right="57"/>
              <w:jc w:val="right"/>
              <w:rPr>
                <w:sz w:val="20"/>
                <w:szCs w:val="20"/>
              </w:rPr>
            </w:pPr>
            <w:r>
              <w:rPr>
                <w:sz w:val="20"/>
                <w:szCs w:val="20"/>
              </w:rPr>
              <w:t>35 165</w:t>
            </w:r>
          </w:p>
        </w:tc>
        <w:tc>
          <w:tcPr>
            <w:tcW w:w="1017" w:type="dxa"/>
            <w:noWrap/>
            <w:vAlign w:val="bottom"/>
          </w:tcPr>
          <w:p w:rsidR="00000000" w:rsidRDefault="00000000">
            <w:pPr>
              <w:spacing w:before="60" w:after="60"/>
              <w:ind w:right="57"/>
              <w:jc w:val="right"/>
              <w:rPr>
                <w:sz w:val="20"/>
                <w:szCs w:val="20"/>
              </w:rPr>
            </w:pPr>
            <w:r>
              <w:rPr>
                <w:sz w:val="20"/>
                <w:szCs w:val="20"/>
              </w:rPr>
              <w:t>173 836</w:t>
            </w:r>
          </w:p>
        </w:tc>
        <w:tc>
          <w:tcPr>
            <w:tcW w:w="1018" w:type="dxa"/>
            <w:noWrap/>
            <w:vAlign w:val="bottom"/>
          </w:tcPr>
          <w:p w:rsidR="00000000" w:rsidRDefault="00000000">
            <w:pPr>
              <w:spacing w:before="60" w:after="60"/>
              <w:ind w:right="57"/>
              <w:jc w:val="right"/>
              <w:rPr>
                <w:sz w:val="20"/>
                <w:szCs w:val="20"/>
              </w:rPr>
            </w:pPr>
            <w:r>
              <w:rPr>
                <w:sz w:val="20"/>
                <w:szCs w:val="20"/>
              </w:rPr>
              <w:t>106 666</w:t>
            </w:r>
          </w:p>
        </w:tc>
        <w:tc>
          <w:tcPr>
            <w:tcW w:w="1018" w:type="dxa"/>
            <w:noWrap/>
            <w:vAlign w:val="bottom"/>
          </w:tcPr>
          <w:p w:rsidR="00000000" w:rsidRDefault="00000000">
            <w:pPr>
              <w:spacing w:before="60" w:after="60"/>
              <w:ind w:right="57"/>
              <w:jc w:val="right"/>
              <w:rPr>
                <w:sz w:val="20"/>
                <w:szCs w:val="20"/>
              </w:rPr>
            </w:pPr>
            <w:r>
              <w:rPr>
                <w:sz w:val="20"/>
                <w:szCs w:val="20"/>
              </w:rPr>
              <w:t>67 170</w:t>
            </w:r>
          </w:p>
        </w:tc>
        <w:tc>
          <w:tcPr>
            <w:tcW w:w="1182" w:type="dxa"/>
            <w:noWrap/>
            <w:vAlign w:val="bottom"/>
          </w:tcPr>
          <w:p w:rsidR="00000000" w:rsidRDefault="00000000">
            <w:pPr>
              <w:spacing w:before="60" w:after="60"/>
              <w:ind w:right="57"/>
              <w:jc w:val="right"/>
              <w:rPr>
                <w:sz w:val="20"/>
                <w:szCs w:val="20"/>
              </w:rPr>
            </w:pPr>
            <w:r>
              <w:rPr>
                <w:sz w:val="20"/>
                <w:szCs w:val="20"/>
              </w:rPr>
              <w:t>207 993</w:t>
            </w:r>
          </w:p>
        </w:tc>
        <w:tc>
          <w:tcPr>
            <w:tcW w:w="1182" w:type="dxa"/>
            <w:noWrap/>
            <w:vAlign w:val="bottom"/>
          </w:tcPr>
          <w:p w:rsidR="00000000" w:rsidRDefault="00000000">
            <w:pPr>
              <w:spacing w:before="60" w:after="60"/>
              <w:ind w:right="57"/>
              <w:jc w:val="right"/>
              <w:rPr>
                <w:sz w:val="20"/>
                <w:szCs w:val="20"/>
              </w:rPr>
            </w:pPr>
            <w:r>
              <w:rPr>
                <w:sz w:val="20"/>
                <w:szCs w:val="20"/>
              </w:rPr>
              <w:t>122 042</w:t>
            </w:r>
          </w:p>
        </w:tc>
        <w:tc>
          <w:tcPr>
            <w:tcW w:w="1182" w:type="dxa"/>
            <w:noWrap/>
            <w:vAlign w:val="bottom"/>
          </w:tcPr>
          <w:p w:rsidR="00000000" w:rsidRDefault="00000000">
            <w:pPr>
              <w:spacing w:before="60" w:after="60"/>
              <w:ind w:right="57"/>
              <w:jc w:val="right"/>
              <w:rPr>
                <w:sz w:val="20"/>
                <w:szCs w:val="20"/>
              </w:rPr>
            </w:pPr>
            <w:r>
              <w:rPr>
                <w:sz w:val="20"/>
                <w:szCs w:val="20"/>
              </w:rPr>
              <w:t>85 951</w:t>
            </w:r>
          </w:p>
        </w:tc>
      </w:tr>
      <w:tr w:rsidR="00000000">
        <w:tc>
          <w:tcPr>
            <w:tcW w:w="2433" w:type="dxa"/>
            <w:noWrap/>
            <w:vAlign w:val="bottom"/>
          </w:tcPr>
          <w:p w:rsidR="00000000" w:rsidRDefault="00000000">
            <w:pPr>
              <w:spacing w:before="60" w:after="60"/>
              <w:rPr>
                <w:b/>
                <w:bCs/>
                <w:sz w:val="20"/>
                <w:szCs w:val="18"/>
              </w:rPr>
            </w:pPr>
            <w:r>
              <w:rPr>
                <w:b/>
                <w:bCs/>
                <w:sz w:val="20"/>
                <w:szCs w:val="18"/>
              </w:rPr>
              <w:t>Total population</w:t>
            </w:r>
          </w:p>
        </w:tc>
        <w:tc>
          <w:tcPr>
            <w:tcW w:w="1066" w:type="dxa"/>
            <w:noWrap/>
            <w:vAlign w:val="bottom"/>
          </w:tcPr>
          <w:p w:rsidR="00000000" w:rsidRDefault="00000000">
            <w:pPr>
              <w:spacing w:before="60" w:after="60"/>
              <w:ind w:right="57"/>
              <w:jc w:val="right"/>
              <w:rPr>
                <w:b/>
                <w:bCs/>
                <w:sz w:val="20"/>
                <w:szCs w:val="20"/>
              </w:rPr>
            </w:pPr>
            <w:r>
              <w:rPr>
                <w:b/>
                <w:bCs/>
                <w:sz w:val="20"/>
                <w:szCs w:val="20"/>
              </w:rPr>
              <w:t>1 615 592</w:t>
            </w:r>
          </w:p>
        </w:tc>
        <w:tc>
          <w:tcPr>
            <w:tcW w:w="889" w:type="dxa"/>
            <w:noWrap/>
            <w:vAlign w:val="bottom"/>
          </w:tcPr>
          <w:p w:rsidR="00000000" w:rsidRDefault="00000000">
            <w:pPr>
              <w:spacing w:before="60" w:after="60"/>
              <w:ind w:right="57"/>
              <w:jc w:val="right"/>
              <w:rPr>
                <w:b/>
                <w:bCs/>
                <w:sz w:val="20"/>
                <w:szCs w:val="20"/>
              </w:rPr>
            </w:pPr>
            <w:r>
              <w:rPr>
                <w:b/>
                <w:bCs/>
                <w:sz w:val="20"/>
                <w:szCs w:val="20"/>
              </w:rPr>
              <w:t>797 411</w:t>
            </w:r>
          </w:p>
        </w:tc>
        <w:tc>
          <w:tcPr>
            <w:tcW w:w="889" w:type="dxa"/>
            <w:noWrap/>
            <w:vAlign w:val="bottom"/>
          </w:tcPr>
          <w:p w:rsidR="00000000" w:rsidRDefault="00000000">
            <w:pPr>
              <w:spacing w:before="60" w:after="60"/>
              <w:ind w:right="57"/>
              <w:jc w:val="right"/>
              <w:rPr>
                <w:b/>
                <w:bCs/>
                <w:sz w:val="20"/>
                <w:szCs w:val="20"/>
              </w:rPr>
            </w:pPr>
            <w:r>
              <w:rPr>
                <w:b/>
                <w:bCs/>
                <w:sz w:val="20"/>
                <w:szCs w:val="20"/>
              </w:rPr>
              <w:t>818 181</w:t>
            </w:r>
          </w:p>
        </w:tc>
        <w:tc>
          <w:tcPr>
            <w:tcW w:w="1066" w:type="dxa"/>
            <w:noWrap/>
            <w:vAlign w:val="bottom"/>
          </w:tcPr>
          <w:p w:rsidR="00000000" w:rsidRDefault="00000000">
            <w:pPr>
              <w:spacing w:before="60" w:after="60"/>
              <w:ind w:right="57"/>
              <w:jc w:val="right"/>
              <w:rPr>
                <w:b/>
                <w:bCs/>
                <w:sz w:val="20"/>
                <w:szCs w:val="20"/>
              </w:rPr>
            </w:pPr>
            <w:r>
              <w:rPr>
                <w:b/>
                <w:bCs/>
                <w:sz w:val="20"/>
                <w:szCs w:val="20"/>
              </w:rPr>
              <w:t>1 788 489</w:t>
            </w:r>
          </w:p>
        </w:tc>
        <w:tc>
          <w:tcPr>
            <w:tcW w:w="889" w:type="dxa"/>
            <w:noWrap/>
            <w:vAlign w:val="bottom"/>
          </w:tcPr>
          <w:p w:rsidR="00000000" w:rsidRDefault="00000000">
            <w:pPr>
              <w:spacing w:before="60" w:after="60"/>
              <w:ind w:right="57"/>
              <w:jc w:val="right"/>
              <w:rPr>
                <w:b/>
                <w:bCs/>
                <w:sz w:val="20"/>
                <w:szCs w:val="20"/>
              </w:rPr>
            </w:pPr>
            <w:r>
              <w:rPr>
                <w:b/>
                <w:bCs/>
                <w:sz w:val="20"/>
                <w:szCs w:val="20"/>
              </w:rPr>
              <w:t>868 698</w:t>
            </w:r>
          </w:p>
        </w:tc>
        <w:tc>
          <w:tcPr>
            <w:tcW w:w="756" w:type="dxa"/>
            <w:noWrap/>
            <w:vAlign w:val="bottom"/>
          </w:tcPr>
          <w:p w:rsidR="00000000" w:rsidRDefault="00000000">
            <w:pPr>
              <w:spacing w:before="60" w:after="60"/>
              <w:ind w:right="57"/>
              <w:jc w:val="right"/>
              <w:rPr>
                <w:b/>
                <w:bCs/>
                <w:sz w:val="20"/>
                <w:szCs w:val="20"/>
              </w:rPr>
            </w:pPr>
            <w:r>
              <w:rPr>
                <w:b/>
                <w:bCs/>
                <w:sz w:val="20"/>
                <w:szCs w:val="20"/>
              </w:rPr>
              <w:t>919 791</w:t>
            </w:r>
          </w:p>
        </w:tc>
        <w:tc>
          <w:tcPr>
            <w:tcW w:w="1017" w:type="dxa"/>
            <w:noWrap/>
            <w:vAlign w:val="bottom"/>
          </w:tcPr>
          <w:p w:rsidR="00000000" w:rsidRDefault="00000000">
            <w:pPr>
              <w:spacing w:before="60" w:after="60"/>
              <w:ind w:right="57"/>
              <w:jc w:val="right"/>
              <w:rPr>
                <w:b/>
                <w:bCs/>
                <w:sz w:val="20"/>
                <w:szCs w:val="20"/>
              </w:rPr>
            </w:pPr>
            <w:r>
              <w:rPr>
                <w:b/>
                <w:bCs/>
                <w:sz w:val="20"/>
                <w:szCs w:val="20"/>
              </w:rPr>
              <w:t>2 058 392</w:t>
            </w:r>
          </w:p>
        </w:tc>
        <w:tc>
          <w:tcPr>
            <w:tcW w:w="1018" w:type="dxa"/>
            <w:noWrap/>
            <w:vAlign w:val="bottom"/>
          </w:tcPr>
          <w:p w:rsidR="00000000" w:rsidRDefault="00000000">
            <w:pPr>
              <w:spacing w:before="60" w:after="60"/>
              <w:ind w:right="57"/>
              <w:jc w:val="right"/>
              <w:rPr>
                <w:b/>
                <w:bCs/>
                <w:sz w:val="20"/>
                <w:szCs w:val="20"/>
              </w:rPr>
            </w:pPr>
            <w:r>
              <w:rPr>
                <w:b/>
                <w:bCs/>
                <w:sz w:val="20"/>
                <w:szCs w:val="20"/>
              </w:rPr>
              <w:t>1 013 930</w:t>
            </w:r>
          </w:p>
        </w:tc>
        <w:tc>
          <w:tcPr>
            <w:tcW w:w="1018" w:type="dxa"/>
            <w:noWrap/>
            <w:vAlign w:val="bottom"/>
          </w:tcPr>
          <w:p w:rsidR="00000000" w:rsidRDefault="00000000">
            <w:pPr>
              <w:spacing w:before="60" w:after="60"/>
              <w:ind w:right="57"/>
              <w:jc w:val="right"/>
              <w:rPr>
                <w:b/>
                <w:bCs/>
                <w:sz w:val="20"/>
                <w:szCs w:val="20"/>
              </w:rPr>
            </w:pPr>
            <w:r>
              <w:rPr>
                <w:b/>
                <w:bCs/>
                <w:sz w:val="20"/>
                <w:szCs w:val="20"/>
              </w:rPr>
              <w:t>1 044 462</w:t>
            </w:r>
          </w:p>
        </w:tc>
        <w:tc>
          <w:tcPr>
            <w:tcW w:w="1182" w:type="dxa"/>
            <w:noWrap/>
            <w:vAlign w:val="bottom"/>
          </w:tcPr>
          <w:p w:rsidR="00000000" w:rsidRDefault="00000000">
            <w:pPr>
              <w:spacing w:before="60" w:after="60"/>
              <w:ind w:right="57"/>
              <w:jc w:val="right"/>
              <w:rPr>
                <w:b/>
                <w:bCs/>
                <w:sz w:val="20"/>
                <w:szCs w:val="20"/>
              </w:rPr>
            </w:pPr>
            <w:r>
              <w:rPr>
                <w:b/>
                <w:bCs/>
                <w:sz w:val="20"/>
                <w:szCs w:val="20"/>
              </w:rPr>
              <w:t>2 189 905</w:t>
            </w:r>
          </w:p>
        </w:tc>
        <w:tc>
          <w:tcPr>
            <w:tcW w:w="1182" w:type="dxa"/>
            <w:noWrap/>
            <w:vAlign w:val="bottom"/>
          </w:tcPr>
          <w:p w:rsidR="00000000" w:rsidRDefault="00000000">
            <w:pPr>
              <w:spacing w:before="60" w:after="60"/>
              <w:ind w:right="57"/>
              <w:jc w:val="right"/>
              <w:rPr>
                <w:b/>
                <w:bCs/>
                <w:sz w:val="20"/>
                <w:szCs w:val="20"/>
              </w:rPr>
            </w:pPr>
            <w:r>
              <w:rPr>
                <w:b/>
                <w:bCs/>
                <w:sz w:val="20"/>
                <w:szCs w:val="20"/>
              </w:rPr>
              <w:t>1 067 005</w:t>
            </w:r>
          </w:p>
        </w:tc>
        <w:tc>
          <w:tcPr>
            <w:tcW w:w="1182" w:type="dxa"/>
            <w:noWrap/>
            <w:vAlign w:val="bottom"/>
          </w:tcPr>
          <w:p w:rsidR="00000000" w:rsidRDefault="00000000">
            <w:pPr>
              <w:spacing w:before="60" w:after="60"/>
              <w:ind w:right="57"/>
              <w:jc w:val="right"/>
              <w:rPr>
                <w:b/>
                <w:bCs/>
                <w:sz w:val="20"/>
                <w:szCs w:val="20"/>
              </w:rPr>
            </w:pPr>
            <w:r>
              <w:rPr>
                <w:b/>
                <w:bCs/>
                <w:sz w:val="20"/>
                <w:szCs w:val="20"/>
              </w:rPr>
              <w:t>1 122 900</w:t>
            </w:r>
          </w:p>
        </w:tc>
      </w:tr>
      <w:tr w:rsidR="00000000">
        <w:tc>
          <w:tcPr>
            <w:tcW w:w="2433" w:type="dxa"/>
            <w:noWrap/>
            <w:vAlign w:val="bottom"/>
          </w:tcPr>
          <w:p w:rsidR="00000000" w:rsidRDefault="00000000">
            <w:pPr>
              <w:pStyle w:val="FootnoteText"/>
              <w:spacing w:before="60" w:after="60"/>
              <w:rPr>
                <w:szCs w:val="18"/>
              </w:rPr>
            </w:pPr>
            <w:r>
              <w:rPr>
                <w:szCs w:val="18"/>
              </w:rPr>
              <w:t>Activity rate</w:t>
            </w:r>
          </w:p>
        </w:tc>
        <w:tc>
          <w:tcPr>
            <w:tcW w:w="1066" w:type="dxa"/>
            <w:noWrap/>
            <w:vAlign w:val="bottom"/>
          </w:tcPr>
          <w:p w:rsidR="00000000" w:rsidRDefault="00000000">
            <w:pPr>
              <w:spacing w:before="60" w:after="60"/>
              <w:ind w:right="57"/>
              <w:jc w:val="right"/>
              <w:rPr>
                <w:sz w:val="20"/>
                <w:szCs w:val="20"/>
              </w:rPr>
            </w:pPr>
            <w:r>
              <w:rPr>
                <w:sz w:val="20"/>
                <w:szCs w:val="20"/>
              </w:rPr>
              <w:t>78.5</w:t>
            </w:r>
          </w:p>
        </w:tc>
        <w:tc>
          <w:tcPr>
            <w:tcW w:w="889" w:type="dxa"/>
            <w:noWrap/>
            <w:vAlign w:val="bottom"/>
          </w:tcPr>
          <w:p w:rsidR="00000000" w:rsidRDefault="00000000">
            <w:pPr>
              <w:spacing w:before="60" w:after="60"/>
              <w:ind w:right="57"/>
              <w:jc w:val="right"/>
              <w:rPr>
                <w:sz w:val="20"/>
                <w:szCs w:val="20"/>
              </w:rPr>
            </w:pPr>
            <w:r>
              <w:rPr>
                <w:sz w:val="20"/>
                <w:szCs w:val="20"/>
              </w:rPr>
              <w:t>91.7</w:t>
            </w:r>
          </w:p>
        </w:tc>
        <w:tc>
          <w:tcPr>
            <w:tcW w:w="889" w:type="dxa"/>
            <w:noWrap/>
            <w:vAlign w:val="bottom"/>
          </w:tcPr>
          <w:p w:rsidR="00000000" w:rsidRDefault="00000000">
            <w:pPr>
              <w:spacing w:before="60" w:after="60"/>
              <w:ind w:right="57"/>
              <w:jc w:val="right"/>
              <w:rPr>
                <w:sz w:val="20"/>
                <w:szCs w:val="20"/>
              </w:rPr>
            </w:pPr>
            <w:r>
              <w:rPr>
                <w:sz w:val="20"/>
                <w:szCs w:val="20"/>
              </w:rPr>
              <w:t>65.5</w:t>
            </w:r>
          </w:p>
        </w:tc>
        <w:tc>
          <w:tcPr>
            <w:tcW w:w="1066" w:type="dxa"/>
            <w:noWrap/>
            <w:vAlign w:val="bottom"/>
          </w:tcPr>
          <w:p w:rsidR="00000000" w:rsidRDefault="00000000">
            <w:pPr>
              <w:spacing w:before="60" w:after="60"/>
              <w:ind w:right="57"/>
              <w:jc w:val="right"/>
              <w:rPr>
                <w:sz w:val="20"/>
                <w:szCs w:val="20"/>
              </w:rPr>
            </w:pPr>
            <w:r>
              <w:rPr>
                <w:sz w:val="20"/>
                <w:szCs w:val="20"/>
              </w:rPr>
              <w:t>70.3</w:t>
            </w:r>
          </w:p>
        </w:tc>
        <w:tc>
          <w:tcPr>
            <w:tcW w:w="889" w:type="dxa"/>
            <w:noWrap/>
            <w:vAlign w:val="bottom"/>
          </w:tcPr>
          <w:p w:rsidR="00000000" w:rsidRDefault="00000000">
            <w:pPr>
              <w:spacing w:before="60" w:after="60"/>
              <w:ind w:right="57"/>
              <w:jc w:val="right"/>
              <w:rPr>
                <w:sz w:val="20"/>
                <w:szCs w:val="20"/>
              </w:rPr>
            </w:pPr>
            <w:r>
              <w:rPr>
                <w:sz w:val="20"/>
                <w:szCs w:val="20"/>
              </w:rPr>
              <w:t>90.4</w:t>
            </w:r>
          </w:p>
        </w:tc>
        <w:tc>
          <w:tcPr>
            <w:tcW w:w="756" w:type="dxa"/>
            <w:noWrap/>
            <w:vAlign w:val="bottom"/>
          </w:tcPr>
          <w:p w:rsidR="00000000" w:rsidRDefault="00000000">
            <w:pPr>
              <w:spacing w:before="60" w:after="60"/>
              <w:ind w:right="57"/>
              <w:jc w:val="right"/>
              <w:rPr>
                <w:sz w:val="20"/>
                <w:szCs w:val="20"/>
              </w:rPr>
            </w:pPr>
            <w:r>
              <w:rPr>
                <w:sz w:val="20"/>
                <w:szCs w:val="20"/>
              </w:rPr>
              <w:t>51.3</w:t>
            </w:r>
          </w:p>
        </w:tc>
        <w:tc>
          <w:tcPr>
            <w:tcW w:w="1017" w:type="dxa"/>
            <w:noWrap/>
            <w:vAlign w:val="bottom"/>
          </w:tcPr>
          <w:p w:rsidR="00000000" w:rsidRDefault="00000000">
            <w:pPr>
              <w:spacing w:before="60" w:after="60"/>
              <w:ind w:right="57"/>
              <w:jc w:val="right"/>
              <w:rPr>
                <w:sz w:val="20"/>
                <w:szCs w:val="20"/>
              </w:rPr>
            </w:pPr>
            <w:r>
              <w:rPr>
                <w:sz w:val="20"/>
                <w:szCs w:val="20"/>
              </w:rPr>
              <w:t>75.5</w:t>
            </w:r>
          </w:p>
        </w:tc>
        <w:tc>
          <w:tcPr>
            <w:tcW w:w="1018" w:type="dxa"/>
            <w:noWrap/>
            <w:vAlign w:val="bottom"/>
          </w:tcPr>
          <w:p w:rsidR="00000000" w:rsidRDefault="00000000">
            <w:pPr>
              <w:spacing w:before="60" w:after="60"/>
              <w:ind w:right="57"/>
              <w:jc w:val="right"/>
              <w:rPr>
                <w:sz w:val="20"/>
                <w:szCs w:val="20"/>
              </w:rPr>
            </w:pPr>
            <w:r>
              <w:rPr>
                <w:sz w:val="20"/>
                <w:szCs w:val="20"/>
              </w:rPr>
              <w:t>89.9</w:t>
            </w:r>
          </w:p>
        </w:tc>
        <w:tc>
          <w:tcPr>
            <w:tcW w:w="1018" w:type="dxa"/>
            <w:noWrap/>
            <w:vAlign w:val="bottom"/>
          </w:tcPr>
          <w:p w:rsidR="00000000" w:rsidRDefault="00000000">
            <w:pPr>
              <w:spacing w:before="60" w:after="60"/>
              <w:ind w:right="57"/>
              <w:jc w:val="right"/>
              <w:rPr>
                <w:sz w:val="20"/>
                <w:szCs w:val="20"/>
              </w:rPr>
            </w:pPr>
            <w:r>
              <w:rPr>
                <w:sz w:val="20"/>
                <w:szCs w:val="20"/>
              </w:rPr>
              <w:t>61.5</w:t>
            </w:r>
          </w:p>
        </w:tc>
        <w:tc>
          <w:tcPr>
            <w:tcW w:w="1182" w:type="dxa"/>
            <w:noWrap/>
            <w:vAlign w:val="bottom"/>
          </w:tcPr>
          <w:p w:rsidR="00000000" w:rsidRDefault="00000000">
            <w:pPr>
              <w:spacing w:before="60" w:after="60"/>
              <w:ind w:right="57"/>
              <w:jc w:val="right"/>
              <w:rPr>
                <w:sz w:val="20"/>
                <w:szCs w:val="20"/>
              </w:rPr>
            </w:pPr>
            <w:r>
              <w:rPr>
                <w:sz w:val="20"/>
                <w:szCs w:val="20"/>
              </w:rPr>
              <w:t>74.9</w:t>
            </w:r>
          </w:p>
        </w:tc>
        <w:tc>
          <w:tcPr>
            <w:tcW w:w="1182" w:type="dxa"/>
            <w:noWrap/>
            <w:vAlign w:val="bottom"/>
          </w:tcPr>
          <w:p w:rsidR="00000000" w:rsidRDefault="00000000">
            <w:pPr>
              <w:spacing w:before="60" w:after="60"/>
              <w:ind w:right="57"/>
              <w:jc w:val="right"/>
              <w:rPr>
                <w:sz w:val="20"/>
                <w:szCs w:val="20"/>
              </w:rPr>
            </w:pPr>
            <w:r>
              <w:rPr>
                <w:sz w:val="20"/>
                <w:szCs w:val="20"/>
              </w:rPr>
              <w:t>90.2</w:t>
            </w:r>
          </w:p>
        </w:tc>
        <w:tc>
          <w:tcPr>
            <w:tcW w:w="1182" w:type="dxa"/>
            <w:noWrap/>
            <w:vAlign w:val="bottom"/>
          </w:tcPr>
          <w:p w:rsidR="00000000" w:rsidRDefault="00000000">
            <w:pPr>
              <w:spacing w:before="60" w:after="60"/>
              <w:ind w:right="57"/>
              <w:jc w:val="right"/>
              <w:rPr>
                <w:sz w:val="20"/>
                <w:szCs w:val="20"/>
              </w:rPr>
            </w:pPr>
            <w:r>
              <w:rPr>
                <w:sz w:val="20"/>
                <w:szCs w:val="20"/>
              </w:rPr>
              <w:t>60.3</w:t>
            </w:r>
          </w:p>
        </w:tc>
      </w:tr>
      <w:tr w:rsidR="00000000">
        <w:tc>
          <w:tcPr>
            <w:tcW w:w="2433" w:type="dxa"/>
            <w:noWrap/>
            <w:vAlign w:val="bottom"/>
          </w:tcPr>
          <w:p w:rsidR="00000000" w:rsidRDefault="00000000">
            <w:pPr>
              <w:spacing w:before="60" w:after="60"/>
              <w:rPr>
                <w:sz w:val="20"/>
                <w:szCs w:val="18"/>
              </w:rPr>
            </w:pPr>
            <w:r>
              <w:rPr>
                <w:sz w:val="20"/>
                <w:szCs w:val="18"/>
              </w:rPr>
              <w:t>Employment rate</w:t>
            </w:r>
          </w:p>
        </w:tc>
        <w:tc>
          <w:tcPr>
            <w:tcW w:w="1066" w:type="dxa"/>
            <w:noWrap/>
            <w:vAlign w:val="bottom"/>
          </w:tcPr>
          <w:p w:rsidR="00000000" w:rsidRDefault="00000000">
            <w:pPr>
              <w:spacing w:before="60" w:after="60"/>
              <w:ind w:right="57"/>
              <w:jc w:val="right"/>
              <w:rPr>
                <w:sz w:val="20"/>
                <w:szCs w:val="20"/>
              </w:rPr>
            </w:pPr>
            <w:r>
              <w:rPr>
                <w:sz w:val="20"/>
                <w:szCs w:val="20"/>
              </w:rPr>
              <w:t>97.8</w:t>
            </w:r>
          </w:p>
        </w:tc>
        <w:tc>
          <w:tcPr>
            <w:tcW w:w="889" w:type="dxa"/>
            <w:noWrap/>
            <w:vAlign w:val="bottom"/>
          </w:tcPr>
          <w:p w:rsidR="00000000" w:rsidRDefault="00000000">
            <w:pPr>
              <w:spacing w:before="60" w:after="60"/>
              <w:ind w:right="57"/>
              <w:jc w:val="right"/>
              <w:rPr>
                <w:sz w:val="20"/>
                <w:szCs w:val="20"/>
              </w:rPr>
            </w:pPr>
            <w:r>
              <w:rPr>
                <w:sz w:val="20"/>
                <w:szCs w:val="20"/>
              </w:rPr>
              <w:t>97.9</w:t>
            </w:r>
          </w:p>
        </w:tc>
        <w:tc>
          <w:tcPr>
            <w:tcW w:w="889" w:type="dxa"/>
            <w:noWrap/>
            <w:vAlign w:val="bottom"/>
          </w:tcPr>
          <w:p w:rsidR="00000000" w:rsidRDefault="00000000">
            <w:pPr>
              <w:spacing w:before="60" w:after="60"/>
              <w:ind w:right="57"/>
              <w:jc w:val="right"/>
              <w:rPr>
                <w:sz w:val="20"/>
                <w:szCs w:val="20"/>
              </w:rPr>
            </w:pPr>
            <w:r>
              <w:rPr>
                <w:sz w:val="20"/>
                <w:szCs w:val="20"/>
              </w:rPr>
              <w:t>97.7</w:t>
            </w:r>
          </w:p>
        </w:tc>
        <w:tc>
          <w:tcPr>
            <w:tcW w:w="1066" w:type="dxa"/>
            <w:noWrap/>
            <w:vAlign w:val="bottom"/>
          </w:tcPr>
          <w:p w:rsidR="00000000" w:rsidRDefault="00000000">
            <w:pPr>
              <w:spacing w:before="60" w:after="60"/>
              <w:ind w:right="57"/>
              <w:jc w:val="right"/>
              <w:rPr>
                <w:sz w:val="20"/>
                <w:szCs w:val="20"/>
              </w:rPr>
            </w:pPr>
            <w:r>
              <w:rPr>
                <w:sz w:val="20"/>
                <w:szCs w:val="20"/>
              </w:rPr>
              <w:t>95.6</w:t>
            </w:r>
          </w:p>
        </w:tc>
        <w:tc>
          <w:tcPr>
            <w:tcW w:w="889" w:type="dxa"/>
            <w:noWrap/>
            <w:vAlign w:val="bottom"/>
          </w:tcPr>
          <w:p w:rsidR="00000000" w:rsidRDefault="00000000">
            <w:pPr>
              <w:spacing w:before="60" w:after="60"/>
              <w:ind w:right="57"/>
              <w:jc w:val="right"/>
              <w:rPr>
                <w:sz w:val="20"/>
                <w:szCs w:val="20"/>
              </w:rPr>
            </w:pPr>
            <w:r>
              <w:rPr>
                <w:sz w:val="20"/>
                <w:szCs w:val="20"/>
              </w:rPr>
              <w:t>95.8</w:t>
            </w:r>
          </w:p>
        </w:tc>
        <w:tc>
          <w:tcPr>
            <w:tcW w:w="756" w:type="dxa"/>
            <w:noWrap/>
            <w:vAlign w:val="bottom"/>
          </w:tcPr>
          <w:p w:rsidR="00000000" w:rsidRDefault="00000000">
            <w:pPr>
              <w:spacing w:before="60" w:after="60"/>
              <w:ind w:right="57"/>
              <w:jc w:val="right"/>
              <w:rPr>
                <w:sz w:val="20"/>
                <w:szCs w:val="20"/>
              </w:rPr>
            </w:pPr>
            <w:r>
              <w:rPr>
                <w:sz w:val="20"/>
                <w:szCs w:val="20"/>
              </w:rPr>
              <w:t>95.2</w:t>
            </w:r>
          </w:p>
        </w:tc>
        <w:tc>
          <w:tcPr>
            <w:tcW w:w="1017" w:type="dxa"/>
            <w:noWrap/>
            <w:vAlign w:val="bottom"/>
          </w:tcPr>
          <w:p w:rsidR="00000000" w:rsidRDefault="00000000">
            <w:pPr>
              <w:spacing w:before="60" w:after="60"/>
              <w:ind w:right="57"/>
              <w:jc w:val="right"/>
              <w:rPr>
                <w:sz w:val="20"/>
                <w:szCs w:val="20"/>
              </w:rPr>
            </w:pPr>
            <w:r>
              <w:rPr>
                <w:sz w:val="20"/>
                <w:szCs w:val="20"/>
              </w:rPr>
              <w:t>95.6</w:t>
            </w:r>
          </w:p>
        </w:tc>
        <w:tc>
          <w:tcPr>
            <w:tcW w:w="1018" w:type="dxa"/>
            <w:noWrap/>
            <w:vAlign w:val="bottom"/>
          </w:tcPr>
          <w:p w:rsidR="00000000" w:rsidRDefault="00000000">
            <w:pPr>
              <w:spacing w:before="60" w:after="60"/>
              <w:ind w:right="57"/>
              <w:jc w:val="right"/>
              <w:rPr>
                <w:sz w:val="20"/>
                <w:szCs w:val="20"/>
              </w:rPr>
            </w:pPr>
            <w:r>
              <w:rPr>
                <w:sz w:val="20"/>
                <w:szCs w:val="20"/>
              </w:rPr>
              <w:t>96.0</w:t>
            </w:r>
          </w:p>
        </w:tc>
        <w:tc>
          <w:tcPr>
            <w:tcW w:w="1018" w:type="dxa"/>
            <w:noWrap/>
            <w:vAlign w:val="bottom"/>
          </w:tcPr>
          <w:p w:rsidR="00000000" w:rsidRDefault="00000000">
            <w:pPr>
              <w:spacing w:before="60" w:after="60"/>
              <w:ind w:right="57"/>
              <w:jc w:val="right"/>
              <w:rPr>
                <w:sz w:val="20"/>
                <w:szCs w:val="20"/>
              </w:rPr>
            </w:pPr>
            <w:r>
              <w:rPr>
                <w:sz w:val="20"/>
                <w:szCs w:val="20"/>
              </w:rPr>
              <w:t>95.0</w:t>
            </w:r>
          </w:p>
        </w:tc>
        <w:tc>
          <w:tcPr>
            <w:tcW w:w="1182" w:type="dxa"/>
            <w:noWrap/>
            <w:vAlign w:val="bottom"/>
          </w:tcPr>
          <w:p w:rsidR="00000000" w:rsidRDefault="00000000">
            <w:pPr>
              <w:spacing w:before="60" w:after="60"/>
              <w:ind w:right="57"/>
              <w:jc w:val="right"/>
              <w:rPr>
                <w:sz w:val="20"/>
                <w:szCs w:val="20"/>
              </w:rPr>
            </w:pPr>
            <w:r>
              <w:rPr>
                <w:sz w:val="20"/>
                <w:szCs w:val="20"/>
              </w:rPr>
              <w:t>96.8</w:t>
            </w:r>
          </w:p>
        </w:tc>
        <w:tc>
          <w:tcPr>
            <w:tcW w:w="1182" w:type="dxa"/>
            <w:noWrap/>
            <w:vAlign w:val="bottom"/>
          </w:tcPr>
          <w:p w:rsidR="00000000" w:rsidRDefault="00000000">
            <w:pPr>
              <w:spacing w:before="60" w:after="60"/>
              <w:ind w:right="57"/>
              <w:jc w:val="right"/>
              <w:rPr>
                <w:sz w:val="20"/>
                <w:szCs w:val="20"/>
              </w:rPr>
            </w:pPr>
            <w:r>
              <w:rPr>
                <w:sz w:val="20"/>
                <w:szCs w:val="20"/>
              </w:rPr>
              <w:t>97.1</w:t>
            </w:r>
          </w:p>
        </w:tc>
        <w:tc>
          <w:tcPr>
            <w:tcW w:w="1182" w:type="dxa"/>
            <w:noWrap/>
            <w:vAlign w:val="bottom"/>
          </w:tcPr>
          <w:p w:rsidR="00000000" w:rsidRDefault="00000000">
            <w:pPr>
              <w:spacing w:before="60" w:after="60"/>
              <w:ind w:right="57"/>
              <w:jc w:val="right"/>
              <w:rPr>
                <w:sz w:val="20"/>
                <w:szCs w:val="20"/>
              </w:rPr>
            </w:pPr>
            <w:r>
              <w:rPr>
                <w:sz w:val="20"/>
                <w:szCs w:val="20"/>
              </w:rPr>
              <w:t>96.4</w:t>
            </w:r>
          </w:p>
        </w:tc>
      </w:tr>
      <w:tr w:rsidR="00000000">
        <w:tc>
          <w:tcPr>
            <w:tcW w:w="2433" w:type="dxa"/>
            <w:noWrap/>
            <w:vAlign w:val="bottom"/>
          </w:tcPr>
          <w:p w:rsidR="00000000" w:rsidRDefault="00000000">
            <w:pPr>
              <w:spacing w:before="60" w:after="60"/>
              <w:rPr>
                <w:sz w:val="20"/>
                <w:szCs w:val="18"/>
              </w:rPr>
            </w:pPr>
            <w:r>
              <w:rPr>
                <w:sz w:val="20"/>
                <w:szCs w:val="18"/>
              </w:rPr>
              <w:t>Open unemployment rate</w:t>
            </w:r>
          </w:p>
        </w:tc>
        <w:tc>
          <w:tcPr>
            <w:tcW w:w="1066" w:type="dxa"/>
            <w:noWrap/>
            <w:vAlign w:val="bottom"/>
          </w:tcPr>
          <w:p w:rsidR="00000000" w:rsidRDefault="00000000">
            <w:pPr>
              <w:spacing w:before="60" w:after="60"/>
              <w:ind w:right="57"/>
              <w:jc w:val="right"/>
              <w:rPr>
                <w:sz w:val="20"/>
                <w:szCs w:val="20"/>
              </w:rPr>
            </w:pPr>
            <w:r>
              <w:rPr>
                <w:sz w:val="20"/>
                <w:szCs w:val="20"/>
              </w:rPr>
              <w:t>2.2</w:t>
            </w:r>
          </w:p>
        </w:tc>
        <w:tc>
          <w:tcPr>
            <w:tcW w:w="889" w:type="dxa"/>
            <w:noWrap/>
            <w:vAlign w:val="bottom"/>
          </w:tcPr>
          <w:p w:rsidR="00000000" w:rsidRDefault="00000000">
            <w:pPr>
              <w:spacing w:before="60" w:after="60"/>
              <w:ind w:right="57"/>
              <w:jc w:val="right"/>
              <w:rPr>
                <w:sz w:val="20"/>
                <w:szCs w:val="20"/>
              </w:rPr>
            </w:pPr>
            <w:r>
              <w:rPr>
                <w:sz w:val="20"/>
                <w:szCs w:val="20"/>
              </w:rPr>
              <w:t>2.1</w:t>
            </w:r>
          </w:p>
        </w:tc>
        <w:tc>
          <w:tcPr>
            <w:tcW w:w="889" w:type="dxa"/>
            <w:noWrap/>
            <w:vAlign w:val="bottom"/>
          </w:tcPr>
          <w:p w:rsidR="00000000" w:rsidRDefault="00000000">
            <w:pPr>
              <w:spacing w:before="60" w:after="60"/>
              <w:ind w:right="57"/>
              <w:jc w:val="right"/>
              <w:rPr>
                <w:sz w:val="20"/>
                <w:szCs w:val="20"/>
              </w:rPr>
            </w:pPr>
            <w:r>
              <w:rPr>
                <w:sz w:val="20"/>
                <w:szCs w:val="20"/>
              </w:rPr>
              <w:t>2.3</w:t>
            </w:r>
          </w:p>
        </w:tc>
        <w:tc>
          <w:tcPr>
            <w:tcW w:w="1066" w:type="dxa"/>
            <w:noWrap/>
            <w:vAlign w:val="bottom"/>
          </w:tcPr>
          <w:p w:rsidR="00000000" w:rsidRDefault="00000000">
            <w:pPr>
              <w:spacing w:before="60" w:after="60"/>
              <w:ind w:right="57"/>
              <w:jc w:val="right"/>
              <w:rPr>
                <w:sz w:val="20"/>
                <w:szCs w:val="20"/>
              </w:rPr>
            </w:pPr>
            <w:r>
              <w:rPr>
                <w:sz w:val="20"/>
                <w:szCs w:val="20"/>
              </w:rPr>
              <w:t>4.4</w:t>
            </w:r>
          </w:p>
        </w:tc>
        <w:tc>
          <w:tcPr>
            <w:tcW w:w="889" w:type="dxa"/>
            <w:noWrap/>
            <w:vAlign w:val="bottom"/>
          </w:tcPr>
          <w:p w:rsidR="00000000" w:rsidRDefault="00000000">
            <w:pPr>
              <w:spacing w:before="60" w:after="60"/>
              <w:ind w:right="57"/>
              <w:jc w:val="right"/>
              <w:rPr>
                <w:sz w:val="20"/>
                <w:szCs w:val="20"/>
              </w:rPr>
            </w:pPr>
            <w:r>
              <w:rPr>
                <w:sz w:val="20"/>
                <w:szCs w:val="20"/>
              </w:rPr>
              <w:t>4.2</w:t>
            </w:r>
          </w:p>
        </w:tc>
        <w:tc>
          <w:tcPr>
            <w:tcW w:w="756" w:type="dxa"/>
            <w:noWrap/>
            <w:vAlign w:val="bottom"/>
          </w:tcPr>
          <w:p w:rsidR="00000000" w:rsidRDefault="00000000">
            <w:pPr>
              <w:spacing w:before="60" w:after="60"/>
              <w:ind w:right="57"/>
              <w:jc w:val="right"/>
              <w:rPr>
                <w:sz w:val="20"/>
                <w:szCs w:val="20"/>
              </w:rPr>
            </w:pPr>
            <w:r>
              <w:rPr>
                <w:sz w:val="20"/>
                <w:szCs w:val="20"/>
              </w:rPr>
              <w:t>4.8</w:t>
            </w:r>
          </w:p>
        </w:tc>
        <w:tc>
          <w:tcPr>
            <w:tcW w:w="1017" w:type="dxa"/>
            <w:noWrap/>
            <w:vAlign w:val="bottom"/>
          </w:tcPr>
          <w:p w:rsidR="00000000" w:rsidRDefault="00000000">
            <w:pPr>
              <w:spacing w:before="60" w:after="60"/>
              <w:ind w:right="57"/>
              <w:jc w:val="right"/>
              <w:rPr>
                <w:sz w:val="20"/>
                <w:szCs w:val="20"/>
              </w:rPr>
            </w:pPr>
            <w:r>
              <w:rPr>
                <w:sz w:val="20"/>
                <w:szCs w:val="20"/>
              </w:rPr>
              <w:t>4.4</w:t>
            </w:r>
          </w:p>
        </w:tc>
        <w:tc>
          <w:tcPr>
            <w:tcW w:w="1018" w:type="dxa"/>
            <w:noWrap/>
            <w:vAlign w:val="bottom"/>
          </w:tcPr>
          <w:p w:rsidR="00000000" w:rsidRDefault="00000000">
            <w:pPr>
              <w:spacing w:before="60" w:after="60"/>
              <w:ind w:right="57"/>
              <w:jc w:val="right"/>
              <w:rPr>
                <w:sz w:val="20"/>
                <w:szCs w:val="20"/>
              </w:rPr>
            </w:pPr>
            <w:r>
              <w:rPr>
                <w:sz w:val="20"/>
                <w:szCs w:val="20"/>
              </w:rPr>
              <w:t>4.0</w:t>
            </w:r>
          </w:p>
        </w:tc>
        <w:tc>
          <w:tcPr>
            <w:tcW w:w="1018" w:type="dxa"/>
            <w:noWrap/>
            <w:vAlign w:val="bottom"/>
          </w:tcPr>
          <w:p w:rsidR="00000000" w:rsidRDefault="00000000">
            <w:pPr>
              <w:spacing w:before="60" w:after="60"/>
              <w:ind w:right="57"/>
              <w:jc w:val="right"/>
              <w:rPr>
                <w:sz w:val="20"/>
                <w:szCs w:val="20"/>
              </w:rPr>
            </w:pPr>
            <w:r>
              <w:rPr>
                <w:sz w:val="20"/>
                <w:szCs w:val="20"/>
              </w:rPr>
              <w:t>5.0</w:t>
            </w:r>
          </w:p>
        </w:tc>
        <w:tc>
          <w:tcPr>
            <w:tcW w:w="1182" w:type="dxa"/>
            <w:noWrap/>
            <w:vAlign w:val="bottom"/>
          </w:tcPr>
          <w:p w:rsidR="00000000" w:rsidRDefault="00000000">
            <w:pPr>
              <w:spacing w:before="60" w:after="60"/>
              <w:ind w:right="57"/>
              <w:jc w:val="right"/>
              <w:rPr>
                <w:sz w:val="20"/>
                <w:szCs w:val="20"/>
              </w:rPr>
            </w:pPr>
            <w:r>
              <w:rPr>
                <w:sz w:val="20"/>
                <w:szCs w:val="20"/>
              </w:rPr>
              <w:t>3.2</w:t>
            </w:r>
          </w:p>
        </w:tc>
        <w:tc>
          <w:tcPr>
            <w:tcW w:w="1182" w:type="dxa"/>
            <w:noWrap/>
            <w:vAlign w:val="bottom"/>
          </w:tcPr>
          <w:p w:rsidR="00000000" w:rsidRDefault="00000000">
            <w:pPr>
              <w:spacing w:before="60" w:after="60"/>
              <w:ind w:right="57"/>
              <w:jc w:val="right"/>
              <w:rPr>
                <w:sz w:val="20"/>
                <w:szCs w:val="20"/>
              </w:rPr>
            </w:pPr>
            <w:r>
              <w:rPr>
                <w:sz w:val="20"/>
                <w:szCs w:val="20"/>
              </w:rPr>
              <w:t>2.9</w:t>
            </w:r>
          </w:p>
        </w:tc>
        <w:tc>
          <w:tcPr>
            <w:tcW w:w="1182" w:type="dxa"/>
            <w:noWrap/>
            <w:vAlign w:val="bottom"/>
          </w:tcPr>
          <w:p w:rsidR="00000000" w:rsidRDefault="00000000">
            <w:pPr>
              <w:spacing w:before="60" w:after="60"/>
              <w:ind w:right="57"/>
              <w:jc w:val="right"/>
              <w:rPr>
                <w:sz w:val="20"/>
                <w:szCs w:val="20"/>
              </w:rPr>
            </w:pPr>
            <w:r>
              <w:rPr>
                <w:sz w:val="20"/>
                <w:szCs w:val="20"/>
              </w:rPr>
              <w:t>3.6</w:t>
            </w:r>
          </w:p>
        </w:tc>
      </w:tr>
      <w:tr w:rsidR="00000000">
        <w:tc>
          <w:tcPr>
            <w:tcW w:w="2433" w:type="dxa"/>
            <w:noWrap/>
            <w:vAlign w:val="bottom"/>
          </w:tcPr>
          <w:p w:rsidR="00000000" w:rsidRDefault="00000000">
            <w:pPr>
              <w:spacing w:before="60" w:after="60"/>
              <w:rPr>
                <w:sz w:val="20"/>
                <w:szCs w:val="18"/>
              </w:rPr>
            </w:pPr>
            <w:r>
              <w:rPr>
                <w:sz w:val="20"/>
                <w:szCs w:val="18"/>
              </w:rPr>
              <w:t>Hidden unemployment rate</w:t>
            </w:r>
          </w:p>
        </w:tc>
        <w:tc>
          <w:tcPr>
            <w:tcW w:w="1066" w:type="dxa"/>
            <w:noWrap/>
            <w:vAlign w:val="bottom"/>
          </w:tcPr>
          <w:p w:rsidR="00000000" w:rsidRDefault="00000000">
            <w:pPr>
              <w:spacing w:before="60" w:after="60"/>
              <w:ind w:right="57"/>
              <w:jc w:val="right"/>
              <w:rPr>
                <w:sz w:val="20"/>
                <w:szCs w:val="20"/>
              </w:rPr>
            </w:pPr>
            <w:r>
              <w:rPr>
                <w:sz w:val="20"/>
                <w:szCs w:val="20"/>
              </w:rPr>
              <w:t>1.1</w:t>
            </w:r>
          </w:p>
        </w:tc>
        <w:tc>
          <w:tcPr>
            <w:tcW w:w="889" w:type="dxa"/>
            <w:noWrap/>
            <w:vAlign w:val="bottom"/>
          </w:tcPr>
          <w:p w:rsidR="00000000" w:rsidRDefault="00000000">
            <w:pPr>
              <w:spacing w:before="60" w:after="60"/>
              <w:ind w:right="57"/>
              <w:jc w:val="right"/>
              <w:rPr>
                <w:sz w:val="20"/>
                <w:szCs w:val="20"/>
              </w:rPr>
            </w:pPr>
            <w:r>
              <w:rPr>
                <w:sz w:val="20"/>
                <w:szCs w:val="20"/>
              </w:rPr>
              <w:t>0.4</w:t>
            </w:r>
          </w:p>
        </w:tc>
        <w:tc>
          <w:tcPr>
            <w:tcW w:w="889" w:type="dxa"/>
            <w:noWrap/>
            <w:vAlign w:val="bottom"/>
          </w:tcPr>
          <w:p w:rsidR="00000000" w:rsidRDefault="00000000">
            <w:pPr>
              <w:spacing w:before="60" w:after="60"/>
              <w:ind w:right="57"/>
              <w:jc w:val="right"/>
              <w:rPr>
                <w:sz w:val="20"/>
                <w:szCs w:val="20"/>
              </w:rPr>
            </w:pPr>
            <w:r>
              <w:rPr>
                <w:sz w:val="20"/>
                <w:szCs w:val="20"/>
              </w:rPr>
              <w:t>2.0</w:t>
            </w:r>
          </w:p>
        </w:tc>
        <w:tc>
          <w:tcPr>
            <w:tcW w:w="1066" w:type="dxa"/>
            <w:noWrap/>
            <w:vAlign w:val="bottom"/>
          </w:tcPr>
          <w:p w:rsidR="00000000" w:rsidRDefault="00000000">
            <w:pPr>
              <w:spacing w:before="60" w:after="60"/>
              <w:ind w:right="57"/>
              <w:jc w:val="right"/>
              <w:rPr>
                <w:sz w:val="20"/>
                <w:szCs w:val="20"/>
              </w:rPr>
            </w:pPr>
            <w:r>
              <w:rPr>
                <w:sz w:val="20"/>
                <w:szCs w:val="20"/>
              </w:rPr>
              <w:t>4.8</w:t>
            </w:r>
          </w:p>
        </w:tc>
        <w:tc>
          <w:tcPr>
            <w:tcW w:w="889" w:type="dxa"/>
            <w:noWrap/>
            <w:vAlign w:val="bottom"/>
          </w:tcPr>
          <w:p w:rsidR="00000000" w:rsidRDefault="00000000">
            <w:pPr>
              <w:spacing w:before="60" w:after="60"/>
              <w:ind w:right="57"/>
              <w:jc w:val="right"/>
              <w:rPr>
                <w:sz w:val="20"/>
                <w:szCs w:val="20"/>
              </w:rPr>
            </w:pPr>
            <w:r>
              <w:rPr>
                <w:sz w:val="20"/>
                <w:szCs w:val="20"/>
              </w:rPr>
              <w:t>1.5</w:t>
            </w:r>
          </w:p>
        </w:tc>
        <w:tc>
          <w:tcPr>
            <w:tcW w:w="756" w:type="dxa"/>
            <w:noWrap/>
            <w:vAlign w:val="bottom"/>
          </w:tcPr>
          <w:p w:rsidR="00000000" w:rsidRDefault="00000000">
            <w:pPr>
              <w:spacing w:before="60" w:after="60"/>
              <w:ind w:right="57"/>
              <w:jc w:val="right"/>
              <w:rPr>
                <w:sz w:val="20"/>
                <w:szCs w:val="20"/>
              </w:rPr>
            </w:pPr>
            <w:r>
              <w:rPr>
                <w:sz w:val="20"/>
                <w:szCs w:val="20"/>
              </w:rPr>
              <w:t>9.7</w:t>
            </w:r>
          </w:p>
        </w:tc>
        <w:tc>
          <w:tcPr>
            <w:tcW w:w="1017" w:type="dxa"/>
            <w:noWrap/>
            <w:vAlign w:val="bottom"/>
          </w:tcPr>
          <w:p w:rsidR="00000000" w:rsidRDefault="00000000">
            <w:pPr>
              <w:spacing w:before="60" w:after="60"/>
              <w:ind w:right="57"/>
              <w:jc w:val="right"/>
              <w:rPr>
                <w:sz w:val="20"/>
                <w:szCs w:val="20"/>
              </w:rPr>
            </w:pPr>
            <w:r>
              <w:rPr>
                <w:sz w:val="20"/>
                <w:szCs w:val="20"/>
              </w:rPr>
              <w:t>2.0</w:t>
            </w:r>
          </w:p>
        </w:tc>
        <w:tc>
          <w:tcPr>
            <w:tcW w:w="1018" w:type="dxa"/>
            <w:noWrap/>
            <w:vAlign w:val="bottom"/>
          </w:tcPr>
          <w:p w:rsidR="00000000" w:rsidRDefault="00000000">
            <w:pPr>
              <w:spacing w:before="60" w:after="60"/>
              <w:ind w:right="57"/>
              <w:jc w:val="right"/>
              <w:rPr>
                <w:sz w:val="20"/>
                <w:szCs w:val="20"/>
              </w:rPr>
            </w:pPr>
            <w:r>
              <w:rPr>
                <w:sz w:val="20"/>
                <w:szCs w:val="20"/>
              </w:rPr>
              <w:t>0.9</w:t>
            </w:r>
          </w:p>
        </w:tc>
        <w:tc>
          <w:tcPr>
            <w:tcW w:w="1018" w:type="dxa"/>
            <w:noWrap/>
            <w:vAlign w:val="bottom"/>
          </w:tcPr>
          <w:p w:rsidR="00000000" w:rsidRDefault="00000000">
            <w:pPr>
              <w:spacing w:before="60" w:after="60"/>
              <w:ind w:right="57"/>
              <w:jc w:val="right"/>
              <w:rPr>
                <w:sz w:val="20"/>
                <w:szCs w:val="20"/>
              </w:rPr>
            </w:pPr>
            <w:r>
              <w:rPr>
                <w:sz w:val="20"/>
                <w:szCs w:val="20"/>
              </w:rPr>
              <w:t>3.5</w:t>
            </w:r>
          </w:p>
        </w:tc>
        <w:tc>
          <w:tcPr>
            <w:tcW w:w="1182" w:type="dxa"/>
            <w:noWrap/>
            <w:vAlign w:val="bottom"/>
          </w:tcPr>
          <w:p w:rsidR="00000000" w:rsidRDefault="00000000">
            <w:pPr>
              <w:spacing w:before="60" w:after="60"/>
              <w:ind w:right="57"/>
              <w:jc w:val="right"/>
              <w:rPr>
                <w:sz w:val="20"/>
                <w:szCs w:val="20"/>
              </w:rPr>
            </w:pPr>
            <w:r>
              <w:rPr>
                <w:sz w:val="20"/>
                <w:szCs w:val="20"/>
              </w:rPr>
              <w:t>2.3</w:t>
            </w:r>
          </w:p>
        </w:tc>
        <w:tc>
          <w:tcPr>
            <w:tcW w:w="1182" w:type="dxa"/>
            <w:noWrap/>
            <w:vAlign w:val="bottom"/>
          </w:tcPr>
          <w:p w:rsidR="00000000" w:rsidRDefault="00000000">
            <w:pPr>
              <w:spacing w:before="60" w:after="60"/>
              <w:ind w:right="57"/>
              <w:jc w:val="right"/>
              <w:rPr>
                <w:sz w:val="20"/>
                <w:szCs w:val="20"/>
              </w:rPr>
            </w:pPr>
            <w:r>
              <w:rPr>
                <w:sz w:val="20"/>
                <w:szCs w:val="20"/>
              </w:rPr>
              <w:t>1.6</w:t>
            </w:r>
          </w:p>
        </w:tc>
        <w:tc>
          <w:tcPr>
            <w:tcW w:w="1182" w:type="dxa"/>
            <w:noWrap/>
            <w:vAlign w:val="bottom"/>
          </w:tcPr>
          <w:p w:rsidR="00000000" w:rsidRDefault="00000000">
            <w:pPr>
              <w:spacing w:before="60" w:after="60"/>
              <w:ind w:right="57"/>
              <w:jc w:val="right"/>
              <w:rPr>
                <w:sz w:val="20"/>
                <w:szCs w:val="20"/>
              </w:rPr>
            </w:pPr>
            <w:r>
              <w:rPr>
                <w:sz w:val="20"/>
                <w:szCs w:val="20"/>
              </w:rPr>
              <w:t>3.3</w:t>
            </w:r>
          </w:p>
        </w:tc>
      </w:tr>
      <w:tr w:rsidR="00000000">
        <w:tc>
          <w:tcPr>
            <w:tcW w:w="2433" w:type="dxa"/>
            <w:noWrap/>
            <w:vAlign w:val="bottom"/>
          </w:tcPr>
          <w:p w:rsidR="00000000" w:rsidRDefault="00000000">
            <w:pPr>
              <w:spacing w:before="60" w:after="60"/>
              <w:rPr>
                <w:sz w:val="20"/>
                <w:szCs w:val="18"/>
              </w:rPr>
            </w:pPr>
            <w:r>
              <w:rPr>
                <w:sz w:val="20"/>
                <w:szCs w:val="18"/>
              </w:rPr>
              <w:t>Total underemployment rate</w:t>
            </w:r>
          </w:p>
        </w:tc>
        <w:tc>
          <w:tcPr>
            <w:tcW w:w="1066" w:type="dxa"/>
            <w:noWrap/>
            <w:vAlign w:val="bottom"/>
          </w:tcPr>
          <w:p w:rsidR="00000000" w:rsidRDefault="00000000">
            <w:pPr>
              <w:spacing w:before="60" w:after="60"/>
              <w:ind w:right="57"/>
              <w:jc w:val="right"/>
              <w:rPr>
                <w:sz w:val="20"/>
                <w:szCs w:val="20"/>
              </w:rPr>
            </w:pPr>
            <w:r>
              <w:rPr>
                <w:sz w:val="20"/>
                <w:szCs w:val="20"/>
              </w:rPr>
              <w:t>12.9</w:t>
            </w:r>
          </w:p>
        </w:tc>
        <w:tc>
          <w:tcPr>
            <w:tcW w:w="889" w:type="dxa"/>
            <w:noWrap/>
            <w:vAlign w:val="bottom"/>
          </w:tcPr>
          <w:p w:rsidR="00000000" w:rsidRDefault="00000000">
            <w:pPr>
              <w:spacing w:before="60" w:after="60"/>
              <w:ind w:right="57"/>
              <w:jc w:val="right"/>
              <w:rPr>
                <w:sz w:val="20"/>
                <w:szCs w:val="20"/>
              </w:rPr>
            </w:pPr>
            <w:r>
              <w:rPr>
                <w:sz w:val="20"/>
                <w:szCs w:val="20"/>
              </w:rPr>
              <w:t>11.7</w:t>
            </w:r>
          </w:p>
        </w:tc>
        <w:tc>
          <w:tcPr>
            <w:tcW w:w="889" w:type="dxa"/>
            <w:noWrap/>
            <w:vAlign w:val="bottom"/>
          </w:tcPr>
          <w:p w:rsidR="00000000" w:rsidRDefault="00000000">
            <w:pPr>
              <w:spacing w:before="60" w:after="60"/>
              <w:ind w:right="57"/>
              <w:jc w:val="right"/>
              <w:rPr>
                <w:sz w:val="20"/>
                <w:szCs w:val="20"/>
              </w:rPr>
            </w:pPr>
            <w:r>
              <w:rPr>
                <w:sz w:val="20"/>
                <w:szCs w:val="20"/>
              </w:rPr>
              <w:t>14.6</w:t>
            </w:r>
          </w:p>
        </w:tc>
        <w:tc>
          <w:tcPr>
            <w:tcW w:w="1066" w:type="dxa"/>
            <w:noWrap/>
            <w:vAlign w:val="bottom"/>
          </w:tcPr>
          <w:p w:rsidR="00000000" w:rsidRDefault="00000000">
            <w:pPr>
              <w:spacing w:before="60" w:after="60"/>
              <w:ind w:right="57"/>
              <w:jc w:val="right"/>
              <w:rPr>
                <w:sz w:val="20"/>
                <w:szCs w:val="20"/>
              </w:rPr>
            </w:pPr>
            <w:r>
              <w:rPr>
                <w:sz w:val="20"/>
                <w:szCs w:val="20"/>
              </w:rPr>
              <w:t>13.1</w:t>
            </w:r>
          </w:p>
        </w:tc>
        <w:tc>
          <w:tcPr>
            <w:tcW w:w="889" w:type="dxa"/>
            <w:noWrap/>
            <w:vAlign w:val="bottom"/>
          </w:tcPr>
          <w:p w:rsidR="00000000" w:rsidRDefault="00000000">
            <w:pPr>
              <w:spacing w:before="60" w:after="60"/>
              <w:ind w:right="57"/>
              <w:jc w:val="right"/>
              <w:rPr>
                <w:sz w:val="20"/>
                <w:szCs w:val="20"/>
              </w:rPr>
            </w:pPr>
            <w:r>
              <w:rPr>
                <w:sz w:val="20"/>
                <w:szCs w:val="20"/>
              </w:rPr>
              <w:t>10.4</w:t>
            </w:r>
          </w:p>
        </w:tc>
        <w:tc>
          <w:tcPr>
            <w:tcW w:w="756" w:type="dxa"/>
            <w:noWrap/>
            <w:vAlign w:val="bottom"/>
          </w:tcPr>
          <w:p w:rsidR="00000000" w:rsidRDefault="00000000">
            <w:pPr>
              <w:spacing w:before="60" w:after="60"/>
              <w:ind w:right="57"/>
              <w:jc w:val="right"/>
              <w:rPr>
                <w:sz w:val="20"/>
                <w:szCs w:val="20"/>
              </w:rPr>
            </w:pPr>
            <w:r>
              <w:rPr>
                <w:sz w:val="20"/>
                <w:szCs w:val="20"/>
              </w:rPr>
              <w:t>17.5</w:t>
            </w:r>
          </w:p>
        </w:tc>
        <w:tc>
          <w:tcPr>
            <w:tcW w:w="1017" w:type="dxa"/>
            <w:noWrap/>
            <w:vAlign w:val="bottom"/>
          </w:tcPr>
          <w:p w:rsidR="00000000" w:rsidRDefault="00000000">
            <w:pPr>
              <w:spacing w:before="60" w:after="60"/>
              <w:ind w:right="57"/>
              <w:jc w:val="right"/>
              <w:rPr>
                <w:sz w:val="20"/>
                <w:szCs w:val="20"/>
              </w:rPr>
            </w:pPr>
            <w:r>
              <w:rPr>
                <w:sz w:val="20"/>
                <w:szCs w:val="20"/>
              </w:rPr>
              <w:t>18.1</w:t>
            </w:r>
          </w:p>
        </w:tc>
        <w:tc>
          <w:tcPr>
            <w:tcW w:w="1018" w:type="dxa"/>
            <w:noWrap/>
            <w:vAlign w:val="bottom"/>
          </w:tcPr>
          <w:p w:rsidR="00000000" w:rsidRDefault="00000000">
            <w:pPr>
              <w:spacing w:before="60" w:after="60"/>
              <w:ind w:right="57"/>
              <w:jc w:val="right"/>
              <w:rPr>
                <w:sz w:val="20"/>
                <w:szCs w:val="20"/>
              </w:rPr>
            </w:pPr>
            <w:r>
              <w:rPr>
                <w:sz w:val="20"/>
                <w:szCs w:val="20"/>
              </w:rPr>
              <w:t>15.7</w:t>
            </w:r>
          </w:p>
        </w:tc>
        <w:tc>
          <w:tcPr>
            <w:tcW w:w="1018" w:type="dxa"/>
            <w:noWrap/>
            <w:vAlign w:val="bottom"/>
          </w:tcPr>
          <w:p w:rsidR="00000000" w:rsidRDefault="00000000">
            <w:pPr>
              <w:spacing w:before="60" w:after="60"/>
              <w:ind w:right="57"/>
              <w:jc w:val="right"/>
              <w:rPr>
                <w:sz w:val="20"/>
                <w:szCs w:val="20"/>
              </w:rPr>
            </w:pPr>
            <w:r>
              <w:rPr>
                <w:sz w:val="20"/>
                <w:szCs w:val="20"/>
              </w:rPr>
              <w:t>21.5</w:t>
            </w:r>
          </w:p>
        </w:tc>
        <w:tc>
          <w:tcPr>
            <w:tcW w:w="1182" w:type="dxa"/>
            <w:noWrap/>
            <w:vAlign w:val="bottom"/>
          </w:tcPr>
          <w:p w:rsidR="00000000" w:rsidRDefault="00000000">
            <w:pPr>
              <w:spacing w:before="60" w:after="60"/>
              <w:ind w:right="57"/>
              <w:jc w:val="right"/>
              <w:rPr>
                <w:sz w:val="20"/>
                <w:szCs w:val="20"/>
              </w:rPr>
            </w:pPr>
            <w:r>
              <w:rPr>
                <w:sz w:val="20"/>
                <w:szCs w:val="20"/>
              </w:rPr>
              <w:t>18.7</w:t>
            </w:r>
          </w:p>
        </w:tc>
        <w:tc>
          <w:tcPr>
            <w:tcW w:w="1182" w:type="dxa"/>
            <w:noWrap/>
            <w:vAlign w:val="bottom"/>
          </w:tcPr>
          <w:p w:rsidR="00000000" w:rsidRDefault="00000000">
            <w:pPr>
              <w:spacing w:before="60" w:after="60"/>
              <w:ind w:right="57"/>
              <w:jc w:val="right"/>
              <w:rPr>
                <w:sz w:val="20"/>
                <w:szCs w:val="20"/>
              </w:rPr>
            </w:pPr>
            <w:r>
              <w:rPr>
                <w:sz w:val="20"/>
                <w:szCs w:val="20"/>
              </w:rPr>
              <w:t>15.8</w:t>
            </w:r>
          </w:p>
        </w:tc>
        <w:tc>
          <w:tcPr>
            <w:tcW w:w="1182" w:type="dxa"/>
            <w:noWrap/>
            <w:vAlign w:val="bottom"/>
          </w:tcPr>
          <w:p w:rsidR="00000000" w:rsidRDefault="00000000">
            <w:pPr>
              <w:spacing w:before="60" w:after="60"/>
              <w:ind w:right="57"/>
              <w:jc w:val="right"/>
              <w:rPr>
                <w:sz w:val="20"/>
                <w:szCs w:val="20"/>
              </w:rPr>
            </w:pPr>
            <w:r>
              <w:rPr>
                <w:sz w:val="20"/>
                <w:szCs w:val="20"/>
              </w:rPr>
              <w:t>22.9</w:t>
            </w:r>
          </w:p>
        </w:tc>
      </w:tr>
      <w:tr w:rsidR="00000000">
        <w:tc>
          <w:tcPr>
            <w:tcW w:w="2433" w:type="dxa"/>
            <w:noWrap/>
            <w:vAlign w:val="bottom"/>
          </w:tcPr>
          <w:p w:rsidR="00000000" w:rsidRDefault="00000000">
            <w:pPr>
              <w:spacing w:before="60" w:after="60"/>
              <w:rPr>
                <w:sz w:val="20"/>
                <w:szCs w:val="18"/>
              </w:rPr>
            </w:pPr>
            <w:r>
              <w:rPr>
                <w:sz w:val="20"/>
                <w:szCs w:val="18"/>
              </w:rPr>
              <w:t>Visible underemployment rate</w:t>
            </w:r>
          </w:p>
        </w:tc>
        <w:tc>
          <w:tcPr>
            <w:tcW w:w="1066" w:type="dxa"/>
            <w:noWrap/>
            <w:vAlign w:val="bottom"/>
          </w:tcPr>
          <w:p w:rsidR="00000000" w:rsidRDefault="00000000">
            <w:pPr>
              <w:spacing w:before="60" w:after="60"/>
              <w:ind w:right="57"/>
              <w:jc w:val="right"/>
              <w:rPr>
                <w:sz w:val="20"/>
                <w:szCs w:val="20"/>
              </w:rPr>
            </w:pPr>
            <w:r>
              <w:rPr>
                <w:sz w:val="20"/>
                <w:szCs w:val="20"/>
              </w:rPr>
              <w:t>5.5</w:t>
            </w:r>
          </w:p>
        </w:tc>
        <w:tc>
          <w:tcPr>
            <w:tcW w:w="889" w:type="dxa"/>
            <w:noWrap/>
            <w:vAlign w:val="bottom"/>
          </w:tcPr>
          <w:p w:rsidR="00000000" w:rsidRDefault="00000000">
            <w:pPr>
              <w:spacing w:before="60" w:after="60"/>
              <w:ind w:right="57"/>
              <w:jc w:val="right"/>
              <w:rPr>
                <w:sz w:val="20"/>
                <w:szCs w:val="20"/>
              </w:rPr>
            </w:pPr>
            <w:r>
              <w:rPr>
                <w:sz w:val="20"/>
                <w:szCs w:val="20"/>
              </w:rPr>
              <w:t>3.6</w:t>
            </w:r>
          </w:p>
        </w:tc>
        <w:tc>
          <w:tcPr>
            <w:tcW w:w="889" w:type="dxa"/>
            <w:noWrap/>
            <w:vAlign w:val="bottom"/>
          </w:tcPr>
          <w:p w:rsidR="00000000" w:rsidRDefault="00000000">
            <w:pPr>
              <w:spacing w:before="60" w:after="60"/>
              <w:ind w:right="57"/>
              <w:jc w:val="right"/>
              <w:rPr>
                <w:sz w:val="20"/>
                <w:szCs w:val="20"/>
              </w:rPr>
            </w:pPr>
            <w:r>
              <w:rPr>
                <w:sz w:val="20"/>
                <w:szCs w:val="20"/>
              </w:rPr>
              <w:t>8.2</w:t>
            </w:r>
          </w:p>
        </w:tc>
        <w:tc>
          <w:tcPr>
            <w:tcW w:w="1066" w:type="dxa"/>
            <w:noWrap/>
            <w:vAlign w:val="bottom"/>
          </w:tcPr>
          <w:p w:rsidR="00000000" w:rsidRDefault="00000000">
            <w:pPr>
              <w:spacing w:before="60" w:after="60"/>
              <w:ind w:right="57"/>
              <w:jc w:val="right"/>
              <w:rPr>
                <w:sz w:val="20"/>
                <w:szCs w:val="20"/>
              </w:rPr>
            </w:pPr>
            <w:r>
              <w:rPr>
                <w:sz w:val="20"/>
                <w:szCs w:val="20"/>
              </w:rPr>
              <w:t>5.3</w:t>
            </w:r>
          </w:p>
        </w:tc>
        <w:tc>
          <w:tcPr>
            <w:tcW w:w="889" w:type="dxa"/>
            <w:noWrap/>
            <w:vAlign w:val="bottom"/>
          </w:tcPr>
          <w:p w:rsidR="00000000" w:rsidRDefault="00000000">
            <w:pPr>
              <w:spacing w:before="60" w:after="60"/>
              <w:ind w:right="57"/>
              <w:jc w:val="right"/>
              <w:rPr>
                <w:sz w:val="20"/>
                <w:szCs w:val="20"/>
              </w:rPr>
            </w:pPr>
            <w:r>
              <w:rPr>
                <w:sz w:val="20"/>
                <w:szCs w:val="20"/>
              </w:rPr>
              <w:t>2.4</w:t>
            </w:r>
          </w:p>
        </w:tc>
        <w:tc>
          <w:tcPr>
            <w:tcW w:w="756" w:type="dxa"/>
            <w:noWrap/>
            <w:vAlign w:val="bottom"/>
          </w:tcPr>
          <w:p w:rsidR="00000000" w:rsidRDefault="00000000">
            <w:pPr>
              <w:spacing w:before="60" w:after="60"/>
              <w:ind w:right="57"/>
              <w:jc w:val="right"/>
              <w:rPr>
                <w:sz w:val="20"/>
                <w:szCs w:val="20"/>
              </w:rPr>
            </w:pPr>
            <w:r>
              <w:rPr>
                <w:sz w:val="20"/>
                <w:szCs w:val="20"/>
              </w:rPr>
              <w:t>10.1</w:t>
            </w:r>
          </w:p>
        </w:tc>
        <w:tc>
          <w:tcPr>
            <w:tcW w:w="1017" w:type="dxa"/>
            <w:noWrap/>
            <w:vAlign w:val="bottom"/>
          </w:tcPr>
          <w:p w:rsidR="00000000" w:rsidRDefault="00000000">
            <w:pPr>
              <w:spacing w:before="60" w:after="60"/>
              <w:ind w:right="57"/>
              <w:jc w:val="right"/>
              <w:rPr>
                <w:sz w:val="20"/>
                <w:szCs w:val="20"/>
              </w:rPr>
            </w:pPr>
            <w:r>
              <w:rPr>
                <w:sz w:val="20"/>
                <w:szCs w:val="20"/>
              </w:rPr>
              <w:t>6.9</w:t>
            </w:r>
          </w:p>
        </w:tc>
        <w:tc>
          <w:tcPr>
            <w:tcW w:w="1018" w:type="dxa"/>
            <w:noWrap/>
            <w:vAlign w:val="bottom"/>
          </w:tcPr>
          <w:p w:rsidR="00000000" w:rsidRDefault="00000000">
            <w:pPr>
              <w:spacing w:before="60" w:after="60"/>
              <w:ind w:right="57"/>
              <w:jc w:val="right"/>
              <w:rPr>
                <w:sz w:val="20"/>
                <w:szCs w:val="20"/>
              </w:rPr>
            </w:pPr>
            <w:r>
              <w:rPr>
                <w:sz w:val="20"/>
                <w:szCs w:val="20"/>
              </w:rPr>
              <w:t>4.0</w:t>
            </w:r>
          </w:p>
        </w:tc>
        <w:tc>
          <w:tcPr>
            <w:tcW w:w="1018" w:type="dxa"/>
            <w:noWrap/>
            <w:vAlign w:val="bottom"/>
          </w:tcPr>
          <w:p w:rsidR="00000000" w:rsidRDefault="00000000">
            <w:pPr>
              <w:spacing w:before="60" w:after="60"/>
              <w:ind w:right="57"/>
              <w:jc w:val="right"/>
              <w:rPr>
                <w:sz w:val="20"/>
                <w:szCs w:val="20"/>
              </w:rPr>
            </w:pPr>
            <w:r>
              <w:rPr>
                <w:sz w:val="20"/>
                <w:szCs w:val="20"/>
              </w:rPr>
              <w:t>11.0</w:t>
            </w:r>
          </w:p>
        </w:tc>
        <w:tc>
          <w:tcPr>
            <w:tcW w:w="1182" w:type="dxa"/>
            <w:noWrap/>
            <w:vAlign w:val="bottom"/>
          </w:tcPr>
          <w:p w:rsidR="00000000" w:rsidRDefault="00000000">
            <w:pPr>
              <w:spacing w:before="60" w:after="60"/>
              <w:ind w:right="57"/>
              <w:jc w:val="right"/>
              <w:rPr>
                <w:sz w:val="20"/>
                <w:szCs w:val="20"/>
              </w:rPr>
            </w:pPr>
            <w:r>
              <w:rPr>
                <w:sz w:val="20"/>
                <w:szCs w:val="20"/>
              </w:rPr>
              <w:t>6.1</w:t>
            </w:r>
          </w:p>
        </w:tc>
        <w:tc>
          <w:tcPr>
            <w:tcW w:w="1182" w:type="dxa"/>
            <w:noWrap/>
            <w:vAlign w:val="bottom"/>
          </w:tcPr>
          <w:p w:rsidR="00000000" w:rsidRDefault="00000000">
            <w:pPr>
              <w:spacing w:before="60" w:after="60"/>
              <w:ind w:right="57"/>
              <w:jc w:val="right"/>
              <w:rPr>
                <w:sz w:val="20"/>
                <w:szCs w:val="20"/>
              </w:rPr>
            </w:pPr>
            <w:r>
              <w:rPr>
                <w:sz w:val="20"/>
                <w:szCs w:val="20"/>
              </w:rPr>
              <w:t>3.1</w:t>
            </w:r>
          </w:p>
        </w:tc>
        <w:tc>
          <w:tcPr>
            <w:tcW w:w="1182" w:type="dxa"/>
            <w:noWrap/>
            <w:vAlign w:val="bottom"/>
          </w:tcPr>
          <w:p w:rsidR="00000000" w:rsidRDefault="00000000">
            <w:pPr>
              <w:spacing w:before="60" w:after="60"/>
              <w:ind w:right="57"/>
              <w:jc w:val="right"/>
              <w:rPr>
                <w:sz w:val="20"/>
                <w:szCs w:val="20"/>
              </w:rPr>
            </w:pPr>
            <w:r>
              <w:rPr>
                <w:sz w:val="20"/>
                <w:szCs w:val="20"/>
              </w:rPr>
              <w:t>10.2</w:t>
            </w:r>
          </w:p>
        </w:tc>
      </w:tr>
      <w:tr w:rsidR="00000000">
        <w:tc>
          <w:tcPr>
            <w:tcW w:w="2433" w:type="dxa"/>
            <w:tcBorders>
              <w:bottom w:val="single" w:sz="4" w:space="0" w:color="auto"/>
            </w:tcBorders>
            <w:noWrap/>
            <w:vAlign w:val="bottom"/>
          </w:tcPr>
          <w:p w:rsidR="00000000" w:rsidRDefault="00000000">
            <w:pPr>
              <w:spacing w:before="60" w:after="60"/>
              <w:rPr>
                <w:sz w:val="20"/>
                <w:szCs w:val="18"/>
              </w:rPr>
            </w:pPr>
            <w:r>
              <w:rPr>
                <w:sz w:val="20"/>
                <w:szCs w:val="18"/>
              </w:rPr>
              <w:t>Invisible underemployment rate</w:t>
            </w:r>
          </w:p>
        </w:tc>
        <w:tc>
          <w:tcPr>
            <w:tcW w:w="1066" w:type="dxa"/>
            <w:tcBorders>
              <w:bottom w:val="single" w:sz="4" w:space="0" w:color="auto"/>
            </w:tcBorders>
            <w:noWrap/>
            <w:vAlign w:val="bottom"/>
          </w:tcPr>
          <w:p w:rsidR="00000000" w:rsidRDefault="00000000">
            <w:pPr>
              <w:spacing w:before="60" w:after="60"/>
              <w:ind w:right="57"/>
              <w:jc w:val="right"/>
              <w:rPr>
                <w:sz w:val="20"/>
                <w:szCs w:val="20"/>
                <w:lang w:val="fr-FR"/>
              </w:rPr>
            </w:pPr>
            <w:r>
              <w:rPr>
                <w:sz w:val="20"/>
                <w:szCs w:val="20"/>
                <w:lang w:val="fr-FR"/>
              </w:rPr>
              <w:t>7.4</w:t>
            </w:r>
          </w:p>
        </w:tc>
        <w:tc>
          <w:tcPr>
            <w:tcW w:w="889" w:type="dxa"/>
            <w:tcBorders>
              <w:bottom w:val="single" w:sz="4" w:space="0" w:color="auto"/>
            </w:tcBorders>
            <w:noWrap/>
            <w:vAlign w:val="bottom"/>
          </w:tcPr>
          <w:p w:rsidR="00000000" w:rsidRDefault="00000000">
            <w:pPr>
              <w:spacing w:before="60" w:after="60"/>
              <w:ind w:right="57"/>
              <w:jc w:val="right"/>
              <w:rPr>
                <w:sz w:val="20"/>
                <w:szCs w:val="20"/>
                <w:lang w:val="fr-FR"/>
              </w:rPr>
            </w:pPr>
            <w:r>
              <w:rPr>
                <w:sz w:val="20"/>
                <w:szCs w:val="20"/>
                <w:lang w:val="fr-FR"/>
              </w:rPr>
              <w:t>8.1</w:t>
            </w:r>
          </w:p>
        </w:tc>
        <w:tc>
          <w:tcPr>
            <w:tcW w:w="889" w:type="dxa"/>
            <w:tcBorders>
              <w:bottom w:val="single" w:sz="4" w:space="0" w:color="auto"/>
            </w:tcBorders>
            <w:noWrap/>
            <w:vAlign w:val="bottom"/>
          </w:tcPr>
          <w:p w:rsidR="00000000" w:rsidRDefault="00000000">
            <w:pPr>
              <w:spacing w:before="60" w:after="60"/>
              <w:ind w:right="57"/>
              <w:jc w:val="right"/>
              <w:rPr>
                <w:sz w:val="20"/>
                <w:szCs w:val="20"/>
                <w:lang w:val="fr-FR"/>
              </w:rPr>
            </w:pPr>
            <w:r>
              <w:rPr>
                <w:sz w:val="20"/>
                <w:szCs w:val="20"/>
                <w:lang w:val="fr-FR"/>
              </w:rPr>
              <w:t>6.4</w:t>
            </w:r>
          </w:p>
        </w:tc>
        <w:tc>
          <w:tcPr>
            <w:tcW w:w="1066" w:type="dxa"/>
            <w:tcBorders>
              <w:bottom w:val="single" w:sz="4" w:space="0" w:color="auto"/>
            </w:tcBorders>
            <w:noWrap/>
            <w:vAlign w:val="bottom"/>
          </w:tcPr>
          <w:p w:rsidR="00000000" w:rsidRDefault="00000000">
            <w:pPr>
              <w:spacing w:before="60" w:after="60"/>
              <w:ind w:right="57"/>
              <w:jc w:val="right"/>
              <w:rPr>
                <w:sz w:val="20"/>
                <w:szCs w:val="20"/>
                <w:lang w:val="fr-FR"/>
              </w:rPr>
            </w:pPr>
            <w:r>
              <w:rPr>
                <w:sz w:val="20"/>
                <w:szCs w:val="20"/>
                <w:lang w:val="fr-FR"/>
              </w:rPr>
              <w:t>7.8</w:t>
            </w:r>
          </w:p>
        </w:tc>
        <w:tc>
          <w:tcPr>
            <w:tcW w:w="889" w:type="dxa"/>
            <w:tcBorders>
              <w:bottom w:val="single" w:sz="4" w:space="0" w:color="auto"/>
            </w:tcBorders>
            <w:noWrap/>
            <w:vAlign w:val="bottom"/>
          </w:tcPr>
          <w:p w:rsidR="00000000" w:rsidRDefault="00000000">
            <w:pPr>
              <w:spacing w:before="60" w:after="60"/>
              <w:ind w:right="57"/>
              <w:jc w:val="right"/>
              <w:rPr>
                <w:sz w:val="20"/>
                <w:szCs w:val="20"/>
                <w:lang w:val="fr-FR"/>
              </w:rPr>
            </w:pPr>
            <w:r>
              <w:rPr>
                <w:sz w:val="20"/>
                <w:szCs w:val="20"/>
                <w:lang w:val="fr-FR"/>
              </w:rPr>
              <w:t>8.0</w:t>
            </w:r>
          </w:p>
        </w:tc>
        <w:tc>
          <w:tcPr>
            <w:tcW w:w="756" w:type="dxa"/>
            <w:tcBorders>
              <w:bottom w:val="single" w:sz="4" w:space="0" w:color="auto"/>
            </w:tcBorders>
            <w:noWrap/>
            <w:vAlign w:val="bottom"/>
          </w:tcPr>
          <w:p w:rsidR="00000000" w:rsidRDefault="00000000">
            <w:pPr>
              <w:spacing w:before="60" w:after="60"/>
              <w:ind w:right="57"/>
              <w:jc w:val="right"/>
              <w:rPr>
                <w:sz w:val="20"/>
                <w:szCs w:val="20"/>
                <w:lang w:val="fr-FR"/>
              </w:rPr>
            </w:pPr>
            <w:r>
              <w:rPr>
                <w:sz w:val="20"/>
                <w:szCs w:val="20"/>
                <w:lang w:val="fr-FR"/>
              </w:rPr>
              <w:t>7.5</w:t>
            </w:r>
          </w:p>
        </w:tc>
        <w:tc>
          <w:tcPr>
            <w:tcW w:w="1017" w:type="dxa"/>
            <w:tcBorders>
              <w:bottom w:val="single" w:sz="4" w:space="0" w:color="auto"/>
            </w:tcBorders>
            <w:noWrap/>
            <w:vAlign w:val="bottom"/>
          </w:tcPr>
          <w:p w:rsidR="00000000" w:rsidRDefault="00000000">
            <w:pPr>
              <w:spacing w:before="60" w:after="60"/>
              <w:ind w:right="57"/>
              <w:jc w:val="right"/>
              <w:rPr>
                <w:sz w:val="20"/>
                <w:szCs w:val="20"/>
                <w:lang w:val="fr-FR"/>
              </w:rPr>
            </w:pPr>
            <w:r>
              <w:rPr>
                <w:sz w:val="20"/>
                <w:szCs w:val="20"/>
                <w:lang w:val="fr-FR"/>
              </w:rPr>
              <w:t>11.2</w:t>
            </w:r>
          </w:p>
        </w:tc>
        <w:tc>
          <w:tcPr>
            <w:tcW w:w="1018" w:type="dxa"/>
            <w:tcBorders>
              <w:bottom w:val="single" w:sz="4" w:space="0" w:color="auto"/>
            </w:tcBorders>
            <w:noWrap/>
            <w:vAlign w:val="bottom"/>
          </w:tcPr>
          <w:p w:rsidR="00000000" w:rsidRDefault="00000000">
            <w:pPr>
              <w:spacing w:before="60" w:after="60"/>
              <w:ind w:right="57"/>
              <w:jc w:val="right"/>
              <w:rPr>
                <w:sz w:val="20"/>
                <w:szCs w:val="20"/>
                <w:lang w:val="fr-FR"/>
              </w:rPr>
            </w:pPr>
            <w:r>
              <w:rPr>
                <w:sz w:val="20"/>
                <w:szCs w:val="20"/>
                <w:lang w:val="fr-FR"/>
              </w:rPr>
              <w:t>11.7</w:t>
            </w:r>
          </w:p>
        </w:tc>
        <w:tc>
          <w:tcPr>
            <w:tcW w:w="1018" w:type="dxa"/>
            <w:tcBorders>
              <w:bottom w:val="single" w:sz="4" w:space="0" w:color="auto"/>
            </w:tcBorders>
            <w:noWrap/>
            <w:vAlign w:val="bottom"/>
          </w:tcPr>
          <w:p w:rsidR="00000000" w:rsidRDefault="00000000">
            <w:pPr>
              <w:spacing w:before="60" w:after="60"/>
              <w:ind w:right="57"/>
              <w:jc w:val="right"/>
              <w:rPr>
                <w:sz w:val="20"/>
                <w:szCs w:val="20"/>
                <w:lang w:val="fr-FR"/>
              </w:rPr>
            </w:pPr>
            <w:r>
              <w:rPr>
                <w:sz w:val="20"/>
                <w:szCs w:val="20"/>
                <w:lang w:val="fr-FR"/>
              </w:rPr>
              <w:t>10.5</w:t>
            </w:r>
          </w:p>
        </w:tc>
        <w:tc>
          <w:tcPr>
            <w:tcW w:w="1182" w:type="dxa"/>
            <w:tcBorders>
              <w:bottom w:val="single" w:sz="4" w:space="0" w:color="auto"/>
            </w:tcBorders>
            <w:noWrap/>
            <w:vAlign w:val="bottom"/>
          </w:tcPr>
          <w:p w:rsidR="00000000" w:rsidRDefault="00000000">
            <w:pPr>
              <w:spacing w:before="60" w:after="60"/>
              <w:ind w:right="57"/>
              <w:jc w:val="right"/>
              <w:rPr>
                <w:sz w:val="20"/>
                <w:szCs w:val="20"/>
                <w:lang w:val="fr-FR"/>
              </w:rPr>
            </w:pPr>
            <w:r>
              <w:rPr>
                <w:sz w:val="20"/>
                <w:szCs w:val="20"/>
                <w:lang w:val="fr-FR"/>
              </w:rPr>
              <w:t>12.7</w:t>
            </w:r>
          </w:p>
        </w:tc>
        <w:tc>
          <w:tcPr>
            <w:tcW w:w="1182" w:type="dxa"/>
            <w:tcBorders>
              <w:bottom w:val="single" w:sz="4" w:space="0" w:color="auto"/>
            </w:tcBorders>
            <w:noWrap/>
            <w:vAlign w:val="bottom"/>
          </w:tcPr>
          <w:p w:rsidR="00000000" w:rsidRDefault="00000000">
            <w:pPr>
              <w:spacing w:before="60" w:after="60"/>
              <w:ind w:right="57"/>
              <w:jc w:val="right"/>
              <w:rPr>
                <w:sz w:val="20"/>
                <w:szCs w:val="20"/>
                <w:lang w:val="fr-FR"/>
              </w:rPr>
            </w:pPr>
            <w:r>
              <w:rPr>
                <w:sz w:val="20"/>
                <w:szCs w:val="20"/>
                <w:lang w:val="fr-FR"/>
              </w:rPr>
              <w:t>12.7</w:t>
            </w:r>
          </w:p>
        </w:tc>
        <w:tc>
          <w:tcPr>
            <w:tcW w:w="1182" w:type="dxa"/>
            <w:tcBorders>
              <w:bottom w:val="single" w:sz="4" w:space="0" w:color="auto"/>
            </w:tcBorders>
            <w:noWrap/>
            <w:vAlign w:val="bottom"/>
          </w:tcPr>
          <w:p w:rsidR="00000000" w:rsidRDefault="00000000">
            <w:pPr>
              <w:spacing w:before="60" w:after="60"/>
              <w:ind w:right="57"/>
              <w:jc w:val="right"/>
              <w:rPr>
                <w:sz w:val="20"/>
                <w:szCs w:val="20"/>
                <w:lang w:val="fr-FR"/>
              </w:rPr>
            </w:pPr>
            <w:r>
              <w:rPr>
                <w:sz w:val="20"/>
                <w:szCs w:val="20"/>
                <w:lang w:val="fr-FR"/>
              </w:rPr>
              <w:t>12.7</w:t>
            </w:r>
          </w:p>
        </w:tc>
      </w:tr>
    </w:tbl>
    <w:p w:rsidR="00000000" w:rsidRDefault="00000000">
      <w:pPr>
        <w:spacing w:beforeLines="40" w:before="96" w:afterLines="40" w:after="96"/>
        <w:ind w:left="567"/>
        <w:rPr>
          <w:b/>
          <w:color w:val="000000"/>
          <w:u w:val="single"/>
          <w:lang w:val="en-US"/>
        </w:rPr>
      </w:pPr>
      <w:r>
        <w:rPr>
          <w:sz w:val="20"/>
          <w:szCs w:val="16"/>
          <w:lang w:val="fr-FR"/>
        </w:rPr>
        <w:t xml:space="preserve">(*) En la EPH 1995-1999. </w:t>
      </w:r>
      <w:r>
        <w:rPr>
          <w:sz w:val="20"/>
          <w:szCs w:val="16"/>
          <w:lang w:val="en-US"/>
        </w:rPr>
        <w:t xml:space="preserve">Data adjusted to the findings of the 2003 census 2002 census. </w:t>
      </w:r>
      <w:r>
        <w:rPr>
          <w:sz w:val="20"/>
          <w:szCs w:val="16"/>
          <w:lang w:val="es-ES_tradnl"/>
        </w:rPr>
        <w:t>(**) Población</w:t>
      </w:r>
      <w:r>
        <w:rPr>
          <w:sz w:val="20"/>
          <w:szCs w:val="16"/>
          <w:lang w:val="es-ES_tradnl"/>
        </w:rPr>
        <w:br/>
      </w:r>
      <w:r>
        <w:rPr>
          <w:i/>
          <w:iCs/>
          <w:sz w:val="20"/>
          <w:szCs w:val="16"/>
          <w:lang w:val="en-US"/>
        </w:rPr>
        <w:t xml:space="preserve">Source: </w:t>
      </w:r>
      <w:r>
        <w:rPr>
          <w:sz w:val="20"/>
          <w:szCs w:val="16"/>
          <w:lang w:val="en-US"/>
        </w:rPr>
        <w:t>STP/DGEEC. Permanent Household Survey1995, 1999, 2005.. 2004. 2005.</w:t>
      </w:r>
    </w:p>
    <w:p w:rsidR="00000000" w:rsidRDefault="00000000">
      <w:pPr>
        <w:spacing w:beforeLines="40" w:before="96" w:afterLines="40" w:after="96"/>
        <w:rPr>
          <w:b/>
          <w:color w:val="000000"/>
        </w:rPr>
      </w:pPr>
      <w:r>
        <w:rPr>
          <w:b/>
          <w:color w:val="000000"/>
          <w:u w:val="single"/>
          <w:lang w:val="en-US"/>
        </w:rPr>
        <w:br w:type="page"/>
      </w:r>
      <w:r>
        <w:rPr>
          <w:b/>
          <w:color w:val="000000"/>
        </w:rPr>
        <w:t>4.1.2.  Employment – Juvenile population</w:t>
      </w:r>
    </w:p>
    <w:p w:rsidR="00000000" w:rsidRDefault="00000000">
      <w:pPr>
        <w:spacing w:beforeLines="40" w:before="96" w:afterLines="100" w:after="240"/>
        <w:jc w:val="center"/>
        <w:rPr>
          <w:b/>
          <w:color w:val="000000"/>
        </w:rPr>
      </w:pPr>
      <w:r>
        <w:rPr>
          <w:b/>
          <w:bCs/>
          <w:sz w:val="22"/>
          <w:szCs w:val="20"/>
          <w:lang w:val="en-US"/>
        </w:rPr>
        <w:t xml:space="preserve">Employment indicators among the juvenile population. </w:t>
      </w:r>
      <w:r>
        <w:rPr>
          <w:b/>
          <w:bCs/>
          <w:sz w:val="22"/>
          <w:szCs w:val="20"/>
        </w:rPr>
        <w:t>Period 1995-2005</w:t>
      </w:r>
    </w:p>
    <w:tbl>
      <w:tblPr>
        <w:tblW w:w="5000" w:type="pct"/>
        <w:tblLayout w:type="fixed"/>
        <w:tblCellMar>
          <w:left w:w="0" w:type="dxa"/>
          <w:right w:w="0" w:type="dxa"/>
        </w:tblCellMar>
        <w:tblLook w:val="0000" w:firstRow="0" w:lastRow="0" w:firstColumn="0" w:lastColumn="0" w:noHBand="0" w:noVBand="0"/>
      </w:tblPr>
      <w:tblGrid>
        <w:gridCol w:w="2280"/>
        <w:gridCol w:w="918"/>
        <w:gridCol w:w="1100"/>
        <w:gridCol w:w="934"/>
        <w:gridCol w:w="1094"/>
        <w:gridCol w:w="934"/>
        <w:gridCol w:w="899"/>
        <w:gridCol w:w="1074"/>
        <w:gridCol w:w="934"/>
        <w:gridCol w:w="1062"/>
        <w:gridCol w:w="1120"/>
        <w:gridCol w:w="1135"/>
        <w:gridCol w:w="1103"/>
      </w:tblGrid>
      <w:tr w:rsidR="00000000">
        <w:trPr>
          <w:cantSplit/>
        </w:trPr>
        <w:tc>
          <w:tcPr>
            <w:tcW w:w="782" w:type="pct"/>
            <w:vMerge w:val="restart"/>
            <w:tcBorders>
              <w:top w:val="single" w:sz="4" w:space="0" w:color="auto"/>
            </w:tcBorders>
            <w:noWrap/>
            <w:vAlign w:val="center"/>
          </w:tcPr>
          <w:p w:rsidR="00000000" w:rsidRDefault="00000000">
            <w:pPr>
              <w:pStyle w:val="Heading4"/>
              <w:spacing w:before="40" w:after="60"/>
              <w:jc w:val="left"/>
            </w:pPr>
            <w:r>
              <w:t>CLASSIFICATION</w:t>
            </w:r>
          </w:p>
        </w:tc>
        <w:tc>
          <w:tcPr>
            <w:tcW w:w="1012" w:type="pct"/>
            <w:gridSpan w:val="3"/>
            <w:tcBorders>
              <w:top w:val="single" w:sz="4" w:space="0" w:color="auto"/>
              <w:bottom w:val="single" w:sz="4" w:space="0" w:color="auto"/>
            </w:tcBorders>
            <w:noWrap/>
            <w:vAlign w:val="center"/>
          </w:tcPr>
          <w:p w:rsidR="00000000" w:rsidRDefault="00000000">
            <w:pPr>
              <w:spacing w:before="40" w:after="60"/>
              <w:jc w:val="center"/>
              <w:rPr>
                <w:b/>
                <w:bCs/>
                <w:i/>
                <w:iCs/>
                <w:sz w:val="20"/>
                <w:szCs w:val="20"/>
              </w:rPr>
            </w:pPr>
            <w:r>
              <w:rPr>
                <w:b/>
                <w:bCs/>
                <w:i/>
                <w:iCs/>
                <w:sz w:val="20"/>
                <w:szCs w:val="20"/>
              </w:rPr>
              <w:t>1995(*)</w:t>
            </w:r>
          </w:p>
        </w:tc>
        <w:tc>
          <w:tcPr>
            <w:tcW w:w="1003" w:type="pct"/>
            <w:gridSpan w:val="3"/>
            <w:tcBorders>
              <w:top w:val="single" w:sz="4" w:space="0" w:color="auto"/>
              <w:bottom w:val="single" w:sz="4" w:space="0" w:color="auto"/>
            </w:tcBorders>
            <w:noWrap/>
            <w:vAlign w:val="center"/>
          </w:tcPr>
          <w:p w:rsidR="00000000" w:rsidRDefault="00000000">
            <w:pPr>
              <w:spacing w:before="40" w:after="60"/>
              <w:jc w:val="center"/>
              <w:rPr>
                <w:b/>
                <w:bCs/>
                <w:i/>
                <w:iCs/>
                <w:sz w:val="20"/>
                <w:szCs w:val="20"/>
              </w:rPr>
            </w:pPr>
            <w:r>
              <w:rPr>
                <w:b/>
                <w:bCs/>
                <w:i/>
                <w:iCs/>
                <w:sz w:val="20"/>
                <w:szCs w:val="20"/>
              </w:rPr>
              <w:t>1999(*)</w:t>
            </w:r>
          </w:p>
        </w:tc>
        <w:tc>
          <w:tcPr>
            <w:tcW w:w="1052" w:type="pct"/>
            <w:gridSpan w:val="3"/>
            <w:tcBorders>
              <w:top w:val="single" w:sz="4" w:space="0" w:color="auto"/>
              <w:bottom w:val="single" w:sz="4" w:space="0" w:color="auto"/>
            </w:tcBorders>
            <w:noWrap/>
            <w:vAlign w:val="center"/>
          </w:tcPr>
          <w:p w:rsidR="00000000" w:rsidRDefault="00000000">
            <w:pPr>
              <w:spacing w:before="40" w:after="60"/>
              <w:jc w:val="center"/>
              <w:rPr>
                <w:b/>
                <w:bCs/>
                <w:i/>
                <w:iCs/>
                <w:sz w:val="20"/>
                <w:szCs w:val="20"/>
              </w:rPr>
            </w:pPr>
            <w:r>
              <w:rPr>
                <w:b/>
                <w:bCs/>
                <w:i/>
                <w:iCs/>
                <w:sz w:val="20"/>
                <w:szCs w:val="20"/>
              </w:rPr>
              <w:t>2004</w:t>
            </w:r>
          </w:p>
        </w:tc>
        <w:tc>
          <w:tcPr>
            <w:tcW w:w="1151" w:type="pct"/>
            <w:gridSpan w:val="3"/>
            <w:tcBorders>
              <w:top w:val="single" w:sz="4" w:space="0" w:color="auto"/>
              <w:bottom w:val="single" w:sz="4" w:space="0" w:color="auto"/>
            </w:tcBorders>
            <w:noWrap/>
            <w:vAlign w:val="center"/>
          </w:tcPr>
          <w:p w:rsidR="00000000" w:rsidRDefault="00000000">
            <w:pPr>
              <w:spacing w:before="40" w:after="60"/>
              <w:jc w:val="center"/>
              <w:rPr>
                <w:b/>
                <w:bCs/>
                <w:i/>
                <w:iCs/>
                <w:sz w:val="20"/>
                <w:szCs w:val="20"/>
              </w:rPr>
            </w:pPr>
            <w:r>
              <w:rPr>
                <w:b/>
                <w:bCs/>
                <w:i/>
                <w:iCs/>
                <w:sz w:val="20"/>
                <w:szCs w:val="20"/>
              </w:rPr>
              <w:t>2005</w:t>
            </w:r>
          </w:p>
        </w:tc>
      </w:tr>
      <w:tr w:rsidR="00000000">
        <w:trPr>
          <w:cantSplit/>
        </w:trPr>
        <w:tc>
          <w:tcPr>
            <w:tcW w:w="782" w:type="pct"/>
            <w:vMerge/>
            <w:tcBorders>
              <w:bottom w:val="single" w:sz="4" w:space="0" w:color="auto"/>
            </w:tcBorders>
            <w:noWrap/>
            <w:vAlign w:val="center"/>
          </w:tcPr>
          <w:p w:rsidR="00000000" w:rsidRDefault="00000000">
            <w:pPr>
              <w:spacing w:before="40" w:after="60"/>
              <w:rPr>
                <w:b/>
                <w:bCs/>
                <w:sz w:val="20"/>
                <w:szCs w:val="20"/>
              </w:rPr>
            </w:pPr>
          </w:p>
        </w:tc>
        <w:tc>
          <w:tcPr>
            <w:tcW w:w="315" w:type="pct"/>
            <w:tcBorders>
              <w:top w:val="single" w:sz="4" w:space="0" w:color="auto"/>
              <w:bottom w:val="single" w:sz="4" w:space="0" w:color="auto"/>
            </w:tcBorders>
            <w:noWrap/>
            <w:vAlign w:val="center"/>
          </w:tcPr>
          <w:p w:rsidR="00000000" w:rsidRDefault="00000000">
            <w:pPr>
              <w:spacing w:before="40" w:after="60"/>
              <w:jc w:val="center"/>
              <w:rPr>
                <w:b/>
                <w:bCs/>
                <w:sz w:val="20"/>
                <w:szCs w:val="20"/>
              </w:rPr>
            </w:pPr>
            <w:r>
              <w:rPr>
                <w:b/>
                <w:bCs/>
                <w:i/>
                <w:iCs/>
              </w:rPr>
              <w:t>Total</w:t>
            </w:r>
          </w:p>
        </w:tc>
        <w:tc>
          <w:tcPr>
            <w:tcW w:w="377" w:type="pct"/>
            <w:tcBorders>
              <w:top w:val="single" w:sz="4" w:space="0" w:color="auto"/>
              <w:bottom w:val="single" w:sz="4" w:space="0" w:color="auto"/>
            </w:tcBorders>
            <w:noWrap/>
            <w:vAlign w:val="center"/>
          </w:tcPr>
          <w:p w:rsidR="00000000" w:rsidRDefault="00000000">
            <w:pPr>
              <w:spacing w:before="40" w:after="60"/>
              <w:jc w:val="center"/>
              <w:rPr>
                <w:b/>
                <w:bCs/>
                <w:sz w:val="20"/>
                <w:szCs w:val="20"/>
              </w:rPr>
            </w:pPr>
            <w:r>
              <w:rPr>
                <w:b/>
                <w:bCs/>
                <w:i/>
                <w:iCs/>
                <w:sz w:val="20"/>
                <w:szCs w:val="20"/>
              </w:rPr>
              <w:t>Men</w:t>
            </w:r>
          </w:p>
        </w:tc>
        <w:tc>
          <w:tcPr>
            <w:tcW w:w="320" w:type="pct"/>
            <w:tcBorders>
              <w:top w:val="single" w:sz="4" w:space="0" w:color="auto"/>
              <w:bottom w:val="single" w:sz="4" w:space="0" w:color="auto"/>
            </w:tcBorders>
            <w:noWrap/>
            <w:vAlign w:val="center"/>
          </w:tcPr>
          <w:p w:rsidR="00000000" w:rsidRDefault="00000000">
            <w:pPr>
              <w:spacing w:before="40" w:after="60"/>
              <w:jc w:val="center"/>
              <w:rPr>
                <w:b/>
                <w:bCs/>
                <w:sz w:val="20"/>
                <w:szCs w:val="20"/>
              </w:rPr>
            </w:pPr>
            <w:r>
              <w:rPr>
                <w:b/>
                <w:bCs/>
                <w:i/>
                <w:iCs/>
                <w:sz w:val="20"/>
                <w:szCs w:val="20"/>
              </w:rPr>
              <w:t>Women</w:t>
            </w:r>
          </w:p>
        </w:tc>
        <w:tc>
          <w:tcPr>
            <w:tcW w:w="375" w:type="pct"/>
            <w:tcBorders>
              <w:top w:val="single" w:sz="4" w:space="0" w:color="auto"/>
              <w:bottom w:val="single" w:sz="4" w:space="0" w:color="auto"/>
            </w:tcBorders>
            <w:noWrap/>
            <w:vAlign w:val="center"/>
          </w:tcPr>
          <w:p w:rsidR="00000000" w:rsidRDefault="00000000">
            <w:pPr>
              <w:spacing w:before="40" w:after="60"/>
              <w:jc w:val="center"/>
              <w:rPr>
                <w:b/>
                <w:bCs/>
                <w:sz w:val="20"/>
                <w:szCs w:val="20"/>
              </w:rPr>
            </w:pPr>
            <w:r>
              <w:rPr>
                <w:b/>
                <w:bCs/>
                <w:i/>
                <w:iCs/>
                <w:sz w:val="20"/>
                <w:szCs w:val="20"/>
              </w:rPr>
              <w:t>Total</w:t>
            </w:r>
          </w:p>
        </w:tc>
        <w:tc>
          <w:tcPr>
            <w:tcW w:w="320" w:type="pct"/>
            <w:tcBorders>
              <w:top w:val="single" w:sz="4" w:space="0" w:color="auto"/>
              <w:bottom w:val="single" w:sz="4" w:space="0" w:color="auto"/>
            </w:tcBorders>
            <w:noWrap/>
            <w:vAlign w:val="center"/>
          </w:tcPr>
          <w:p w:rsidR="00000000" w:rsidRDefault="00000000">
            <w:pPr>
              <w:spacing w:before="40" w:after="60"/>
              <w:jc w:val="center"/>
              <w:rPr>
                <w:b/>
                <w:bCs/>
                <w:sz w:val="20"/>
                <w:szCs w:val="20"/>
              </w:rPr>
            </w:pPr>
            <w:r>
              <w:rPr>
                <w:b/>
                <w:bCs/>
                <w:i/>
                <w:iCs/>
                <w:sz w:val="20"/>
                <w:szCs w:val="20"/>
              </w:rPr>
              <w:t>Men</w:t>
            </w:r>
          </w:p>
        </w:tc>
        <w:tc>
          <w:tcPr>
            <w:tcW w:w="308" w:type="pct"/>
            <w:tcBorders>
              <w:top w:val="single" w:sz="4" w:space="0" w:color="auto"/>
              <w:bottom w:val="single" w:sz="4" w:space="0" w:color="auto"/>
            </w:tcBorders>
            <w:noWrap/>
            <w:vAlign w:val="center"/>
          </w:tcPr>
          <w:p w:rsidR="00000000" w:rsidRDefault="00000000">
            <w:pPr>
              <w:spacing w:before="40" w:after="60"/>
              <w:jc w:val="center"/>
              <w:rPr>
                <w:b/>
                <w:bCs/>
                <w:sz w:val="20"/>
                <w:szCs w:val="20"/>
              </w:rPr>
            </w:pPr>
            <w:r>
              <w:rPr>
                <w:b/>
                <w:bCs/>
                <w:i/>
                <w:iCs/>
                <w:sz w:val="20"/>
                <w:szCs w:val="20"/>
              </w:rPr>
              <w:t>Women</w:t>
            </w:r>
          </w:p>
        </w:tc>
        <w:tc>
          <w:tcPr>
            <w:tcW w:w="368" w:type="pct"/>
            <w:tcBorders>
              <w:top w:val="single" w:sz="4" w:space="0" w:color="auto"/>
              <w:bottom w:val="single" w:sz="4" w:space="0" w:color="auto"/>
            </w:tcBorders>
            <w:noWrap/>
            <w:vAlign w:val="center"/>
          </w:tcPr>
          <w:p w:rsidR="00000000" w:rsidRDefault="00000000">
            <w:pPr>
              <w:spacing w:before="40" w:after="60"/>
              <w:jc w:val="center"/>
              <w:rPr>
                <w:b/>
                <w:bCs/>
                <w:sz w:val="20"/>
                <w:szCs w:val="20"/>
              </w:rPr>
            </w:pPr>
            <w:r>
              <w:rPr>
                <w:b/>
                <w:bCs/>
                <w:i/>
                <w:iCs/>
                <w:sz w:val="20"/>
                <w:szCs w:val="20"/>
              </w:rPr>
              <w:t>Total</w:t>
            </w:r>
          </w:p>
        </w:tc>
        <w:tc>
          <w:tcPr>
            <w:tcW w:w="320" w:type="pct"/>
            <w:tcBorders>
              <w:top w:val="single" w:sz="4" w:space="0" w:color="auto"/>
              <w:bottom w:val="single" w:sz="4" w:space="0" w:color="auto"/>
            </w:tcBorders>
            <w:noWrap/>
            <w:vAlign w:val="center"/>
          </w:tcPr>
          <w:p w:rsidR="00000000" w:rsidRDefault="00000000">
            <w:pPr>
              <w:spacing w:before="40" w:after="60"/>
              <w:jc w:val="center"/>
              <w:rPr>
                <w:b/>
                <w:bCs/>
                <w:sz w:val="20"/>
                <w:szCs w:val="20"/>
              </w:rPr>
            </w:pPr>
            <w:r>
              <w:rPr>
                <w:b/>
                <w:bCs/>
                <w:i/>
                <w:iCs/>
                <w:sz w:val="20"/>
                <w:szCs w:val="20"/>
              </w:rPr>
              <w:t>Men</w:t>
            </w:r>
          </w:p>
        </w:tc>
        <w:tc>
          <w:tcPr>
            <w:tcW w:w="364" w:type="pct"/>
            <w:tcBorders>
              <w:top w:val="single" w:sz="4" w:space="0" w:color="auto"/>
              <w:bottom w:val="single" w:sz="4" w:space="0" w:color="auto"/>
            </w:tcBorders>
            <w:noWrap/>
            <w:vAlign w:val="center"/>
          </w:tcPr>
          <w:p w:rsidR="00000000" w:rsidRDefault="00000000">
            <w:pPr>
              <w:spacing w:before="40" w:after="60"/>
              <w:jc w:val="center"/>
              <w:rPr>
                <w:b/>
                <w:bCs/>
                <w:sz w:val="20"/>
                <w:szCs w:val="20"/>
              </w:rPr>
            </w:pPr>
            <w:r>
              <w:rPr>
                <w:b/>
                <w:bCs/>
                <w:i/>
                <w:iCs/>
                <w:sz w:val="20"/>
                <w:szCs w:val="20"/>
              </w:rPr>
              <w:t>Women</w:t>
            </w:r>
          </w:p>
        </w:tc>
        <w:tc>
          <w:tcPr>
            <w:tcW w:w="384" w:type="pct"/>
            <w:tcBorders>
              <w:top w:val="single" w:sz="4" w:space="0" w:color="auto"/>
              <w:bottom w:val="single" w:sz="4" w:space="0" w:color="auto"/>
            </w:tcBorders>
            <w:noWrap/>
            <w:vAlign w:val="center"/>
          </w:tcPr>
          <w:p w:rsidR="00000000" w:rsidRDefault="00000000">
            <w:pPr>
              <w:spacing w:before="40" w:after="60"/>
              <w:jc w:val="center"/>
              <w:rPr>
                <w:b/>
                <w:bCs/>
                <w:sz w:val="20"/>
                <w:szCs w:val="20"/>
              </w:rPr>
            </w:pPr>
            <w:r>
              <w:rPr>
                <w:b/>
                <w:bCs/>
                <w:i/>
                <w:iCs/>
                <w:sz w:val="20"/>
                <w:szCs w:val="20"/>
              </w:rPr>
              <w:t>Total</w:t>
            </w:r>
          </w:p>
        </w:tc>
        <w:tc>
          <w:tcPr>
            <w:tcW w:w="389" w:type="pct"/>
            <w:tcBorders>
              <w:top w:val="single" w:sz="4" w:space="0" w:color="auto"/>
              <w:bottom w:val="single" w:sz="4" w:space="0" w:color="auto"/>
            </w:tcBorders>
            <w:noWrap/>
            <w:vAlign w:val="center"/>
          </w:tcPr>
          <w:p w:rsidR="00000000" w:rsidRDefault="00000000">
            <w:pPr>
              <w:spacing w:before="40" w:after="60"/>
              <w:jc w:val="center"/>
              <w:rPr>
                <w:b/>
                <w:bCs/>
                <w:sz w:val="20"/>
                <w:szCs w:val="20"/>
              </w:rPr>
            </w:pPr>
            <w:r>
              <w:rPr>
                <w:b/>
                <w:bCs/>
                <w:i/>
                <w:iCs/>
                <w:sz w:val="20"/>
                <w:szCs w:val="20"/>
              </w:rPr>
              <w:t>Men</w:t>
            </w:r>
          </w:p>
        </w:tc>
        <w:tc>
          <w:tcPr>
            <w:tcW w:w="378" w:type="pct"/>
            <w:tcBorders>
              <w:top w:val="single" w:sz="4" w:space="0" w:color="auto"/>
              <w:bottom w:val="single" w:sz="4" w:space="0" w:color="auto"/>
            </w:tcBorders>
            <w:noWrap/>
            <w:vAlign w:val="center"/>
          </w:tcPr>
          <w:p w:rsidR="00000000" w:rsidRDefault="00000000">
            <w:pPr>
              <w:spacing w:before="40" w:after="60"/>
              <w:jc w:val="center"/>
              <w:rPr>
                <w:b/>
                <w:bCs/>
                <w:sz w:val="20"/>
                <w:szCs w:val="20"/>
              </w:rPr>
            </w:pPr>
            <w:r>
              <w:rPr>
                <w:b/>
                <w:bCs/>
                <w:i/>
                <w:iCs/>
                <w:sz w:val="20"/>
                <w:szCs w:val="20"/>
              </w:rPr>
              <w:t>Women</w:t>
            </w:r>
          </w:p>
        </w:tc>
      </w:tr>
      <w:tr w:rsidR="00000000">
        <w:tc>
          <w:tcPr>
            <w:tcW w:w="782" w:type="pct"/>
            <w:tcBorders>
              <w:top w:val="single" w:sz="4" w:space="0" w:color="auto"/>
            </w:tcBorders>
            <w:noWrap/>
            <w:vAlign w:val="bottom"/>
          </w:tcPr>
          <w:p w:rsidR="00000000" w:rsidRDefault="00000000">
            <w:pPr>
              <w:pStyle w:val="FootnoteText"/>
              <w:spacing w:before="40" w:after="60"/>
              <w:ind w:right="57"/>
            </w:pPr>
            <w:r>
              <w:t>Economically active population (EAP) (**)</w:t>
            </w:r>
          </w:p>
        </w:tc>
        <w:tc>
          <w:tcPr>
            <w:tcW w:w="315" w:type="pct"/>
            <w:tcBorders>
              <w:top w:val="single" w:sz="4" w:space="0" w:color="auto"/>
            </w:tcBorders>
            <w:noWrap/>
            <w:vAlign w:val="bottom"/>
          </w:tcPr>
          <w:p w:rsidR="00000000" w:rsidRDefault="00000000">
            <w:pPr>
              <w:spacing w:before="40" w:after="60"/>
              <w:ind w:right="57"/>
              <w:jc w:val="right"/>
              <w:rPr>
                <w:sz w:val="20"/>
                <w:szCs w:val="20"/>
              </w:rPr>
            </w:pPr>
            <w:r>
              <w:rPr>
                <w:sz w:val="20"/>
                <w:szCs w:val="20"/>
              </w:rPr>
              <w:t>834 623</w:t>
            </w:r>
          </w:p>
        </w:tc>
        <w:tc>
          <w:tcPr>
            <w:tcW w:w="377" w:type="pct"/>
            <w:tcBorders>
              <w:top w:val="single" w:sz="4" w:space="0" w:color="auto"/>
            </w:tcBorders>
            <w:noWrap/>
            <w:vAlign w:val="bottom"/>
          </w:tcPr>
          <w:p w:rsidR="00000000" w:rsidRDefault="00000000">
            <w:pPr>
              <w:spacing w:before="40" w:after="60"/>
              <w:ind w:right="57"/>
              <w:jc w:val="right"/>
              <w:rPr>
                <w:sz w:val="20"/>
                <w:szCs w:val="20"/>
              </w:rPr>
            </w:pPr>
            <w:r>
              <w:rPr>
                <w:sz w:val="20"/>
                <w:szCs w:val="20"/>
              </w:rPr>
              <w:t>492 677</w:t>
            </w:r>
          </w:p>
        </w:tc>
        <w:tc>
          <w:tcPr>
            <w:tcW w:w="320" w:type="pct"/>
            <w:tcBorders>
              <w:top w:val="single" w:sz="4" w:space="0" w:color="auto"/>
            </w:tcBorders>
            <w:noWrap/>
            <w:vAlign w:val="bottom"/>
          </w:tcPr>
          <w:p w:rsidR="00000000" w:rsidRDefault="00000000">
            <w:pPr>
              <w:spacing w:before="40" w:after="60"/>
              <w:ind w:right="57"/>
              <w:jc w:val="right"/>
              <w:rPr>
                <w:sz w:val="20"/>
                <w:szCs w:val="20"/>
              </w:rPr>
            </w:pPr>
            <w:r>
              <w:rPr>
                <w:sz w:val="20"/>
                <w:szCs w:val="20"/>
              </w:rPr>
              <w:t>341 947</w:t>
            </w:r>
          </w:p>
        </w:tc>
        <w:tc>
          <w:tcPr>
            <w:tcW w:w="375" w:type="pct"/>
            <w:tcBorders>
              <w:top w:val="single" w:sz="4" w:space="0" w:color="auto"/>
            </w:tcBorders>
            <w:noWrap/>
            <w:vAlign w:val="bottom"/>
          </w:tcPr>
          <w:p w:rsidR="00000000" w:rsidRDefault="00000000">
            <w:pPr>
              <w:spacing w:before="40" w:after="60"/>
              <w:ind w:right="57"/>
              <w:jc w:val="right"/>
              <w:rPr>
                <w:sz w:val="20"/>
                <w:szCs w:val="20"/>
              </w:rPr>
            </w:pPr>
            <w:r>
              <w:rPr>
                <w:sz w:val="20"/>
                <w:szCs w:val="20"/>
              </w:rPr>
              <w:t>792 389</w:t>
            </w:r>
          </w:p>
        </w:tc>
        <w:tc>
          <w:tcPr>
            <w:tcW w:w="320" w:type="pct"/>
            <w:tcBorders>
              <w:top w:val="single" w:sz="4" w:space="0" w:color="auto"/>
            </w:tcBorders>
            <w:noWrap/>
            <w:vAlign w:val="bottom"/>
          </w:tcPr>
          <w:p w:rsidR="00000000" w:rsidRDefault="00000000">
            <w:pPr>
              <w:spacing w:before="40" w:after="60"/>
              <w:ind w:right="57"/>
              <w:jc w:val="right"/>
              <w:rPr>
                <w:sz w:val="20"/>
                <w:szCs w:val="20"/>
              </w:rPr>
            </w:pPr>
            <w:r>
              <w:rPr>
                <w:sz w:val="20"/>
                <w:szCs w:val="20"/>
              </w:rPr>
              <w:t>501 736</w:t>
            </w:r>
          </w:p>
        </w:tc>
        <w:tc>
          <w:tcPr>
            <w:tcW w:w="308" w:type="pct"/>
            <w:tcBorders>
              <w:top w:val="single" w:sz="4" w:space="0" w:color="auto"/>
            </w:tcBorders>
            <w:noWrap/>
            <w:vAlign w:val="bottom"/>
          </w:tcPr>
          <w:p w:rsidR="00000000" w:rsidRDefault="00000000">
            <w:pPr>
              <w:spacing w:before="40" w:after="60"/>
              <w:ind w:right="57"/>
              <w:jc w:val="right"/>
              <w:rPr>
                <w:sz w:val="20"/>
                <w:szCs w:val="20"/>
              </w:rPr>
            </w:pPr>
            <w:r>
              <w:rPr>
                <w:sz w:val="20"/>
                <w:szCs w:val="20"/>
              </w:rPr>
              <w:t>290 653</w:t>
            </w:r>
          </w:p>
        </w:tc>
        <w:tc>
          <w:tcPr>
            <w:tcW w:w="368" w:type="pct"/>
            <w:tcBorders>
              <w:top w:val="single" w:sz="4" w:space="0" w:color="auto"/>
            </w:tcBorders>
            <w:noWrap/>
            <w:vAlign w:val="bottom"/>
          </w:tcPr>
          <w:p w:rsidR="00000000" w:rsidRDefault="00000000">
            <w:pPr>
              <w:spacing w:before="40" w:after="60"/>
              <w:ind w:right="57"/>
              <w:jc w:val="right"/>
              <w:rPr>
                <w:sz w:val="20"/>
                <w:szCs w:val="20"/>
              </w:rPr>
            </w:pPr>
            <w:r>
              <w:rPr>
                <w:sz w:val="20"/>
                <w:szCs w:val="20"/>
              </w:rPr>
              <w:t>1 058 824</w:t>
            </w:r>
          </w:p>
        </w:tc>
        <w:tc>
          <w:tcPr>
            <w:tcW w:w="320" w:type="pct"/>
            <w:tcBorders>
              <w:top w:val="single" w:sz="4" w:space="0" w:color="auto"/>
            </w:tcBorders>
            <w:noWrap/>
            <w:vAlign w:val="bottom"/>
          </w:tcPr>
          <w:p w:rsidR="00000000" w:rsidRDefault="00000000">
            <w:pPr>
              <w:spacing w:before="40" w:after="60"/>
              <w:ind w:right="57"/>
              <w:jc w:val="right"/>
              <w:rPr>
                <w:sz w:val="20"/>
                <w:szCs w:val="20"/>
              </w:rPr>
            </w:pPr>
            <w:r>
              <w:rPr>
                <w:sz w:val="20"/>
                <w:szCs w:val="20"/>
              </w:rPr>
              <w:t>641 378</w:t>
            </w:r>
          </w:p>
        </w:tc>
        <w:tc>
          <w:tcPr>
            <w:tcW w:w="364" w:type="pct"/>
            <w:tcBorders>
              <w:top w:val="single" w:sz="4" w:space="0" w:color="auto"/>
            </w:tcBorders>
            <w:noWrap/>
            <w:vAlign w:val="bottom"/>
          </w:tcPr>
          <w:p w:rsidR="00000000" w:rsidRDefault="00000000">
            <w:pPr>
              <w:spacing w:before="40" w:after="60"/>
              <w:ind w:right="57"/>
              <w:jc w:val="right"/>
              <w:rPr>
                <w:sz w:val="20"/>
                <w:szCs w:val="20"/>
              </w:rPr>
            </w:pPr>
            <w:r>
              <w:rPr>
                <w:sz w:val="20"/>
                <w:szCs w:val="20"/>
              </w:rPr>
              <w:t>417 446</w:t>
            </w:r>
          </w:p>
        </w:tc>
        <w:tc>
          <w:tcPr>
            <w:tcW w:w="384" w:type="pct"/>
            <w:tcBorders>
              <w:top w:val="single" w:sz="4" w:space="0" w:color="auto"/>
            </w:tcBorders>
            <w:noWrap/>
            <w:vAlign w:val="bottom"/>
          </w:tcPr>
          <w:p w:rsidR="00000000" w:rsidRDefault="00000000">
            <w:pPr>
              <w:spacing w:before="40" w:after="60"/>
              <w:ind w:right="57"/>
              <w:jc w:val="right"/>
              <w:rPr>
                <w:sz w:val="20"/>
                <w:szCs w:val="20"/>
              </w:rPr>
            </w:pPr>
            <w:r>
              <w:rPr>
                <w:sz w:val="20"/>
                <w:szCs w:val="20"/>
              </w:rPr>
              <w:t>1 018 817</w:t>
            </w:r>
          </w:p>
        </w:tc>
        <w:tc>
          <w:tcPr>
            <w:tcW w:w="389" w:type="pct"/>
            <w:tcBorders>
              <w:top w:val="single" w:sz="4" w:space="0" w:color="auto"/>
            </w:tcBorders>
            <w:noWrap/>
            <w:vAlign w:val="bottom"/>
          </w:tcPr>
          <w:p w:rsidR="00000000" w:rsidRDefault="00000000">
            <w:pPr>
              <w:spacing w:before="40" w:after="60"/>
              <w:ind w:right="57"/>
              <w:jc w:val="right"/>
              <w:rPr>
                <w:sz w:val="20"/>
                <w:szCs w:val="20"/>
              </w:rPr>
            </w:pPr>
            <w:r>
              <w:rPr>
                <w:sz w:val="20"/>
                <w:szCs w:val="20"/>
              </w:rPr>
              <w:t>628 076</w:t>
            </w:r>
          </w:p>
        </w:tc>
        <w:tc>
          <w:tcPr>
            <w:tcW w:w="378" w:type="pct"/>
            <w:tcBorders>
              <w:top w:val="single" w:sz="4" w:space="0" w:color="auto"/>
            </w:tcBorders>
            <w:noWrap/>
            <w:vAlign w:val="bottom"/>
          </w:tcPr>
          <w:p w:rsidR="00000000" w:rsidRDefault="00000000">
            <w:pPr>
              <w:spacing w:before="40" w:after="60"/>
              <w:ind w:right="57"/>
              <w:jc w:val="right"/>
              <w:rPr>
                <w:sz w:val="20"/>
                <w:szCs w:val="20"/>
              </w:rPr>
            </w:pPr>
            <w:r>
              <w:rPr>
                <w:sz w:val="20"/>
                <w:szCs w:val="20"/>
              </w:rPr>
              <w:t>390 741</w:t>
            </w:r>
          </w:p>
        </w:tc>
      </w:tr>
      <w:tr w:rsidR="00000000">
        <w:tc>
          <w:tcPr>
            <w:tcW w:w="782" w:type="pct"/>
            <w:noWrap/>
            <w:vAlign w:val="bottom"/>
          </w:tcPr>
          <w:p w:rsidR="00000000" w:rsidRDefault="00000000">
            <w:pPr>
              <w:spacing w:before="40" w:after="60"/>
              <w:ind w:right="57"/>
              <w:rPr>
                <w:sz w:val="20"/>
                <w:szCs w:val="20"/>
              </w:rPr>
            </w:pPr>
            <w:r>
              <w:rPr>
                <w:sz w:val="20"/>
                <w:szCs w:val="20"/>
              </w:rPr>
              <w:t>Economically inactive population (EIP) (**)</w:t>
            </w:r>
          </w:p>
        </w:tc>
        <w:tc>
          <w:tcPr>
            <w:tcW w:w="315" w:type="pct"/>
            <w:noWrap/>
            <w:vAlign w:val="bottom"/>
          </w:tcPr>
          <w:p w:rsidR="00000000" w:rsidRDefault="00000000">
            <w:pPr>
              <w:spacing w:before="40" w:after="60"/>
              <w:ind w:right="57"/>
              <w:jc w:val="right"/>
              <w:rPr>
                <w:sz w:val="20"/>
                <w:szCs w:val="20"/>
              </w:rPr>
            </w:pPr>
            <w:r>
              <w:rPr>
                <w:sz w:val="20"/>
                <w:szCs w:val="20"/>
              </w:rPr>
              <w:t>282 666</w:t>
            </w:r>
          </w:p>
        </w:tc>
        <w:tc>
          <w:tcPr>
            <w:tcW w:w="377" w:type="pct"/>
            <w:noWrap/>
            <w:vAlign w:val="bottom"/>
          </w:tcPr>
          <w:p w:rsidR="00000000" w:rsidRDefault="00000000">
            <w:pPr>
              <w:spacing w:before="40" w:after="60"/>
              <w:ind w:right="57"/>
              <w:jc w:val="right"/>
              <w:rPr>
                <w:sz w:val="20"/>
                <w:szCs w:val="20"/>
              </w:rPr>
            </w:pPr>
            <w:r>
              <w:rPr>
                <w:sz w:val="20"/>
                <w:szCs w:val="20"/>
              </w:rPr>
              <w:t>54 506</w:t>
            </w:r>
          </w:p>
        </w:tc>
        <w:tc>
          <w:tcPr>
            <w:tcW w:w="320" w:type="pct"/>
            <w:noWrap/>
            <w:vAlign w:val="bottom"/>
          </w:tcPr>
          <w:p w:rsidR="00000000" w:rsidRDefault="00000000">
            <w:pPr>
              <w:spacing w:before="40" w:after="60"/>
              <w:ind w:right="57"/>
              <w:jc w:val="right"/>
              <w:rPr>
                <w:sz w:val="20"/>
                <w:szCs w:val="20"/>
              </w:rPr>
            </w:pPr>
            <w:r>
              <w:rPr>
                <w:sz w:val="20"/>
                <w:szCs w:val="20"/>
              </w:rPr>
              <w:t>228 161</w:t>
            </w:r>
          </w:p>
        </w:tc>
        <w:tc>
          <w:tcPr>
            <w:tcW w:w="375" w:type="pct"/>
            <w:noWrap/>
            <w:vAlign w:val="bottom"/>
          </w:tcPr>
          <w:p w:rsidR="00000000" w:rsidRDefault="00000000">
            <w:pPr>
              <w:spacing w:before="40" w:after="60"/>
              <w:ind w:right="57"/>
              <w:jc w:val="right"/>
              <w:rPr>
                <w:sz w:val="20"/>
                <w:szCs w:val="20"/>
              </w:rPr>
            </w:pPr>
            <w:r>
              <w:rPr>
                <w:sz w:val="20"/>
                <w:szCs w:val="20"/>
              </w:rPr>
              <w:t>499 746</w:t>
            </w:r>
          </w:p>
        </w:tc>
        <w:tc>
          <w:tcPr>
            <w:tcW w:w="320" w:type="pct"/>
            <w:noWrap/>
            <w:vAlign w:val="bottom"/>
          </w:tcPr>
          <w:p w:rsidR="00000000" w:rsidRDefault="00000000">
            <w:pPr>
              <w:spacing w:before="40" w:after="60"/>
              <w:ind w:right="57"/>
              <w:jc w:val="right"/>
              <w:rPr>
                <w:sz w:val="20"/>
                <w:szCs w:val="20"/>
              </w:rPr>
            </w:pPr>
            <w:r>
              <w:rPr>
                <w:sz w:val="20"/>
                <w:szCs w:val="20"/>
              </w:rPr>
              <w:t>135 122</w:t>
            </w:r>
          </w:p>
        </w:tc>
        <w:tc>
          <w:tcPr>
            <w:tcW w:w="308" w:type="pct"/>
            <w:noWrap/>
            <w:vAlign w:val="bottom"/>
          </w:tcPr>
          <w:p w:rsidR="00000000" w:rsidRDefault="00000000">
            <w:pPr>
              <w:spacing w:before="40" w:after="60"/>
              <w:ind w:right="57"/>
              <w:jc w:val="right"/>
              <w:rPr>
                <w:sz w:val="20"/>
                <w:szCs w:val="20"/>
              </w:rPr>
            </w:pPr>
            <w:r>
              <w:rPr>
                <w:sz w:val="20"/>
                <w:szCs w:val="20"/>
              </w:rPr>
              <w:t>364 624</w:t>
            </w:r>
          </w:p>
        </w:tc>
        <w:tc>
          <w:tcPr>
            <w:tcW w:w="368" w:type="pct"/>
            <w:noWrap/>
            <w:vAlign w:val="bottom"/>
          </w:tcPr>
          <w:p w:rsidR="00000000" w:rsidRDefault="00000000">
            <w:pPr>
              <w:spacing w:before="40" w:after="60"/>
              <w:ind w:right="57"/>
              <w:jc w:val="right"/>
              <w:rPr>
                <w:sz w:val="20"/>
                <w:szCs w:val="20"/>
              </w:rPr>
            </w:pPr>
            <w:r>
              <w:rPr>
                <w:sz w:val="20"/>
                <w:szCs w:val="20"/>
              </w:rPr>
              <w:t>515 966</w:t>
            </w:r>
          </w:p>
        </w:tc>
        <w:tc>
          <w:tcPr>
            <w:tcW w:w="320" w:type="pct"/>
            <w:noWrap/>
            <w:vAlign w:val="bottom"/>
          </w:tcPr>
          <w:p w:rsidR="00000000" w:rsidRDefault="00000000">
            <w:pPr>
              <w:spacing w:before="40" w:after="60"/>
              <w:ind w:right="57"/>
              <w:jc w:val="right"/>
              <w:rPr>
                <w:sz w:val="20"/>
                <w:szCs w:val="20"/>
              </w:rPr>
            </w:pPr>
            <w:r>
              <w:rPr>
                <w:sz w:val="20"/>
                <w:szCs w:val="20"/>
              </w:rPr>
              <w:t>140 477</w:t>
            </w:r>
          </w:p>
        </w:tc>
        <w:tc>
          <w:tcPr>
            <w:tcW w:w="364" w:type="pct"/>
            <w:noWrap/>
            <w:vAlign w:val="bottom"/>
          </w:tcPr>
          <w:p w:rsidR="00000000" w:rsidRDefault="00000000">
            <w:pPr>
              <w:spacing w:before="40" w:after="60"/>
              <w:ind w:right="57"/>
              <w:jc w:val="right"/>
              <w:rPr>
                <w:sz w:val="20"/>
                <w:szCs w:val="20"/>
              </w:rPr>
            </w:pPr>
            <w:r>
              <w:rPr>
                <w:sz w:val="20"/>
                <w:szCs w:val="20"/>
              </w:rPr>
              <w:t>375 489</w:t>
            </w:r>
          </w:p>
        </w:tc>
        <w:tc>
          <w:tcPr>
            <w:tcW w:w="384" w:type="pct"/>
            <w:noWrap/>
            <w:vAlign w:val="bottom"/>
          </w:tcPr>
          <w:p w:rsidR="00000000" w:rsidRDefault="00000000">
            <w:pPr>
              <w:spacing w:before="40" w:after="60"/>
              <w:ind w:right="57"/>
              <w:jc w:val="right"/>
              <w:rPr>
                <w:sz w:val="20"/>
                <w:szCs w:val="20"/>
              </w:rPr>
            </w:pPr>
            <w:r>
              <w:rPr>
                <w:sz w:val="20"/>
                <w:szCs w:val="20"/>
              </w:rPr>
              <w:t>549 765</w:t>
            </w:r>
          </w:p>
        </w:tc>
        <w:tc>
          <w:tcPr>
            <w:tcW w:w="389" w:type="pct"/>
            <w:noWrap/>
            <w:vAlign w:val="bottom"/>
          </w:tcPr>
          <w:p w:rsidR="00000000" w:rsidRDefault="00000000">
            <w:pPr>
              <w:spacing w:before="40" w:after="60"/>
              <w:ind w:right="57"/>
              <w:jc w:val="right"/>
              <w:rPr>
                <w:sz w:val="20"/>
                <w:szCs w:val="20"/>
              </w:rPr>
            </w:pPr>
            <w:r>
              <w:rPr>
                <w:sz w:val="20"/>
                <w:szCs w:val="20"/>
              </w:rPr>
              <w:t>166 466</w:t>
            </w:r>
          </w:p>
        </w:tc>
        <w:tc>
          <w:tcPr>
            <w:tcW w:w="378" w:type="pct"/>
            <w:noWrap/>
            <w:vAlign w:val="bottom"/>
          </w:tcPr>
          <w:p w:rsidR="00000000" w:rsidRDefault="00000000">
            <w:pPr>
              <w:spacing w:before="40" w:after="60"/>
              <w:ind w:right="57"/>
              <w:jc w:val="right"/>
              <w:rPr>
                <w:sz w:val="20"/>
                <w:szCs w:val="20"/>
              </w:rPr>
            </w:pPr>
            <w:r>
              <w:rPr>
                <w:sz w:val="20"/>
                <w:szCs w:val="20"/>
              </w:rPr>
              <w:t>383 299</w:t>
            </w:r>
          </w:p>
        </w:tc>
      </w:tr>
      <w:tr w:rsidR="00000000">
        <w:tc>
          <w:tcPr>
            <w:tcW w:w="782" w:type="pct"/>
            <w:noWrap/>
            <w:vAlign w:val="bottom"/>
          </w:tcPr>
          <w:p w:rsidR="00000000" w:rsidRDefault="00000000">
            <w:pPr>
              <w:spacing w:before="40" w:after="60"/>
              <w:ind w:right="57"/>
              <w:rPr>
                <w:sz w:val="20"/>
                <w:szCs w:val="20"/>
              </w:rPr>
            </w:pPr>
            <w:r>
              <w:rPr>
                <w:sz w:val="20"/>
                <w:szCs w:val="20"/>
              </w:rPr>
              <w:t>Employed population</w:t>
            </w:r>
          </w:p>
        </w:tc>
        <w:tc>
          <w:tcPr>
            <w:tcW w:w="315" w:type="pct"/>
            <w:noWrap/>
            <w:vAlign w:val="bottom"/>
          </w:tcPr>
          <w:p w:rsidR="00000000" w:rsidRDefault="00000000">
            <w:pPr>
              <w:spacing w:before="40" w:after="60"/>
              <w:ind w:right="57"/>
              <w:jc w:val="right"/>
              <w:rPr>
                <w:sz w:val="20"/>
                <w:szCs w:val="20"/>
              </w:rPr>
            </w:pPr>
            <w:r>
              <w:rPr>
                <w:sz w:val="20"/>
                <w:szCs w:val="20"/>
              </w:rPr>
              <w:t>791 151</w:t>
            </w:r>
          </w:p>
        </w:tc>
        <w:tc>
          <w:tcPr>
            <w:tcW w:w="377" w:type="pct"/>
            <w:noWrap/>
            <w:vAlign w:val="bottom"/>
          </w:tcPr>
          <w:p w:rsidR="00000000" w:rsidRDefault="00000000">
            <w:pPr>
              <w:spacing w:before="40" w:after="60"/>
              <w:ind w:right="57"/>
              <w:jc w:val="right"/>
              <w:rPr>
                <w:sz w:val="20"/>
                <w:szCs w:val="20"/>
              </w:rPr>
            </w:pPr>
            <w:r>
              <w:rPr>
                <w:sz w:val="20"/>
                <w:szCs w:val="20"/>
              </w:rPr>
              <w:t>469 791</w:t>
            </w:r>
          </w:p>
        </w:tc>
        <w:tc>
          <w:tcPr>
            <w:tcW w:w="320" w:type="pct"/>
            <w:noWrap/>
            <w:vAlign w:val="bottom"/>
          </w:tcPr>
          <w:p w:rsidR="00000000" w:rsidRDefault="00000000">
            <w:pPr>
              <w:spacing w:before="40" w:after="60"/>
              <w:ind w:right="57"/>
              <w:jc w:val="right"/>
              <w:rPr>
                <w:sz w:val="20"/>
                <w:szCs w:val="20"/>
              </w:rPr>
            </w:pPr>
            <w:r>
              <w:rPr>
                <w:sz w:val="20"/>
                <w:szCs w:val="20"/>
              </w:rPr>
              <w:t>321 360</w:t>
            </w:r>
          </w:p>
        </w:tc>
        <w:tc>
          <w:tcPr>
            <w:tcW w:w="375" w:type="pct"/>
            <w:noWrap/>
            <w:vAlign w:val="bottom"/>
          </w:tcPr>
          <w:p w:rsidR="00000000" w:rsidRDefault="00000000">
            <w:pPr>
              <w:spacing w:before="40" w:after="60"/>
              <w:ind w:right="57"/>
              <w:jc w:val="right"/>
              <w:rPr>
                <w:sz w:val="20"/>
                <w:szCs w:val="20"/>
              </w:rPr>
            </w:pPr>
            <w:r>
              <w:rPr>
                <w:sz w:val="20"/>
                <w:szCs w:val="20"/>
              </w:rPr>
              <w:t>712 740</w:t>
            </w:r>
          </w:p>
        </w:tc>
        <w:tc>
          <w:tcPr>
            <w:tcW w:w="320" w:type="pct"/>
            <w:noWrap/>
            <w:vAlign w:val="bottom"/>
          </w:tcPr>
          <w:p w:rsidR="00000000" w:rsidRDefault="00000000">
            <w:pPr>
              <w:spacing w:before="40" w:after="60"/>
              <w:ind w:right="57"/>
              <w:jc w:val="right"/>
              <w:rPr>
                <w:sz w:val="20"/>
                <w:szCs w:val="20"/>
              </w:rPr>
            </w:pPr>
            <w:r>
              <w:rPr>
                <w:sz w:val="20"/>
                <w:szCs w:val="20"/>
              </w:rPr>
              <w:t>456 537</w:t>
            </w:r>
          </w:p>
        </w:tc>
        <w:tc>
          <w:tcPr>
            <w:tcW w:w="308" w:type="pct"/>
            <w:noWrap/>
            <w:vAlign w:val="bottom"/>
          </w:tcPr>
          <w:p w:rsidR="00000000" w:rsidRDefault="00000000">
            <w:pPr>
              <w:spacing w:before="40" w:after="60"/>
              <w:ind w:right="57"/>
              <w:jc w:val="right"/>
              <w:rPr>
                <w:sz w:val="20"/>
                <w:szCs w:val="20"/>
              </w:rPr>
            </w:pPr>
            <w:r>
              <w:rPr>
                <w:sz w:val="20"/>
                <w:szCs w:val="20"/>
              </w:rPr>
              <w:t>256 203</w:t>
            </w:r>
          </w:p>
        </w:tc>
        <w:tc>
          <w:tcPr>
            <w:tcW w:w="368" w:type="pct"/>
            <w:noWrap/>
            <w:vAlign w:val="bottom"/>
          </w:tcPr>
          <w:p w:rsidR="00000000" w:rsidRDefault="00000000">
            <w:pPr>
              <w:spacing w:before="40" w:after="60"/>
              <w:ind w:right="57"/>
              <w:jc w:val="right"/>
              <w:rPr>
                <w:sz w:val="20"/>
                <w:szCs w:val="20"/>
              </w:rPr>
            </w:pPr>
            <w:r>
              <w:rPr>
                <w:sz w:val="20"/>
                <w:szCs w:val="20"/>
              </w:rPr>
              <w:t>935 416</w:t>
            </w:r>
          </w:p>
        </w:tc>
        <w:tc>
          <w:tcPr>
            <w:tcW w:w="320" w:type="pct"/>
            <w:noWrap/>
            <w:vAlign w:val="bottom"/>
          </w:tcPr>
          <w:p w:rsidR="00000000" w:rsidRDefault="00000000">
            <w:pPr>
              <w:spacing w:before="40" w:after="60"/>
              <w:ind w:right="57"/>
              <w:jc w:val="right"/>
              <w:rPr>
                <w:sz w:val="20"/>
                <w:szCs w:val="20"/>
              </w:rPr>
            </w:pPr>
            <w:r>
              <w:rPr>
                <w:sz w:val="20"/>
                <w:szCs w:val="20"/>
              </w:rPr>
              <w:t>585 842</w:t>
            </w:r>
          </w:p>
        </w:tc>
        <w:tc>
          <w:tcPr>
            <w:tcW w:w="364" w:type="pct"/>
            <w:noWrap/>
            <w:vAlign w:val="bottom"/>
          </w:tcPr>
          <w:p w:rsidR="00000000" w:rsidRDefault="00000000">
            <w:pPr>
              <w:spacing w:before="40" w:after="60"/>
              <w:ind w:right="57"/>
              <w:jc w:val="right"/>
              <w:rPr>
                <w:sz w:val="20"/>
                <w:szCs w:val="20"/>
              </w:rPr>
            </w:pPr>
            <w:r>
              <w:rPr>
                <w:sz w:val="20"/>
                <w:szCs w:val="20"/>
              </w:rPr>
              <w:t>349 574</w:t>
            </w:r>
          </w:p>
        </w:tc>
        <w:tc>
          <w:tcPr>
            <w:tcW w:w="384" w:type="pct"/>
            <w:noWrap/>
            <w:vAlign w:val="bottom"/>
          </w:tcPr>
          <w:p w:rsidR="00000000" w:rsidRDefault="00000000">
            <w:pPr>
              <w:spacing w:before="40" w:after="60"/>
              <w:ind w:right="57"/>
              <w:jc w:val="right"/>
              <w:rPr>
                <w:sz w:val="20"/>
                <w:szCs w:val="20"/>
              </w:rPr>
            </w:pPr>
            <w:r>
              <w:rPr>
                <w:sz w:val="20"/>
                <w:szCs w:val="20"/>
              </w:rPr>
              <w:t>917 466</w:t>
            </w:r>
          </w:p>
        </w:tc>
        <w:tc>
          <w:tcPr>
            <w:tcW w:w="389" w:type="pct"/>
            <w:noWrap/>
            <w:vAlign w:val="bottom"/>
          </w:tcPr>
          <w:p w:rsidR="00000000" w:rsidRDefault="00000000">
            <w:pPr>
              <w:spacing w:before="40" w:after="60"/>
              <w:ind w:right="57"/>
              <w:jc w:val="right"/>
              <w:rPr>
                <w:sz w:val="20"/>
                <w:szCs w:val="20"/>
              </w:rPr>
            </w:pPr>
            <w:r>
              <w:rPr>
                <w:sz w:val="20"/>
                <w:szCs w:val="20"/>
              </w:rPr>
              <w:t>579 022</w:t>
            </w:r>
          </w:p>
        </w:tc>
        <w:tc>
          <w:tcPr>
            <w:tcW w:w="378" w:type="pct"/>
            <w:noWrap/>
            <w:vAlign w:val="bottom"/>
          </w:tcPr>
          <w:p w:rsidR="00000000" w:rsidRDefault="00000000">
            <w:pPr>
              <w:spacing w:before="40" w:after="60"/>
              <w:ind w:right="57"/>
              <w:jc w:val="right"/>
              <w:rPr>
                <w:sz w:val="20"/>
                <w:szCs w:val="20"/>
              </w:rPr>
            </w:pPr>
            <w:r>
              <w:rPr>
                <w:sz w:val="20"/>
                <w:szCs w:val="20"/>
              </w:rPr>
              <w:t>338 444</w:t>
            </w:r>
          </w:p>
        </w:tc>
      </w:tr>
      <w:tr w:rsidR="00000000">
        <w:tc>
          <w:tcPr>
            <w:tcW w:w="782" w:type="pct"/>
            <w:noWrap/>
            <w:vAlign w:val="bottom"/>
          </w:tcPr>
          <w:p w:rsidR="00000000" w:rsidRDefault="00000000">
            <w:pPr>
              <w:spacing w:before="40" w:after="60"/>
              <w:ind w:right="57"/>
              <w:rPr>
                <w:sz w:val="20"/>
                <w:szCs w:val="20"/>
              </w:rPr>
            </w:pPr>
            <w:r>
              <w:rPr>
                <w:sz w:val="20"/>
                <w:szCs w:val="20"/>
              </w:rPr>
              <w:t>Overt unemployment</w:t>
            </w:r>
          </w:p>
        </w:tc>
        <w:tc>
          <w:tcPr>
            <w:tcW w:w="315" w:type="pct"/>
            <w:noWrap/>
            <w:vAlign w:val="bottom"/>
          </w:tcPr>
          <w:p w:rsidR="00000000" w:rsidRDefault="00000000">
            <w:pPr>
              <w:spacing w:before="40" w:after="60"/>
              <w:ind w:right="57"/>
              <w:jc w:val="right"/>
              <w:rPr>
                <w:sz w:val="20"/>
                <w:szCs w:val="20"/>
              </w:rPr>
            </w:pPr>
            <w:r>
              <w:rPr>
                <w:sz w:val="20"/>
                <w:szCs w:val="20"/>
              </w:rPr>
              <w:t>43 472</w:t>
            </w:r>
          </w:p>
        </w:tc>
        <w:tc>
          <w:tcPr>
            <w:tcW w:w="377" w:type="pct"/>
            <w:noWrap/>
            <w:vAlign w:val="bottom"/>
          </w:tcPr>
          <w:p w:rsidR="00000000" w:rsidRDefault="00000000">
            <w:pPr>
              <w:spacing w:before="40" w:after="60"/>
              <w:ind w:right="57"/>
              <w:jc w:val="right"/>
              <w:rPr>
                <w:sz w:val="20"/>
                <w:szCs w:val="20"/>
              </w:rPr>
            </w:pPr>
            <w:r>
              <w:rPr>
                <w:sz w:val="20"/>
                <w:szCs w:val="20"/>
              </w:rPr>
              <w:t>22 886</w:t>
            </w:r>
          </w:p>
        </w:tc>
        <w:tc>
          <w:tcPr>
            <w:tcW w:w="320" w:type="pct"/>
            <w:noWrap/>
            <w:vAlign w:val="bottom"/>
          </w:tcPr>
          <w:p w:rsidR="00000000" w:rsidRDefault="00000000">
            <w:pPr>
              <w:spacing w:before="40" w:after="60"/>
              <w:ind w:right="57"/>
              <w:jc w:val="right"/>
              <w:rPr>
                <w:sz w:val="20"/>
                <w:szCs w:val="20"/>
              </w:rPr>
            </w:pPr>
            <w:r>
              <w:rPr>
                <w:sz w:val="20"/>
                <w:szCs w:val="20"/>
              </w:rPr>
              <w:t>20 586</w:t>
            </w:r>
          </w:p>
        </w:tc>
        <w:tc>
          <w:tcPr>
            <w:tcW w:w="375" w:type="pct"/>
            <w:noWrap/>
            <w:vAlign w:val="bottom"/>
          </w:tcPr>
          <w:p w:rsidR="00000000" w:rsidRDefault="00000000">
            <w:pPr>
              <w:spacing w:before="40" w:after="60"/>
              <w:ind w:right="57"/>
              <w:jc w:val="right"/>
              <w:rPr>
                <w:sz w:val="20"/>
                <w:szCs w:val="20"/>
              </w:rPr>
            </w:pPr>
            <w:r>
              <w:rPr>
                <w:sz w:val="20"/>
                <w:szCs w:val="20"/>
              </w:rPr>
              <w:t>79 648</w:t>
            </w:r>
          </w:p>
        </w:tc>
        <w:tc>
          <w:tcPr>
            <w:tcW w:w="320" w:type="pct"/>
            <w:noWrap/>
            <w:vAlign w:val="bottom"/>
          </w:tcPr>
          <w:p w:rsidR="00000000" w:rsidRDefault="00000000">
            <w:pPr>
              <w:spacing w:before="40" w:after="60"/>
              <w:ind w:right="57"/>
              <w:jc w:val="right"/>
              <w:rPr>
                <w:sz w:val="20"/>
                <w:szCs w:val="20"/>
              </w:rPr>
            </w:pPr>
            <w:r>
              <w:rPr>
                <w:sz w:val="20"/>
                <w:szCs w:val="20"/>
              </w:rPr>
              <w:t>45 198</w:t>
            </w:r>
          </w:p>
        </w:tc>
        <w:tc>
          <w:tcPr>
            <w:tcW w:w="308" w:type="pct"/>
            <w:noWrap/>
            <w:vAlign w:val="bottom"/>
          </w:tcPr>
          <w:p w:rsidR="00000000" w:rsidRDefault="00000000">
            <w:pPr>
              <w:spacing w:before="40" w:after="60"/>
              <w:ind w:right="57"/>
              <w:jc w:val="right"/>
              <w:rPr>
                <w:sz w:val="20"/>
                <w:szCs w:val="20"/>
              </w:rPr>
            </w:pPr>
            <w:r>
              <w:rPr>
                <w:sz w:val="20"/>
                <w:szCs w:val="20"/>
              </w:rPr>
              <w:t>34 450</w:t>
            </w:r>
          </w:p>
        </w:tc>
        <w:tc>
          <w:tcPr>
            <w:tcW w:w="368" w:type="pct"/>
            <w:noWrap/>
            <w:vAlign w:val="bottom"/>
          </w:tcPr>
          <w:p w:rsidR="00000000" w:rsidRDefault="00000000">
            <w:pPr>
              <w:spacing w:before="40" w:after="60"/>
              <w:ind w:right="57"/>
              <w:jc w:val="right"/>
              <w:rPr>
                <w:sz w:val="20"/>
                <w:szCs w:val="20"/>
              </w:rPr>
            </w:pPr>
            <w:r>
              <w:rPr>
                <w:sz w:val="20"/>
                <w:szCs w:val="20"/>
              </w:rPr>
              <w:t>123 408</w:t>
            </w:r>
          </w:p>
        </w:tc>
        <w:tc>
          <w:tcPr>
            <w:tcW w:w="320" w:type="pct"/>
            <w:noWrap/>
            <w:vAlign w:val="bottom"/>
          </w:tcPr>
          <w:p w:rsidR="00000000" w:rsidRDefault="00000000">
            <w:pPr>
              <w:spacing w:before="40" w:after="60"/>
              <w:ind w:right="57"/>
              <w:jc w:val="right"/>
              <w:rPr>
                <w:sz w:val="20"/>
                <w:szCs w:val="20"/>
              </w:rPr>
            </w:pPr>
            <w:r>
              <w:rPr>
                <w:sz w:val="20"/>
                <w:szCs w:val="20"/>
              </w:rPr>
              <w:t>55 536</w:t>
            </w:r>
          </w:p>
        </w:tc>
        <w:tc>
          <w:tcPr>
            <w:tcW w:w="364" w:type="pct"/>
            <w:noWrap/>
            <w:vAlign w:val="bottom"/>
          </w:tcPr>
          <w:p w:rsidR="00000000" w:rsidRDefault="00000000">
            <w:pPr>
              <w:spacing w:before="40" w:after="60"/>
              <w:ind w:right="57"/>
              <w:jc w:val="right"/>
              <w:rPr>
                <w:sz w:val="20"/>
                <w:szCs w:val="20"/>
              </w:rPr>
            </w:pPr>
            <w:r>
              <w:rPr>
                <w:sz w:val="20"/>
                <w:szCs w:val="20"/>
              </w:rPr>
              <w:t>67 872</w:t>
            </w:r>
          </w:p>
        </w:tc>
        <w:tc>
          <w:tcPr>
            <w:tcW w:w="384" w:type="pct"/>
            <w:noWrap/>
            <w:vAlign w:val="bottom"/>
          </w:tcPr>
          <w:p w:rsidR="00000000" w:rsidRDefault="00000000">
            <w:pPr>
              <w:spacing w:before="40" w:after="60"/>
              <w:ind w:right="57"/>
              <w:jc w:val="right"/>
              <w:rPr>
                <w:sz w:val="20"/>
                <w:szCs w:val="20"/>
              </w:rPr>
            </w:pPr>
            <w:r>
              <w:rPr>
                <w:sz w:val="20"/>
                <w:szCs w:val="20"/>
              </w:rPr>
              <w:t>101 351</w:t>
            </w:r>
          </w:p>
        </w:tc>
        <w:tc>
          <w:tcPr>
            <w:tcW w:w="389" w:type="pct"/>
            <w:noWrap/>
            <w:vAlign w:val="bottom"/>
          </w:tcPr>
          <w:p w:rsidR="00000000" w:rsidRDefault="00000000">
            <w:pPr>
              <w:spacing w:before="40" w:after="60"/>
              <w:ind w:right="57"/>
              <w:jc w:val="right"/>
              <w:rPr>
                <w:sz w:val="20"/>
                <w:szCs w:val="20"/>
              </w:rPr>
            </w:pPr>
            <w:r>
              <w:rPr>
                <w:sz w:val="20"/>
                <w:szCs w:val="20"/>
              </w:rPr>
              <w:t>49 054</w:t>
            </w:r>
          </w:p>
        </w:tc>
        <w:tc>
          <w:tcPr>
            <w:tcW w:w="378" w:type="pct"/>
            <w:noWrap/>
            <w:vAlign w:val="bottom"/>
          </w:tcPr>
          <w:p w:rsidR="00000000" w:rsidRDefault="00000000">
            <w:pPr>
              <w:spacing w:before="40" w:after="60"/>
              <w:ind w:right="57"/>
              <w:jc w:val="right"/>
              <w:rPr>
                <w:sz w:val="20"/>
                <w:szCs w:val="20"/>
              </w:rPr>
            </w:pPr>
            <w:r>
              <w:rPr>
                <w:sz w:val="20"/>
                <w:szCs w:val="20"/>
              </w:rPr>
              <w:t>52 297</w:t>
            </w:r>
          </w:p>
        </w:tc>
      </w:tr>
      <w:tr w:rsidR="00000000">
        <w:tc>
          <w:tcPr>
            <w:tcW w:w="782" w:type="pct"/>
            <w:noWrap/>
            <w:vAlign w:val="bottom"/>
          </w:tcPr>
          <w:p w:rsidR="00000000" w:rsidRDefault="00000000">
            <w:pPr>
              <w:spacing w:before="40" w:after="60"/>
              <w:ind w:right="57"/>
              <w:rPr>
                <w:sz w:val="20"/>
                <w:szCs w:val="20"/>
              </w:rPr>
            </w:pPr>
            <w:r>
              <w:rPr>
                <w:sz w:val="20"/>
                <w:szCs w:val="20"/>
              </w:rPr>
              <w:t>Invisible unemployment</w:t>
            </w:r>
          </w:p>
        </w:tc>
        <w:tc>
          <w:tcPr>
            <w:tcW w:w="315" w:type="pct"/>
            <w:noWrap/>
            <w:vAlign w:val="bottom"/>
          </w:tcPr>
          <w:p w:rsidR="00000000" w:rsidRDefault="00000000">
            <w:pPr>
              <w:spacing w:before="40" w:after="60"/>
              <w:ind w:right="57"/>
              <w:jc w:val="right"/>
              <w:rPr>
                <w:sz w:val="20"/>
                <w:szCs w:val="20"/>
              </w:rPr>
            </w:pPr>
            <w:r>
              <w:rPr>
                <w:sz w:val="20"/>
                <w:szCs w:val="20"/>
              </w:rPr>
              <w:t>29 196</w:t>
            </w:r>
          </w:p>
        </w:tc>
        <w:tc>
          <w:tcPr>
            <w:tcW w:w="377" w:type="pct"/>
            <w:noWrap/>
            <w:vAlign w:val="bottom"/>
          </w:tcPr>
          <w:p w:rsidR="00000000" w:rsidRDefault="00000000">
            <w:pPr>
              <w:spacing w:before="40" w:after="60"/>
              <w:ind w:right="57"/>
              <w:jc w:val="right"/>
              <w:rPr>
                <w:sz w:val="20"/>
                <w:szCs w:val="20"/>
              </w:rPr>
            </w:pPr>
            <w:r>
              <w:rPr>
                <w:sz w:val="20"/>
                <w:szCs w:val="20"/>
              </w:rPr>
              <w:t>10 021</w:t>
            </w:r>
          </w:p>
        </w:tc>
        <w:tc>
          <w:tcPr>
            <w:tcW w:w="320" w:type="pct"/>
            <w:noWrap/>
            <w:vAlign w:val="bottom"/>
          </w:tcPr>
          <w:p w:rsidR="00000000" w:rsidRDefault="00000000">
            <w:pPr>
              <w:spacing w:before="40" w:after="60"/>
              <w:ind w:right="57"/>
              <w:jc w:val="right"/>
              <w:rPr>
                <w:sz w:val="20"/>
                <w:szCs w:val="20"/>
              </w:rPr>
            </w:pPr>
            <w:r>
              <w:rPr>
                <w:sz w:val="20"/>
                <w:szCs w:val="20"/>
              </w:rPr>
              <w:t>19 175</w:t>
            </w:r>
          </w:p>
        </w:tc>
        <w:tc>
          <w:tcPr>
            <w:tcW w:w="375" w:type="pct"/>
            <w:noWrap/>
            <w:vAlign w:val="bottom"/>
          </w:tcPr>
          <w:p w:rsidR="00000000" w:rsidRDefault="00000000">
            <w:pPr>
              <w:spacing w:before="40" w:after="60"/>
              <w:ind w:right="57"/>
              <w:jc w:val="right"/>
              <w:rPr>
                <w:sz w:val="20"/>
                <w:szCs w:val="20"/>
              </w:rPr>
            </w:pPr>
            <w:r>
              <w:rPr>
                <w:sz w:val="20"/>
                <w:szCs w:val="20"/>
              </w:rPr>
              <w:t>121 461</w:t>
            </w:r>
          </w:p>
        </w:tc>
        <w:tc>
          <w:tcPr>
            <w:tcW w:w="320" w:type="pct"/>
            <w:noWrap/>
            <w:vAlign w:val="bottom"/>
          </w:tcPr>
          <w:p w:rsidR="00000000" w:rsidRDefault="00000000">
            <w:pPr>
              <w:spacing w:before="40" w:after="60"/>
              <w:ind w:right="57"/>
              <w:jc w:val="right"/>
              <w:rPr>
                <w:sz w:val="20"/>
                <w:szCs w:val="20"/>
              </w:rPr>
            </w:pPr>
            <w:r>
              <w:rPr>
                <w:sz w:val="20"/>
                <w:szCs w:val="20"/>
              </w:rPr>
              <w:t>41 246</w:t>
            </w:r>
          </w:p>
        </w:tc>
        <w:tc>
          <w:tcPr>
            <w:tcW w:w="308" w:type="pct"/>
            <w:noWrap/>
            <w:vAlign w:val="bottom"/>
          </w:tcPr>
          <w:p w:rsidR="00000000" w:rsidRDefault="00000000">
            <w:pPr>
              <w:spacing w:before="40" w:after="60"/>
              <w:ind w:right="57"/>
              <w:jc w:val="right"/>
              <w:rPr>
                <w:sz w:val="20"/>
                <w:szCs w:val="20"/>
              </w:rPr>
            </w:pPr>
            <w:r>
              <w:rPr>
                <w:sz w:val="20"/>
                <w:szCs w:val="20"/>
              </w:rPr>
              <w:t>80 215</w:t>
            </w:r>
          </w:p>
        </w:tc>
        <w:tc>
          <w:tcPr>
            <w:tcW w:w="368" w:type="pct"/>
            <w:noWrap/>
            <w:vAlign w:val="bottom"/>
          </w:tcPr>
          <w:p w:rsidR="00000000" w:rsidRDefault="00000000">
            <w:pPr>
              <w:spacing w:before="40" w:after="60"/>
              <w:ind w:right="57"/>
              <w:jc w:val="right"/>
              <w:rPr>
                <w:sz w:val="20"/>
                <w:szCs w:val="20"/>
              </w:rPr>
            </w:pPr>
            <w:r>
              <w:rPr>
                <w:sz w:val="20"/>
                <w:szCs w:val="20"/>
              </w:rPr>
              <w:t>60 490</w:t>
            </w:r>
          </w:p>
        </w:tc>
        <w:tc>
          <w:tcPr>
            <w:tcW w:w="320" w:type="pct"/>
            <w:noWrap/>
            <w:vAlign w:val="bottom"/>
          </w:tcPr>
          <w:p w:rsidR="00000000" w:rsidRDefault="00000000">
            <w:pPr>
              <w:spacing w:before="40" w:after="60"/>
              <w:ind w:right="57"/>
              <w:jc w:val="right"/>
              <w:rPr>
                <w:sz w:val="20"/>
                <w:szCs w:val="20"/>
              </w:rPr>
            </w:pPr>
            <w:r>
              <w:rPr>
                <w:sz w:val="20"/>
                <w:szCs w:val="20"/>
              </w:rPr>
              <w:t>21 280</w:t>
            </w:r>
          </w:p>
        </w:tc>
        <w:tc>
          <w:tcPr>
            <w:tcW w:w="364" w:type="pct"/>
            <w:noWrap/>
            <w:vAlign w:val="bottom"/>
          </w:tcPr>
          <w:p w:rsidR="00000000" w:rsidRDefault="00000000">
            <w:pPr>
              <w:spacing w:before="40" w:after="60"/>
              <w:ind w:right="57"/>
              <w:jc w:val="right"/>
              <w:rPr>
                <w:sz w:val="20"/>
                <w:szCs w:val="20"/>
              </w:rPr>
            </w:pPr>
            <w:r>
              <w:rPr>
                <w:sz w:val="20"/>
                <w:szCs w:val="20"/>
              </w:rPr>
              <w:t>39 210</w:t>
            </w:r>
          </w:p>
        </w:tc>
        <w:tc>
          <w:tcPr>
            <w:tcW w:w="384" w:type="pct"/>
            <w:noWrap/>
            <w:vAlign w:val="bottom"/>
          </w:tcPr>
          <w:p w:rsidR="00000000" w:rsidRDefault="00000000">
            <w:pPr>
              <w:spacing w:before="40" w:after="60"/>
              <w:ind w:right="57"/>
              <w:jc w:val="right"/>
              <w:rPr>
                <w:sz w:val="20"/>
                <w:szCs w:val="20"/>
              </w:rPr>
            </w:pPr>
            <w:r>
              <w:rPr>
                <w:sz w:val="20"/>
                <w:szCs w:val="20"/>
              </w:rPr>
              <w:t>58 235</w:t>
            </w:r>
          </w:p>
        </w:tc>
        <w:tc>
          <w:tcPr>
            <w:tcW w:w="389" w:type="pct"/>
            <w:noWrap/>
            <w:vAlign w:val="bottom"/>
          </w:tcPr>
          <w:p w:rsidR="00000000" w:rsidRDefault="00000000">
            <w:pPr>
              <w:spacing w:before="40" w:after="60"/>
              <w:ind w:right="57"/>
              <w:jc w:val="right"/>
              <w:rPr>
                <w:sz w:val="20"/>
                <w:szCs w:val="20"/>
              </w:rPr>
            </w:pPr>
            <w:r>
              <w:rPr>
                <w:sz w:val="20"/>
                <w:szCs w:val="20"/>
              </w:rPr>
              <w:t>21 884</w:t>
            </w:r>
          </w:p>
        </w:tc>
        <w:tc>
          <w:tcPr>
            <w:tcW w:w="378" w:type="pct"/>
            <w:noWrap/>
            <w:vAlign w:val="bottom"/>
          </w:tcPr>
          <w:p w:rsidR="00000000" w:rsidRDefault="00000000">
            <w:pPr>
              <w:spacing w:before="40" w:after="60"/>
              <w:ind w:right="57"/>
              <w:jc w:val="right"/>
              <w:rPr>
                <w:sz w:val="20"/>
                <w:szCs w:val="20"/>
              </w:rPr>
            </w:pPr>
            <w:r>
              <w:rPr>
                <w:sz w:val="20"/>
                <w:szCs w:val="20"/>
              </w:rPr>
              <w:t>36 351</w:t>
            </w:r>
          </w:p>
        </w:tc>
      </w:tr>
      <w:tr w:rsidR="00000000">
        <w:tc>
          <w:tcPr>
            <w:tcW w:w="782" w:type="pct"/>
            <w:noWrap/>
            <w:vAlign w:val="bottom"/>
          </w:tcPr>
          <w:p w:rsidR="00000000" w:rsidRDefault="00000000">
            <w:pPr>
              <w:spacing w:before="40" w:after="60"/>
              <w:ind w:right="57"/>
              <w:rPr>
                <w:sz w:val="20"/>
                <w:szCs w:val="20"/>
              </w:rPr>
            </w:pPr>
            <w:r>
              <w:rPr>
                <w:sz w:val="20"/>
                <w:szCs w:val="20"/>
              </w:rPr>
              <w:t>Underemployed population</w:t>
            </w:r>
          </w:p>
        </w:tc>
        <w:tc>
          <w:tcPr>
            <w:tcW w:w="315" w:type="pct"/>
            <w:noWrap/>
            <w:vAlign w:val="bottom"/>
          </w:tcPr>
          <w:p w:rsidR="00000000" w:rsidRDefault="00000000">
            <w:pPr>
              <w:spacing w:before="40" w:after="60"/>
              <w:ind w:right="57"/>
              <w:jc w:val="right"/>
              <w:rPr>
                <w:sz w:val="20"/>
                <w:szCs w:val="20"/>
              </w:rPr>
            </w:pPr>
            <w:r>
              <w:rPr>
                <w:sz w:val="20"/>
                <w:szCs w:val="20"/>
              </w:rPr>
              <w:t>187 217</w:t>
            </w:r>
          </w:p>
        </w:tc>
        <w:tc>
          <w:tcPr>
            <w:tcW w:w="377" w:type="pct"/>
            <w:noWrap/>
            <w:vAlign w:val="bottom"/>
          </w:tcPr>
          <w:p w:rsidR="00000000" w:rsidRDefault="00000000">
            <w:pPr>
              <w:spacing w:before="40" w:after="60"/>
              <w:ind w:right="57"/>
              <w:jc w:val="right"/>
              <w:rPr>
                <w:sz w:val="20"/>
                <w:szCs w:val="20"/>
              </w:rPr>
            </w:pPr>
            <w:r>
              <w:rPr>
                <w:sz w:val="20"/>
                <w:szCs w:val="20"/>
              </w:rPr>
              <w:t>97 568</w:t>
            </w:r>
          </w:p>
        </w:tc>
        <w:tc>
          <w:tcPr>
            <w:tcW w:w="320" w:type="pct"/>
            <w:noWrap/>
            <w:vAlign w:val="bottom"/>
          </w:tcPr>
          <w:p w:rsidR="00000000" w:rsidRDefault="00000000">
            <w:pPr>
              <w:spacing w:before="40" w:after="60"/>
              <w:ind w:right="57"/>
              <w:jc w:val="right"/>
              <w:rPr>
                <w:sz w:val="20"/>
                <w:szCs w:val="20"/>
              </w:rPr>
            </w:pPr>
            <w:r>
              <w:rPr>
                <w:sz w:val="20"/>
                <w:szCs w:val="20"/>
              </w:rPr>
              <w:t>89 649</w:t>
            </w:r>
          </w:p>
        </w:tc>
        <w:tc>
          <w:tcPr>
            <w:tcW w:w="375" w:type="pct"/>
            <w:noWrap/>
            <w:vAlign w:val="bottom"/>
          </w:tcPr>
          <w:p w:rsidR="00000000" w:rsidRDefault="00000000">
            <w:pPr>
              <w:spacing w:before="40" w:after="60"/>
              <w:ind w:right="57"/>
              <w:jc w:val="right"/>
              <w:rPr>
                <w:sz w:val="20"/>
                <w:szCs w:val="20"/>
              </w:rPr>
            </w:pPr>
            <w:r>
              <w:rPr>
                <w:sz w:val="20"/>
                <w:szCs w:val="20"/>
              </w:rPr>
              <w:t>185 075</w:t>
            </w:r>
          </w:p>
        </w:tc>
        <w:tc>
          <w:tcPr>
            <w:tcW w:w="320" w:type="pct"/>
            <w:noWrap/>
            <w:vAlign w:val="bottom"/>
          </w:tcPr>
          <w:p w:rsidR="00000000" w:rsidRDefault="00000000">
            <w:pPr>
              <w:spacing w:before="40" w:after="60"/>
              <w:ind w:right="57"/>
              <w:jc w:val="right"/>
              <w:rPr>
                <w:sz w:val="20"/>
                <w:szCs w:val="20"/>
              </w:rPr>
            </w:pPr>
            <w:r>
              <w:rPr>
                <w:sz w:val="20"/>
                <w:szCs w:val="20"/>
              </w:rPr>
              <w:t>102 428</w:t>
            </w:r>
          </w:p>
        </w:tc>
        <w:tc>
          <w:tcPr>
            <w:tcW w:w="308" w:type="pct"/>
            <w:noWrap/>
            <w:vAlign w:val="bottom"/>
          </w:tcPr>
          <w:p w:rsidR="00000000" w:rsidRDefault="00000000">
            <w:pPr>
              <w:spacing w:before="40" w:after="60"/>
              <w:ind w:right="57"/>
              <w:jc w:val="right"/>
              <w:rPr>
                <w:sz w:val="20"/>
                <w:szCs w:val="20"/>
              </w:rPr>
            </w:pPr>
            <w:r>
              <w:rPr>
                <w:sz w:val="20"/>
                <w:szCs w:val="20"/>
              </w:rPr>
              <w:t>82 647</w:t>
            </w:r>
          </w:p>
        </w:tc>
        <w:tc>
          <w:tcPr>
            <w:tcW w:w="368" w:type="pct"/>
            <w:noWrap/>
            <w:vAlign w:val="bottom"/>
          </w:tcPr>
          <w:p w:rsidR="00000000" w:rsidRDefault="00000000">
            <w:pPr>
              <w:spacing w:before="40" w:after="60"/>
              <w:ind w:right="57"/>
              <w:jc w:val="right"/>
              <w:rPr>
                <w:sz w:val="20"/>
                <w:szCs w:val="20"/>
              </w:rPr>
            </w:pPr>
            <w:r>
              <w:rPr>
                <w:sz w:val="20"/>
                <w:szCs w:val="20"/>
              </w:rPr>
              <w:t>344 349</w:t>
            </w:r>
          </w:p>
        </w:tc>
        <w:tc>
          <w:tcPr>
            <w:tcW w:w="320" w:type="pct"/>
            <w:noWrap/>
            <w:vAlign w:val="bottom"/>
          </w:tcPr>
          <w:p w:rsidR="00000000" w:rsidRDefault="00000000">
            <w:pPr>
              <w:spacing w:before="40" w:after="60"/>
              <w:ind w:right="57"/>
              <w:jc w:val="right"/>
              <w:rPr>
                <w:sz w:val="20"/>
                <w:szCs w:val="20"/>
              </w:rPr>
            </w:pPr>
            <w:r>
              <w:rPr>
                <w:sz w:val="20"/>
                <w:szCs w:val="20"/>
              </w:rPr>
              <w:t>189 642</w:t>
            </w:r>
          </w:p>
        </w:tc>
        <w:tc>
          <w:tcPr>
            <w:tcW w:w="364" w:type="pct"/>
            <w:noWrap/>
            <w:vAlign w:val="bottom"/>
          </w:tcPr>
          <w:p w:rsidR="00000000" w:rsidRDefault="00000000">
            <w:pPr>
              <w:spacing w:before="40" w:after="60"/>
              <w:ind w:right="57"/>
              <w:jc w:val="right"/>
              <w:rPr>
                <w:sz w:val="20"/>
                <w:szCs w:val="20"/>
              </w:rPr>
            </w:pPr>
            <w:r>
              <w:rPr>
                <w:sz w:val="20"/>
                <w:szCs w:val="20"/>
              </w:rPr>
              <w:t>154 707</w:t>
            </w:r>
          </w:p>
        </w:tc>
        <w:tc>
          <w:tcPr>
            <w:tcW w:w="384" w:type="pct"/>
            <w:noWrap/>
            <w:vAlign w:val="bottom"/>
          </w:tcPr>
          <w:p w:rsidR="00000000" w:rsidRDefault="00000000">
            <w:pPr>
              <w:spacing w:before="40" w:after="60"/>
              <w:ind w:right="57"/>
              <w:jc w:val="right"/>
              <w:rPr>
                <w:sz w:val="20"/>
                <w:szCs w:val="20"/>
              </w:rPr>
            </w:pPr>
            <w:r>
              <w:rPr>
                <w:sz w:val="20"/>
                <w:szCs w:val="20"/>
              </w:rPr>
              <w:t>361 973</w:t>
            </w:r>
          </w:p>
        </w:tc>
        <w:tc>
          <w:tcPr>
            <w:tcW w:w="389" w:type="pct"/>
            <w:noWrap/>
            <w:vAlign w:val="bottom"/>
          </w:tcPr>
          <w:p w:rsidR="00000000" w:rsidRDefault="00000000">
            <w:pPr>
              <w:spacing w:before="40" w:after="60"/>
              <w:ind w:right="57"/>
              <w:jc w:val="right"/>
              <w:rPr>
                <w:sz w:val="20"/>
                <w:szCs w:val="20"/>
              </w:rPr>
            </w:pPr>
            <w:r>
              <w:rPr>
                <w:sz w:val="20"/>
                <w:szCs w:val="20"/>
              </w:rPr>
              <w:t>201 901</w:t>
            </w:r>
          </w:p>
        </w:tc>
        <w:tc>
          <w:tcPr>
            <w:tcW w:w="378" w:type="pct"/>
            <w:noWrap/>
            <w:vAlign w:val="bottom"/>
          </w:tcPr>
          <w:p w:rsidR="00000000" w:rsidRDefault="00000000">
            <w:pPr>
              <w:spacing w:before="40" w:after="60"/>
              <w:ind w:right="57"/>
              <w:jc w:val="right"/>
              <w:rPr>
                <w:sz w:val="20"/>
                <w:szCs w:val="20"/>
              </w:rPr>
            </w:pPr>
            <w:r>
              <w:rPr>
                <w:sz w:val="20"/>
                <w:szCs w:val="20"/>
              </w:rPr>
              <w:t>160 072</w:t>
            </w:r>
          </w:p>
        </w:tc>
      </w:tr>
      <w:tr w:rsidR="00000000">
        <w:tc>
          <w:tcPr>
            <w:tcW w:w="782" w:type="pct"/>
            <w:noWrap/>
            <w:vAlign w:val="bottom"/>
          </w:tcPr>
          <w:p w:rsidR="00000000" w:rsidRDefault="00000000">
            <w:pPr>
              <w:spacing w:before="40" w:after="60"/>
              <w:ind w:right="57"/>
              <w:rPr>
                <w:sz w:val="20"/>
                <w:szCs w:val="20"/>
              </w:rPr>
            </w:pPr>
            <w:r>
              <w:rPr>
                <w:sz w:val="20"/>
                <w:szCs w:val="20"/>
              </w:rPr>
              <w:t>Visible underemployed population</w:t>
            </w:r>
          </w:p>
        </w:tc>
        <w:tc>
          <w:tcPr>
            <w:tcW w:w="315" w:type="pct"/>
            <w:noWrap/>
            <w:vAlign w:val="bottom"/>
          </w:tcPr>
          <w:p w:rsidR="00000000" w:rsidRDefault="00000000">
            <w:pPr>
              <w:spacing w:before="40" w:after="60"/>
              <w:ind w:right="57"/>
              <w:jc w:val="right"/>
              <w:rPr>
                <w:sz w:val="20"/>
                <w:szCs w:val="20"/>
              </w:rPr>
            </w:pPr>
            <w:r>
              <w:rPr>
                <w:sz w:val="20"/>
                <w:szCs w:val="20"/>
              </w:rPr>
              <w:t>53 244</w:t>
            </w:r>
          </w:p>
        </w:tc>
        <w:tc>
          <w:tcPr>
            <w:tcW w:w="377" w:type="pct"/>
            <w:noWrap/>
            <w:vAlign w:val="bottom"/>
          </w:tcPr>
          <w:p w:rsidR="00000000" w:rsidRDefault="00000000">
            <w:pPr>
              <w:spacing w:before="40" w:after="60"/>
              <w:ind w:right="57"/>
              <w:jc w:val="right"/>
              <w:rPr>
                <w:sz w:val="20"/>
                <w:szCs w:val="20"/>
              </w:rPr>
            </w:pPr>
            <w:r>
              <w:rPr>
                <w:sz w:val="20"/>
                <w:szCs w:val="20"/>
              </w:rPr>
              <w:t>20 999</w:t>
            </w:r>
          </w:p>
        </w:tc>
        <w:tc>
          <w:tcPr>
            <w:tcW w:w="320" w:type="pct"/>
            <w:noWrap/>
            <w:vAlign w:val="bottom"/>
          </w:tcPr>
          <w:p w:rsidR="00000000" w:rsidRDefault="00000000">
            <w:pPr>
              <w:spacing w:before="40" w:after="60"/>
              <w:ind w:right="57"/>
              <w:jc w:val="right"/>
              <w:rPr>
                <w:sz w:val="20"/>
                <w:szCs w:val="20"/>
              </w:rPr>
            </w:pPr>
            <w:r>
              <w:rPr>
                <w:sz w:val="20"/>
                <w:szCs w:val="20"/>
              </w:rPr>
              <w:t>32 245</w:t>
            </w:r>
          </w:p>
        </w:tc>
        <w:tc>
          <w:tcPr>
            <w:tcW w:w="375" w:type="pct"/>
            <w:noWrap/>
            <w:vAlign w:val="bottom"/>
          </w:tcPr>
          <w:p w:rsidR="00000000" w:rsidRDefault="00000000">
            <w:pPr>
              <w:spacing w:before="40" w:after="60"/>
              <w:ind w:right="57"/>
              <w:jc w:val="right"/>
              <w:rPr>
                <w:sz w:val="20"/>
                <w:szCs w:val="20"/>
              </w:rPr>
            </w:pPr>
            <w:r>
              <w:rPr>
                <w:sz w:val="20"/>
                <w:szCs w:val="20"/>
              </w:rPr>
              <w:t>48 904</w:t>
            </w:r>
          </w:p>
        </w:tc>
        <w:tc>
          <w:tcPr>
            <w:tcW w:w="320" w:type="pct"/>
            <w:noWrap/>
            <w:vAlign w:val="bottom"/>
          </w:tcPr>
          <w:p w:rsidR="00000000" w:rsidRDefault="00000000">
            <w:pPr>
              <w:spacing w:before="40" w:after="60"/>
              <w:ind w:right="57"/>
              <w:jc w:val="right"/>
              <w:rPr>
                <w:sz w:val="20"/>
                <w:szCs w:val="20"/>
              </w:rPr>
            </w:pPr>
            <w:r>
              <w:rPr>
                <w:sz w:val="20"/>
                <w:szCs w:val="20"/>
              </w:rPr>
              <w:t>21 528</w:t>
            </w:r>
          </w:p>
        </w:tc>
        <w:tc>
          <w:tcPr>
            <w:tcW w:w="308" w:type="pct"/>
            <w:noWrap/>
            <w:vAlign w:val="bottom"/>
          </w:tcPr>
          <w:p w:rsidR="00000000" w:rsidRDefault="00000000">
            <w:pPr>
              <w:spacing w:before="40" w:after="60"/>
              <w:ind w:right="57"/>
              <w:jc w:val="right"/>
              <w:rPr>
                <w:sz w:val="20"/>
                <w:szCs w:val="20"/>
              </w:rPr>
            </w:pPr>
            <w:r>
              <w:rPr>
                <w:sz w:val="20"/>
                <w:szCs w:val="20"/>
              </w:rPr>
              <w:t>27 376</w:t>
            </w:r>
          </w:p>
        </w:tc>
        <w:tc>
          <w:tcPr>
            <w:tcW w:w="368" w:type="pct"/>
            <w:noWrap/>
            <w:vAlign w:val="bottom"/>
          </w:tcPr>
          <w:p w:rsidR="00000000" w:rsidRDefault="00000000">
            <w:pPr>
              <w:spacing w:before="40" w:after="60"/>
              <w:ind w:right="57"/>
              <w:jc w:val="right"/>
              <w:rPr>
                <w:sz w:val="20"/>
                <w:szCs w:val="20"/>
              </w:rPr>
            </w:pPr>
            <w:r>
              <w:rPr>
                <w:sz w:val="20"/>
                <w:szCs w:val="20"/>
              </w:rPr>
              <w:t>90 946</w:t>
            </w:r>
          </w:p>
        </w:tc>
        <w:tc>
          <w:tcPr>
            <w:tcW w:w="320" w:type="pct"/>
            <w:noWrap/>
            <w:vAlign w:val="bottom"/>
          </w:tcPr>
          <w:p w:rsidR="00000000" w:rsidRDefault="00000000">
            <w:pPr>
              <w:spacing w:before="40" w:after="60"/>
              <w:ind w:right="57"/>
              <w:jc w:val="right"/>
              <w:rPr>
                <w:sz w:val="20"/>
                <w:szCs w:val="20"/>
              </w:rPr>
            </w:pPr>
            <w:r>
              <w:rPr>
                <w:sz w:val="20"/>
                <w:szCs w:val="20"/>
              </w:rPr>
              <w:t>42 300</w:t>
            </w:r>
          </w:p>
        </w:tc>
        <w:tc>
          <w:tcPr>
            <w:tcW w:w="364" w:type="pct"/>
            <w:noWrap/>
            <w:vAlign w:val="bottom"/>
          </w:tcPr>
          <w:p w:rsidR="00000000" w:rsidRDefault="00000000">
            <w:pPr>
              <w:spacing w:before="40" w:after="60"/>
              <w:ind w:right="57"/>
              <w:jc w:val="right"/>
              <w:rPr>
                <w:sz w:val="20"/>
                <w:szCs w:val="20"/>
              </w:rPr>
            </w:pPr>
            <w:r>
              <w:rPr>
                <w:sz w:val="20"/>
                <w:szCs w:val="20"/>
              </w:rPr>
              <w:t>48 646</w:t>
            </w:r>
          </w:p>
        </w:tc>
        <w:tc>
          <w:tcPr>
            <w:tcW w:w="384" w:type="pct"/>
            <w:noWrap/>
            <w:vAlign w:val="bottom"/>
          </w:tcPr>
          <w:p w:rsidR="00000000" w:rsidRDefault="00000000">
            <w:pPr>
              <w:spacing w:before="40" w:after="60"/>
              <w:ind w:right="57"/>
              <w:jc w:val="right"/>
              <w:rPr>
                <w:sz w:val="20"/>
                <w:szCs w:val="20"/>
              </w:rPr>
            </w:pPr>
            <w:r>
              <w:rPr>
                <w:sz w:val="20"/>
                <w:szCs w:val="20"/>
              </w:rPr>
              <w:t>76 913</w:t>
            </w:r>
          </w:p>
        </w:tc>
        <w:tc>
          <w:tcPr>
            <w:tcW w:w="389" w:type="pct"/>
            <w:noWrap/>
            <w:vAlign w:val="bottom"/>
          </w:tcPr>
          <w:p w:rsidR="00000000" w:rsidRDefault="00000000">
            <w:pPr>
              <w:spacing w:before="40" w:after="60"/>
              <w:ind w:right="57"/>
              <w:jc w:val="right"/>
              <w:rPr>
                <w:sz w:val="20"/>
                <w:szCs w:val="20"/>
              </w:rPr>
            </w:pPr>
            <w:r>
              <w:rPr>
                <w:sz w:val="20"/>
                <w:szCs w:val="20"/>
              </w:rPr>
              <w:t>34 443</w:t>
            </w:r>
          </w:p>
        </w:tc>
        <w:tc>
          <w:tcPr>
            <w:tcW w:w="378" w:type="pct"/>
            <w:noWrap/>
            <w:vAlign w:val="bottom"/>
          </w:tcPr>
          <w:p w:rsidR="00000000" w:rsidRDefault="00000000">
            <w:pPr>
              <w:spacing w:before="40" w:after="60"/>
              <w:ind w:right="57"/>
              <w:jc w:val="right"/>
              <w:rPr>
                <w:sz w:val="20"/>
                <w:szCs w:val="20"/>
              </w:rPr>
            </w:pPr>
            <w:r>
              <w:rPr>
                <w:sz w:val="20"/>
                <w:szCs w:val="20"/>
              </w:rPr>
              <w:t>42 470</w:t>
            </w:r>
          </w:p>
        </w:tc>
      </w:tr>
      <w:tr w:rsidR="00000000">
        <w:tc>
          <w:tcPr>
            <w:tcW w:w="782" w:type="pct"/>
            <w:noWrap/>
            <w:vAlign w:val="bottom"/>
          </w:tcPr>
          <w:p w:rsidR="00000000" w:rsidRDefault="00000000">
            <w:pPr>
              <w:spacing w:before="40" w:after="60"/>
              <w:ind w:right="57"/>
              <w:rPr>
                <w:sz w:val="20"/>
                <w:szCs w:val="20"/>
              </w:rPr>
            </w:pPr>
            <w:r>
              <w:rPr>
                <w:sz w:val="20"/>
                <w:szCs w:val="20"/>
              </w:rPr>
              <w:t>Invisible underemployed population</w:t>
            </w:r>
          </w:p>
        </w:tc>
        <w:tc>
          <w:tcPr>
            <w:tcW w:w="315" w:type="pct"/>
            <w:noWrap/>
            <w:vAlign w:val="bottom"/>
          </w:tcPr>
          <w:p w:rsidR="00000000" w:rsidRDefault="00000000">
            <w:pPr>
              <w:spacing w:before="40" w:after="60"/>
              <w:ind w:right="57"/>
              <w:jc w:val="right"/>
              <w:rPr>
                <w:sz w:val="20"/>
                <w:szCs w:val="20"/>
              </w:rPr>
            </w:pPr>
            <w:r>
              <w:rPr>
                <w:sz w:val="20"/>
                <w:szCs w:val="20"/>
              </w:rPr>
              <w:t>133 973</w:t>
            </w:r>
          </w:p>
        </w:tc>
        <w:tc>
          <w:tcPr>
            <w:tcW w:w="377" w:type="pct"/>
            <w:noWrap/>
            <w:vAlign w:val="bottom"/>
          </w:tcPr>
          <w:p w:rsidR="00000000" w:rsidRDefault="00000000">
            <w:pPr>
              <w:spacing w:before="40" w:after="60"/>
              <w:ind w:right="57"/>
              <w:jc w:val="right"/>
              <w:rPr>
                <w:sz w:val="20"/>
                <w:szCs w:val="20"/>
              </w:rPr>
            </w:pPr>
            <w:r>
              <w:rPr>
                <w:sz w:val="20"/>
                <w:szCs w:val="20"/>
              </w:rPr>
              <w:t>76 569</w:t>
            </w:r>
          </w:p>
        </w:tc>
        <w:tc>
          <w:tcPr>
            <w:tcW w:w="320" w:type="pct"/>
            <w:noWrap/>
            <w:vAlign w:val="bottom"/>
          </w:tcPr>
          <w:p w:rsidR="00000000" w:rsidRDefault="00000000">
            <w:pPr>
              <w:spacing w:before="40" w:after="60"/>
              <w:ind w:right="57"/>
              <w:jc w:val="right"/>
              <w:rPr>
                <w:sz w:val="20"/>
                <w:szCs w:val="20"/>
              </w:rPr>
            </w:pPr>
            <w:r>
              <w:rPr>
                <w:sz w:val="20"/>
                <w:szCs w:val="20"/>
              </w:rPr>
              <w:t>57 404</w:t>
            </w:r>
          </w:p>
        </w:tc>
        <w:tc>
          <w:tcPr>
            <w:tcW w:w="375" w:type="pct"/>
            <w:noWrap/>
            <w:vAlign w:val="bottom"/>
          </w:tcPr>
          <w:p w:rsidR="00000000" w:rsidRDefault="00000000">
            <w:pPr>
              <w:spacing w:before="40" w:after="60"/>
              <w:ind w:right="57"/>
              <w:jc w:val="right"/>
              <w:rPr>
                <w:sz w:val="20"/>
                <w:szCs w:val="20"/>
              </w:rPr>
            </w:pPr>
            <w:r>
              <w:rPr>
                <w:sz w:val="20"/>
                <w:szCs w:val="20"/>
              </w:rPr>
              <w:t>136 171</w:t>
            </w:r>
          </w:p>
        </w:tc>
        <w:tc>
          <w:tcPr>
            <w:tcW w:w="320" w:type="pct"/>
            <w:noWrap/>
            <w:vAlign w:val="bottom"/>
          </w:tcPr>
          <w:p w:rsidR="00000000" w:rsidRDefault="00000000">
            <w:pPr>
              <w:spacing w:before="40" w:after="60"/>
              <w:ind w:right="57"/>
              <w:jc w:val="right"/>
              <w:rPr>
                <w:sz w:val="20"/>
                <w:szCs w:val="20"/>
              </w:rPr>
            </w:pPr>
            <w:r>
              <w:rPr>
                <w:sz w:val="20"/>
                <w:szCs w:val="20"/>
              </w:rPr>
              <w:t>80 900</w:t>
            </w:r>
          </w:p>
        </w:tc>
        <w:tc>
          <w:tcPr>
            <w:tcW w:w="308" w:type="pct"/>
            <w:noWrap/>
            <w:vAlign w:val="bottom"/>
          </w:tcPr>
          <w:p w:rsidR="00000000" w:rsidRDefault="00000000">
            <w:pPr>
              <w:spacing w:before="40" w:after="60"/>
              <w:ind w:right="57"/>
              <w:jc w:val="right"/>
              <w:rPr>
                <w:sz w:val="20"/>
                <w:szCs w:val="20"/>
              </w:rPr>
            </w:pPr>
            <w:r>
              <w:rPr>
                <w:sz w:val="20"/>
                <w:szCs w:val="20"/>
              </w:rPr>
              <w:t>55 271</w:t>
            </w:r>
          </w:p>
        </w:tc>
        <w:tc>
          <w:tcPr>
            <w:tcW w:w="368" w:type="pct"/>
            <w:noWrap/>
            <w:vAlign w:val="bottom"/>
          </w:tcPr>
          <w:p w:rsidR="00000000" w:rsidRDefault="00000000">
            <w:pPr>
              <w:spacing w:before="40" w:after="60"/>
              <w:ind w:right="57"/>
              <w:jc w:val="right"/>
              <w:rPr>
                <w:sz w:val="20"/>
                <w:szCs w:val="20"/>
              </w:rPr>
            </w:pPr>
            <w:r>
              <w:rPr>
                <w:sz w:val="20"/>
                <w:szCs w:val="20"/>
              </w:rPr>
              <w:t>253 403</w:t>
            </w:r>
          </w:p>
        </w:tc>
        <w:tc>
          <w:tcPr>
            <w:tcW w:w="320" w:type="pct"/>
            <w:noWrap/>
            <w:vAlign w:val="bottom"/>
          </w:tcPr>
          <w:p w:rsidR="00000000" w:rsidRDefault="00000000">
            <w:pPr>
              <w:spacing w:before="40" w:after="60"/>
              <w:ind w:right="57"/>
              <w:jc w:val="right"/>
              <w:rPr>
                <w:sz w:val="20"/>
                <w:szCs w:val="20"/>
              </w:rPr>
            </w:pPr>
            <w:r>
              <w:rPr>
                <w:sz w:val="20"/>
                <w:szCs w:val="20"/>
              </w:rPr>
              <w:t>147 342</w:t>
            </w:r>
          </w:p>
        </w:tc>
        <w:tc>
          <w:tcPr>
            <w:tcW w:w="364" w:type="pct"/>
            <w:noWrap/>
            <w:vAlign w:val="bottom"/>
          </w:tcPr>
          <w:p w:rsidR="00000000" w:rsidRDefault="00000000">
            <w:pPr>
              <w:spacing w:before="40" w:after="60"/>
              <w:ind w:right="57"/>
              <w:jc w:val="right"/>
              <w:rPr>
                <w:sz w:val="20"/>
                <w:szCs w:val="20"/>
              </w:rPr>
            </w:pPr>
            <w:r>
              <w:rPr>
                <w:sz w:val="20"/>
                <w:szCs w:val="20"/>
              </w:rPr>
              <w:t>106 061</w:t>
            </w:r>
          </w:p>
        </w:tc>
        <w:tc>
          <w:tcPr>
            <w:tcW w:w="384" w:type="pct"/>
            <w:noWrap/>
            <w:vAlign w:val="bottom"/>
          </w:tcPr>
          <w:p w:rsidR="00000000" w:rsidRDefault="00000000">
            <w:pPr>
              <w:spacing w:before="40" w:after="60"/>
              <w:ind w:right="57"/>
              <w:jc w:val="right"/>
              <w:rPr>
                <w:sz w:val="20"/>
                <w:szCs w:val="20"/>
              </w:rPr>
            </w:pPr>
            <w:r>
              <w:rPr>
                <w:sz w:val="20"/>
                <w:szCs w:val="20"/>
              </w:rPr>
              <w:t>285 060</w:t>
            </w:r>
          </w:p>
        </w:tc>
        <w:tc>
          <w:tcPr>
            <w:tcW w:w="389" w:type="pct"/>
            <w:noWrap/>
            <w:vAlign w:val="bottom"/>
          </w:tcPr>
          <w:p w:rsidR="00000000" w:rsidRDefault="00000000">
            <w:pPr>
              <w:spacing w:before="40" w:after="60"/>
              <w:ind w:right="57"/>
              <w:jc w:val="right"/>
              <w:rPr>
                <w:sz w:val="20"/>
                <w:szCs w:val="20"/>
              </w:rPr>
            </w:pPr>
            <w:r>
              <w:rPr>
                <w:sz w:val="20"/>
                <w:szCs w:val="20"/>
              </w:rPr>
              <w:t>167 458</w:t>
            </w:r>
          </w:p>
        </w:tc>
        <w:tc>
          <w:tcPr>
            <w:tcW w:w="378" w:type="pct"/>
            <w:noWrap/>
            <w:vAlign w:val="bottom"/>
          </w:tcPr>
          <w:p w:rsidR="00000000" w:rsidRDefault="00000000">
            <w:pPr>
              <w:spacing w:before="40" w:after="60"/>
              <w:ind w:right="57"/>
              <w:jc w:val="right"/>
              <w:rPr>
                <w:sz w:val="20"/>
                <w:szCs w:val="20"/>
              </w:rPr>
            </w:pPr>
            <w:r>
              <w:rPr>
                <w:sz w:val="20"/>
                <w:szCs w:val="20"/>
              </w:rPr>
              <w:t>117 602</w:t>
            </w:r>
          </w:p>
        </w:tc>
      </w:tr>
      <w:tr w:rsidR="00000000">
        <w:tc>
          <w:tcPr>
            <w:tcW w:w="782" w:type="pct"/>
            <w:noWrap/>
            <w:vAlign w:val="bottom"/>
          </w:tcPr>
          <w:p w:rsidR="00000000" w:rsidRDefault="00000000">
            <w:pPr>
              <w:pStyle w:val="Heading5"/>
              <w:spacing w:before="40" w:after="60"/>
              <w:ind w:right="57"/>
            </w:pPr>
            <w:r>
              <w:t>Total population</w:t>
            </w:r>
          </w:p>
        </w:tc>
        <w:tc>
          <w:tcPr>
            <w:tcW w:w="315" w:type="pct"/>
            <w:noWrap/>
            <w:vAlign w:val="bottom"/>
          </w:tcPr>
          <w:p w:rsidR="00000000" w:rsidRDefault="00000000">
            <w:pPr>
              <w:spacing w:before="40" w:after="60"/>
              <w:ind w:right="57"/>
              <w:jc w:val="right"/>
              <w:rPr>
                <w:b/>
                <w:bCs/>
                <w:sz w:val="20"/>
                <w:szCs w:val="20"/>
              </w:rPr>
            </w:pPr>
            <w:r>
              <w:rPr>
                <w:b/>
                <w:bCs/>
                <w:sz w:val="20"/>
                <w:szCs w:val="20"/>
              </w:rPr>
              <w:t>1 117 290</w:t>
            </w:r>
          </w:p>
        </w:tc>
        <w:tc>
          <w:tcPr>
            <w:tcW w:w="377" w:type="pct"/>
            <w:noWrap/>
            <w:vAlign w:val="bottom"/>
          </w:tcPr>
          <w:p w:rsidR="00000000" w:rsidRDefault="00000000">
            <w:pPr>
              <w:spacing w:before="40" w:after="60"/>
              <w:ind w:right="57"/>
              <w:jc w:val="right"/>
              <w:rPr>
                <w:b/>
                <w:bCs/>
                <w:sz w:val="20"/>
                <w:szCs w:val="20"/>
              </w:rPr>
            </w:pPr>
            <w:r>
              <w:rPr>
                <w:b/>
                <w:bCs/>
                <w:sz w:val="20"/>
                <w:szCs w:val="20"/>
              </w:rPr>
              <w:t>547 183</w:t>
            </w:r>
          </w:p>
        </w:tc>
        <w:tc>
          <w:tcPr>
            <w:tcW w:w="320" w:type="pct"/>
            <w:noWrap/>
            <w:vAlign w:val="bottom"/>
          </w:tcPr>
          <w:p w:rsidR="00000000" w:rsidRDefault="00000000">
            <w:pPr>
              <w:spacing w:before="40" w:after="60"/>
              <w:ind w:right="57"/>
              <w:jc w:val="right"/>
              <w:rPr>
                <w:b/>
                <w:bCs/>
                <w:sz w:val="20"/>
                <w:szCs w:val="20"/>
              </w:rPr>
            </w:pPr>
            <w:r>
              <w:rPr>
                <w:b/>
                <w:bCs/>
                <w:sz w:val="20"/>
                <w:szCs w:val="20"/>
              </w:rPr>
              <w:t>570 107</w:t>
            </w:r>
          </w:p>
        </w:tc>
        <w:tc>
          <w:tcPr>
            <w:tcW w:w="375" w:type="pct"/>
            <w:noWrap/>
            <w:vAlign w:val="bottom"/>
          </w:tcPr>
          <w:p w:rsidR="00000000" w:rsidRDefault="00000000">
            <w:pPr>
              <w:spacing w:before="40" w:after="60"/>
              <w:ind w:right="57"/>
              <w:jc w:val="right"/>
              <w:rPr>
                <w:b/>
                <w:bCs/>
                <w:sz w:val="20"/>
                <w:szCs w:val="20"/>
              </w:rPr>
            </w:pPr>
            <w:r>
              <w:rPr>
                <w:b/>
                <w:bCs/>
                <w:sz w:val="20"/>
                <w:szCs w:val="20"/>
              </w:rPr>
              <w:t>1 292 135</w:t>
            </w:r>
          </w:p>
        </w:tc>
        <w:tc>
          <w:tcPr>
            <w:tcW w:w="320" w:type="pct"/>
            <w:noWrap/>
            <w:vAlign w:val="bottom"/>
          </w:tcPr>
          <w:p w:rsidR="00000000" w:rsidRDefault="00000000">
            <w:pPr>
              <w:spacing w:before="40" w:after="60"/>
              <w:ind w:right="57"/>
              <w:jc w:val="right"/>
              <w:rPr>
                <w:b/>
                <w:bCs/>
                <w:sz w:val="20"/>
                <w:szCs w:val="20"/>
              </w:rPr>
            </w:pPr>
            <w:r>
              <w:rPr>
                <w:b/>
                <w:bCs/>
                <w:sz w:val="20"/>
                <w:szCs w:val="20"/>
              </w:rPr>
              <w:t>636 858</w:t>
            </w:r>
          </w:p>
        </w:tc>
        <w:tc>
          <w:tcPr>
            <w:tcW w:w="308" w:type="pct"/>
            <w:noWrap/>
            <w:vAlign w:val="bottom"/>
          </w:tcPr>
          <w:p w:rsidR="00000000" w:rsidRDefault="00000000">
            <w:pPr>
              <w:spacing w:before="40" w:after="60"/>
              <w:ind w:right="57"/>
              <w:jc w:val="right"/>
              <w:rPr>
                <w:b/>
                <w:bCs/>
                <w:sz w:val="20"/>
                <w:szCs w:val="20"/>
              </w:rPr>
            </w:pPr>
            <w:r>
              <w:rPr>
                <w:b/>
                <w:bCs/>
                <w:sz w:val="20"/>
                <w:szCs w:val="20"/>
              </w:rPr>
              <w:t>655 277</w:t>
            </w:r>
          </w:p>
        </w:tc>
        <w:tc>
          <w:tcPr>
            <w:tcW w:w="368" w:type="pct"/>
            <w:noWrap/>
            <w:vAlign w:val="bottom"/>
          </w:tcPr>
          <w:p w:rsidR="00000000" w:rsidRDefault="00000000">
            <w:pPr>
              <w:spacing w:before="40" w:after="60"/>
              <w:ind w:right="57"/>
              <w:jc w:val="right"/>
              <w:rPr>
                <w:b/>
                <w:bCs/>
                <w:sz w:val="20"/>
                <w:szCs w:val="20"/>
              </w:rPr>
            </w:pPr>
            <w:r>
              <w:rPr>
                <w:b/>
                <w:bCs/>
                <w:sz w:val="20"/>
                <w:szCs w:val="20"/>
              </w:rPr>
              <w:t>1 574 790</w:t>
            </w:r>
          </w:p>
        </w:tc>
        <w:tc>
          <w:tcPr>
            <w:tcW w:w="320" w:type="pct"/>
            <w:noWrap/>
            <w:vAlign w:val="bottom"/>
          </w:tcPr>
          <w:p w:rsidR="00000000" w:rsidRDefault="00000000">
            <w:pPr>
              <w:spacing w:before="40" w:after="60"/>
              <w:ind w:right="57"/>
              <w:jc w:val="right"/>
              <w:rPr>
                <w:b/>
                <w:bCs/>
                <w:sz w:val="20"/>
                <w:szCs w:val="20"/>
              </w:rPr>
            </w:pPr>
            <w:r>
              <w:rPr>
                <w:b/>
                <w:bCs/>
                <w:sz w:val="20"/>
                <w:szCs w:val="20"/>
              </w:rPr>
              <w:t>781 855</w:t>
            </w:r>
          </w:p>
        </w:tc>
        <w:tc>
          <w:tcPr>
            <w:tcW w:w="364" w:type="pct"/>
            <w:noWrap/>
            <w:vAlign w:val="bottom"/>
          </w:tcPr>
          <w:p w:rsidR="00000000" w:rsidRDefault="00000000">
            <w:pPr>
              <w:spacing w:before="40" w:after="60"/>
              <w:ind w:right="57"/>
              <w:jc w:val="right"/>
              <w:rPr>
                <w:b/>
                <w:bCs/>
                <w:sz w:val="20"/>
                <w:szCs w:val="20"/>
              </w:rPr>
            </w:pPr>
            <w:r>
              <w:rPr>
                <w:b/>
                <w:bCs/>
                <w:sz w:val="20"/>
                <w:szCs w:val="20"/>
              </w:rPr>
              <w:t>792 935</w:t>
            </w:r>
          </w:p>
        </w:tc>
        <w:tc>
          <w:tcPr>
            <w:tcW w:w="384" w:type="pct"/>
            <w:noWrap/>
            <w:vAlign w:val="bottom"/>
          </w:tcPr>
          <w:p w:rsidR="00000000" w:rsidRDefault="00000000">
            <w:pPr>
              <w:spacing w:before="40" w:after="60"/>
              <w:ind w:right="57"/>
              <w:jc w:val="right"/>
              <w:rPr>
                <w:b/>
                <w:bCs/>
                <w:sz w:val="20"/>
                <w:szCs w:val="20"/>
              </w:rPr>
            </w:pPr>
            <w:r>
              <w:rPr>
                <w:b/>
                <w:bCs/>
                <w:sz w:val="20"/>
                <w:szCs w:val="20"/>
              </w:rPr>
              <w:t>1 568 582</w:t>
            </w:r>
          </w:p>
        </w:tc>
        <w:tc>
          <w:tcPr>
            <w:tcW w:w="389" w:type="pct"/>
            <w:noWrap/>
            <w:vAlign w:val="bottom"/>
          </w:tcPr>
          <w:p w:rsidR="00000000" w:rsidRDefault="00000000">
            <w:pPr>
              <w:spacing w:before="40" w:after="60"/>
              <w:ind w:right="57"/>
              <w:jc w:val="right"/>
              <w:rPr>
                <w:b/>
                <w:bCs/>
                <w:sz w:val="20"/>
                <w:szCs w:val="20"/>
              </w:rPr>
            </w:pPr>
            <w:r>
              <w:rPr>
                <w:b/>
                <w:bCs/>
                <w:sz w:val="20"/>
                <w:szCs w:val="20"/>
              </w:rPr>
              <w:t>794 542</w:t>
            </w:r>
          </w:p>
        </w:tc>
        <w:tc>
          <w:tcPr>
            <w:tcW w:w="378" w:type="pct"/>
            <w:noWrap/>
            <w:vAlign w:val="bottom"/>
          </w:tcPr>
          <w:p w:rsidR="00000000" w:rsidRDefault="00000000">
            <w:pPr>
              <w:spacing w:before="40" w:after="60"/>
              <w:ind w:right="57"/>
              <w:jc w:val="right"/>
              <w:rPr>
                <w:b/>
                <w:bCs/>
                <w:sz w:val="20"/>
                <w:szCs w:val="20"/>
              </w:rPr>
            </w:pPr>
            <w:r>
              <w:rPr>
                <w:b/>
                <w:bCs/>
                <w:sz w:val="20"/>
                <w:szCs w:val="20"/>
              </w:rPr>
              <w:t>774 040</w:t>
            </w:r>
          </w:p>
        </w:tc>
      </w:tr>
      <w:tr w:rsidR="00000000">
        <w:tc>
          <w:tcPr>
            <w:tcW w:w="782" w:type="pct"/>
            <w:noWrap/>
            <w:vAlign w:val="bottom"/>
          </w:tcPr>
          <w:p w:rsidR="00000000" w:rsidRDefault="00000000">
            <w:pPr>
              <w:pStyle w:val="FootnoteText"/>
              <w:spacing w:before="40" w:after="60"/>
            </w:pPr>
            <w:r>
              <w:t>Activity rate</w:t>
            </w:r>
          </w:p>
        </w:tc>
        <w:tc>
          <w:tcPr>
            <w:tcW w:w="315" w:type="pct"/>
            <w:noWrap/>
            <w:vAlign w:val="bottom"/>
          </w:tcPr>
          <w:p w:rsidR="00000000" w:rsidRDefault="00000000">
            <w:pPr>
              <w:spacing w:before="40" w:after="60"/>
              <w:ind w:right="227"/>
              <w:jc w:val="right"/>
              <w:rPr>
                <w:sz w:val="20"/>
                <w:szCs w:val="20"/>
              </w:rPr>
            </w:pPr>
            <w:r>
              <w:rPr>
                <w:sz w:val="20"/>
                <w:szCs w:val="20"/>
              </w:rPr>
              <w:t>74.7</w:t>
            </w:r>
          </w:p>
        </w:tc>
        <w:tc>
          <w:tcPr>
            <w:tcW w:w="377" w:type="pct"/>
            <w:noWrap/>
            <w:vAlign w:val="bottom"/>
          </w:tcPr>
          <w:p w:rsidR="00000000" w:rsidRDefault="00000000">
            <w:pPr>
              <w:spacing w:before="40" w:after="60"/>
              <w:ind w:right="227"/>
              <w:jc w:val="right"/>
              <w:rPr>
                <w:sz w:val="20"/>
                <w:szCs w:val="20"/>
              </w:rPr>
            </w:pPr>
            <w:r>
              <w:rPr>
                <w:sz w:val="20"/>
                <w:szCs w:val="20"/>
              </w:rPr>
              <w:t>90.0</w:t>
            </w:r>
          </w:p>
        </w:tc>
        <w:tc>
          <w:tcPr>
            <w:tcW w:w="320" w:type="pct"/>
            <w:noWrap/>
            <w:vAlign w:val="bottom"/>
          </w:tcPr>
          <w:p w:rsidR="00000000" w:rsidRDefault="00000000">
            <w:pPr>
              <w:spacing w:before="40" w:after="60"/>
              <w:ind w:right="227"/>
              <w:jc w:val="right"/>
              <w:rPr>
                <w:sz w:val="20"/>
                <w:szCs w:val="20"/>
              </w:rPr>
            </w:pPr>
            <w:r>
              <w:rPr>
                <w:sz w:val="20"/>
                <w:szCs w:val="20"/>
              </w:rPr>
              <w:t>60.0</w:t>
            </w:r>
          </w:p>
        </w:tc>
        <w:tc>
          <w:tcPr>
            <w:tcW w:w="375" w:type="pct"/>
            <w:noWrap/>
            <w:vAlign w:val="bottom"/>
          </w:tcPr>
          <w:p w:rsidR="00000000" w:rsidRDefault="00000000">
            <w:pPr>
              <w:spacing w:before="40" w:after="60"/>
              <w:ind w:right="227"/>
              <w:jc w:val="right"/>
              <w:rPr>
                <w:sz w:val="20"/>
                <w:szCs w:val="20"/>
              </w:rPr>
            </w:pPr>
            <w:r>
              <w:rPr>
                <w:sz w:val="20"/>
                <w:szCs w:val="20"/>
              </w:rPr>
              <w:t>61.3</w:t>
            </w:r>
          </w:p>
        </w:tc>
        <w:tc>
          <w:tcPr>
            <w:tcW w:w="320" w:type="pct"/>
            <w:noWrap/>
            <w:vAlign w:val="bottom"/>
          </w:tcPr>
          <w:p w:rsidR="00000000" w:rsidRDefault="00000000">
            <w:pPr>
              <w:spacing w:before="40" w:after="60"/>
              <w:ind w:right="227"/>
              <w:jc w:val="right"/>
              <w:rPr>
                <w:sz w:val="20"/>
                <w:szCs w:val="20"/>
              </w:rPr>
            </w:pPr>
            <w:r>
              <w:rPr>
                <w:sz w:val="20"/>
                <w:szCs w:val="20"/>
              </w:rPr>
              <w:t>78.8</w:t>
            </w:r>
          </w:p>
        </w:tc>
        <w:tc>
          <w:tcPr>
            <w:tcW w:w="308" w:type="pct"/>
            <w:noWrap/>
            <w:vAlign w:val="bottom"/>
          </w:tcPr>
          <w:p w:rsidR="00000000" w:rsidRDefault="00000000">
            <w:pPr>
              <w:spacing w:before="40" w:after="60"/>
              <w:ind w:right="227"/>
              <w:jc w:val="right"/>
              <w:rPr>
                <w:sz w:val="20"/>
                <w:szCs w:val="20"/>
              </w:rPr>
            </w:pPr>
            <w:r>
              <w:rPr>
                <w:sz w:val="20"/>
                <w:szCs w:val="20"/>
              </w:rPr>
              <w:t>44.4</w:t>
            </w:r>
          </w:p>
        </w:tc>
        <w:tc>
          <w:tcPr>
            <w:tcW w:w="368" w:type="pct"/>
            <w:noWrap/>
            <w:vAlign w:val="bottom"/>
          </w:tcPr>
          <w:p w:rsidR="00000000" w:rsidRDefault="00000000">
            <w:pPr>
              <w:spacing w:before="40" w:after="60"/>
              <w:ind w:right="227"/>
              <w:jc w:val="right"/>
              <w:rPr>
                <w:sz w:val="20"/>
                <w:szCs w:val="20"/>
              </w:rPr>
            </w:pPr>
            <w:r>
              <w:rPr>
                <w:sz w:val="20"/>
                <w:szCs w:val="20"/>
              </w:rPr>
              <w:t>67.2</w:t>
            </w:r>
          </w:p>
        </w:tc>
        <w:tc>
          <w:tcPr>
            <w:tcW w:w="320" w:type="pct"/>
            <w:noWrap/>
            <w:vAlign w:val="bottom"/>
          </w:tcPr>
          <w:p w:rsidR="00000000" w:rsidRDefault="00000000">
            <w:pPr>
              <w:spacing w:before="40" w:after="60"/>
              <w:ind w:right="227"/>
              <w:jc w:val="right"/>
              <w:rPr>
                <w:sz w:val="20"/>
                <w:szCs w:val="20"/>
              </w:rPr>
            </w:pPr>
            <w:r>
              <w:rPr>
                <w:sz w:val="20"/>
                <w:szCs w:val="20"/>
              </w:rPr>
              <w:t>82.0</w:t>
            </w:r>
          </w:p>
        </w:tc>
        <w:tc>
          <w:tcPr>
            <w:tcW w:w="364" w:type="pct"/>
            <w:noWrap/>
            <w:vAlign w:val="bottom"/>
          </w:tcPr>
          <w:p w:rsidR="00000000" w:rsidRDefault="00000000">
            <w:pPr>
              <w:spacing w:before="40" w:after="60"/>
              <w:ind w:right="227"/>
              <w:jc w:val="right"/>
              <w:rPr>
                <w:sz w:val="20"/>
                <w:szCs w:val="20"/>
              </w:rPr>
            </w:pPr>
            <w:r>
              <w:rPr>
                <w:sz w:val="20"/>
                <w:szCs w:val="20"/>
              </w:rPr>
              <w:t>52.6</w:t>
            </w:r>
          </w:p>
        </w:tc>
        <w:tc>
          <w:tcPr>
            <w:tcW w:w="384" w:type="pct"/>
            <w:noWrap/>
            <w:vAlign w:val="bottom"/>
          </w:tcPr>
          <w:p w:rsidR="00000000" w:rsidRDefault="00000000">
            <w:pPr>
              <w:spacing w:before="40" w:after="60"/>
              <w:ind w:right="227"/>
              <w:jc w:val="right"/>
              <w:rPr>
                <w:sz w:val="20"/>
                <w:szCs w:val="20"/>
              </w:rPr>
            </w:pPr>
            <w:r>
              <w:rPr>
                <w:sz w:val="20"/>
                <w:szCs w:val="20"/>
              </w:rPr>
              <w:t>65.0</w:t>
            </w:r>
          </w:p>
        </w:tc>
        <w:tc>
          <w:tcPr>
            <w:tcW w:w="389" w:type="pct"/>
            <w:noWrap/>
            <w:vAlign w:val="bottom"/>
          </w:tcPr>
          <w:p w:rsidR="00000000" w:rsidRDefault="00000000">
            <w:pPr>
              <w:spacing w:before="40" w:after="60"/>
              <w:ind w:right="227"/>
              <w:jc w:val="right"/>
              <w:rPr>
                <w:sz w:val="20"/>
                <w:szCs w:val="20"/>
              </w:rPr>
            </w:pPr>
            <w:r>
              <w:rPr>
                <w:sz w:val="20"/>
                <w:szCs w:val="20"/>
              </w:rPr>
              <w:t>79.0</w:t>
            </w:r>
          </w:p>
        </w:tc>
        <w:tc>
          <w:tcPr>
            <w:tcW w:w="378" w:type="pct"/>
            <w:noWrap/>
            <w:vAlign w:val="bottom"/>
          </w:tcPr>
          <w:p w:rsidR="00000000" w:rsidRDefault="00000000">
            <w:pPr>
              <w:spacing w:before="40" w:after="60"/>
              <w:ind w:right="227"/>
              <w:jc w:val="right"/>
              <w:rPr>
                <w:sz w:val="20"/>
                <w:szCs w:val="20"/>
              </w:rPr>
            </w:pPr>
            <w:r>
              <w:rPr>
                <w:sz w:val="20"/>
                <w:szCs w:val="20"/>
              </w:rPr>
              <w:t>50.5</w:t>
            </w:r>
          </w:p>
        </w:tc>
      </w:tr>
      <w:tr w:rsidR="00000000">
        <w:tc>
          <w:tcPr>
            <w:tcW w:w="782" w:type="pct"/>
            <w:noWrap/>
            <w:vAlign w:val="bottom"/>
          </w:tcPr>
          <w:p w:rsidR="00000000" w:rsidRDefault="00000000">
            <w:pPr>
              <w:spacing w:before="40" w:after="60"/>
              <w:rPr>
                <w:sz w:val="20"/>
                <w:szCs w:val="20"/>
              </w:rPr>
            </w:pPr>
            <w:r>
              <w:rPr>
                <w:sz w:val="20"/>
                <w:szCs w:val="20"/>
              </w:rPr>
              <w:t>Employment rate</w:t>
            </w:r>
          </w:p>
        </w:tc>
        <w:tc>
          <w:tcPr>
            <w:tcW w:w="315" w:type="pct"/>
            <w:noWrap/>
            <w:vAlign w:val="bottom"/>
          </w:tcPr>
          <w:p w:rsidR="00000000" w:rsidRDefault="00000000">
            <w:pPr>
              <w:spacing w:before="40" w:after="60"/>
              <w:ind w:right="227"/>
              <w:jc w:val="right"/>
              <w:rPr>
                <w:sz w:val="20"/>
                <w:szCs w:val="20"/>
              </w:rPr>
            </w:pPr>
            <w:r>
              <w:rPr>
                <w:sz w:val="20"/>
                <w:szCs w:val="20"/>
              </w:rPr>
              <w:t>94.8</w:t>
            </w:r>
          </w:p>
        </w:tc>
        <w:tc>
          <w:tcPr>
            <w:tcW w:w="377" w:type="pct"/>
            <w:noWrap/>
            <w:vAlign w:val="bottom"/>
          </w:tcPr>
          <w:p w:rsidR="00000000" w:rsidRDefault="00000000">
            <w:pPr>
              <w:spacing w:before="40" w:after="60"/>
              <w:ind w:right="227"/>
              <w:jc w:val="right"/>
              <w:rPr>
                <w:sz w:val="20"/>
                <w:szCs w:val="20"/>
              </w:rPr>
            </w:pPr>
            <w:r>
              <w:rPr>
                <w:sz w:val="20"/>
                <w:szCs w:val="20"/>
              </w:rPr>
              <w:t>95.4</w:t>
            </w:r>
          </w:p>
        </w:tc>
        <w:tc>
          <w:tcPr>
            <w:tcW w:w="320" w:type="pct"/>
            <w:noWrap/>
            <w:vAlign w:val="bottom"/>
          </w:tcPr>
          <w:p w:rsidR="00000000" w:rsidRDefault="00000000">
            <w:pPr>
              <w:spacing w:before="40" w:after="60"/>
              <w:ind w:right="227"/>
              <w:jc w:val="right"/>
              <w:rPr>
                <w:sz w:val="20"/>
                <w:szCs w:val="20"/>
              </w:rPr>
            </w:pPr>
            <w:r>
              <w:rPr>
                <w:sz w:val="20"/>
                <w:szCs w:val="20"/>
              </w:rPr>
              <w:t>94.0</w:t>
            </w:r>
          </w:p>
        </w:tc>
        <w:tc>
          <w:tcPr>
            <w:tcW w:w="375" w:type="pct"/>
            <w:noWrap/>
            <w:vAlign w:val="bottom"/>
          </w:tcPr>
          <w:p w:rsidR="00000000" w:rsidRDefault="00000000">
            <w:pPr>
              <w:spacing w:before="40" w:after="60"/>
              <w:ind w:right="227"/>
              <w:jc w:val="right"/>
              <w:rPr>
                <w:sz w:val="20"/>
                <w:szCs w:val="20"/>
              </w:rPr>
            </w:pPr>
            <w:r>
              <w:rPr>
                <w:sz w:val="20"/>
                <w:szCs w:val="20"/>
              </w:rPr>
              <w:t>89.9</w:t>
            </w:r>
          </w:p>
        </w:tc>
        <w:tc>
          <w:tcPr>
            <w:tcW w:w="320" w:type="pct"/>
            <w:noWrap/>
            <w:vAlign w:val="bottom"/>
          </w:tcPr>
          <w:p w:rsidR="00000000" w:rsidRDefault="00000000">
            <w:pPr>
              <w:spacing w:before="40" w:after="60"/>
              <w:ind w:right="227"/>
              <w:jc w:val="right"/>
              <w:rPr>
                <w:sz w:val="20"/>
                <w:szCs w:val="20"/>
              </w:rPr>
            </w:pPr>
            <w:r>
              <w:rPr>
                <w:sz w:val="20"/>
                <w:szCs w:val="20"/>
              </w:rPr>
              <w:t>91.0</w:t>
            </w:r>
          </w:p>
        </w:tc>
        <w:tc>
          <w:tcPr>
            <w:tcW w:w="308" w:type="pct"/>
            <w:noWrap/>
            <w:vAlign w:val="bottom"/>
          </w:tcPr>
          <w:p w:rsidR="00000000" w:rsidRDefault="00000000">
            <w:pPr>
              <w:spacing w:before="40" w:after="60"/>
              <w:ind w:right="227"/>
              <w:jc w:val="right"/>
              <w:rPr>
                <w:sz w:val="20"/>
                <w:szCs w:val="20"/>
              </w:rPr>
            </w:pPr>
            <w:r>
              <w:rPr>
                <w:sz w:val="20"/>
                <w:szCs w:val="20"/>
              </w:rPr>
              <w:t>88.1</w:t>
            </w:r>
          </w:p>
        </w:tc>
        <w:tc>
          <w:tcPr>
            <w:tcW w:w="368" w:type="pct"/>
            <w:noWrap/>
            <w:vAlign w:val="bottom"/>
          </w:tcPr>
          <w:p w:rsidR="00000000" w:rsidRDefault="00000000">
            <w:pPr>
              <w:spacing w:before="40" w:after="60"/>
              <w:ind w:right="227"/>
              <w:jc w:val="right"/>
              <w:rPr>
                <w:sz w:val="20"/>
                <w:szCs w:val="20"/>
              </w:rPr>
            </w:pPr>
            <w:r>
              <w:rPr>
                <w:sz w:val="20"/>
                <w:szCs w:val="20"/>
              </w:rPr>
              <w:t>88.3</w:t>
            </w:r>
          </w:p>
        </w:tc>
        <w:tc>
          <w:tcPr>
            <w:tcW w:w="320" w:type="pct"/>
            <w:noWrap/>
            <w:vAlign w:val="bottom"/>
          </w:tcPr>
          <w:p w:rsidR="00000000" w:rsidRDefault="00000000">
            <w:pPr>
              <w:spacing w:before="40" w:after="60"/>
              <w:ind w:right="227"/>
              <w:jc w:val="right"/>
              <w:rPr>
                <w:sz w:val="20"/>
                <w:szCs w:val="20"/>
              </w:rPr>
            </w:pPr>
            <w:r>
              <w:rPr>
                <w:sz w:val="20"/>
                <w:szCs w:val="20"/>
              </w:rPr>
              <w:t>91.3</w:t>
            </w:r>
          </w:p>
        </w:tc>
        <w:tc>
          <w:tcPr>
            <w:tcW w:w="364" w:type="pct"/>
            <w:noWrap/>
            <w:vAlign w:val="bottom"/>
          </w:tcPr>
          <w:p w:rsidR="00000000" w:rsidRDefault="00000000">
            <w:pPr>
              <w:spacing w:before="40" w:after="60"/>
              <w:ind w:right="227"/>
              <w:jc w:val="right"/>
              <w:rPr>
                <w:sz w:val="20"/>
                <w:szCs w:val="20"/>
              </w:rPr>
            </w:pPr>
            <w:r>
              <w:rPr>
                <w:sz w:val="20"/>
                <w:szCs w:val="20"/>
              </w:rPr>
              <w:t>83.7</w:t>
            </w:r>
          </w:p>
        </w:tc>
        <w:tc>
          <w:tcPr>
            <w:tcW w:w="384" w:type="pct"/>
            <w:noWrap/>
            <w:vAlign w:val="bottom"/>
          </w:tcPr>
          <w:p w:rsidR="00000000" w:rsidRDefault="00000000">
            <w:pPr>
              <w:spacing w:before="40" w:after="60"/>
              <w:ind w:right="227"/>
              <w:jc w:val="right"/>
              <w:rPr>
                <w:sz w:val="20"/>
                <w:szCs w:val="20"/>
              </w:rPr>
            </w:pPr>
            <w:r>
              <w:rPr>
                <w:sz w:val="20"/>
                <w:szCs w:val="20"/>
              </w:rPr>
              <w:t>90.1</w:t>
            </w:r>
          </w:p>
        </w:tc>
        <w:tc>
          <w:tcPr>
            <w:tcW w:w="389" w:type="pct"/>
            <w:noWrap/>
            <w:vAlign w:val="bottom"/>
          </w:tcPr>
          <w:p w:rsidR="00000000" w:rsidRDefault="00000000">
            <w:pPr>
              <w:spacing w:before="40" w:after="60"/>
              <w:ind w:right="227"/>
              <w:jc w:val="right"/>
              <w:rPr>
                <w:sz w:val="20"/>
                <w:szCs w:val="20"/>
              </w:rPr>
            </w:pPr>
            <w:r>
              <w:rPr>
                <w:sz w:val="20"/>
                <w:szCs w:val="20"/>
              </w:rPr>
              <w:t>92.2</w:t>
            </w:r>
          </w:p>
        </w:tc>
        <w:tc>
          <w:tcPr>
            <w:tcW w:w="378" w:type="pct"/>
            <w:noWrap/>
            <w:vAlign w:val="bottom"/>
          </w:tcPr>
          <w:p w:rsidR="00000000" w:rsidRDefault="00000000">
            <w:pPr>
              <w:spacing w:before="40" w:after="60"/>
              <w:ind w:right="227"/>
              <w:jc w:val="right"/>
              <w:rPr>
                <w:sz w:val="20"/>
                <w:szCs w:val="20"/>
              </w:rPr>
            </w:pPr>
            <w:r>
              <w:rPr>
                <w:sz w:val="20"/>
                <w:szCs w:val="20"/>
              </w:rPr>
              <w:t>86.6</w:t>
            </w:r>
          </w:p>
        </w:tc>
      </w:tr>
      <w:tr w:rsidR="00000000">
        <w:tc>
          <w:tcPr>
            <w:tcW w:w="782" w:type="pct"/>
            <w:noWrap/>
            <w:vAlign w:val="bottom"/>
          </w:tcPr>
          <w:p w:rsidR="00000000" w:rsidRDefault="00000000">
            <w:pPr>
              <w:spacing w:before="40" w:after="60"/>
              <w:rPr>
                <w:sz w:val="20"/>
                <w:szCs w:val="20"/>
              </w:rPr>
            </w:pPr>
            <w:r>
              <w:rPr>
                <w:sz w:val="20"/>
                <w:szCs w:val="20"/>
              </w:rPr>
              <w:t>Overt unemployment rate</w:t>
            </w:r>
          </w:p>
        </w:tc>
        <w:tc>
          <w:tcPr>
            <w:tcW w:w="315" w:type="pct"/>
            <w:noWrap/>
            <w:vAlign w:val="bottom"/>
          </w:tcPr>
          <w:p w:rsidR="00000000" w:rsidRDefault="00000000">
            <w:pPr>
              <w:spacing w:before="40" w:after="60"/>
              <w:ind w:right="227"/>
              <w:jc w:val="right"/>
              <w:rPr>
                <w:sz w:val="20"/>
                <w:szCs w:val="20"/>
              </w:rPr>
            </w:pPr>
            <w:r>
              <w:rPr>
                <w:sz w:val="20"/>
                <w:szCs w:val="20"/>
              </w:rPr>
              <w:t>5.2</w:t>
            </w:r>
          </w:p>
        </w:tc>
        <w:tc>
          <w:tcPr>
            <w:tcW w:w="377" w:type="pct"/>
            <w:noWrap/>
            <w:vAlign w:val="bottom"/>
          </w:tcPr>
          <w:p w:rsidR="00000000" w:rsidRDefault="00000000">
            <w:pPr>
              <w:spacing w:before="40" w:after="60"/>
              <w:ind w:right="227"/>
              <w:jc w:val="right"/>
              <w:rPr>
                <w:sz w:val="20"/>
                <w:szCs w:val="20"/>
              </w:rPr>
            </w:pPr>
            <w:r>
              <w:rPr>
                <w:sz w:val="20"/>
                <w:szCs w:val="20"/>
              </w:rPr>
              <w:t>4.6</w:t>
            </w:r>
          </w:p>
        </w:tc>
        <w:tc>
          <w:tcPr>
            <w:tcW w:w="320" w:type="pct"/>
            <w:noWrap/>
            <w:vAlign w:val="bottom"/>
          </w:tcPr>
          <w:p w:rsidR="00000000" w:rsidRDefault="00000000">
            <w:pPr>
              <w:spacing w:before="40" w:after="60"/>
              <w:ind w:right="227"/>
              <w:jc w:val="right"/>
              <w:rPr>
                <w:sz w:val="20"/>
                <w:szCs w:val="20"/>
              </w:rPr>
            </w:pPr>
            <w:r>
              <w:rPr>
                <w:sz w:val="20"/>
                <w:szCs w:val="20"/>
              </w:rPr>
              <w:t>6.0</w:t>
            </w:r>
          </w:p>
        </w:tc>
        <w:tc>
          <w:tcPr>
            <w:tcW w:w="375" w:type="pct"/>
            <w:noWrap/>
            <w:vAlign w:val="bottom"/>
          </w:tcPr>
          <w:p w:rsidR="00000000" w:rsidRDefault="00000000">
            <w:pPr>
              <w:spacing w:before="40" w:after="60"/>
              <w:ind w:right="227"/>
              <w:jc w:val="right"/>
              <w:rPr>
                <w:sz w:val="20"/>
                <w:szCs w:val="20"/>
              </w:rPr>
            </w:pPr>
            <w:r>
              <w:rPr>
                <w:sz w:val="20"/>
                <w:szCs w:val="20"/>
              </w:rPr>
              <w:t>10.1</w:t>
            </w:r>
          </w:p>
        </w:tc>
        <w:tc>
          <w:tcPr>
            <w:tcW w:w="320" w:type="pct"/>
            <w:noWrap/>
            <w:vAlign w:val="bottom"/>
          </w:tcPr>
          <w:p w:rsidR="00000000" w:rsidRDefault="00000000">
            <w:pPr>
              <w:spacing w:before="40" w:after="60"/>
              <w:ind w:right="227"/>
              <w:jc w:val="right"/>
              <w:rPr>
                <w:sz w:val="20"/>
                <w:szCs w:val="20"/>
              </w:rPr>
            </w:pPr>
            <w:r>
              <w:rPr>
                <w:sz w:val="20"/>
                <w:szCs w:val="20"/>
              </w:rPr>
              <w:t>9.0</w:t>
            </w:r>
          </w:p>
        </w:tc>
        <w:tc>
          <w:tcPr>
            <w:tcW w:w="308" w:type="pct"/>
            <w:noWrap/>
            <w:vAlign w:val="bottom"/>
          </w:tcPr>
          <w:p w:rsidR="00000000" w:rsidRDefault="00000000">
            <w:pPr>
              <w:spacing w:before="40" w:after="60"/>
              <w:ind w:right="227"/>
              <w:jc w:val="right"/>
              <w:rPr>
                <w:sz w:val="20"/>
                <w:szCs w:val="20"/>
              </w:rPr>
            </w:pPr>
            <w:r>
              <w:rPr>
                <w:sz w:val="20"/>
                <w:szCs w:val="20"/>
              </w:rPr>
              <w:t>11.9</w:t>
            </w:r>
          </w:p>
        </w:tc>
        <w:tc>
          <w:tcPr>
            <w:tcW w:w="368" w:type="pct"/>
            <w:noWrap/>
            <w:vAlign w:val="bottom"/>
          </w:tcPr>
          <w:p w:rsidR="00000000" w:rsidRDefault="00000000">
            <w:pPr>
              <w:spacing w:before="40" w:after="60"/>
              <w:ind w:right="227"/>
              <w:jc w:val="right"/>
              <w:rPr>
                <w:sz w:val="20"/>
                <w:szCs w:val="20"/>
              </w:rPr>
            </w:pPr>
            <w:r>
              <w:rPr>
                <w:sz w:val="20"/>
                <w:szCs w:val="20"/>
              </w:rPr>
              <w:t>11.7</w:t>
            </w:r>
          </w:p>
        </w:tc>
        <w:tc>
          <w:tcPr>
            <w:tcW w:w="320" w:type="pct"/>
            <w:noWrap/>
            <w:vAlign w:val="bottom"/>
          </w:tcPr>
          <w:p w:rsidR="00000000" w:rsidRDefault="00000000">
            <w:pPr>
              <w:spacing w:before="40" w:after="60"/>
              <w:ind w:right="227"/>
              <w:jc w:val="right"/>
              <w:rPr>
                <w:sz w:val="20"/>
                <w:szCs w:val="20"/>
              </w:rPr>
            </w:pPr>
            <w:r>
              <w:rPr>
                <w:sz w:val="20"/>
                <w:szCs w:val="20"/>
              </w:rPr>
              <w:t>8.7</w:t>
            </w:r>
          </w:p>
        </w:tc>
        <w:tc>
          <w:tcPr>
            <w:tcW w:w="364" w:type="pct"/>
            <w:noWrap/>
            <w:vAlign w:val="bottom"/>
          </w:tcPr>
          <w:p w:rsidR="00000000" w:rsidRDefault="00000000">
            <w:pPr>
              <w:spacing w:before="40" w:after="60"/>
              <w:ind w:right="227"/>
              <w:jc w:val="right"/>
              <w:rPr>
                <w:sz w:val="20"/>
                <w:szCs w:val="20"/>
              </w:rPr>
            </w:pPr>
            <w:r>
              <w:rPr>
                <w:sz w:val="20"/>
                <w:szCs w:val="20"/>
              </w:rPr>
              <w:t>16.3</w:t>
            </w:r>
          </w:p>
        </w:tc>
        <w:tc>
          <w:tcPr>
            <w:tcW w:w="384" w:type="pct"/>
            <w:noWrap/>
            <w:vAlign w:val="bottom"/>
          </w:tcPr>
          <w:p w:rsidR="00000000" w:rsidRDefault="00000000">
            <w:pPr>
              <w:spacing w:before="40" w:after="60"/>
              <w:ind w:right="227"/>
              <w:jc w:val="right"/>
              <w:rPr>
                <w:sz w:val="20"/>
                <w:szCs w:val="20"/>
              </w:rPr>
            </w:pPr>
            <w:r>
              <w:rPr>
                <w:sz w:val="20"/>
                <w:szCs w:val="20"/>
              </w:rPr>
              <w:t>9.9</w:t>
            </w:r>
          </w:p>
        </w:tc>
        <w:tc>
          <w:tcPr>
            <w:tcW w:w="389" w:type="pct"/>
            <w:noWrap/>
            <w:vAlign w:val="bottom"/>
          </w:tcPr>
          <w:p w:rsidR="00000000" w:rsidRDefault="00000000">
            <w:pPr>
              <w:spacing w:before="40" w:after="60"/>
              <w:ind w:right="227"/>
              <w:jc w:val="right"/>
              <w:rPr>
                <w:sz w:val="20"/>
                <w:szCs w:val="20"/>
              </w:rPr>
            </w:pPr>
            <w:r>
              <w:rPr>
                <w:sz w:val="20"/>
                <w:szCs w:val="20"/>
              </w:rPr>
              <w:t>7.8</w:t>
            </w:r>
          </w:p>
        </w:tc>
        <w:tc>
          <w:tcPr>
            <w:tcW w:w="378" w:type="pct"/>
            <w:noWrap/>
            <w:vAlign w:val="bottom"/>
          </w:tcPr>
          <w:p w:rsidR="00000000" w:rsidRDefault="00000000">
            <w:pPr>
              <w:spacing w:before="40" w:after="60"/>
              <w:ind w:right="227"/>
              <w:jc w:val="right"/>
              <w:rPr>
                <w:sz w:val="20"/>
                <w:szCs w:val="20"/>
              </w:rPr>
            </w:pPr>
            <w:r>
              <w:rPr>
                <w:sz w:val="20"/>
                <w:szCs w:val="20"/>
              </w:rPr>
              <w:t>13.4</w:t>
            </w:r>
          </w:p>
        </w:tc>
      </w:tr>
      <w:tr w:rsidR="00000000">
        <w:tc>
          <w:tcPr>
            <w:tcW w:w="782" w:type="pct"/>
            <w:noWrap/>
            <w:vAlign w:val="bottom"/>
          </w:tcPr>
          <w:p w:rsidR="00000000" w:rsidRDefault="00000000">
            <w:pPr>
              <w:spacing w:before="40" w:after="60"/>
              <w:rPr>
                <w:sz w:val="20"/>
                <w:szCs w:val="20"/>
              </w:rPr>
            </w:pPr>
            <w:r>
              <w:rPr>
                <w:sz w:val="20"/>
                <w:szCs w:val="20"/>
              </w:rPr>
              <w:t>Invisible unemployment rate</w:t>
            </w:r>
          </w:p>
        </w:tc>
        <w:tc>
          <w:tcPr>
            <w:tcW w:w="315" w:type="pct"/>
            <w:noWrap/>
            <w:vAlign w:val="bottom"/>
          </w:tcPr>
          <w:p w:rsidR="00000000" w:rsidRDefault="00000000">
            <w:pPr>
              <w:spacing w:before="40" w:after="60"/>
              <w:ind w:right="227"/>
              <w:jc w:val="right"/>
              <w:rPr>
                <w:sz w:val="20"/>
                <w:szCs w:val="20"/>
              </w:rPr>
            </w:pPr>
            <w:r>
              <w:rPr>
                <w:sz w:val="20"/>
                <w:szCs w:val="20"/>
              </w:rPr>
              <w:t>3.4</w:t>
            </w:r>
          </w:p>
        </w:tc>
        <w:tc>
          <w:tcPr>
            <w:tcW w:w="377" w:type="pct"/>
            <w:noWrap/>
            <w:vAlign w:val="bottom"/>
          </w:tcPr>
          <w:p w:rsidR="00000000" w:rsidRDefault="00000000">
            <w:pPr>
              <w:spacing w:before="40" w:after="60"/>
              <w:ind w:right="227"/>
              <w:jc w:val="right"/>
              <w:rPr>
                <w:sz w:val="20"/>
                <w:szCs w:val="20"/>
              </w:rPr>
            </w:pPr>
            <w:r>
              <w:rPr>
                <w:sz w:val="20"/>
                <w:szCs w:val="20"/>
              </w:rPr>
              <w:t>2.0</w:t>
            </w:r>
          </w:p>
        </w:tc>
        <w:tc>
          <w:tcPr>
            <w:tcW w:w="320" w:type="pct"/>
            <w:noWrap/>
            <w:vAlign w:val="bottom"/>
          </w:tcPr>
          <w:p w:rsidR="00000000" w:rsidRDefault="00000000">
            <w:pPr>
              <w:spacing w:before="40" w:after="60"/>
              <w:ind w:right="227"/>
              <w:jc w:val="right"/>
              <w:rPr>
                <w:sz w:val="20"/>
                <w:szCs w:val="20"/>
              </w:rPr>
            </w:pPr>
            <w:r>
              <w:rPr>
                <w:sz w:val="20"/>
                <w:szCs w:val="20"/>
              </w:rPr>
              <w:t>5.3</w:t>
            </w:r>
          </w:p>
        </w:tc>
        <w:tc>
          <w:tcPr>
            <w:tcW w:w="375" w:type="pct"/>
            <w:noWrap/>
            <w:vAlign w:val="bottom"/>
          </w:tcPr>
          <w:p w:rsidR="00000000" w:rsidRDefault="00000000">
            <w:pPr>
              <w:spacing w:before="40" w:after="60"/>
              <w:ind w:right="227"/>
              <w:jc w:val="right"/>
              <w:rPr>
                <w:sz w:val="20"/>
                <w:szCs w:val="20"/>
              </w:rPr>
            </w:pPr>
            <w:r>
              <w:rPr>
                <w:sz w:val="20"/>
                <w:szCs w:val="20"/>
              </w:rPr>
              <w:t>13.3</w:t>
            </w:r>
          </w:p>
        </w:tc>
        <w:tc>
          <w:tcPr>
            <w:tcW w:w="320" w:type="pct"/>
            <w:noWrap/>
            <w:vAlign w:val="bottom"/>
          </w:tcPr>
          <w:p w:rsidR="00000000" w:rsidRDefault="00000000">
            <w:pPr>
              <w:spacing w:before="40" w:after="60"/>
              <w:ind w:right="227"/>
              <w:jc w:val="right"/>
              <w:rPr>
                <w:sz w:val="20"/>
                <w:szCs w:val="20"/>
              </w:rPr>
            </w:pPr>
            <w:r>
              <w:rPr>
                <w:sz w:val="20"/>
                <w:szCs w:val="20"/>
              </w:rPr>
              <w:t>7.6</w:t>
            </w:r>
          </w:p>
        </w:tc>
        <w:tc>
          <w:tcPr>
            <w:tcW w:w="308" w:type="pct"/>
            <w:noWrap/>
            <w:vAlign w:val="bottom"/>
          </w:tcPr>
          <w:p w:rsidR="00000000" w:rsidRDefault="00000000">
            <w:pPr>
              <w:spacing w:before="40" w:after="60"/>
              <w:ind w:right="227"/>
              <w:jc w:val="right"/>
              <w:rPr>
                <w:sz w:val="20"/>
                <w:szCs w:val="20"/>
              </w:rPr>
            </w:pPr>
            <w:r>
              <w:rPr>
                <w:sz w:val="20"/>
                <w:szCs w:val="20"/>
              </w:rPr>
              <w:t>21.6</w:t>
            </w:r>
          </w:p>
        </w:tc>
        <w:tc>
          <w:tcPr>
            <w:tcW w:w="368" w:type="pct"/>
            <w:noWrap/>
            <w:vAlign w:val="bottom"/>
          </w:tcPr>
          <w:p w:rsidR="00000000" w:rsidRDefault="00000000">
            <w:pPr>
              <w:spacing w:before="40" w:after="60"/>
              <w:ind w:right="227"/>
              <w:jc w:val="right"/>
              <w:rPr>
                <w:sz w:val="20"/>
                <w:szCs w:val="20"/>
              </w:rPr>
            </w:pPr>
            <w:r>
              <w:rPr>
                <w:sz w:val="20"/>
                <w:szCs w:val="20"/>
              </w:rPr>
              <w:t>5.4</w:t>
            </w:r>
          </w:p>
        </w:tc>
        <w:tc>
          <w:tcPr>
            <w:tcW w:w="320" w:type="pct"/>
            <w:noWrap/>
            <w:vAlign w:val="bottom"/>
          </w:tcPr>
          <w:p w:rsidR="00000000" w:rsidRDefault="00000000">
            <w:pPr>
              <w:spacing w:before="40" w:after="60"/>
              <w:ind w:right="227"/>
              <w:jc w:val="right"/>
              <w:rPr>
                <w:sz w:val="20"/>
                <w:szCs w:val="20"/>
              </w:rPr>
            </w:pPr>
            <w:r>
              <w:rPr>
                <w:sz w:val="20"/>
                <w:szCs w:val="20"/>
              </w:rPr>
              <w:t>3.2</w:t>
            </w:r>
          </w:p>
        </w:tc>
        <w:tc>
          <w:tcPr>
            <w:tcW w:w="364" w:type="pct"/>
            <w:noWrap/>
            <w:vAlign w:val="bottom"/>
          </w:tcPr>
          <w:p w:rsidR="00000000" w:rsidRDefault="00000000">
            <w:pPr>
              <w:spacing w:before="40" w:after="60"/>
              <w:ind w:right="227"/>
              <w:jc w:val="right"/>
              <w:rPr>
                <w:sz w:val="20"/>
                <w:szCs w:val="20"/>
              </w:rPr>
            </w:pPr>
            <w:r>
              <w:rPr>
                <w:sz w:val="20"/>
                <w:szCs w:val="20"/>
              </w:rPr>
              <w:t>8.6</w:t>
            </w:r>
          </w:p>
        </w:tc>
        <w:tc>
          <w:tcPr>
            <w:tcW w:w="384" w:type="pct"/>
            <w:noWrap/>
            <w:vAlign w:val="bottom"/>
          </w:tcPr>
          <w:p w:rsidR="00000000" w:rsidRDefault="00000000">
            <w:pPr>
              <w:spacing w:before="40" w:after="60"/>
              <w:ind w:right="227"/>
              <w:jc w:val="right"/>
              <w:rPr>
                <w:sz w:val="20"/>
                <w:szCs w:val="20"/>
              </w:rPr>
            </w:pPr>
            <w:r>
              <w:rPr>
                <w:sz w:val="20"/>
                <w:szCs w:val="20"/>
              </w:rPr>
              <w:t>5.4</w:t>
            </w:r>
          </w:p>
        </w:tc>
        <w:tc>
          <w:tcPr>
            <w:tcW w:w="389" w:type="pct"/>
            <w:noWrap/>
            <w:vAlign w:val="bottom"/>
          </w:tcPr>
          <w:p w:rsidR="00000000" w:rsidRDefault="00000000">
            <w:pPr>
              <w:spacing w:before="40" w:after="60"/>
              <w:ind w:right="227"/>
              <w:jc w:val="right"/>
              <w:rPr>
                <w:sz w:val="20"/>
                <w:szCs w:val="20"/>
              </w:rPr>
            </w:pPr>
            <w:r>
              <w:rPr>
                <w:sz w:val="20"/>
                <w:szCs w:val="20"/>
              </w:rPr>
              <w:t>3.4</w:t>
            </w:r>
          </w:p>
        </w:tc>
        <w:tc>
          <w:tcPr>
            <w:tcW w:w="378" w:type="pct"/>
            <w:noWrap/>
            <w:vAlign w:val="bottom"/>
          </w:tcPr>
          <w:p w:rsidR="00000000" w:rsidRDefault="00000000">
            <w:pPr>
              <w:spacing w:before="40" w:after="60"/>
              <w:ind w:right="227"/>
              <w:jc w:val="right"/>
              <w:rPr>
                <w:sz w:val="20"/>
                <w:szCs w:val="20"/>
              </w:rPr>
            </w:pPr>
            <w:r>
              <w:rPr>
                <w:sz w:val="20"/>
                <w:szCs w:val="20"/>
              </w:rPr>
              <w:t>8.5</w:t>
            </w:r>
          </w:p>
        </w:tc>
      </w:tr>
      <w:tr w:rsidR="00000000">
        <w:tc>
          <w:tcPr>
            <w:tcW w:w="782" w:type="pct"/>
            <w:noWrap/>
            <w:vAlign w:val="bottom"/>
          </w:tcPr>
          <w:p w:rsidR="00000000" w:rsidRDefault="00000000">
            <w:pPr>
              <w:spacing w:before="40" w:after="60"/>
              <w:rPr>
                <w:sz w:val="20"/>
                <w:szCs w:val="20"/>
              </w:rPr>
            </w:pPr>
            <w:r>
              <w:rPr>
                <w:sz w:val="20"/>
                <w:szCs w:val="20"/>
              </w:rPr>
              <w:t>Total underemployment rate</w:t>
            </w:r>
          </w:p>
        </w:tc>
        <w:tc>
          <w:tcPr>
            <w:tcW w:w="315" w:type="pct"/>
            <w:noWrap/>
            <w:vAlign w:val="bottom"/>
          </w:tcPr>
          <w:p w:rsidR="00000000" w:rsidRDefault="00000000">
            <w:pPr>
              <w:spacing w:before="40" w:after="60"/>
              <w:ind w:right="227"/>
              <w:jc w:val="right"/>
              <w:rPr>
                <w:sz w:val="20"/>
                <w:szCs w:val="20"/>
              </w:rPr>
            </w:pPr>
            <w:r>
              <w:rPr>
                <w:sz w:val="20"/>
                <w:szCs w:val="20"/>
              </w:rPr>
              <w:t>22.4</w:t>
            </w:r>
          </w:p>
        </w:tc>
        <w:tc>
          <w:tcPr>
            <w:tcW w:w="377" w:type="pct"/>
            <w:noWrap/>
            <w:vAlign w:val="bottom"/>
          </w:tcPr>
          <w:p w:rsidR="00000000" w:rsidRDefault="00000000">
            <w:pPr>
              <w:spacing w:before="40" w:after="60"/>
              <w:ind w:right="227"/>
              <w:jc w:val="right"/>
              <w:rPr>
                <w:sz w:val="20"/>
                <w:szCs w:val="20"/>
              </w:rPr>
            </w:pPr>
            <w:r>
              <w:rPr>
                <w:sz w:val="20"/>
                <w:szCs w:val="20"/>
              </w:rPr>
              <w:t>19.8</w:t>
            </w:r>
          </w:p>
        </w:tc>
        <w:tc>
          <w:tcPr>
            <w:tcW w:w="320" w:type="pct"/>
            <w:noWrap/>
            <w:vAlign w:val="bottom"/>
          </w:tcPr>
          <w:p w:rsidR="00000000" w:rsidRDefault="00000000">
            <w:pPr>
              <w:spacing w:before="40" w:after="60"/>
              <w:ind w:right="227"/>
              <w:jc w:val="right"/>
              <w:rPr>
                <w:sz w:val="20"/>
                <w:szCs w:val="20"/>
              </w:rPr>
            </w:pPr>
            <w:r>
              <w:rPr>
                <w:sz w:val="20"/>
                <w:szCs w:val="20"/>
              </w:rPr>
              <w:t>26.2</w:t>
            </w:r>
          </w:p>
        </w:tc>
        <w:tc>
          <w:tcPr>
            <w:tcW w:w="375" w:type="pct"/>
            <w:noWrap/>
            <w:vAlign w:val="bottom"/>
          </w:tcPr>
          <w:p w:rsidR="00000000" w:rsidRDefault="00000000">
            <w:pPr>
              <w:spacing w:before="40" w:after="60"/>
              <w:ind w:right="227"/>
              <w:jc w:val="right"/>
              <w:rPr>
                <w:sz w:val="20"/>
                <w:szCs w:val="20"/>
              </w:rPr>
            </w:pPr>
            <w:r>
              <w:rPr>
                <w:sz w:val="20"/>
                <w:szCs w:val="20"/>
              </w:rPr>
              <w:t>23.4</w:t>
            </w:r>
          </w:p>
        </w:tc>
        <w:tc>
          <w:tcPr>
            <w:tcW w:w="320" w:type="pct"/>
            <w:noWrap/>
            <w:vAlign w:val="bottom"/>
          </w:tcPr>
          <w:p w:rsidR="00000000" w:rsidRDefault="00000000">
            <w:pPr>
              <w:spacing w:before="40" w:after="60"/>
              <w:ind w:right="227"/>
              <w:jc w:val="right"/>
              <w:rPr>
                <w:sz w:val="20"/>
                <w:szCs w:val="20"/>
              </w:rPr>
            </w:pPr>
            <w:r>
              <w:rPr>
                <w:sz w:val="20"/>
                <w:szCs w:val="20"/>
              </w:rPr>
              <w:t>20.4</w:t>
            </w:r>
          </w:p>
        </w:tc>
        <w:tc>
          <w:tcPr>
            <w:tcW w:w="308" w:type="pct"/>
            <w:noWrap/>
            <w:vAlign w:val="bottom"/>
          </w:tcPr>
          <w:p w:rsidR="00000000" w:rsidRDefault="00000000">
            <w:pPr>
              <w:spacing w:before="40" w:after="60"/>
              <w:ind w:right="227"/>
              <w:jc w:val="right"/>
              <w:rPr>
                <w:sz w:val="20"/>
                <w:szCs w:val="20"/>
              </w:rPr>
            </w:pPr>
            <w:r>
              <w:rPr>
                <w:sz w:val="20"/>
                <w:szCs w:val="20"/>
              </w:rPr>
              <w:t>28.4</w:t>
            </w:r>
          </w:p>
        </w:tc>
        <w:tc>
          <w:tcPr>
            <w:tcW w:w="368" w:type="pct"/>
            <w:noWrap/>
            <w:vAlign w:val="bottom"/>
          </w:tcPr>
          <w:p w:rsidR="00000000" w:rsidRDefault="00000000">
            <w:pPr>
              <w:spacing w:before="40" w:after="60"/>
              <w:ind w:right="227"/>
              <w:jc w:val="right"/>
              <w:rPr>
                <w:sz w:val="20"/>
                <w:szCs w:val="20"/>
              </w:rPr>
            </w:pPr>
            <w:r>
              <w:rPr>
                <w:sz w:val="20"/>
                <w:szCs w:val="20"/>
              </w:rPr>
              <w:t>32.5</w:t>
            </w:r>
          </w:p>
        </w:tc>
        <w:tc>
          <w:tcPr>
            <w:tcW w:w="320" w:type="pct"/>
            <w:noWrap/>
            <w:vAlign w:val="bottom"/>
          </w:tcPr>
          <w:p w:rsidR="00000000" w:rsidRDefault="00000000">
            <w:pPr>
              <w:spacing w:before="40" w:after="60"/>
              <w:ind w:right="227"/>
              <w:jc w:val="right"/>
              <w:rPr>
                <w:sz w:val="20"/>
                <w:szCs w:val="20"/>
              </w:rPr>
            </w:pPr>
            <w:r>
              <w:rPr>
                <w:sz w:val="20"/>
                <w:szCs w:val="20"/>
              </w:rPr>
              <w:t>29.6</w:t>
            </w:r>
          </w:p>
        </w:tc>
        <w:tc>
          <w:tcPr>
            <w:tcW w:w="364" w:type="pct"/>
            <w:noWrap/>
            <w:vAlign w:val="bottom"/>
          </w:tcPr>
          <w:p w:rsidR="00000000" w:rsidRDefault="00000000">
            <w:pPr>
              <w:spacing w:before="40" w:after="60"/>
              <w:ind w:right="227"/>
              <w:jc w:val="right"/>
              <w:rPr>
                <w:sz w:val="20"/>
                <w:szCs w:val="20"/>
              </w:rPr>
            </w:pPr>
            <w:r>
              <w:rPr>
                <w:sz w:val="20"/>
                <w:szCs w:val="20"/>
              </w:rPr>
              <w:t>37.1</w:t>
            </w:r>
          </w:p>
        </w:tc>
        <w:tc>
          <w:tcPr>
            <w:tcW w:w="384" w:type="pct"/>
            <w:noWrap/>
            <w:vAlign w:val="bottom"/>
          </w:tcPr>
          <w:p w:rsidR="00000000" w:rsidRDefault="00000000">
            <w:pPr>
              <w:spacing w:before="40" w:after="60"/>
              <w:ind w:right="227"/>
              <w:jc w:val="right"/>
              <w:rPr>
                <w:sz w:val="20"/>
                <w:szCs w:val="20"/>
              </w:rPr>
            </w:pPr>
            <w:r>
              <w:rPr>
                <w:sz w:val="20"/>
                <w:szCs w:val="20"/>
              </w:rPr>
              <w:t>35.5</w:t>
            </w:r>
          </w:p>
        </w:tc>
        <w:tc>
          <w:tcPr>
            <w:tcW w:w="389" w:type="pct"/>
            <w:noWrap/>
            <w:vAlign w:val="bottom"/>
          </w:tcPr>
          <w:p w:rsidR="00000000" w:rsidRDefault="00000000">
            <w:pPr>
              <w:spacing w:before="40" w:after="60"/>
              <w:ind w:right="227"/>
              <w:jc w:val="right"/>
              <w:rPr>
                <w:sz w:val="20"/>
                <w:szCs w:val="20"/>
              </w:rPr>
            </w:pPr>
            <w:r>
              <w:rPr>
                <w:sz w:val="20"/>
                <w:szCs w:val="20"/>
              </w:rPr>
              <w:t>32.1</w:t>
            </w:r>
          </w:p>
        </w:tc>
        <w:tc>
          <w:tcPr>
            <w:tcW w:w="378" w:type="pct"/>
            <w:noWrap/>
            <w:vAlign w:val="bottom"/>
          </w:tcPr>
          <w:p w:rsidR="00000000" w:rsidRDefault="00000000">
            <w:pPr>
              <w:spacing w:before="40" w:after="60"/>
              <w:ind w:right="227"/>
              <w:jc w:val="right"/>
              <w:rPr>
                <w:sz w:val="20"/>
                <w:szCs w:val="20"/>
              </w:rPr>
            </w:pPr>
            <w:r>
              <w:rPr>
                <w:sz w:val="20"/>
                <w:szCs w:val="20"/>
              </w:rPr>
              <w:t>41.0</w:t>
            </w:r>
          </w:p>
        </w:tc>
      </w:tr>
      <w:tr w:rsidR="00000000">
        <w:tc>
          <w:tcPr>
            <w:tcW w:w="782" w:type="pct"/>
            <w:noWrap/>
            <w:vAlign w:val="bottom"/>
          </w:tcPr>
          <w:p w:rsidR="00000000" w:rsidRDefault="00000000">
            <w:pPr>
              <w:spacing w:before="40" w:after="60"/>
              <w:rPr>
                <w:sz w:val="20"/>
                <w:szCs w:val="20"/>
              </w:rPr>
            </w:pPr>
            <w:r>
              <w:rPr>
                <w:sz w:val="20"/>
                <w:szCs w:val="20"/>
              </w:rPr>
              <w:t>Visible underemployment rate</w:t>
            </w:r>
          </w:p>
        </w:tc>
        <w:tc>
          <w:tcPr>
            <w:tcW w:w="315" w:type="pct"/>
            <w:noWrap/>
            <w:vAlign w:val="bottom"/>
          </w:tcPr>
          <w:p w:rsidR="00000000" w:rsidRDefault="00000000">
            <w:pPr>
              <w:spacing w:before="40" w:after="60"/>
              <w:ind w:right="227"/>
              <w:jc w:val="right"/>
              <w:rPr>
                <w:sz w:val="20"/>
                <w:szCs w:val="20"/>
              </w:rPr>
            </w:pPr>
            <w:r>
              <w:rPr>
                <w:sz w:val="20"/>
                <w:szCs w:val="20"/>
              </w:rPr>
              <w:t>6.4</w:t>
            </w:r>
          </w:p>
        </w:tc>
        <w:tc>
          <w:tcPr>
            <w:tcW w:w="377" w:type="pct"/>
            <w:noWrap/>
            <w:vAlign w:val="bottom"/>
          </w:tcPr>
          <w:p w:rsidR="00000000" w:rsidRDefault="00000000">
            <w:pPr>
              <w:spacing w:before="40" w:after="60"/>
              <w:ind w:right="227"/>
              <w:jc w:val="right"/>
              <w:rPr>
                <w:sz w:val="20"/>
                <w:szCs w:val="20"/>
              </w:rPr>
            </w:pPr>
            <w:r>
              <w:rPr>
                <w:sz w:val="20"/>
                <w:szCs w:val="20"/>
              </w:rPr>
              <w:t>4.3</w:t>
            </w:r>
          </w:p>
        </w:tc>
        <w:tc>
          <w:tcPr>
            <w:tcW w:w="320" w:type="pct"/>
            <w:noWrap/>
            <w:vAlign w:val="bottom"/>
          </w:tcPr>
          <w:p w:rsidR="00000000" w:rsidRDefault="00000000">
            <w:pPr>
              <w:spacing w:before="40" w:after="60"/>
              <w:ind w:right="227"/>
              <w:jc w:val="right"/>
              <w:rPr>
                <w:sz w:val="20"/>
                <w:szCs w:val="20"/>
              </w:rPr>
            </w:pPr>
            <w:r>
              <w:rPr>
                <w:sz w:val="20"/>
                <w:szCs w:val="20"/>
              </w:rPr>
              <w:t>9.4</w:t>
            </w:r>
          </w:p>
        </w:tc>
        <w:tc>
          <w:tcPr>
            <w:tcW w:w="375" w:type="pct"/>
            <w:noWrap/>
            <w:vAlign w:val="bottom"/>
          </w:tcPr>
          <w:p w:rsidR="00000000" w:rsidRDefault="00000000">
            <w:pPr>
              <w:spacing w:before="40" w:after="60"/>
              <w:ind w:right="227"/>
              <w:jc w:val="right"/>
              <w:rPr>
                <w:sz w:val="20"/>
                <w:szCs w:val="20"/>
              </w:rPr>
            </w:pPr>
            <w:r>
              <w:rPr>
                <w:sz w:val="20"/>
                <w:szCs w:val="20"/>
              </w:rPr>
              <w:t>6.2</w:t>
            </w:r>
          </w:p>
        </w:tc>
        <w:tc>
          <w:tcPr>
            <w:tcW w:w="320" w:type="pct"/>
            <w:noWrap/>
            <w:vAlign w:val="bottom"/>
          </w:tcPr>
          <w:p w:rsidR="00000000" w:rsidRDefault="00000000">
            <w:pPr>
              <w:spacing w:before="40" w:after="60"/>
              <w:ind w:right="227"/>
              <w:jc w:val="right"/>
              <w:rPr>
                <w:sz w:val="20"/>
                <w:szCs w:val="20"/>
              </w:rPr>
            </w:pPr>
            <w:r>
              <w:rPr>
                <w:sz w:val="20"/>
                <w:szCs w:val="20"/>
              </w:rPr>
              <w:t>4.3</w:t>
            </w:r>
          </w:p>
        </w:tc>
        <w:tc>
          <w:tcPr>
            <w:tcW w:w="308" w:type="pct"/>
            <w:noWrap/>
            <w:vAlign w:val="bottom"/>
          </w:tcPr>
          <w:p w:rsidR="00000000" w:rsidRDefault="00000000">
            <w:pPr>
              <w:spacing w:before="40" w:after="60"/>
              <w:ind w:right="227"/>
              <w:jc w:val="right"/>
              <w:rPr>
                <w:sz w:val="20"/>
                <w:szCs w:val="20"/>
              </w:rPr>
            </w:pPr>
            <w:r>
              <w:rPr>
                <w:sz w:val="20"/>
                <w:szCs w:val="20"/>
              </w:rPr>
              <w:t>9.4</w:t>
            </w:r>
          </w:p>
        </w:tc>
        <w:tc>
          <w:tcPr>
            <w:tcW w:w="368" w:type="pct"/>
            <w:noWrap/>
            <w:vAlign w:val="bottom"/>
          </w:tcPr>
          <w:p w:rsidR="00000000" w:rsidRDefault="00000000">
            <w:pPr>
              <w:spacing w:before="40" w:after="60"/>
              <w:ind w:right="227"/>
              <w:jc w:val="right"/>
              <w:rPr>
                <w:sz w:val="20"/>
                <w:szCs w:val="20"/>
              </w:rPr>
            </w:pPr>
            <w:r>
              <w:rPr>
                <w:sz w:val="20"/>
                <w:szCs w:val="20"/>
              </w:rPr>
              <w:t>8.6</w:t>
            </w:r>
          </w:p>
        </w:tc>
        <w:tc>
          <w:tcPr>
            <w:tcW w:w="320" w:type="pct"/>
            <w:noWrap/>
            <w:vAlign w:val="bottom"/>
          </w:tcPr>
          <w:p w:rsidR="00000000" w:rsidRDefault="00000000">
            <w:pPr>
              <w:spacing w:before="40" w:after="60"/>
              <w:ind w:right="227"/>
              <w:jc w:val="right"/>
              <w:rPr>
                <w:sz w:val="20"/>
                <w:szCs w:val="20"/>
              </w:rPr>
            </w:pPr>
            <w:r>
              <w:rPr>
                <w:sz w:val="20"/>
                <w:szCs w:val="20"/>
              </w:rPr>
              <w:t>6.6</w:t>
            </w:r>
          </w:p>
        </w:tc>
        <w:tc>
          <w:tcPr>
            <w:tcW w:w="364" w:type="pct"/>
            <w:noWrap/>
            <w:vAlign w:val="bottom"/>
          </w:tcPr>
          <w:p w:rsidR="00000000" w:rsidRDefault="00000000">
            <w:pPr>
              <w:spacing w:before="40" w:after="60"/>
              <w:ind w:right="227"/>
              <w:jc w:val="right"/>
              <w:rPr>
                <w:sz w:val="20"/>
                <w:szCs w:val="20"/>
              </w:rPr>
            </w:pPr>
            <w:r>
              <w:rPr>
                <w:sz w:val="20"/>
                <w:szCs w:val="20"/>
              </w:rPr>
              <w:t>11.7</w:t>
            </w:r>
          </w:p>
        </w:tc>
        <w:tc>
          <w:tcPr>
            <w:tcW w:w="384" w:type="pct"/>
            <w:noWrap/>
            <w:vAlign w:val="bottom"/>
          </w:tcPr>
          <w:p w:rsidR="00000000" w:rsidRDefault="00000000">
            <w:pPr>
              <w:spacing w:before="40" w:after="60"/>
              <w:ind w:right="227"/>
              <w:jc w:val="right"/>
              <w:rPr>
                <w:sz w:val="20"/>
                <w:szCs w:val="20"/>
              </w:rPr>
            </w:pPr>
            <w:r>
              <w:rPr>
                <w:sz w:val="20"/>
                <w:szCs w:val="20"/>
              </w:rPr>
              <w:t>7.5</w:t>
            </w:r>
          </w:p>
        </w:tc>
        <w:tc>
          <w:tcPr>
            <w:tcW w:w="389" w:type="pct"/>
            <w:noWrap/>
            <w:vAlign w:val="bottom"/>
          </w:tcPr>
          <w:p w:rsidR="00000000" w:rsidRDefault="00000000">
            <w:pPr>
              <w:spacing w:before="40" w:after="60"/>
              <w:ind w:right="227"/>
              <w:jc w:val="right"/>
              <w:rPr>
                <w:sz w:val="20"/>
                <w:szCs w:val="20"/>
              </w:rPr>
            </w:pPr>
            <w:r>
              <w:rPr>
                <w:sz w:val="20"/>
                <w:szCs w:val="20"/>
              </w:rPr>
              <w:t>5.5</w:t>
            </w:r>
          </w:p>
        </w:tc>
        <w:tc>
          <w:tcPr>
            <w:tcW w:w="378" w:type="pct"/>
            <w:noWrap/>
            <w:vAlign w:val="bottom"/>
          </w:tcPr>
          <w:p w:rsidR="00000000" w:rsidRDefault="00000000">
            <w:pPr>
              <w:spacing w:before="40" w:after="60"/>
              <w:ind w:right="227"/>
              <w:jc w:val="right"/>
              <w:rPr>
                <w:sz w:val="20"/>
                <w:szCs w:val="20"/>
              </w:rPr>
            </w:pPr>
            <w:r>
              <w:rPr>
                <w:sz w:val="20"/>
                <w:szCs w:val="20"/>
              </w:rPr>
              <w:t>10.9</w:t>
            </w:r>
          </w:p>
        </w:tc>
      </w:tr>
      <w:tr w:rsidR="00000000">
        <w:tc>
          <w:tcPr>
            <w:tcW w:w="782" w:type="pct"/>
            <w:tcBorders>
              <w:bottom w:val="single" w:sz="4" w:space="0" w:color="auto"/>
            </w:tcBorders>
            <w:noWrap/>
            <w:vAlign w:val="bottom"/>
          </w:tcPr>
          <w:p w:rsidR="00000000" w:rsidRDefault="00000000">
            <w:pPr>
              <w:spacing w:before="40" w:after="60"/>
              <w:rPr>
                <w:sz w:val="20"/>
                <w:szCs w:val="20"/>
              </w:rPr>
            </w:pPr>
            <w:r>
              <w:rPr>
                <w:sz w:val="20"/>
                <w:szCs w:val="20"/>
              </w:rPr>
              <w:t>Invisible underemployment rate</w:t>
            </w:r>
          </w:p>
        </w:tc>
        <w:tc>
          <w:tcPr>
            <w:tcW w:w="315" w:type="pct"/>
            <w:tcBorders>
              <w:bottom w:val="single" w:sz="4" w:space="0" w:color="auto"/>
            </w:tcBorders>
            <w:noWrap/>
            <w:vAlign w:val="bottom"/>
          </w:tcPr>
          <w:p w:rsidR="00000000" w:rsidRDefault="00000000">
            <w:pPr>
              <w:spacing w:before="40" w:after="60"/>
              <w:ind w:right="227"/>
              <w:jc w:val="right"/>
              <w:rPr>
                <w:sz w:val="20"/>
                <w:szCs w:val="20"/>
              </w:rPr>
            </w:pPr>
            <w:r>
              <w:rPr>
                <w:sz w:val="20"/>
                <w:szCs w:val="20"/>
              </w:rPr>
              <w:t>16.1</w:t>
            </w:r>
          </w:p>
        </w:tc>
        <w:tc>
          <w:tcPr>
            <w:tcW w:w="377" w:type="pct"/>
            <w:tcBorders>
              <w:bottom w:val="single" w:sz="4" w:space="0" w:color="auto"/>
            </w:tcBorders>
            <w:noWrap/>
            <w:vAlign w:val="bottom"/>
          </w:tcPr>
          <w:p w:rsidR="00000000" w:rsidRDefault="00000000">
            <w:pPr>
              <w:spacing w:before="40" w:after="60"/>
              <w:ind w:right="227"/>
              <w:jc w:val="right"/>
              <w:rPr>
                <w:sz w:val="20"/>
                <w:szCs w:val="20"/>
              </w:rPr>
            </w:pPr>
            <w:r>
              <w:rPr>
                <w:sz w:val="20"/>
                <w:szCs w:val="20"/>
              </w:rPr>
              <w:t>15.5</w:t>
            </w:r>
          </w:p>
        </w:tc>
        <w:tc>
          <w:tcPr>
            <w:tcW w:w="320" w:type="pct"/>
            <w:tcBorders>
              <w:bottom w:val="single" w:sz="4" w:space="0" w:color="auto"/>
            </w:tcBorders>
            <w:noWrap/>
            <w:vAlign w:val="bottom"/>
          </w:tcPr>
          <w:p w:rsidR="00000000" w:rsidRDefault="00000000">
            <w:pPr>
              <w:spacing w:before="40" w:after="60"/>
              <w:ind w:right="227"/>
              <w:jc w:val="right"/>
              <w:rPr>
                <w:sz w:val="20"/>
                <w:szCs w:val="20"/>
              </w:rPr>
            </w:pPr>
            <w:r>
              <w:rPr>
                <w:sz w:val="20"/>
                <w:szCs w:val="20"/>
              </w:rPr>
              <w:t>16.8</w:t>
            </w:r>
          </w:p>
        </w:tc>
        <w:tc>
          <w:tcPr>
            <w:tcW w:w="375" w:type="pct"/>
            <w:tcBorders>
              <w:bottom w:val="single" w:sz="4" w:space="0" w:color="auto"/>
            </w:tcBorders>
            <w:noWrap/>
            <w:vAlign w:val="bottom"/>
          </w:tcPr>
          <w:p w:rsidR="00000000" w:rsidRDefault="00000000">
            <w:pPr>
              <w:spacing w:before="40" w:after="60"/>
              <w:ind w:right="227"/>
              <w:jc w:val="right"/>
              <w:rPr>
                <w:sz w:val="20"/>
                <w:szCs w:val="20"/>
              </w:rPr>
            </w:pPr>
            <w:r>
              <w:rPr>
                <w:sz w:val="20"/>
                <w:szCs w:val="20"/>
              </w:rPr>
              <w:t>17.2</w:t>
            </w:r>
          </w:p>
        </w:tc>
        <w:tc>
          <w:tcPr>
            <w:tcW w:w="320" w:type="pct"/>
            <w:tcBorders>
              <w:bottom w:val="single" w:sz="4" w:space="0" w:color="auto"/>
            </w:tcBorders>
            <w:noWrap/>
            <w:vAlign w:val="bottom"/>
          </w:tcPr>
          <w:p w:rsidR="00000000" w:rsidRDefault="00000000">
            <w:pPr>
              <w:spacing w:before="40" w:after="60"/>
              <w:ind w:right="227"/>
              <w:jc w:val="right"/>
              <w:rPr>
                <w:sz w:val="20"/>
                <w:szCs w:val="20"/>
              </w:rPr>
            </w:pPr>
            <w:r>
              <w:rPr>
                <w:sz w:val="20"/>
                <w:szCs w:val="20"/>
              </w:rPr>
              <w:t>16.1</w:t>
            </w:r>
          </w:p>
        </w:tc>
        <w:tc>
          <w:tcPr>
            <w:tcW w:w="308" w:type="pct"/>
            <w:tcBorders>
              <w:bottom w:val="single" w:sz="4" w:space="0" w:color="auto"/>
            </w:tcBorders>
            <w:noWrap/>
            <w:vAlign w:val="bottom"/>
          </w:tcPr>
          <w:p w:rsidR="00000000" w:rsidRDefault="00000000">
            <w:pPr>
              <w:spacing w:before="40" w:after="60"/>
              <w:ind w:right="227"/>
              <w:jc w:val="right"/>
              <w:rPr>
                <w:sz w:val="20"/>
                <w:szCs w:val="20"/>
              </w:rPr>
            </w:pPr>
            <w:r>
              <w:rPr>
                <w:sz w:val="20"/>
                <w:szCs w:val="20"/>
              </w:rPr>
              <w:t>19.0</w:t>
            </w:r>
          </w:p>
        </w:tc>
        <w:tc>
          <w:tcPr>
            <w:tcW w:w="368" w:type="pct"/>
            <w:tcBorders>
              <w:bottom w:val="single" w:sz="4" w:space="0" w:color="auto"/>
            </w:tcBorders>
            <w:noWrap/>
            <w:vAlign w:val="bottom"/>
          </w:tcPr>
          <w:p w:rsidR="00000000" w:rsidRDefault="00000000">
            <w:pPr>
              <w:spacing w:before="40" w:after="60"/>
              <w:ind w:right="227"/>
              <w:jc w:val="right"/>
              <w:rPr>
                <w:sz w:val="20"/>
                <w:szCs w:val="20"/>
              </w:rPr>
            </w:pPr>
            <w:r>
              <w:rPr>
                <w:sz w:val="20"/>
                <w:szCs w:val="20"/>
              </w:rPr>
              <w:t>23.9</w:t>
            </w:r>
          </w:p>
        </w:tc>
        <w:tc>
          <w:tcPr>
            <w:tcW w:w="320" w:type="pct"/>
            <w:tcBorders>
              <w:bottom w:val="single" w:sz="4" w:space="0" w:color="auto"/>
            </w:tcBorders>
            <w:noWrap/>
            <w:vAlign w:val="bottom"/>
          </w:tcPr>
          <w:p w:rsidR="00000000" w:rsidRDefault="00000000">
            <w:pPr>
              <w:spacing w:before="40" w:after="60"/>
              <w:ind w:right="227"/>
              <w:jc w:val="right"/>
              <w:rPr>
                <w:sz w:val="20"/>
                <w:szCs w:val="20"/>
              </w:rPr>
            </w:pPr>
            <w:r>
              <w:rPr>
                <w:sz w:val="20"/>
                <w:szCs w:val="20"/>
              </w:rPr>
              <w:t>23.0</w:t>
            </w:r>
          </w:p>
        </w:tc>
        <w:tc>
          <w:tcPr>
            <w:tcW w:w="364" w:type="pct"/>
            <w:tcBorders>
              <w:bottom w:val="single" w:sz="4" w:space="0" w:color="auto"/>
            </w:tcBorders>
            <w:noWrap/>
            <w:vAlign w:val="bottom"/>
          </w:tcPr>
          <w:p w:rsidR="00000000" w:rsidRDefault="00000000">
            <w:pPr>
              <w:spacing w:before="40" w:after="60"/>
              <w:ind w:right="227"/>
              <w:jc w:val="right"/>
              <w:rPr>
                <w:sz w:val="20"/>
                <w:szCs w:val="20"/>
              </w:rPr>
            </w:pPr>
            <w:r>
              <w:rPr>
                <w:sz w:val="20"/>
                <w:szCs w:val="20"/>
              </w:rPr>
              <w:t>25.4</w:t>
            </w:r>
          </w:p>
        </w:tc>
        <w:tc>
          <w:tcPr>
            <w:tcW w:w="384" w:type="pct"/>
            <w:tcBorders>
              <w:bottom w:val="single" w:sz="4" w:space="0" w:color="auto"/>
            </w:tcBorders>
            <w:noWrap/>
            <w:vAlign w:val="bottom"/>
          </w:tcPr>
          <w:p w:rsidR="00000000" w:rsidRDefault="00000000">
            <w:pPr>
              <w:spacing w:before="40" w:after="60"/>
              <w:ind w:right="227"/>
              <w:jc w:val="right"/>
              <w:rPr>
                <w:sz w:val="20"/>
                <w:szCs w:val="20"/>
              </w:rPr>
            </w:pPr>
            <w:r>
              <w:rPr>
                <w:sz w:val="20"/>
                <w:szCs w:val="20"/>
              </w:rPr>
              <w:t>28.0</w:t>
            </w:r>
          </w:p>
        </w:tc>
        <w:tc>
          <w:tcPr>
            <w:tcW w:w="389" w:type="pct"/>
            <w:tcBorders>
              <w:bottom w:val="single" w:sz="4" w:space="0" w:color="auto"/>
            </w:tcBorders>
            <w:noWrap/>
            <w:vAlign w:val="bottom"/>
          </w:tcPr>
          <w:p w:rsidR="00000000" w:rsidRDefault="00000000">
            <w:pPr>
              <w:spacing w:before="40" w:after="60"/>
              <w:ind w:right="227"/>
              <w:jc w:val="right"/>
              <w:rPr>
                <w:sz w:val="20"/>
                <w:szCs w:val="20"/>
              </w:rPr>
            </w:pPr>
            <w:r>
              <w:rPr>
                <w:sz w:val="20"/>
                <w:szCs w:val="20"/>
              </w:rPr>
              <w:t>26.7</w:t>
            </w:r>
          </w:p>
        </w:tc>
        <w:tc>
          <w:tcPr>
            <w:tcW w:w="378" w:type="pct"/>
            <w:tcBorders>
              <w:bottom w:val="single" w:sz="4" w:space="0" w:color="auto"/>
            </w:tcBorders>
            <w:noWrap/>
            <w:vAlign w:val="bottom"/>
          </w:tcPr>
          <w:p w:rsidR="00000000" w:rsidRDefault="00000000">
            <w:pPr>
              <w:spacing w:before="40" w:after="60"/>
              <w:ind w:right="227"/>
              <w:jc w:val="right"/>
              <w:rPr>
                <w:sz w:val="20"/>
                <w:szCs w:val="20"/>
              </w:rPr>
            </w:pPr>
            <w:r>
              <w:rPr>
                <w:sz w:val="20"/>
                <w:szCs w:val="20"/>
              </w:rPr>
              <w:t>30.1</w:t>
            </w:r>
          </w:p>
        </w:tc>
      </w:tr>
    </w:tbl>
    <w:p w:rsidR="00000000" w:rsidRDefault="00000000">
      <w:pPr>
        <w:spacing w:before="60" w:after="60"/>
        <w:ind w:left="567"/>
        <w:rPr>
          <w:sz w:val="20"/>
          <w:szCs w:val="16"/>
          <w:lang w:val="es-ES_tradnl"/>
        </w:rPr>
      </w:pPr>
      <w:r>
        <w:rPr>
          <w:sz w:val="20"/>
          <w:szCs w:val="16"/>
          <w:lang w:val="en-US"/>
        </w:rPr>
        <w:t xml:space="preserve">(*) In the Permanent Household Survey 1995-1999. Data adjusted to the findings of the 2002 census.  </w:t>
      </w:r>
      <w:r>
        <w:rPr>
          <w:sz w:val="20"/>
          <w:szCs w:val="16"/>
          <w:lang w:val="es-ES_tradnl"/>
        </w:rPr>
        <w:t>(**) Population aged 15-25</w:t>
      </w:r>
    </w:p>
    <w:p w:rsidR="00000000" w:rsidRDefault="00000000">
      <w:pPr>
        <w:spacing w:beforeLines="40" w:before="96" w:afterLines="40" w:after="96"/>
        <w:ind w:left="567"/>
        <w:rPr>
          <w:sz w:val="20"/>
          <w:szCs w:val="16"/>
          <w:lang w:val="en-US"/>
        </w:rPr>
        <w:sectPr w:rsidR="00000000">
          <w:headerReference w:type="even" r:id="rId17"/>
          <w:headerReference w:type="default" r:id="rId18"/>
          <w:pgSz w:w="16840" w:h="11907" w:orient="landscape" w:code="9"/>
          <w:pgMar w:top="1247" w:right="1418" w:bottom="1247" w:left="851" w:header="720" w:footer="720" w:gutter="0"/>
          <w:cols w:space="720"/>
          <w:docGrid w:linePitch="360"/>
        </w:sectPr>
      </w:pPr>
      <w:r>
        <w:rPr>
          <w:i/>
          <w:iCs/>
          <w:sz w:val="20"/>
          <w:szCs w:val="16"/>
          <w:lang w:val="en-US"/>
        </w:rPr>
        <w:t>Source:</w:t>
      </w:r>
      <w:r>
        <w:rPr>
          <w:sz w:val="20"/>
          <w:szCs w:val="16"/>
          <w:lang w:val="en-US"/>
        </w:rPr>
        <w:t xml:space="preserve"> STP/DGEEC. Permanent Household Survey 1995, 1999, 2004, 2005.</w:t>
      </w:r>
    </w:p>
    <w:p w:rsidR="00000000" w:rsidRDefault="00000000">
      <w:pPr>
        <w:spacing w:afterLines="100" w:after="240"/>
        <w:rPr>
          <w:b/>
          <w:color w:val="000000"/>
          <w:lang w:val="en-US"/>
        </w:rPr>
      </w:pPr>
      <w:r>
        <w:rPr>
          <w:b/>
          <w:color w:val="000000"/>
          <w:lang w:val="en-US"/>
        </w:rPr>
        <w:t>4.2.</w:t>
      </w:r>
      <w:r>
        <w:rPr>
          <w:b/>
          <w:color w:val="000000"/>
          <w:lang w:val="en-US"/>
        </w:rPr>
        <w:tab/>
        <w:t>Income distribution and degree of poverty</w:t>
      </w:r>
    </w:p>
    <w:p w:rsidR="00000000" w:rsidRDefault="00000000">
      <w:pPr>
        <w:pStyle w:val="xl46"/>
        <w:spacing w:before="0" w:beforeAutospacing="0" w:afterLines="100" w:after="240" w:afterAutospacing="0"/>
        <w:rPr>
          <w:rFonts w:ascii="Times New Roman" w:eastAsia="Times New Roman" w:hAnsi="Times New Roman" w:cs="Times New Roman"/>
          <w:color w:val="000000"/>
          <w:szCs w:val="20"/>
          <w:lang w:val="es-ES_tradnl" w:eastAsia="en-US"/>
        </w:rPr>
      </w:pPr>
      <w:r>
        <w:rPr>
          <w:rFonts w:ascii="Times New Roman" w:eastAsia="Times New Roman" w:hAnsi="Times New Roman" w:cs="Times New Roman"/>
          <w:szCs w:val="20"/>
          <w:lang w:val="es-ES_tradnl" w:eastAsia="en-US"/>
        </w:rPr>
        <w:t>Income and Poverty Indicator</w:t>
      </w:r>
    </w:p>
    <w:tbl>
      <w:tblPr>
        <w:tblW w:w="5000" w:type="pct"/>
        <w:jc w:val="center"/>
        <w:tblBorders>
          <w:insideV w:val="single" w:sz="8" w:space="0" w:color="auto"/>
        </w:tblBorders>
        <w:tblCellMar>
          <w:left w:w="0" w:type="dxa"/>
          <w:right w:w="0" w:type="dxa"/>
        </w:tblCellMar>
        <w:tblLook w:val="0000" w:firstRow="0" w:lastRow="0" w:firstColumn="0" w:lastColumn="0" w:noHBand="0" w:noVBand="0"/>
      </w:tblPr>
      <w:tblGrid>
        <w:gridCol w:w="5480"/>
        <w:gridCol w:w="988"/>
        <w:gridCol w:w="988"/>
        <w:gridCol w:w="988"/>
        <w:gridCol w:w="985"/>
      </w:tblGrid>
      <w:tr w:rsidR="00000000">
        <w:trPr>
          <w:jc w:val="center"/>
        </w:trPr>
        <w:tc>
          <w:tcPr>
            <w:tcW w:w="0" w:type="auto"/>
            <w:tcBorders>
              <w:top w:val="single" w:sz="4" w:space="0" w:color="auto"/>
              <w:bottom w:val="single" w:sz="4" w:space="0" w:color="auto"/>
            </w:tcBorders>
            <w:vAlign w:val="center"/>
          </w:tcPr>
          <w:p w:rsidR="00000000" w:rsidRDefault="00000000">
            <w:pPr>
              <w:spacing w:before="80" w:after="80"/>
              <w:jc w:val="center"/>
              <w:rPr>
                <w:b/>
                <w:bCs/>
                <w:i/>
                <w:iCs/>
                <w:sz w:val="20"/>
                <w:szCs w:val="20"/>
                <w:lang w:val="es-ES_tradnl"/>
              </w:rPr>
            </w:pPr>
          </w:p>
        </w:tc>
        <w:tc>
          <w:tcPr>
            <w:tcW w:w="0" w:type="auto"/>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szCs w:val="20"/>
              </w:rPr>
              <w:t>1995</w:t>
            </w:r>
          </w:p>
        </w:tc>
        <w:tc>
          <w:tcPr>
            <w:tcW w:w="0" w:type="auto"/>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szCs w:val="20"/>
              </w:rPr>
              <w:t>1999</w:t>
            </w:r>
          </w:p>
        </w:tc>
        <w:tc>
          <w:tcPr>
            <w:tcW w:w="0" w:type="auto"/>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szCs w:val="20"/>
              </w:rPr>
              <w:t>2004</w:t>
            </w:r>
          </w:p>
        </w:tc>
        <w:tc>
          <w:tcPr>
            <w:tcW w:w="0" w:type="auto"/>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szCs w:val="20"/>
              </w:rPr>
              <w:t>2005</w:t>
            </w:r>
          </w:p>
        </w:tc>
      </w:tr>
      <w:tr w:rsidR="00000000">
        <w:trPr>
          <w:jc w:val="center"/>
        </w:trPr>
        <w:tc>
          <w:tcPr>
            <w:tcW w:w="0" w:type="auto"/>
            <w:tcBorders>
              <w:top w:val="single" w:sz="4" w:space="0" w:color="auto"/>
            </w:tcBorders>
            <w:noWrap/>
            <w:vAlign w:val="bottom"/>
          </w:tcPr>
          <w:p w:rsidR="00000000" w:rsidRDefault="00000000">
            <w:pPr>
              <w:pStyle w:val="FootnoteText"/>
              <w:spacing w:before="80" w:after="80"/>
              <w:rPr>
                <w:lang w:val="en-US"/>
              </w:rPr>
            </w:pPr>
            <w:r>
              <w:rPr>
                <w:lang w:val="en-US"/>
              </w:rPr>
              <w:t xml:space="preserve">% Accumulated Income for the first two </w:t>
            </w:r>
          </w:p>
        </w:tc>
        <w:tc>
          <w:tcPr>
            <w:tcW w:w="0" w:type="auto"/>
            <w:tcBorders>
              <w:top w:val="single" w:sz="4" w:space="0" w:color="auto"/>
            </w:tcBorders>
            <w:noWrap/>
            <w:vAlign w:val="bottom"/>
          </w:tcPr>
          <w:p w:rsidR="00000000" w:rsidRDefault="00000000">
            <w:pPr>
              <w:pStyle w:val="FootnoteText"/>
              <w:spacing w:before="80" w:after="80"/>
              <w:jc w:val="center"/>
              <w:rPr>
                <w:lang w:val="en-US"/>
              </w:rPr>
            </w:pPr>
          </w:p>
        </w:tc>
        <w:tc>
          <w:tcPr>
            <w:tcW w:w="0" w:type="auto"/>
            <w:tcBorders>
              <w:top w:val="single" w:sz="4" w:space="0" w:color="auto"/>
            </w:tcBorders>
            <w:noWrap/>
            <w:vAlign w:val="bottom"/>
          </w:tcPr>
          <w:p w:rsidR="00000000" w:rsidRDefault="00000000">
            <w:pPr>
              <w:spacing w:before="80" w:after="80"/>
              <w:jc w:val="center"/>
              <w:rPr>
                <w:sz w:val="20"/>
                <w:szCs w:val="20"/>
                <w:lang w:val="en-US"/>
              </w:rPr>
            </w:pPr>
          </w:p>
        </w:tc>
        <w:tc>
          <w:tcPr>
            <w:tcW w:w="0" w:type="auto"/>
            <w:tcBorders>
              <w:top w:val="single" w:sz="4" w:space="0" w:color="auto"/>
            </w:tcBorders>
            <w:noWrap/>
            <w:vAlign w:val="bottom"/>
          </w:tcPr>
          <w:p w:rsidR="00000000" w:rsidRDefault="00000000">
            <w:pPr>
              <w:spacing w:before="80" w:after="80"/>
              <w:jc w:val="center"/>
              <w:rPr>
                <w:sz w:val="20"/>
                <w:szCs w:val="20"/>
                <w:lang w:val="en-US"/>
              </w:rPr>
            </w:pPr>
          </w:p>
        </w:tc>
        <w:tc>
          <w:tcPr>
            <w:tcW w:w="0" w:type="auto"/>
            <w:tcBorders>
              <w:top w:val="single" w:sz="4" w:space="0" w:color="auto"/>
            </w:tcBorders>
            <w:noWrap/>
            <w:vAlign w:val="bottom"/>
          </w:tcPr>
          <w:p w:rsidR="00000000" w:rsidRDefault="00000000">
            <w:pPr>
              <w:spacing w:before="80" w:after="80"/>
              <w:jc w:val="center"/>
              <w:rPr>
                <w:sz w:val="20"/>
                <w:szCs w:val="20"/>
                <w:lang w:val="en-US"/>
              </w:rPr>
            </w:pPr>
          </w:p>
        </w:tc>
      </w:tr>
      <w:tr w:rsidR="00000000">
        <w:trPr>
          <w:jc w:val="center"/>
        </w:trPr>
        <w:tc>
          <w:tcPr>
            <w:tcW w:w="0" w:type="auto"/>
            <w:noWrap/>
            <w:vAlign w:val="bottom"/>
          </w:tcPr>
          <w:p w:rsidR="00000000" w:rsidRDefault="00000000">
            <w:pPr>
              <w:spacing w:before="80" w:after="80"/>
              <w:rPr>
                <w:sz w:val="20"/>
                <w:szCs w:val="20"/>
              </w:rPr>
            </w:pPr>
            <w:r>
              <w:rPr>
                <w:sz w:val="20"/>
                <w:szCs w:val="20"/>
              </w:rPr>
              <w:t>income quintiles (40% of the total population)</w:t>
            </w:r>
          </w:p>
        </w:tc>
        <w:tc>
          <w:tcPr>
            <w:tcW w:w="0" w:type="auto"/>
            <w:noWrap/>
            <w:vAlign w:val="bottom"/>
          </w:tcPr>
          <w:p w:rsidR="00000000" w:rsidRDefault="00000000">
            <w:pPr>
              <w:spacing w:before="80" w:after="80"/>
              <w:jc w:val="center"/>
              <w:rPr>
                <w:sz w:val="20"/>
                <w:szCs w:val="20"/>
              </w:rPr>
            </w:pPr>
            <w:r>
              <w:rPr>
                <w:sz w:val="20"/>
                <w:szCs w:val="20"/>
              </w:rPr>
              <w:t>7.4</w:t>
            </w:r>
          </w:p>
        </w:tc>
        <w:tc>
          <w:tcPr>
            <w:tcW w:w="0" w:type="auto"/>
            <w:noWrap/>
            <w:vAlign w:val="bottom"/>
          </w:tcPr>
          <w:p w:rsidR="00000000" w:rsidRDefault="00000000">
            <w:pPr>
              <w:spacing w:before="80" w:after="80"/>
              <w:jc w:val="center"/>
              <w:rPr>
                <w:sz w:val="20"/>
                <w:szCs w:val="20"/>
              </w:rPr>
            </w:pPr>
            <w:r>
              <w:rPr>
                <w:sz w:val="20"/>
                <w:szCs w:val="20"/>
              </w:rPr>
              <w:t>10.4</w:t>
            </w:r>
          </w:p>
        </w:tc>
        <w:tc>
          <w:tcPr>
            <w:tcW w:w="0" w:type="auto"/>
            <w:noWrap/>
            <w:vAlign w:val="bottom"/>
          </w:tcPr>
          <w:p w:rsidR="00000000" w:rsidRDefault="00000000">
            <w:pPr>
              <w:spacing w:before="80" w:after="80"/>
              <w:jc w:val="center"/>
              <w:rPr>
                <w:sz w:val="20"/>
                <w:szCs w:val="20"/>
              </w:rPr>
            </w:pPr>
            <w:r>
              <w:rPr>
                <w:sz w:val="20"/>
                <w:szCs w:val="20"/>
              </w:rPr>
              <w:t>11.5</w:t>
            </w:r>
          </w:p>
        </w:tc>
        <w:tc>
          <w:tcPr>
            <w:tcW w:w="0" w:type="auto"/>
            <w:noWrap/>
            <w:vAlign w:val="bottom"/>
          </w:tcPr>
          <w:p w:rsidR="00000000" w:rsidRDefault="00000000">
            <w:pPr>
              <w:spacing w:before="80" w:after="80"/>
              <w:jc w:val="center"/>
              <w:rPr>
                <w:sz w:val="20"/>
                <w:szCs w:val="20"/>
              </w:rPr>
            </w:pPr>
            <w:r>
              <w:rPr>
                <w:sz w:val="20"/>
                <w:szCs w:val="20"/>
              </w:rPr>
              <w:t>11.2</w:t>
            </w:r>
          </w:p>
        </w:tc>
      </w:tr>
      <w:tr w:rsidR="00000000">
        <w:trPr>
          <w:jc w:val="center"/>
        </w:trPr>
        <w:tc>
          <w:tcPr>
            <w:tcW w:w="0" w:type="auto"/>
            <w:noWrap/>
            <w:vAlign w:val="bottom"/>
          </w:tcPr>
          <w:p w:rsidR="00000000" w:rsidRDefault="00000000">
            <w:pPr>
              <w:spacing w:before="80" w:after="80"/>
              <w:rPr>
                <w:sz w:val="20"/>
                <w:szCs w:val="20"/>
                <w:lang w:val="es-ES_tradnl"/>
              </w:rPr>
            </w:pPr>
            <w:r>
              <w:rPr>
                <w:sz w:val="20"/>
                <w:szCs w:val="20"/>
                <w:lang w:val="es-ES_tradnl"/>
              </w:rPr>
              <w:t>Poverty lines (in Gs):</w:t>
            </w:r>
          </w:p>
        </w:tc>
        <w:tc>
          <w:tcPr>
            <w:tcW w:w="0" w:type="auto"/>
            <w:noWrap/>
            <w:vAlign w:val="bottom"/>
          </w:tcPr>
          <w:p w:rsidR="00000000" w:rsidRDefault="00000000">
            <w:pPr>
              <w:spacing w:before="80" w:after="80"/>
              <w:jc w:val="center"/>
              <w:rPr>
                <w:sz w:val="20"/>
                <w:szCs w:val="20"/>
                <w:lang w:val="es-ES_tradnl"/>
              </w:rPr>
            </w:pPr>
          </w:p>
        </w:tc>
        <w:tc>
          <w:tcPr>
            <w:tcW w:w="0" w:type="auto"/>
            <w:noWrap/>
            <w:vAlign w:val="bottom"/>
          </w:tcPr>
          <w:p w:rsidR="00000000" w:rsidRDefault="00000000">
            <w:pPr>
              <w:spacing w:before="80" w:after="80"/>
              <w:jc w:val="center"/>
              <w:rPr>
                <w:sz w:val="20"/>
                <w:szCs w:val="20"/>
                <w:lang w:val="es-ES_tradnl"/>
              </w:rPr>
            </w:pPr>
          </w:p>
        </w:tc>
        <w:tc>
          <w:tcPr>
            <w:tcW w:w="0" w:type="auto"/>
            <w:noWrap/>
            <w:vAlign w:val="bottom"/>
          </w:tcPr>
          <w:p w:rsidR="00000000" w:rsidRDefault="00000000">
            <w:pPr>
              <w:spacing w:before="80" w:after="80"/>
              <w:jc w:val="center"/>
              <w:rPr>
                <w:sz w:val="20"/>
                <w:szCs w:val="20"/>
                <w:lang w:val="es-ES_tradnl"/>
              </w:rPr>
            </w:pPr>
          </w:p>
        </w:tc>
        <w:tc>
          <w:tcPr>
            <w:tcW w:w="0" w:type="auto"/>
            <w:noWrap/>
            <w:vAlign w:val="bottom"/>
          </w:tcPr>
          <w:p w:rsidR="00000000" w:rsidRDefault="00000000">
            <w:pPr>
              <w:spacing w:before="80" w:after="80"/>
              <w:jc w:val="center"/>
              <w:rPr>
                <w:sz w:val="20"/>
                <w:szCs w:val="20"/>
                <w:lang w:val="es-ES_tradnl"/>
              </w:rPr>
            </w:pPr>
          </w:p>
        </w:tc>
      </w:tr>
      <w:tr w:rsidR="00000000">
        <w:trPr>
          <w:jc w:val="center"/>
        </w:trPr>
        <w:tc>
          <w:tcPr>
            <w:tcW w:w="0" w:type="auto"/>
            <w:noWrap/>
            <w:vAlign w:val="bottom"/>
          </w:tcPr>
          <w:p w:rsidR="00000000" w:rsidRDefault="00000000">
            <w:pPr>
              <w:spacing w:before="80" w:after="80"/>
              <w:ind w:left="284"/>
              <w:rPr>
                <w:sz w:val="20"/>
                <w:szCs w:val="20"/>
                <w:lang w:val="pt-BR"/>
              </w:rPr>
            </w:pPr>
            <w:r>
              <w:rPr>
                <w:sz w:val="20"/>
                <w:szCs w:val="20"/>
                <w:lang w:val="pt-BR"/>
              </w:rPr>
              <w:t>Asunción</w:t>
            </w:r>
          </w:p>
        </w:tc>
        <w:tc>
          <w:tcPr>
            <w:tcW w:w="0" w:type="auto"/>
            <w:noWrap/>
            <w:vAlign w:val="bottom"/>
          </w:tcPr>
          <w:p w:rsidR="00000000" w:rsidRDefault="00000000">
            <w:pPr>
              <w:spacing w:before="80" w:after="80"/>
              <w:jc w:val="center"/>
              <w:rPr>
                <w:sz w:val="20"/>
                <w:szCs w:val="20"/>
                <w:lang w:val="pt-BR"/>
              </w:rPr>
            </w:pPr>
            <w:r>
              <w:rPr>
                <w:sz w:val="20"/>
                <w:szCs w:val="20"/>
                <w:lang w:val="pt-BR"/>
              </w:rPr>
              <w:t>170 394</w:t>
            </w:r>
          </w:p>
        </w:tc>
        <w:tc>
          <w:tcPr>
            <w:tcW w:w="0" w:type="auto"/>
            <w:noWrap/>
            <w:vAlign w:val="bottom"/>
          </w:tcPr>
          <w:p w:rsidR="00000000" w:rsidRDefault="00000000">
            <w:pPr>
              <w:spacing w:before="80" w:after="80"/>
              <w:jc w:val="center"/>
              <w:rPr>
                <w:sz w:val="20"/>
                <w:szCs w:val="20"/>
                <w:lang w:val="pt-BR"/>
              </w:rPr>
            </w:pPr>
            <w:r>
              <w:rPr>
                <w:sz w:val="20"/>
                <w:szCs w:val="20"/>
                <w:lang w:val="pt-BR"/>
              </w:rPr>
              <w:t>235 359</w:t>
            </w:r>
          </w:p>
        </w:tc>
        <w:tc>
          <w:tcPr>
            <w:tcW w:w="0" w:type="auto"/>
            <w:noWrap/>
            <w:vAlign w:val="bottom"/>
          </w:tcPr>
          <w:p w:rsidR="00000000" w:rsidRDefault="00000000">
            <w:pPr>
              <w:spacing w:before="80" w:after="80"/>
              <w:jc w:val="center"/>
              <w:rPr>
                <w:sz w:val="20"/>
                <w:szCs w:val="20"/>
                <w:lang w:val="pt-BR"/>
              </w:rPr>
            </w:pPr>
            <w:r>
              <w:rPr>
                <w:sz w:val="20"/>
                <w:szCs w:val="20"/>
                <w:lang w:val="pt-BR"/>
              </w:rPr>
              <w:t>358 822</w:t>
            </w:r>
          </w:p>
        </w:tc>
        <w:tc>
          <w:tcPr>
            <w:tcW w:w="0" w:type="auto"/>
            <w:noWrap/>
            <w:vAlign w:val="bottom"/>
          </w:tcPr>
          <w:p w:rsidR="00000000" w:rsidRDefault="00000000">
            <w:pPr>
              <w:spacing w:before="80" w:after="80"/>
              <w:jc w:val="center"/>
              <w:rPr>
                <w:sz w:val="20"/>
                <w:szCs w:val="20"/>
                <w:lang w:val="pt-BR"/>
              </w:rPr>
            </w:pPr>
            <w:r>
              <w:rPr>
                <w:sz w:val="20"/>
                <w:szCs w:val="20"/>
                <w:lang w:val="pt-BR"/>
              </w:rPr>
              <w:t>400 753</w:t>
            </w:r>
          </w:p>
        </w:tc>
      </w:tr>
      <w:tr w:rsidR="00000000">
        <w:trPr>
          <w:jc w:val="center"/>
        </w:trPr>
        <w:tc>
          <w:tcPr>
            <w:tcW w:w="0" w:type="auto"/>
            <w:noWrap/>
            <w:vAlign w:val="bottom"/>
          </w:tcPr>
          <w:p w:rsidR="00000000" w:rsidRDefault="00000000">
            <w:pPr>
              <w:spacing w:before="80" w:after="80"/>
              <w:ind w:left="284"/>
              <w:rPr>
                <w:sz w:val="20"/>
                <w:szCs w:val="20"/>
                <w:lang w:val="pt-BR"/>
              </w:rPr>
            </w:pPr>
            <w:r>
              <w:rPr>
                <w:sz w:val="20"/>
                <w:szCs w:val="20"/>
                <w:lang w:val="pt-BR"/>
              </w:rPr>
              <w:t>Central urban</w:t>
            </w:r>
          </w:p>
        </w:tc>
        <w:tc>
          <w:tcPr>
            <w:tcW w:w="0" w:type="auto"/>
            <w:noWrap/>
            <w:vAlign w:val="bottom"/>
          </w:tcPr>
          <w:p w:rsidR="00000000" w:rsidRDefault="00000000">
            <w:pPr>
              <w:spacing w:before="80" w:after="80"/>
              <w:jc w:val="center"/>
              <w:rPr>
                <w:sz w:val="20"/>
                <w:szCs w:val="20"/>
              </w:rPr>
            </w:pPr>
            <w:r>
              <w:rPr>
                <w:sz w:val="20"/>
                <w:szCs w:val="20"/>
              </w:rPr>
              <w:t>168 658</w:t>
            </w:r>
          </w:p>
        </w:tc>
        <w:tc>
          <w:tcPr>
            <w:tcW w:w="0" w:type="auto"/>
            <w:noWrap/>
            <w:vAlign w:val="bottom"/>
          </w:tcPr>
          <w:p w:rsidR="00000000" w:rsidRDefault="00000000">
            <w:pPr>
              <w:spacing w:before="80" w:after="80"/>
              <w:jc w:val="center"/>
              <w:rPr>
                <w:sz w:val="20"/>
                <w:szCs w:val="20"/>
              </w:rPr>
            </w:pPr>
            <w:r>
              <w:rPr>
                <w:sz w:val="20"/>
                <w:szCs w:val="20"/>
              </w:rPr>
              <w:t>232 981</w:t>
            </w:r>
          </w:p>
        </w:tc>
        <w:tc>
          <w:tcPr>
            <w:tcW w:w="0" w:type="auto"/>
            <w:noWrap/>
            <w:vAlign w:val="bottom"/>
          </w:tcPr>
          <w:p w:rsidR="00000000" w:rsidRDefault="00000000">
            <w:pPr>
              <w:spacing w:before="80" w:after="80"/>
              <w:jc w:val="center"/>
              <w:rPr>
                <w:sz w:val="20"/>
                <w:szCs w:val="20"/>
              </w:rPr>
            </w:pPr>
            <w:r>
              <w:rPr>
                <w:sz w:val="20"/>
                <w:szCs w:val="20"/>
              </w:rPr>
              <w:t>355 181</w:t>
            </w:r>
          </w:p>
        </w:tc>
        <w:tc>
          <w:tcPr>
            <w:tcW w:w="0" w:type="auto"/>
            <w:noWrap/>
            <w:vAlign w:val="bottom"/>
          </w:tcPr>
          <w:p w:rsidR="00000000" w:rsidRDefault="00000000">
            <w:pPr>
              <w:spacing w:before="80" w:after="80"/>
              <w:jc w:val="center"/>
              <w:rPr>
                <w:sz w:val="20"/>
                <w:szCs w:val="20"/>
              </w:rPr>
            </w:pPr>
            <w:r>
              <w:rPr>
                <w:sz w:val="20"/>
                <w:szCs w:val="20"/>
              </w:rPr>
              <w:t>396 683</w:t>
            </w:r>
          </w:p>
        </w:tc>
      </w:tr>
      <w:tr w:rsidR="00000000">
        <w:trPr>
          <w:jc w:val="center"/>
        </w:trPr>
        <w:tc>
          <w:tcPr>
            <w:tcW w:w="0" w:type="auto"/>
            <w:noWrap/>
            <w:vAlign w:val="bottom"/>
          </w:tcPr>
          <w:p w:rsidR="00000000" w:rsidRDefault="00000000">
            <w:pPr>
              <w:spacing w:before="80" w:after="80"/>
              <w:ind w:left="284"/>
              <w:rPr>
                <w:sz w:val="20"/>
                <w:szCs w:val="20"/>
              </w:rPr>
            </w:pPr>
            <w:r>
              <w:rPr>
                <w:sz w:val="20"/>
                <w:szCs w:val="20"/>
              </w:rPr>
              <w:t>Other urban</w:t>
            </w:r>
          </w:p>
        </w:tc>
        <w:tc>
          <w:tcPr>
            <w:tcW w:w="0" w:type="auto"/>
            <w:noWrap/>
            <w:vAlign w:val="bottom"/>
          </w:tcPr>
          <w:p w:rsidR="00000000" w:rsidRDefault="00000000">
            <w:pPr>
              <w:spacing w:before="80" w:after="80"/>
              <w:jc w:val="center"/>
              <w:rPr>
                <w:sz w:val="20"/>
                <w:szCs w:val="20"/>
              </w:rPr>
            </w:pPr>
            <w:r>
              <w:rPr>
                <w:sz w:val="20"/>
                <w:szCs w:val="20"/>
              </w:rPr>
              <w:t>106 928</w:t>
            </w:r>
          </w:p>
        </w:tc>
        <w:tc>
          <w:tcPr>
            <w:tcW w:w="0" w:type="auto"/>
            <w:noWrap/>
            <w:vAlign w:val="bottom"/>
          </w:tcPr>
          <w:p w:rsidR="00000000" w:rsidRDefault="00000000">
            <w:pPr>
              <w:spacing w:before="80" w:after="80"/>
              <w:jc w:val="center"/>
              <w:rPr>
                <w:sz w:val="20"/>
                <w:szCs w:val="20"/>
              </w:rPr>
            </w:pPr>
            <w:r>
              <w:rPr>
                <w:sz w:val="20"/>
                <w:szCs w:val="20"/>
              </w:rPr>
              <w:t>145 412</w:t>
            </w:r>
          </w:p>
        </w:tc>
        <w:tc>
          <w:tcPr>
            <w:tcW w:w="0" w:type="auto"/>
            <w:noWrap/>
            <w:vAlign w:val="bottom"/>
          </w:tcPr>
          <w:p w:rsidR="00000000" w:rsidRDefault="00000000">
            <w:pPr>
              <w:spacing w:before="80" w:after="80"/>
              <w:jc w:val="center"/>
              <w:rPr>
                <w:sz w:val="20"/>
                <w:szCs w:val="20"/>
              </w:rPr>
            </w:pPr>
            <w:r>
              <w:rPr>
                <w:sz w:val="20"/>
                <w:szCs w:val="20"/>
              </w:rPr>
              <w:t>223 469</w:t>
            </w:r>
          </w:p>
        </w:tc>
        <w:tc>
          <w:tcPr>
            <w:tcW w:w="0" w:type="auto"/>
            <w:noWrap/>
            <w:vAlign w:val="bottom"/>
          </w:tcPr>
          <w:p w:rsidR="00000000" w:rsidRDefault="00000000">
            <w:pPr>
              <w:spacing w:before="80" w:after="80"/>
              <w:jc w:val="center"/>
              <w:rPr>
                <w:sz w:val="20"/>
                <w:szCs w:val="20"/>
              </w:rPr>
            </w:pPr>
            <w:r>
              <w:rPr>
                <w:sz w:val="20"/>
                <w:szCs w:val="20"/>
              </w:rPr>
              <w:t>250 074</w:t>
            </w:r>
          </w:p>
        </w:tc>
      </w:tr>
      <w:tr w:rsidR="00000000">
        <w:trPr>
          <w:jc w:val="center"/>
        </w:trPr>
        <w:tc>
          <w:tcPr>
            <w:tcW w:w="0" w:type="auto"/>
            <w:noWrap/>
            <w:vAlign w:val="bottom"/>
          </w:tcPr>
          <w:p w:rsidR="00000000" w:rsidRDefault="00000000">
            <w:pPr>
              <w:spacing w:before="80" w:after="80"/>
              <w:ind w:left="284"/>
              <w:rPr>
                <w:sz w:val="20"/>
                <w:szCs w:val="20"/>
              </w:rPr>
            </w:pPr>
            <w:r>
              <w:rPr>
                <w:sz w:val="20"/>
                <w:szCs w:val="20"/>
              </w:rPr>
              <w:t>Rural area</w:t>
            </w:r>
          </w:p>
        </w:tc>
        <w:tc>
          <w:tcPr>
            <w:tcW w:w="0" w:type="auto"/>
            <w:noWrap/>
            <w:vAlign w:val="bottom"/>
          </w:tcPr>
          <w:p w:rsidR="00000000" w:rsidRDefault="00000000">
            <w:pPr>
              <w:spacing w:before="80" w:after="80"/>
              <w:jc w:val="center"/>
              <w:rPr>
                <w:sz w:val="20"/>
                <w:szCs w:val="20"/>
              </w:rPr>
            </w:pPr>
            <w:r>
              <w:rPr>
                <w:sz w:val="20"/>
                <w:szCs w:val="20"/>
              </w:rPr>
              <w:t>64 996</w:t>
            </w:r>
          </w:p>
        </w:tc>
        <w:tc>
          <w:tcPr>
            <w:tcW w:w="0" w:type="auto"/>
            <w:noWrap/>
            <w:vAlign w:val="bottom"/>
          </w:tcPr>
          <w:p w:rsidR="00000000" w:rsidRDefault="00000000">
            <w:pPr>
              <w:spacing w:before="80" w:after="80"/>
              <w:jc w:val="center"/>
              <w:rPr>
                <w:sz w:val="20"/>
                <w:szCs w:val="20"/>
              </w:rPr>
            </w:pPr>
            <w:r>
              <w:rPr>
                <w:sz w:val="20"/>
                <w:szCs w:val="20"/>
              </w:rPr>
              <w:t>87 269</w:t>
            </w:r>
          </w:p>
        </w:tc>
        <w:tc>
          <w:tcPr>
            <w:tcW w:w="0" w:type="auto"/>
            <w:noWrap/>
            <w:vAlign w:val="bottom"/>
          </w:tcPr>
          <w:p w:rsidR="00000000" w:rsidRDefault="00000000">
            <w:pPr>
              <w:spacing w:before="80" w:after="80"/>
              <w:jc w:val="center"/>
              <w:rPr>
                <w:sz w:val="20"/>
                <w:szCs w:val="20"/>
              </w:rPr>
            </w:pPr>
            <w:r>
              <w:rPr>
                <w:sz w:val="20"/>
                <w:szCs w:val="20"/>
              </w:rPr>
              <w:t>135 000</w:t>
            </w:r>
          </w:p>
        </w:tc>
        <w:tc>
          <w:tcPr>
            <w:tcW w:w="0" w:type="auto"/>
            <w:noWrap/>
            <w:vAlign w:val="bottom"/>
          </w:tcPr>
          <w:p w:rsidR="00000000" w:rsidRDefault="00000000">
            <w:pPr>
              <w:spacing w:before="80" w:after="80"/>
              <w:jc w:val="center"/>
              <w:rPr>
                <w:sz w:val="20"/>
                <w:szCs w:val="20"/>
              </w:rPr>
            </w:pPr>
            <w:r>
              <w:rPr>
                <w:sz w:val="20"/>
                <w:szCs w:val="20"/>
              </w:rPr>
              <w:t>151 315</w:t>
            </w:r>
          </w:p>
        </w:tc>
      </w:tr>
      <w:tr w:rsidR="00000000">
        <w:trPr>
          <w:jc w:val="center"/>
        </w:trPr>
        <w:tc>
          <w:tcPr>
            <w:tcW w:w="0" w:type="auto"/>
            <w:noWrap/>
            <w:vAlign w:val="bottom"/>
          </w:tcPr>
          <w:p w:rsidR="00000000" w:rsidRDefault="00000000">
            <w:pPr>
              <w:spacing w:before="80" w:after="80"/>
              <w:rPr>
                <w:sz w:val="20"/>
                <w:szCs w:val="20"/>
                <w:lang w:val="en-US"/>
              </w:rPr>
            </w:pPr>
            <w:r>
              <w:rPr>
                <w:sz w:val="20"/>
                <w:szCs w:val="20"/>
                <w:lang w:val="en-US"/>
              </w:rPr>
              <w:t>% of the population living in poverty</w:t>
            </w:r>
          </w:p>
        </w:tc>
        <w:tc>
          <w:tcPr>
            <w:tcW w:w="0" w:type="auto"/>
            <w:noWrap/>
            <w:vAlign w:val="bottom"/>
          </w:tcPr>
          <w:p w:rsidR="00000000" w:rsidRDefault="00000000">
            <w:pPr>
              <w:spacing w:before="80" w:after="80"/>
              <w:jc w:val="center"/>
              <w:rPr>
                <w:sz w:val="20"/>
                <w:szCs w:val="20"/>
                <w:lang w:val="en-US"/>
              </w:rPr>
            </w:pPr>
          </w:p>
        </w:tc>
        <w:tc>
          <w:tcPr>
            <w:tcW w:w="0" w:type="auto"/>
            <w:noWrap/>
            <w:vAlign w:val="bottom"/>
          </w:tcPr>
          <w:p w:rsidR="00000000" w:rsidRDefault="00000000">
            <w:pPr>
              <w:spacing w:before="80" w:after="80"/>
              <w:jc w:val="center"/>
              <w:rPr>
                <w:sz w:val="20"/>
                <w:szCs w:val="20"/>
                <w:lang w:val="en-US"/>
              </w:rPr>
            </w:pPr>
          </w:p>
        </w:tc>
        <w:tc>
          <w:tcPr>
            <w:tcW w:w="0" w:type="auto"/>
            <w:noWrap/>
            <w:vAlign w:val="bottom"/>
          </w:tcPr>
          <w:p w:rsidR="00000000" w:rsidRDefault="00000000">
            <w:pPr>
              <w:spacing w:before="80" w:after="80"/>
              <w:jc w:val="center"/>
              <w:rPr>
                <w:sz w:val="20"/>
                <w:szCs w:val="20"/>
                <w:lang w:val="en-US"/>
              </w:rPr>
            </w:pPr>
          </w:p>
        </w:tc>
        <w:tc>
          <w:tcPr>
            <w:tcW w:w="0" w:type="auto"/>
            <w:noWrap/>
            <w:vAlign w:val="bottom"/>
          </w:tcPr>
          <w:p w:rsidR="00000000" w:rsidRDefault="00000000">
            <w:pPr>
              <w:spacing w:before="80" w:after="80"/>
              <w:jc w:val="center"/>
              <w:rPr>
                <w:sz w:val="20"/>
                <w:szCs w:val="20"/>
                <w:lang w:val="en-US"/>
              </w:rPr>
            </w:pPr>
          </w:p>
        </w:tc>
      </w:tr>
      <w:tr w:rsidR="00000000">
        <w:trPr>
          <w:jc w:val="center"/>
        </w:trPr>
        <w:tc>
          <w:tcPr>
            <w:tcW w:w="0" w:type="auto"/>
            <w:noWrap/>
            <w:vAlign w:val="bottom"/>
          </w:tcPr>
          <w:p w:rsidR="00000000" w:rsidRDefault="00000000">
            <w:pPr>
              <w:spacing w:before="80" w:after="80"/>
              <w:ind w:left="284"/>
              <w:rPr>
                <w:sz w:val="20"/>
                <w:szCs w:val="20"/>
              </w:rPr>
            </w:pPr>
            <w:r>
              <w:rPr>
                <w:sz w:val="20"/>
                <w:szCs w:val="20"/>
              </w:rPr>
              <w:t>Urban</w:t>
            </w:r>
          </w:p>
        </w:tc>
        <w:tc>
          <w:tcPr>
            <w:tcW w:w="0" w:type="auto"/>
            <w:noWrap/>
            <w:vAlign w:val="bottom"/>
          </w:tcPr>
          <w:p w:rsidR="00000000" w:rsidRDefault="00000000">
            <w:pPr>
              <w:spacing w:before="80" w:after="80"/>
              <w:jc w:val="center"/>
              <w:rPr>
                <w:sz w:val="20"/>
                <w:szCs w:val="20"/>
              </w:rPr>
            </w:pPr>
          </w:p>
        </w:tc>
        <w:tc>
          <w:tcPr>
            <w:tcW w:w="0" w:type="auto"/>
            <w:noWrap/>
            <w:vAlign w:val="bottom"/>
          </w:tcPr>
          <w:p w:rsidR="00000000" w:rsidRDefault="00000000">
            <w:pPr>
              <w:spacing w:before="80" w:after="80"/>
              <w:jc w:val="center"/>
              <w:rPr>
                <w:sz w:val="20"/>
                <w:szCs w:val="20"/>
              </w:rPr>
            </w:pPr>
          </w:p>
        </w:tc>
        <w:tc>
          <w:tcPr>
            <w:tcW w:w="0" w:type="auto"/>
            <w:noWrap/>
            <w:vAlign w:val="bottom"/>
          </w:tcPr>
          <w:p w:rsidR="00000000" w:rsidRDefault="00000000">
            <w:pPr>
              <w:spacing w:before="80" w:after="80"/>
              <w:jc w:val="center"/>
              <w:rPr>
                <w:sz w:val="20"/>
                <w:szCs w:val="20"/>
              </w:rPr>
            </w:pPr>
          </w:p>
        </w:tc>
        <w:tc>
          <w:tcPr>
            <w:tcW w:w="0" w:type="auto"/>
            <w:noWrap/>
            <w:vAlign w:val="bottom"/>
          </w:tcPr>
          <w:p w:rsidR="00000000" w:rsidRDefault="00000000">
            <w:pPr>
              <w:spacing w:before="80" w:after="80"/>
              <w:jc w:val="center"/>
              <w:rPr>
                <w:sz w:val="20"/>
                <w:szCs w:val="20"/>
              </w:rPr>
            </w:pPr>
          </w:p>
        </w:tc>
      </w:tr>
      <w:tr w:rsidR="00000000">
        <w:trPr>
          <w:jc w:val="center"/>
        </w:trPr>
        <w:tc>
          <w:tcPr>
            <w:tcW w:w="0" w:type="auto"/>
            <w:noWrap/>
            <w:vAlign w:val="bottom"/>
          </w:tcPr>
          <w:p w:rsidR="00000000" w:rsidRDefault="00000000">
            <w:pPr>
              <w:spacing w:before="80" w:after="80"/>
              <w:ind w:left="567"/>
              <w:rPr>
                <w:sz w:val="20"/>
                <w:szCs w:val="20"/>
              </w:rPr>
            </w:pPr>
            <w:r>
              <w:rPr>
                <w:sz w:val="20"/>
                <w:szCs w:val="20"/>
              </w:rPr>
              <w:t>Extremely poor</w:t>
            </w:r>
          </w:p>
        </w:tc>
        <w:tc>
          <w:tcPr>
            <w:tcW w:w="0" w:type="auto"/>
            <w:noWrap/>
            <w:vAlign w:val="bottom"/>
          </w:tcPr>
          <w:p w:rsidR="00000000" w:rsidRDefault="00000000">
            <w:pPr>
              <w:spacing w:before="80" w:after="80"/>
              <w:jc w:val="center"/>
              <w:rPr>
                <w:sz w:val="20"/>
                <w:szCs w:val="20"/>
              </w:rPr>
            </w:pPr>
            <w:r>
              <w:rPr>
                <w:sz w:val="20"/>
                <w:szCs w:val="20"/>
              </w:rPr>
              <w:t>6.8</w:t>
            </w:r>
          </w:p>
        </w:tc>
        <w:tc>
          <w:tcPr>
            <w:tcW w:w="0" w:type="auto"/>
            <w:noWrap/>
            <w:vAlign w:val="bottom"/>
          </w:tcPr>
          <w:p w:rsidR="00000000" w:rsidRDefault="00000000">
            <w:pPr>
              <w:spacing w:before="80" w:after="80"/>
              <w:jc w:val="center"/>
              <w:rPr>
                <w:sz w:val="20"/>
                <w:szCs w:val="20"/>
              </w:rPr>
            </w:pPr>
            <w:r>
              <w:rPr>
                <w:sz w:val="20"/>
                <w:szCs w:val="20"/>
              </w:rPr>
              <w:t>6.1</w:t>
            </w:r>
          </w:p>
        </w:tc>
        <w:tc>
          <w:tcPr>
            <w:tcW w:w="0" w:type="auto"/>
            <w:noWrap/>
            <w:vAlign w:val="bottom"/>
          </w:tcPr>
          <w:p w:rsidR="00000000" w:rsidRDefault="00000000">
            <w:pPr>
              <w:spacing w:before="80" w:after="80"/>
              <w:jc w:val="center"/>
              <w:rPr>
                <w:sz w:val="20"/>
                <w:szCs w:val="20"/>
              </w:rPr>
            </w:pPr>
            <w:r>
              <w:rPr>
                <w:sz w:val="20"/>
                <w:szCs w:val="20"/>
              </w:rPr>
              <w:t>12.8</w:t>
            </w:r>
          </w:p>
        </w:tc>
        <w:tc>
          <w:tcPr>
            <w:tcW w:w="0" w:type="auto"/>
            <w:noWrap/>
            <w:vAlign w:val="bottom"/>
          </w:tcPr>
          <w:p w:rsidR="00000000" w:rsidRDefault="00000000">
            <w:pPr>
              <w:spacing w:before="80" w:after="80"/>
              <w:jc w:val="center"/>
              <w:rPr>
                <w:sz w:val="20"/>
                <w:szCs w:val="20"/>
              </w:rPr>
            </w:pPr>
            <w:r>
              <w:rPr>
                <w:sz w:val="20"/>
                <w:szCs w:val="20"/>
              </w:rPr>
              <w:t>11.6</w:t>
            </w:r>
          </w:p>
        </w:tc>
      </w:tr>
      <w:tr w:rsidR="00000000">
        <w:trPr>
          <w:jc w:val="center"/>
        </w:trPr>
        <w:tc>
          <w:tcPr>
            <w:tcW w:w="0" w:type="auto"/>
            <w:noWrap/>
            <w:vAlign w:val="bottom"/>
          </w:tcPr>
          <w:p w:rsidR="00000000" w:rsidRDefault="00000000">
            <w:pPr>
              <w:spacing w:before="80" w:after="80"/>
              <w:ind w:left="567"/>
              <w:rPr>
                <w:sz w:val="20"/>
                <w:szCs w:val="20"/>
              </w:rPr>
            </w:pPr>
            <w:r>
              <w:rPr>
                <w:sz w:val="20"/>
                <w:szCs w:val="20"/>
              </w:rPr>
              <w:t>Not extremely poor</w:t>
            </w:r>
          </w:p>
        </w:tc>
        <w:tc>
          <w:tcPr>
            <w:tcW w:w="0" w:type="auto"/>
            <w:noWrap/>
            <w:vAlign w:val="bottom"/>
          </w:tcPr>
          <w:p w:rsidR="00000000" w:rsidRDefault="00000000">
            <w:pPr>
              <w:spacing w:before="80" w:after="80"/>
              <w:jc w:val="center"/>
              <w:rPr>
                <w:sz w:val="20"/>
                <w:szCs w:val="20"/>
              </w:rPr>
            </w:pPr>
            <w:r>
              <w:rPr>
                <w:sz w:val="20"/>
                <w:szCs w:val="20"/>
              </w:rPr>
              <w:t>16.9</w:t>
            </w:r>
          </w:p>
        </w:tc>
        <w:tc>
          <w:tcPr>
            <w:tcW w:w="0" w:type="auto"/>
            <w:noWrap/>
            <w:vAlign w:val="bottom"/>
          </w:tcPr>
          <w:p w:rsidR="00000000" w:rsidRDefault="00000000">
            <w:pPr>
              <w:spacing w:before="80" w:after="80"/>
              <w:jc w:val="center"/>
              <w:rPr>
                <w:sz w:val="20"/>
                <w:szCs w:val="20"/>
              </w:rPr>
            </w:pPr>
            <w:r>
              <w:rPr>
                <w:sz w:val="20"/>
                <w:szCs w:val="20"/>
              </w:rPr>
              <w:t>20.6</w:t>
            </w:r>
          </w:p>
        </w:tc>
        <w:tc>
          <w:tcPr>
            <w:tcW w:w="0" w:type="auto"/>
            <w:noWrap/>
            <w:vAlign w:val="bottom"/>
          </w:tcPr>
          <w:p w:rsidR="00000000" w:rsidRDefault="00000000">
            <w:pPr>
              <w:spacing w:before="80" w:after="80"/>
              <w:jc w:val="center"/>
              <w:rPr>
                <w:sz w:val="20"/>
                <w:szCs w:val="20"/>
              </w:rPr>
            </w:pPr>
            <w:r>
              <w:rPr>
                <w:sz w:val="20"/>
                <w:szCs w:val="20"/>
              </w:rPr>
              <w:t>25.7</w:t>
            </w:r>
          </w:p>
        </w:tc>
        <w:tc>
          <w:tcPr>
            <w:tcW w:w="0" w:type="auto"/>
            <w:noWrap/>
            <w:vAlign w:val="bottom"/>
          </w:tcPr>
          <w:p w:rsidR="00000000" w:rsidRDefault="00000000">
            <w:pPr>
              <w:spacing w:before="80" w:after="80"/>
              <w:jc w:val="center"/>
              <w:rPr>
                <w:sz w:val="20"/>
                <w:szCs w:val="20"/>
              </w:rPr>
            </w:pPr>
            <w:r>
              <w:rPr>
                <w:sz w:val="20"/>
                <w:szCs w:val="20"/>
              </w:rPr>
              <w:t>27.8</w:t>
            </w:r>
          </w:p>
        </w:tc>
      </w:tr>
      <w:tr w:rsidR="00000000">
        <w:trPr>
          <w:jc w:val="center"/>
        </w:trPr>
        <w:tc>
          <w:tcPr>
            <w:tcW w:w="0" w:type="auto"/>
            <w:noWrap/>
            <w:vAlign w:val="bottom"/>
          </w:tcPr>
          <w:p w:rsidR="00000000" w:rsidRDefault="00000000">
            <w:pPr>
              <w:spacing w:before="80" w:after="80"/>
              <w:ind w:left="284"/>
              <w:rPr>
                <w:sz w:val="20"/>
                <w:szCs w:val="20"/>
              </w:rPr>
            </w:pPr>
            <w:r>
              <w:rPr>
                <w:sz w:val="20"/>
                <w:szCs w:val="20"/>
              </w:rPr>
              <w:t>Total</w:t>
            </w:r>
          </w:p>
        </w:tc>
        <w:tc>
          <w:tcPr>
            <w:tcW w:w="0" w:type="auto"/>
            <w:noWrap/>
            <w:vAlign w:val="bottom"/>
          </w:tcPr>
          <w:p w:rsidR="00000000" w:rsidRDefault="00000000">
            <w:pPr>
              <w:spacing w:before="80" w:after="80"/>
              <w:jc w:val="center"/>
              <w:rPr>
                <w:sz w:val="20"/>
                <w:szCs w:val="20"/>
              </w:rPr>
            </w:pPr>
            <w:r>
              <w:rPr>
                <w:sz w:val="20"/>
                <w:szCs w:val="20"/>
              </w:rPr>
              <w:t>23.7</w:t>
            </w:r>
          </w:p>
        </w:tc>
        <w:tc>
          <w:tcPr>
            <w:tcW w:w="0" w:type="auto"/>
            <w:noWrap/>
            <w:vAlign w:val="bottom"/>
          </w:tcPr>
          <w:p w:rsidR="00000000" w:rsidRDefault="00000000">
            <w:pPr>
              <w:spacing w:before="80" w:after="80"/>
              <w:jc w:val="center"/>
              <w:rPr>
                <w:sz w:val="20"/>
                <w:szCs w:val="20"/>
              </w:rPr>
            </w:pPr>
            <w:r>
              <w:rPr>
                <w:sz w:val="20"/>
                <w:szCs w:val="20"/>
              </w:rPr>
              <w:t>26.7</w:t>
            </w:r>
          </w:p>
        </w:tc>
        <w:tc>
          <w:tcPr>
            <w:tcW w:w="0" w:type="auto"/>
            <w:noWrap/>
            <w:vAlign w:val="bottom"/>
          </w:tcPr>
          <w:p w:rsidR="00000000" w:rsidRDefault="00000000">
            <w:pPr>
              <w:spacing w:before="80" w:after="80"/>
              <w:jc w:val="center"/>
              <w:rPr>
                <w:sz w:val="20"/>
                <w:szCs w:val="20"/>
              </w:rPr>
            </w:pPr>
            <w:r>
              <w:rPr>
                <w:sz w:val="20"/>
                <w:szCs w:val="20"/>
              </w:rPr>
              <w:t>38.4</w:t>
            </w:r>
          </w:p>
        </w:tc>
        <w:tc>
          <w:tcPr>
            <w:tcW w:w="0" w:type="auto"/>
            <w:noWrap/>
            <w:vAlign w:val="bottom"/>
          </w:tcPr>
          <w:p w:rsidR="00000000" w:rsidRDefault="00000000">
            <w:pPr>
              <w:spacing w:before="80" w:after="80"/>
              <w:jc w:val="center"/>
              <w:rPr>
                <w:sz w:val="20"/>
                <w:szCs w:val="20"/>
              </w:rPr>
            </w:pPr>
            <w:r>
              <w:rPr>
                <w:sz w:val="20"/>
                <w:szCs w:val="20"/>
              </w:rPr>
              <w:t>39.4</w:t>
            </w:r>
          </w:p>
        </w:tc>
      </w:tr>
      <w:tr w:rsidR="00000000">
        <w:trPr>
          <w:jc w:val="center"/>
        </w:trPr>
        <w:tc>
          <w:tcPr>
            <w:tcW w:w="0" w:type="auto"/>
            <w:noWrap/>
            <w:vAlign w:val="bottom"/>
          </w:tcPr>
          <w:p w:rsidR="00000000" w:rsidRDefault="00000000">
            <w:pPr>
              <w:spacing w:before="80" w:after="80"/>
              <w:ind w:left="284"/>
              <w:rPr>
                <w:sz w:val="20"/>
                <w:szCs w:val="20"/>
              </w:rPr>
            </w:pPr>
            <w:r>
              <w:rPr>
                <w:sz w:val="20"/>
                <w:szCs w:val="20"/>
              </w:rPr>
              <w:t>Rural</w:t>
            </w:r>
          </w:p>
        </w:tc>
        <w:tc>
          <w:tcPr>
            <w:tcW w:w="0" w:type="auto"/>
            <w:noWrap/>
            <w:vAlign w:val="bottom"/>
          </w:tcPr>
          <w:p w:rsidR="00000000" w:rsidRDefault="00000000">
            <w:pPr>
              <w:spacing w:before="80" w:after="80"/>
              <w:jc w:val="center"/>
              <w:rPr>
                <w:sz w:val="20"/>
                <w:szCs w:val="20"/>
              </w:rPr>
            </w:pPr>
          </w:p>
        </w:tc>
        <w:tc>
          <w:tcPr>
            <w:tcW w:w="0" w:type="auto"/>
            <w:noWrap/>
            <w:vAlign w:val="bottom"/>
          </w:tcPr>
          <w:p w:rsidR="00000000" w:rsidRDefault="00000000">
            <w:pPr>
              <w:spacing w:before="80" w:after="80"/>
              <w:jc w:val="center"/>
              <w:rPr>
                <w:sz w:val="20"/>
                <w:szCs w:val="20"/>
              </w:rPr>
            </w:pPr>
          </w:p>
        </w:tc>
        <w:tc>
          <w:tcPr>
            <w:tcW w:w="0" w:type="auto"/>
            <w:noWrap/>
            <w:vAlign w:val="bottom"/>
          </w:tcPr>
          <w:p w:rsidR="00000000" w:rsidRDefault="00000000">
            <w:pPr>
              <w:spacing w:before="80" w:after="80"/>
              <w:jc w:val="center"/>
              <w:rPr>
                <w:sz w:val="20"/>
                <w:szCs w:val="20"/>
              </w:rPr>
            </w:pPr>
          </w:p>
        </w:tc>
        <w:tc>
          <w:tcPr>
            <w:tcW w:w="0" w:type="auto"/>
            <w:noWrap/>
            <w:vAlign w:val="bottom"/>
          </w:tcPr>
          <w:p w:rsidR="00000000" w:rsidRDefault="00000000">
            <w:pPr>
              <w:spacing w:before="80" w:after="80"/>
              <w:jc w:val="center"/>
              <w:rPr>
                <w:sz w:val="20"/>
                <w:szCs w:val="20"/>
              </w:rPr>
            </w:pPr>
          </w:p>
        </w:tc>
      </w:tr>
      <w:tr w:rsidR="00000000">
        <w:trPr>
          <w:jc w:val="center"/>
        </w:trPr>
        <w:tc>
          <w:tcPr>
            <w:tcW w:w="0" w:type="auto"/>
            <w:noWrap/>
            <w:vAlign w:val="bottom"/>
          </w:tcPr>
          <w:p w:rsidR="00000000" w:rsidRDefault="00000000">
            <w:pPr>
              <w:spacing w:before="80" w:after="80"/>
              <w:ind w:left="567"/>
              <w:rPr>
                <w:sz w:val="20"/>
                <w:szCs w:val="20"/>
              </w:rPr>
            </w:pPr>
            <w:r>
              <w:rPr>
                <w:sz w:val="20"/>
                <w:szCs w:val="20"/>
              </w:rPr>
              <w:t>Extremely poor</w:t>
            </w:r>
          </w:p>
        </w:tc>
        <w:tc>
          <w:tcPr>
            <w:tcW w:w="0" w:type="auto"/>
            <w:noWrap/>
            <w:vAlign w:val="bottom"/>
          </w:tcPr>
          <w:p w:rsidR="00000000" w:rsidRDefault="00000000">
            <w:pPr>
              <w:spacing w:before="80" w:after="80"/>
              <w:jc w:val="center"/>
              <w:rPr>
                <w:sz w:val="20"/>
                <w:szCs w:val="20"/>
              </w:rPr>
            </w:pPr>
            <w:r>
              <w:rPr>
                <w:sz w:val="20"/>
                <w:szCs w:val="20"/>
              </w:rPr>
              <w:t>21.4</w:t>
            </w:r>
          </w:p>
        </w:tc>
        <w:tc>
          <w:tcPr>
            <w:tcW w:w="0" w:type="auto"/>
            <w:noWrap/>
            <w:vAlign w:val="bottom"/>
          </w:tcPr>
          <w:p w:rsidR="00000000" w:rsidRDefault="00000000">
            <w:pPr>
              <w:spacing w:before="80" w:after="80"/>
              <w:jc w:val="center"/>
              <w:rPr>
                <w:sz w:val="20"/>
                <w:szCs w:val="20"/>
              </w:rPr>
            </w:pPr>
            <w:r>
              <w:rPr>
                <w:sz w:val="20"/>
                <w:szCs w:val="20"/>
              </w:rPr>
              <w:t>26.5</w:t>
            </w:r>
          </w:p>
        </w:tc>
        <w:tc>
          <w:tcPr>
            <w:tcW w:w="0" w:type="auto"/>
            <w:noWrap/>
            <w:vAlign w:val="bottom"/>
          </w:tcPr>
          <w:p w:rsidR="00000000" w:rsidRDefault="00000000">
            <w:pPr>
              <w:spacing w:before="80" w:after="80"/>
              <w:jc w:val="center"/>
              <w:rPr>
                <w:sz w:val="20"/>
                <w:szCs w:val="20"/>
              </w:rPr>
            </w:pPr>
            <w:r>
              <w:rPr>
                <w:sz w:val="20"/>
                <w:szCs w:val="20"/>
              </w:rPr>
              <w:t>22.8</w:t>
            </w:r>
          </w:p>
        </w:tc>
        <w:tc>
          <w:tcPr>
            <w:tcW w:w="0" w:type="auto"/>
            <w:noWrap/>
            <w:vAlign w:val="bottom"/>
          </w:tcPr>
          <w:p w:rsidR="00000000" w:rsidRDefault="00000000">
            <w:pPr>
              <w:spacing w:before="80" w:after="80"/>
              <w:jc w:val="center"/>
              <w:rPr>
                <w:sz w:val="20"/>
                <w:szCs w:val="20"/>
              </w:rPr>
            </w:pPr>
            <w:r>
              <w:rPr>
                <w:sz w:val="20"/>
                <w:szCs w:val="20"/>
              </w:rPr>
              <w:t>20.8</w:t>
            </w:r>
          </w:p>
        </w:tc>
      </w:tr>
      <w:tr w:rsidR="00000000">
        <w:trPr>
          <w:jc w:val="center"/>
        </w:trPr>
        <w:tc>
          <w:tcPr>
            <w:tcW w:w="0" w:type="auto"/>
            <w:noWrap/>
            <w:vAlign w:val="bottom"/>
          </w:tcPr>
          <w:p w:rsidR="00000000" w:rsidRDefault="00000000">
            <w:pPr>
              <w:spacing w:before="80" w:after="80"/>
              <w:ind w:left="567"/>
              <w:rPr>
                <w:sz w:val="20"/>
                <w:szCs w:val="20"/>
              </w:rPr>
            </w:pPr>
            <w:r>
              <w:rPr>
                <w:sz w:val="20"/>
                <w:szCs w:val="20"/>
              </w:rPr>
              <w:t>Not extremely poor</w:t>
            </w:r>
          </w:p>
        </w:tc>
        <w:tc>
          <w:tcPr>
            <w:tcW w:w="0" w:type="auto"/>
            <w:noWrap/>
            <w:vAlign w:val="bottom"/>
          </w:tcPr>
          <w:p w:rsidR="00000000" w:rsidRDefault="00000000">
            <w:pPr>
              <w:spacing w:before="80" w:after="80"/>
              <w:jc w:val="center"/>
              <w:rPr>
                <w:sz w:val="20"/>
                <w:szCs w:val="20"/>
              </w:rPr>
            </w:pPr>
            <w:r>
              <w:rPr>
                <w:sz w:val="20"/>
                <w:szCs w:val="20"/>
              </w:rPr>
              <w:t>15.8</w:t>
            </w:r>
          </w:p>
        </w:tc>
        <w:tc>
          <w:tcPr>
            <w:tcW w:w="0" w:type="auto"/>
            <w:noWrap/>
            <w:vAlign w:val="bottom"/>
          </w:tcPr>
          <w:p w:rsidR="00000000" w:rsidRDefault="00000000">
            <w:pPr>
              <w:spacing w:before="80" w:after="80"/>
              <w:jc w:val="center"/>
              <w:rPr>
                <w:sz w:val="20"/>
                <w:szCs w:val="20"/>
              </w:rPr>
            </w:pPr>
            <w:r>
              <w:rPr>
                <w:sz w:val="20"/>
                <w:szCs w:val="20"/>
              </w:rPr>
              <w:t>15.4</w:t>
            </w:r>
          </w:p>
        </w:tc>
        <w:tc>
          <w:tcPr>
            <w:tcW w:w="0" w:type="auto"/>
            <w:noWrap/>
            <w:vAlign w:val="bottom"/>
          </w:tcPr>
          <w:p w:rsidR="00000000" w:rsidRDefault="00000000">
            <w:pPr>
              <w:spacing w:before="80" w:after="80"/>
              <w:jc w:val="center"/>
              <w:rPr>
                <w:sz w:val="20"/>
                <w:szCs w:val="20"/>
              </w:rPr>
            </w:pPr>
            <w:r>
              <w:rPr>
                <w:sz w:val="20"/>
                <w:szCs w:val="20"/>
              </w:rPr>
              <w:t>17.3</w:t>
            </w:r>
          </w:p>
        </w:tc>
        <w:tc>
          <w:tcPr>
            <w:tcW w:w="0" w:type="auto"/>
            <w:noWrap/>
            <w:vAlign w:val="bottom"/>
          </w:tcPr>
          <w:p w:rsidR="00000000" w:rsidRDefault="00000000">
            <w:pPr>
              <w:spacing w:before="80" w:after="80"/>
              <w:jc w:val="center"/>
              <w:rPr>
                <w:sz w:val="20"/>
                <w:szCs w:val="20"/>
              </w:rPr>
            </w:pPr>
            <w:r>
              <w:rPr>
                <w:sz w:val="20"/>
                <w:szCs w:val="20"/>
              </w:rPr>
              <w:t>15.8</w:t>
            </w:r>
          </w:p>
        </w:tc>
      </w:tr>
      <w:tr w:rsidR="00000000">
        <w:trPr>
          <w:jc w:val="center"/>
        </w:trPr>
        <w:tc>
          <w:tcPr>
            <w:tcW w:w="0" w:type="auto"/>
            <w:noWrap/>
            <w:vAlign w:val="bottom"/>
          </w:tcPr>
          <w:p w:rsidR="00000000" w:rsidRDefault="00000000">
            <w:pPr>
              <w:spacing w:before="80" w:after="80"/>
              <w:ind w:left="284"/>
              <w:rPr>
                <w:sz w:val="20"/>
                <w:szCs w:val="20"/>
              </w:rPr>
            </w:pPr>
            <w:r>
              <w:rPr>
                <w:sz w:val="20"/>
                <w:szCs w:val="20"/>
              </w:rPr>
              <w:t>Total</w:t>
            </w:r>
          </w:p>
        </w:tc>
        <w:tc>
          <w:tcPr>
            <w:tcW w:w="0" w:type="auto"/>
            <w:noWrap/>
            <w:vAlign w:val="bottom"/>
          </w:tcPr>
          <w:p w:rsidR="00000000" w:rsidRDefault="00000000">
            <w:pPr>
              <w:spacing w:before="80" w:after="80"/>
              <w:jc w:val="center"/>
              <w:rPr>
                <w:sz w:val="20"/>
                <w:szCs w:val="20"/>
              </w:rPr>
            </w:pPr>
            <w:r>
              <w:rPr>
                <w:sz w:val="20"/>
                <w:szCs w:val="20"/>
              </w:rPr>
              <w:t>37.2</w:t>
            </w:r>
          </w:p>
        </w:tc>
        <w:tc>
          <w:tcPr>
            <w:tcW w:w="0" w:type="auto"/>
            <w:noWrap/>
            <w:vAlign w:val="bottom"/>
          </w:tcPr>
          <w:p w:rsidR="00000000" w:rsidRDefault="00000000">
            <w:pPr>
              <w:spacing w:before="80" w:after="80"/>
              <w:jc w:val="center"/>
              <w:rPr>
                <w:sz w:val="20"/>
                <w:szCs w:val="20"/>
              </w:rPr>
            </w:pPr>
            <w:r>
              <w:rPr>
                <w:sz w:val="20"/>
                <w:szCs w:val="20"/>
              </w:rPr>
              <w:t>42.0</w:t>
            </w:r>
          </w:p>
        </w:tc>
        <w:tc>
          <w:tcPr>
            <w:tcW w:w="0" w:type="auto"/>
            <w:noWrap/>
            <w:vAlign w:val="bottom"/>
          </w:tcPr>
          <w:p w:rsidR="00000000" w:rsidRDefault="00000000">
            <w:pPr>
              <w:spacing w:before="80" w:after="80"/>
              <w:jc w:val="center"/>
              <w:rPr>
                <w:sz w:val="20"/>
                <w:szCs w:val="20"/>
              </w:rPr>
            </w:pPr>
            <w:r>
              <w:rPr>
                <w:sz w:val="20"/>
                <w:szCs w:val="20"/>
              </w:rPr>
              <w:t>40.1</w:t>
            </w:r>
          </w:p>
        </w:tc>
        <w:tc>
          <w:tcPr>
            <w:tcW w:w="0" w:type="auto"/>
            <w:noWrap/>
            <w:vAlign w:val="bottom"/>
          </w:tcPr>
          <w:p w:rsidR="00000000" w:rsidRDefault="00000000">
            <w:pPr>
              <w:spacing w:before="80" w:after="80"/>
              <w:jc w:val="center"/>
              <w:rPr>
                <w:sz w:val="20"/>
                <w:szCs w:val="20"/>
              </w:rPr>
            </w:pPr>
            <w:r>
              <w:rPr>
                <w:sz w:val="20"/>
                <w:szCs w:val="20"/>
              </w:rPr>
              <w:t>36.6</w:t>
            </w:r>
          </w:p>
        </w:tc>
      </w:tr>
      <w:tr w:rsidR="00000000">
        <w:trPr>
          <w:jc w:val="center"/>
        </w:trPr>
        <w:tc>
          <w:tcPr>
            <w:tcW w:w="0" w:type="auto"/>
            <w:noWrap/>
            <w:vAlign w:val="bottom"/>
          </w:tcPr>
          <w:p w:rsidR="00000000" w:rsidRDefault="00000000">
            <w:pPr>
              <w:pStyle w:val="FootnoteText"/>
              <w:spacing w:before="80" w:after="80"/>
              <w:rPr>
                <w:smallCaps/>
              </w:rPr>
            </w:pPr>
            <w:r>
              <w:rPr>
                <w:smallCaps/>
              </w:rPr>
              <w:t>Total</w:t>
            </w:r>
          </w:p>
        </w:tc>
        <w:tc>
          <w:tcPr>
            <w:tcW w:w="0" w:type="auto"/>
            <w:noWrap/>
            <w:vAlign w:val="bottom"/>
          </w:tcPr>
          <w:p w:rsidR="00000000" w:rsidRDefault="00000000">
            <w:pPr>
              <w:spacing w:before="80" w:after="80"/>
              <w:jc w:val="center"/>
              <w:rPr>
                <w:sz w:val="20"/>
                <w:szCs w:val="20"/>
              </w:rPr>
            </w:pPr>
          </w:p>
        </w:tc>
        <w:tc>
          <w:tcPr>
            <w:tcW w:w="0" w:type="auto"/>
            <w:noWrap/>
            <w:vAlign w:val="bottom"/>
          </w:tcPr>
          <w:p w:rsidR="00000000" w:rsidRDefault="00000000">
            <w:pPr>
              <w:spacing w:before="80" w:after="80"/>
              <w:jc w:val="center"/>
              <w:rPr>
                <w:sz w:val="20"/>
                <w:szCs w:val="20"/>
              </w:rPr>
            </w:pPr>
          </w:p>
        </w:tc>
        <w:tc>
          <w:tcPr>
            <w:tcW w:w="0" w:type="auto"/>
            <w:noWrap/>
            <w:vAlign w:val="bottom"/>
          </w:tcPr>
          <w:p w:rsidR="00000000" w:rsidRDefault="00000000">
            <w:pPr>
              <w:spacing w:before="80" w:after="80"/>
              <w:jc w:val="center"/>
              <w:rPr>
                <w:sz w:val="20"/>
                <w:szCs w:val="20"/>
              </w:rPr>
            </w:pPr>
          </w:p>
        </w:tc>
        <w:tc>
          <w:tcPr>
            <w:tcW w:w="0" w:type="auto"/>
            <w:noWrap/>
            <w:vAlign w:val="bottom"/>
          </w:tcPr>
          <w:p w:rsidR="00000000" w:rsidRDefault="00000000">
            <w:pPr>
              <w:spacing w:before="80" w:after="80"/>
              <w:jc w:val="center"/>
              <w:rPr>
                <w:sz w:val="20"/>
                <w:szCs w:val="20"/>
              </w:rPr>
            </w:pPr>
          </w:p>
        </w:tc>
      </w:tr>
      <w:tr w:rsidR="00000000">
        <w:trPr>
          <w:jc w:val="center"/>
        </w:trPr>
        <w:tc>
          <w:tcPr>
            <w:tcW w:w="0" w:type="auto"/>
            <w:noWrap/>
            <w:vAlign w:val="bottom"/>
          </w:tcPr>
          <w:p w:rsidR="00000000" w:rsidRDefault="00000000">
            <w:pPr>
              <w:spacing w:before="80" w:after="80"/>
              <w:ind w:left="284"/>
              <w:rPr>
                <w:sz w:val="20"/>
                <w:szCs w:val="20"/>
              </w:rPr>
            </w:pPr>
            <w:r>
              <w:rPr>
                <w:sz w:val="20"/>
                <w:szCs w:val="20"/>
              </w:rPr>
              <w:t>Extremely poor</w:t>
            </w:r>
          </w:p>
        </w:tc>
        <w:tc>
          <w:tcPr>
            <w:tcW w:w="0" w:type="auto"/>
            <w:noWrap/>
            <w:vAlign w:val="bottom"/>
          </w:tcPr>
          <w:p w:rsidR="00000000" w:rsidRDefault="00000000">
            <w:pPr>
              <w:spacing w:before="80" w:after="80"/>
              <w:jc w:val="center"/>
              <w:rPr>
                <w:sz w:val="20"/>
                <w:szCs w:val="20"/>
              </w:rPr>
            </w:pPr>
            <w:r>
              <w:rPr>
                <w:sz w:val="20"/>
                <w:szCs w:val="20"/>
              </w:rPr>
              <w:t>13.9</w:t>
            </w:r>
          </w:p>
        </w:tc>
        <w:tc>
          <w:tcPr>
            <w:tcW w:w="0" w:type="auto"/>
            <w:noWrap/>
            <w:vAlign w:val="bottom"/>
          </w:tcPr>
          <w:p w:rsidR="00000000" w:rsidRDefault="00000000">
            <w:pPr>
              <w:spacing w:before="80" w:after="80"/>
              <w:jc w:val="center"/>
              <w:rPr>
                <w:sz w:val="20"/>
                <w:szCs w:val="20"/>
              </w:rPr>
            </w:pPr>
            <w:r>
              <w:rPr>
                <w:sz w:val="20"/>
                <w:szCs w:val="20"/>
              </w:rPr>
              <w:t>15.5</w:t>
            </w:r>
          </w:p>
        </w:tc>
        <w:tc>
          <w:tcPr>
            <w:tcW w:w="0" w:type="auto"/>
            <w:noWrap/>
            <w:vAlign w:val="bottom"/>
          </w:tcPr>
          <w:p w:rsidR="00000000" w:rsidRDefault="00000000">
            <w:pPr>
              <w:spacing w:before="80" w:after="80"/>
              <w:jc w:val="center"/>
              <w:rPr>
                <w:sz w:val="20"/>
                <w:szCs w:val="20"/>
              </w:rPr>
            </w:pPr>
            <w:r>
              <w:rPr>
                <w:sz w:val="20"/>
                <w:szCs w:val="20"/>
              </w:rPr>
              <w:t>17.1</w:t>
            </w:r>
          </w:p>
        </w:tc>
        <w:tc>
          <w:tcPr>
            <w:tcW w:w="0" w:type="auto"/>
            <w:noWrap/>
            <w:vAlign w:val="bottom"/>
          </w:tcPr>
          <w:p w:rsidR="00000000" w:rsidRDefault="00000000">
            <w:pPr>
              <w:spacing w:before="80" w:after="80"/>
              <w:jc w:val="center"/>
              <w:rPr>
                <w:sz w:val="20"/>
                <w:szCs w:val="20"/>
              </w:rPr>
            </w:pPr>
            <w:r>
              <w:rPr>
                <w:sz w:val="20"/>
                <w:szCs w:val="20"/>
              </w:rPr>
              <w:t>15.5</w:t>
            </w:r>
          </w:p>
        </w:tc>
      </w:tr>
      <w:tr w:rsidR="00000000">
        <w:trPr>
          <w:jc w:val="center"/>
        </w:trPr>
        <w:tc>
          <w:tcPr>
            <w:tcW w:w="0" w:type="auto"/>
            <w:noWrap/>
            <w:vAlign w:val="bottom"/>
          </w:tcPr>
          <w:p w:rsidR="00000000" w:rsidRDefault="00000000">
            <w:pPr>
              <w:spacing w:before="80" w:after="80"/>
              <w:ind w:left="284"/>
              <w:rPr>
                <w:sz w:val="20"/>
                <w:szCs w:val="20"/>
              </w:rPr>
            </w:pPr>
            <w:r>
              <w:rPr>
                <w:sz w:val="20"/>
                <w:szCs w:val="20"/>
              </w:rPr>
              <w:t>Not extremely poor</w:t>
            </w:r>
          </w:p>
        </w:tc>
        <w:tc>
          <w:tcPr>
            <w:tcW w:w="0" w:type="auto"/>
            <w:noWrap/>
            <w:vAlign w:val="bottom"/>
          </w:tcPr>
          <w:p w:rsidR="00000000" w:rsidRDefault="00000000">
            <w:pPr>
              <w:spacing w:before="80" w:after="80"/>
              <w:jc w:val="center"/>
              <w:rPr>
                <w:sz w:val="20"/>
                <w:szCs w:val="20"/>
              </w:rPr>
            </w:pPr>
            <w:r>
              <w:rPr>
                <w:sz w:val="20"/>
                <w:szCs w:val="20"/>
              </w:rPr>
              <w:t>16.4</w:t>
            </w:r>
          </w:p>
        </w:tc>
        <w:tc>
          <w:tcPr>
            <w:tcW w:w="0" w:type="auto"/>
            <w:noWrap/>
            <w:vAlign w:val="bottom"/>
          </w:tcPr>
          <w:p w:rsidR="00000000" w:rsidRDefault="00000000">
            <w:pPr>
              <w:spacing w:before="80" w:after="80"/>
              <w:jc w:val="center"/>
              <w:rPr>
                <w:sz w:val="20"/>
                <w:szCs w:val="20"/>
              </w:rPr>
            </w:pPr>
            <w:r>
              <w:rPr>
                <w:sz w:val="20"/>
                <w:szCs w:val="20"/>
              </w:rPr>
              <w:t>18.2</w:t>
            </w:r>
          </w:p>
        </w:tc>
        <w:tc>
          <w:tcPr>
            <w:tcW w:w="0" w:type="auto"/>
            <w:noWrap/>
            <w:vAlign w:val="bottom"/>
          </w:tcPr>
          <w:p w:rsidR="00000000" w:rsidRDefault="00000000">
            <w:pPr>
              <w:spacing w:before="80" w:after="80"/>
              <w:jc w:val="center"/>
              <w:rPr>
                <w:sz w:val="20"/>
                <w:szCs w:val="20"/>
              </w:rPr>
            </w:pPr>
            <w:r>
              <w:rPr>
                <w:sz w:val="20"/>
                <w:szCs w:val="20"/>
              </w:rPr>
              <w:t>22.1</w:t>
            </w:r>
          </w:p>
        </w:tc>
        <w:tc>
          <w:tcPr>
            <w:tcW w:w="0" w:type="auto"/>
            <w:noWrap/>
            <w:vAlign w:val="bottom"/>
          </w:tcPr>
          <w:p w:rsidR="00000000" w:rsidRDefault="00000000">
            <w:pPr>
              <w:spacing w:before="80" w:after="80"/>
              <w:jc w:val="center"/>
              <w:rPr>
                <w:sz w:val="20"/>
                <w:szCs w:val="20"/>
              </w:rPr>
            </w:pPr>
            <w:r>
              <w:rPr>
                <w:sz w:val="20"/>
                <w:szCs w:val="20"/>
              </w:rPr>
              <w:t>22.7</w:t>
            </w:r>
          </w:p>
        </w:tc>
      </w:tr>
      <w:tr w:rsidR="00000000">
        <w:trPr>
          <w:jc w:val="center"/>
        </w:trPr>
        <w:tc>
          <w:tcPr>
            <w:tcW w:w="0" w:type="auto"/>
            <w:tcBorders>
              <w:bottom w:val="nil"/>
            </w:tcBorders>
            <w:noWrap/>
            <w:vAlign w:val="bottom"/>
          </w:tcPr>
          <w:p w:rsidR="00000000" w:rsidRDefault="00000000">
            <w:pPr>
              <w:spacing w:before="80" w:after="80"/>
              <w:ind w:left="284"/>
              <w:rPr>
                <w:sz w:val="20"/>
                <w:szCs w:val="20"/>
              </w:rPr>
            </w:pPr>
            <w:r>
              <w:rPr>
                <w:sz w:val="20"/>
                <w:szCs w:val="20"/>
              </w:rPr>
              <w:t>Total</w:t>
            </w:r>
          </w:p>
        </w:tc>
        <w:tc>
          <w:tcPr>
            <w:tcW w:w="0" w:type="auto"/>
            <w:tcBorders>
              <w:bottom w:val="nil"/>
            </w:tcBorders>
            <w:noWrap/>
            <w:vAlign w:val="bottom"/>
          </w:tcPr>
          <w:p w:rsidR="00000000" w:rsidRDefault="00000000">
            <w:pPr>
              <w:spacing w:before="80" w:after="80"/>
              <w:jc w:val="center"/>
              <w:rPr>
                <w:sz w:val="20"/>
                <w:szCs w:val="20"/>
              </w:rPr>
            </w:pPr>
            <w:r>
              <w:rPr>
                <w:sz w:val="20"/>
                <w:szCs w:val="20"/>
              </w:rPr>
              <w:t>30.3</w:t>
            </w:r>
          </w:p>
        </w:tc>
        <w:tc>
          <w:tcPr>
            <w:tcW w:w="0" w:type="auto"/>
            <w:tcBorders>
              <w:bottom w:val="nil"/>
            </w:tcBorders>
            <w:noWrap/>
            <w:vAlign w:val="bottom"/>
          </w:tcPr>
          <w:p w:rsidR="00000000" w:rsidRDefault="00000000">
            <w:pPr>
              <w:spacing w:before="80" w:after="80"/>
              <w:jc w:val="center"/>
              <w:rPr>
                <w:sz w:val="20"/>
                <w:szCs w:val="20"/>
              </w:rPr>
            </w:pPr>
            <w:r>
              <w:rPr>
                <w:sz w:val="20"/>
                <w:szCs w:val="20"/>
              </w:rPr>
              <w:t>33.7</w:t>
            </w:r>
          </w:p>
        </w:tc>
        <w:tc>
          <w:tcPr>
            <w:tcW w:w="0" w:type="auto"/>
            <w:tcBorders>
              <w:bottom w:val="nil"/>
            </w:tcBorders>
            <w:noWrap/>
            <w:vAlign w:val="bottom"/>
          </w:tcPr>
          <w:p w:rsidR="00000000" w:rsidRDefault="00000000">
            <w:pPr>
              <w:spacing w:before="80" w:after="80"/>
              <w:jc w:val="center"/>
              <w:rPr>
                <w:sz w:val="20"/>
                <w:szCs w:val="20"/>
              </w:rPr>
            </w:pPr>
            <w:r>
              <w:rPr>
                <w:sz w:val="20"/>
                <w:szCs w:val="20"/>
              </w:rPr>
              <w:t>39.2</w:t>
            </w:r>
          </w:p>
        </w:tc>
        <w:tc>
          <w:tcPr>
            <w:tcW w:w="0" w:type="auto"/>
            <w:tcBorders>
              <w:bottom w:val="nil"/>
            </w:tcBorders>
            <w:noWrap/>
            <w:vAlign w:val="bottom"/>
          </w:tcPr>
          <w:p w:rsidR="00000000" w:rsidRDefault="00000000">
            <w:pPr>
              <w:spacing w:before="80" w:after="80"/>
              <w:jc w:val="center"/>
              <w:rPr>
                <w:sz w:val="20"/>
                <w:szCs w:val="20"/>
              </w:rPr>
            </w:pPr>
            <w:r>
              <w:rPr>
                <w:sz w:val="20"/>
                <w:szCs w:val="20"/>
              </w:rPr>
              <w:t>38.2</w:t>
            </w:r>
          </w:p>
        </w:tc>
      </w:tr>
      <w:tr w:rsidR="00000000">
        <w:trPr>
          <w:jc w:val="center"/>
        </w:trPr>
        <w:tc>
          <w:tcPr>
            <w:tcW w:w="0" w:type="auto"/>
            <w:tcBorders>
              <w:bottom w:val="single" w:sz="4" w:space="0" w:color="auto"/>
            </w:tcBorders>
            <w:noWrap/>
            <w:vAlign w:val="bottom"/>
          </w:tcPr>
          <w:p w:rsidR="00000000" w:rsidRDefault="00000000">
            <w:pPr>
              <w:spacing w:before="80" w:after="80"/>
              <w:rPr>
                <w:sz w:val="20"/>
                <w:szCs w:val="20"/>
              </w:rPr>
            </w:pPr>
            <w:r>
              <w:rPr>
                <w:sz w:val="20"/>
                <w:szCs w:val="20"/>
              </w:rPr>
              <w:t> Gini Index</w:t>
            </w:r>
          </w:p>
        </w:tc>
        <w:tc>
          <w:tcPr>
            <w:tcW w:w="0" w:type="auto"/>
            <w:tcBorders>
              <w:bottom w:val="single" w:sz="4" w:space="0" w:color="auto"/>
            </w:tcBorders>
            <w:noWrap/>
            <w:vAlign w:val="bottom"/>
          </w:tcPr>
          <w:p w:rsidR="00000000" w:rsidRDefault="00000000">
            <w:pPr>
              <w:spacing w:before="80" w:after="80"/>
              <w:jc w:val="center"/>
              <w:rPr>
                <w:sz w:val="20"/>
                <w:szCs w:val="20"/>
              </w:rPr>
            </w:pPr>
            <w:r>
              <w:rPr>
                <w:sz w:val="20"/>
                <w:szCs w:val="20"/>
              </w:rPr>
              <w:t>0.618</w:t>
            </w:r>
          </w:p>
        </w:tc>
        <w:tc>
          <w:tcPr>
            <w:tcW w:w="0" w:type="auto"/>
            <w:tcBorders>
              <w:bottom w:val="single" w:sz="4" w:space="0" w:color="auto"/>
            </w:tcBorders>
            <w:noWrap/>
            <w:vAlign w:val="bottom"/>
          </w:tcPr>
          <w:p w:rsidR="00000000" w:rsidRDefault="00000000">
            <w:pPr>
              <w:spacing w:before="80" w:after="80"/>
              <w:jc w:val="center"/>
              <w:rPr>
                <w:sz w:val="20"/>
                <w:szCs w:val="20"/>
              </w:rPr>
            </w:pPr>
            <w:r>
              <w:rPr>
                <w:sz w:val="20"/>
                <w:szCs w:val="20"/>
              </w:rPr>
              <w:t>0.529</w:t>
            </w:r>
          </w:p>
        </w:tc>
        <w:tc>
          <w:tcPr>
            <w:tcW w:w="0" w:type="auto"/>
            <w:tcBorders>
              <w:bottom w:val="single" w:sz="4" w:space="0" w:color="auto"/>
            </w:tcBorders>
            <w:noWrap/>
            <w:vAlign w:val="bottom"/>
          </w:tcPr>
          <w:p w:rsidR="00000000" w:rsidRDefault="00000000">
            <w:pPr>
              <w:spacing w:before="80" w:after="80"/>
              <w:jc w:val="center"/>
              <w:rPr>
                <w:sz w:val="20"/>
                <w:szCs w:val="20"/>
              </w:rPr>
            </w:pPr>
            <w:r>
              <w:rPr>
                <w:sz w:val="20"/>
                <w:szCs w:val="20"/>
              </w:rPr>
              <w:t>0.522</w:t>
            </w:r>
          </w:p>
        </w:tc>
        <w:tc>
          <w:tcPr>
            <w:tcW w:w="0" w:type="auto"/>
            <w:tcBorders>
              <w:bottom w:val="single" w:sz="4" w:space="0" w:color="auto"/>
            </w:tcBorders>
            <w:noWrap/>
            <w:vAlign w:val="bottom"/>
          </w:tcPr>
          <w:p w:rsidR="00000000" w:rsidRDefault="00000000">
            <w:pPr>
              <w:spacing w:before="80" w:after="80"/>
              <w:jc w:val="center"/>
              <w:rPr>
                <w:sz w:val="20"/>
                <w:szCs w:val="20"/>
              </w:rPr>
            </w:pPr>
            <w:r>
              <w:rPr>
                <w:sz w:val="20"/>
                <w:szCs w:val="20"/>
              </w:rPr>
              <w:t>0.506</w:t>
            </w:r>
          </w:p>
        </w:tc>
      </w:tr>
    </w:tbl>
    <w:p w:rsidR="00000000" w:rsidRDefault="00000000">
      <w:pPr>
        <w:spacing w:before="120" w:after="240"/>
        <w:ind w:left="567"/>
        <w:rPr>
          <w:szCs w:val="16"/>
        </w:rPr>
      </w:pPr>
      <w:r>
        <w:rPr>
          <w:bCs/>
          <w:i/>
          <w:iCs/>
          <w:szCs w:val="16"/>
        </w:rPr>
        <w:t xml:space="preserve">Source: </w:t>
      </w:r>
      <w:r>
        <w:rPr>
          <w:szCs w:val="16"/>
        </w:rPr>
        <w:t>STP/DGEEC. Permanent Household Survey 1995, 1999, 2004.</w:t>
      </w:r>
    </w:p>
    <w:p w:rsidR="00000000" w:rsidRDefault="00000000">
      <w:pPr>
        <w:pStyle w:val="xl23"/>
        <w:spacing w:before="0" w:beforeAutospacing="0" w:after="240" w:afterAutospacing="0"/>
        <w:rPr>
          <w:rFonts w:ascii="Times New Roman" w:hAnsi="Times New Roman" w:cs="Times New Roman"/>
          <w:bCs w:val="0"/>
          <w:lang w:val="en-GB" w:eastAsia="en-US"/>
        </w:rPr>
      </w:pPr>
      <w:r>
        <w:rPr>
          <w:rFonts w:ascii="Times New Roman" w:hAnsi="Times New Roman" w:cs="Times New Roman"/>
          <w:bCs w:val="0"/>
          <w:lang w:val="en-GB" w:eastAsia="en-US"/>
        </w:rPr>
        <w:t>5.</w:t>
      </w:r>
      <w:r>
        <w:rPr>
          <w:rFonts w:ascii="Times New Roman" w:hAnsi="Times New Roman" w:cs="Times New Roman"/>
          <w:bCs w:val="0"/>
          <w:lang w:val="en-GB" w:eastAsia="en-US"/>
        </w:rPr>
        <w:tab/>
        <w:t>External public debt</w:t>
      </w:r>
    </w:p>
    <w:p w:rsidR="00000000" w:rsidRDefault="00000000">
      <w:pPr>
        <w:spacing w:after="240"/>
      </w:pPr>
      <w:r>
        <w:t>40.</w:t>
      </w:r>
      <w:r>
        <w:rPr>
          <w:b/>
        </w:rPr>
        <w:tab/>
      </w:r>
      <w:r>
        <w:t xml:space="preserve">With regard to the external public debt, the Central Bank of Paraguay has supplied the following information: </w:t>
      </w:r>
    </w:p>
    <w:p w:rsidR="00000000" w:rsidRDefault="00000000">
      <w:pPr>
        <w:spacing w:after="240"/>
        <w:jc w:val="center"/>
        <w:rPr>
          <w:b/>
          <w:bCs/>
          <w:sz w:val="22"/>
        </w:rPr>
      </w:pPr>
      <w:r>
        <w:br w:type="page"/>
      </w:r>
      <w:r>
        <w:rPr>
          <w:b/>
          <w:bCs/>
          <w:sz w:val="22"/>
        </w:rPr>
        <w:t>External public debt – Outstanding balance at 31 december 2005</w:t>
      </w:r>
    </w:p>
    <w:p w:rsidR="00000000" w:rsidRDefault="00000000">
      <w:pPr>
        <w:spacing w:after="240"/>
        <w:jc w:val="center"/>
        <w:rPr>
          <w:i/>
        </w:rPr>
      </w:pPr>
      <w:r>
        <w:rPr>
          <w:i/>
          <w:sz w:val="20"/>
          <w:szCs w:val="22"/>
        </w:rPr>
        <w:t>(In United States dollars)</w:t>
      </w:r>
    </w:p>
    <w:tbl>
      <w:tblPr>
        <w:tblW w:w="5000" w:type="pct"/>
        <w:jc w:val="center"/>
        <w:tblLayout w:type="fixed"/>
        <w:tblCellMar>
          <w:left w:w="0" w:type="dxa"/>
          <w:right w:w="0" w:type="dxa"/>
        </w:tblCellMar>
        <w:tblLook w:val="0000" w:firstRow="0" w:lastRow="0" w:firstColumn="0" w:lastColumn="0" w:noHBand="0" w:noVBand="0"/>
      </w:tblPr>
      <w:tblGrid>
        <w:gridCol w:w="5922"/>
        <w:gridCol w:w="1758"/>
        <w:gridCol w:w="1749"/>
      </w:tblGrid>
      <w:tr w:rsidR="00000000">
        <w:tblPrEx>
          <w:tblCellMar>
            <w:top w:w="0" w:type="dxa"/>
            <w:bottom w:w="0" w:type="dxa"/>
          </w:tblCellMar>
        </w:tblPrEx>
        <w:trPr>
          <w:cantSplit/>
          <w:tblHeader/>
          <w:jc w:val="center"/>
        </w:trPr>
        <w:tc>
          <w:tcPr>
            <w:tcW w:w="5894" w:type="dxa"/>
            <w:vMerge w:val="restar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color w:val="000000"/>
                <w:sz w:val="20"/>
                <w:szCs w:val="20"/>
              </w:rPr>
            </w:pPr>
            <w:r>
              <w:rPr>
                <w:b/>
                <w:bCs/>
                <w:i/>
                <w:sz w:val="20"/>
                <w:szCs w:val="20"/>
              </w:rPr>
              <w:t>Structure of the public sector</w:t>
            </w:r>
          </w:p>
        </w:tc>
        <w:tc>
          <w:tcPr>
            <w:tcW w:w="3491" w:type="dxa"/>
            <w:gridSpan w:val="2"/>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color w:val="000000"/>
                <w:sz w:val="20"/>
                <w:szCs w:val="20"/>
              </w:rPr>
            </w:pPr>
            <w:r>
              <w:rPr>
                <w:b/>
                <w:bCs/>
                <w:i/>
                <w:sz w:val="20"/>
                <w:szCs w:val="20"/>
              </w:rPr>
              <w:t>Outstanding balance</w:t>
            </w:r>
          </w:p>
        </w:tc>
      </w:tr>
      <w:tr w:rsidR="00000000">
        <w:tblPrEx>
          <w:tblCellMar>
            <w:top w:w="0" w:type="dxa"/>
            <w:bottom w:w="0" w:type="dxa"/>
          </w:tblCellMar>
        </w:tblPrEx>
        <w:trPr>
          <w:cantSplit/>
          <w:tblHeader/>
          <w:jc w:val="center"/>
        </w:trPr>
        <w:tc>
          <w:tcPr>
            <w:tcW w:w="5894" w:type="dxa"/>
            <w:vMerge/>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color w:val="000000"/>
                <w:sz w:val="20"/>
                <w:szCs w:val="20"/>
              </w:rPr>
            </w:pPr>
          </w:p>
        </w:tc>
        <w:tc>
          <w:tcPr>
            <w:tcW w:w="175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color w:val="000000"/>
                <w:sz w:val="20"/>
                <w:szCs w:val="20"/>
              </w:rPr>
            </w:pPr>
            <w:r>
              <w:rPr>
                <w:b/>
                <w:bCs/>
                <w:i/>
                <w:sz w:val="20"/>
                <w:szCs w:val="20"/>
              </w:rPr>
              <w:t>Debtor</w:t>
            </w:r>
          </w:p>
        </w:tc>
        <w:tc>
          <w:tcPr>
            <w:tcW w:w="1741"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color w:val="000000"/>
                <w:sz w:val="20"/>
                <w:szCs w:val="20"/>
                <w:lang w:val="fr-FR"/>
              </w:rPr>
            </w:pPr>
            <w:r>
              <w:rPr>
                <w:b/>
                <w:bCs/>
                <w:i/>
                <w:sz w:val="20"/>
                <w:szCs w:val="20"/>
                <w:lang w:val="fr-FR"/>
              </w:rPr>
              <w:t>Disburser</w:t>
            </w:r>
          </w:p>
        </w:tc>
      </w:tr>
      <w:tr w:rsidR="00000000">
        <w:tblPrEx>
          <w:tblCellMar>
            <w:top w:w="0" w:type="dxa"/>
            <w:bottom w:w="0" w:type="dxa"/>
          </w:tblCellMar>
        </w:tblPrEx>
        <w:trPr>
          <w:jc w:val="center"/>
        </w:trPr>
        <w:tc>
          <w:tcPr>
            <w:tcW w:w="5894" w:type="dxa"/>
            <w:tcBorders>
              <w:top w:val="single" w:sz="4" w:space="0" w:color="auto"/>
            </w:tcBorders>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color w:val="000000"/>
                <w:sz w:val="20"/>
                <w:szCs w:val="18"/>
                <w:lang w:val="fr-FR"/>
              </w:rPr>
            </w:pPr>
            <w:r>
              <w:rPr>
                <w:color w:val="000000"/>
                <w:sz w:val="20"/>
                <w:szCs w:val="18"/>
                <w:lang w:val="fr-FR"/>
              </w:rPr>
              <w:t>I.</w:t>
            </w:r>
            <w:r>
              <w:rPr>
                <w:color w:val="000000"/>
                <w:sz w:val="20"/>
                <w:szCs w:val="18"/>
                <w:lang w:val="fr-FR"/>
              </w:rPr>
              <w:tab/>
            </w:r>
            <w:r>
              <w:rPr>
                <w:sz w:val="20"/>
                <w:szCs w:val="18"/>
                <w:lang w:val="fr-FR"/>
              </w:rPr>
              <w:t>NON-FINANCIAL PUBLIC SECTOR</w:t>
            </w:r>
          </w:p>
        </w:tc>
        <w:tc>
          <w:tcPr>
            <w:tcW w:w="1750" w:type="dxa"/>
            <w:tcBorders>
              <w:top w:val="single" w:sz="4" w:space="0" w:color="auto"/>
            </w:tcBorders>
          </w:tcPr>
          <w:p w:rsidR="00000000" w:rsidRDefault="00000000">
            <w:pPr>
              <w:widowControl w:val="0"/>
              <w:autoSpaceDE w:val="0"/>
              <w:autoSpaceDN w:val="0"/>
              <w:adjustRightInd w:val="0"/>
              <w:spacing w:before="80" w:after="80"/>
              <w:ind w:right="227"/>
              <w:jc w:val="right"/>
              <w:rPr>
                <w:color w:val="000000"/>
                <w:sz w:val="20"/>
                <w:szCs w:val="18"/>
              </w:rPr>
            </w:pPr>
            <w:r>
              <w:rPr>
                <w:color w:val="000000"/>
                <w:sz w:val="20"/>
                <w:szCs w:val="18"/>
              </w:rPr>
              <w:t>2 234 816 889.6</w:t>
            </w:r>
          </w:p>
        </w:tc>
        <w:tc>
          <w:tcPr>
            <w:tcW w:w="1741" w:type="dxa"/>
            <w:tcBorders>
              <w:top w:val="single" w:sz="4" w:space="0" w:color="auto"/>
            </w:tcBorders>
          </w:tcPr>
          <w:p w:rsidR="00000000" w:rsidRDefault="00000000">
            <w:pPr>
              <w:widowControl w:val="0"/>
              <w:autoSpaceDE w:val="0"/>
              <w:autoSpaceDN w:val="0"/>
              <w:adjustRightInd w:val="0"/>
              <w:spacing w:before="80" w:after="80"/>
              <w:ind w:right="227"/>
              <w:jc w:val="right"/>
              <w:rPr>
                <w:color w:val="000000"/>
                <w:sz w:val="20"/>
                <w:szCs w:val="18"/>
              </w:rPr>
            </w:pPr>
            <w:r>
              <w:rPr>
                <w:color w:val="000000"/>
                <w:sz w:val="20"/>
                <w:szCs w:val="18"/>
              </w:rPr>
              <w:t>2 230 738 643.5</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color w:val="000000"/>
                <w:sz w:val="20"/>
                <w:szCs w:val="16"/>
              </w:rPr>
            </w:pPr>
            <w:r>
              <w:rPr>
                <w:color w:val="000000"/>
                <w:sz w:val="20"/>
                <w:szCs w:val="16"/>
              </w:rPr>
              <w:tab/>
              <w:t>I.I.</w:t>
            </w:r>
            <w:r>
              <w:rPr>
                <w:color w:val="000000"/>
                <w:sz w:val="20"/>
                <w:szCs w:val="16"/>
              </w:rPr>
              <w:tab/>
            </w:r>
            <w:r>
              <w:rPr>
                <w:sz w:val="20"/>
                <w:szCs w:val="16"/>
              </w:rPr>
              <w:t>OVERALL GOVERNMENT</w:t>
            </w:r>
            <w:r>
              <w:rPr>
                <w:color w:val="000000"/>
                <w:sz w:val="20"/>
                <w:szCs w:val="16"/>
              </w:rPr>
              <w:t xml:space="preserve"> </w:t>
            </w:r>
          </w:p>
        </w:tc>
        <w:tc>
          <w:tcPr>
            <w:tcW w:w="1750" w:type="dxa"/>
          </w:tcPr>
          <w:p w:rsidR="00000000" w:rsidRDefault="00000000">
            <w:pPr>
              <w:widowControl w:val="0"/>
              <w:autoSpaceDE w:val="0"/>
              <w:autoSpaceDN w:val="0"/>
              <w:adjustRightInd w:val="0"/>
              <w:spacing w:before="80" w:after="80"/>
              <w:ind w:right="227"/>
              <w:jc w:val="right"/>
              <w:rPr>
                <w:color w:val="000000"/>
                <w:sz w:val="20"/>
                <w:szCs w:val="16"/>
              </w:rPr>
            </w:pPr>
            <w:r>
              <w:rPr>
                <w:color w:val="000000"/>
                <w:sz w:val="20"/>
                <w:szCs w:val="16"/>
              </w:rPr>
              <w:t>2 234 816 889.6</w:t>
            </w:r>
          </w:p>
        </w:tc>
        <w:tc>
          <w:tcPr>
            <w:tcW w:w="1741" w:type="dxa"/>
          </w:tcPr>
          <w:p w:rsidR="00000000" w:rsidRDefault="00000000">
            <w:pPr>
              <w:widowControl w:val="0"/>
              <w:autoSpaceDE w:val="0"/>
              <w:autoSpaceDN w:val="0"/>
              <w:adjustRightInd w:val="0"/>
              <w:spacing w:before="80" w:after="80"/>
              <w:ind w:right="227"/>
              <w:jc w:val="right"/>
              <w:rPr>
                <w:color w:val="000000"/>
                <w:sz w:val="20"/>
                <w:szCs w:val="16"/>
              </w:rPr>
            </w:pPr>
            <w:r>
              <w:rPr>
                <w:color w:val="000000"/>
                <w:sz w:val="20"/>
                <w:szCs w:val="16"/>
              </w:rPr>
              <w:t>1 816 779 439.1</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color w:val="000000"/>
                <w:sz w:val="20"/>
                <w:szCs w:val="16"/>
              </w:rPr>
            </w:pPr>
            <w:r>
              <w:rPr>
                <w:color w:val="000000"/>
                <w:sz w:val="20"/>
                <w:szCs w:val="16"/>
              </w:rPr>
              <w:tab/>
            </w:r>
            <w:r>
              <w:rPr>
                <w:color w:val="000000"/>
                <w:sz w:val="20"/>
                <w:szCs w:val="16"/>
              </w:rPr>
              <w:tab/>
              <w:t>I.I.I.</w:t>
            </w:r>
            <w:r>
              <w:rPr>
                <w:color w:val="000000"/>
                <w:sz w:val="20"/>
                <w:szCs w:val="16"/>
              </w:rPr>
              <w:tab/>
            </w:r>
            <w:r>
              <w:rPr>
                <w:sz w:val="20"/>
                <w:szCs w:val="16"/>
                <w:lang w:val="en-US"/>
              </w:rPr>
              <w:t>CENTRAL GOVERNMENT</w:t>
            </w:r>
          </w:p>
        </w:tc>
        <w:tc>
          <w:tcPr>
            <w:tcW w:w="1750" w:type="dxa"/>
          </w:tcPr>
          <w:p w:rsidR="00000000" w:rsidRDefault="00000000">
            <w:pPr>
              <w:widowControl w:val="0"/>
              <w:autoSpaceDE w:val="0"/>
              <w:autoSpaceDN w:val="0"/>
              <w:adjustRightInd w:val="0"/>
              <w:spacing w:before="80" w:after="80"/>
              <w:ind w:right="227"/>
              <w:jc w:val="right"/>
              <w:rPr>
                <w:color w:val="000000"/>
                <w:sz w:val="20"/>
                <w:szCs w:val="16"/>
              </w:rPr>
            </w:pPr>
            <w:r>
              <w:rPr>
                <w:color w:val="000000"/>
                <w:sz w:val="20"/>
                <w:szCs w:val="16"/>
              </w:rPr>
              <w:t>2 129 506 574.0</w:t>
            </w:r>
          </w:p>
        </w:tc>
        <w:tc>
          <w:tcPr>
            <w:tcW w:w="1741" w:type="dxa"/>
          </w:tcPr>
          <w:p w:rsidR="00000000" w:rsidRDefault="00000000">
            <w:pPr>
              <w:widowControl w:val="0"/>
              <w:autoSpaceDE w:val="0"/>
              <w:autoSpaceDN w:val="0"/>
              <w:adjustRightInd w:val="0"/>
              <w:spacing w:before="80" w:after="80"/>
              <w:ind w:right="227"/>
              <w:jc w:val="right"/>
              <w:rPr>
                <w:color w:val="000000"/>
                <w:sz w:val="20"/>
                <w:szCs w:val="16"/>
              </w:rPr>
            </w:pPr>
            <w:r>
              <w:rPr>
                <w:color w:val="000000"/>
                <w:sz w:val="20"/>
                <w:szCs w:val="16"/>
              </w:rPr>
              <w:t>1 815 868 461.3</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color w:val="000000"/>
                <w:sz w:val="20"/>
                <w:szCs w:val="16"/>
              </w:rPr>
            </w:pPr>
            <w:r>
              <w:rPr>
                <w:color w:val="000000"/>
                <w:sz w:val="20"/>
                <w:szCs w:val="16"/>
              </w:rPr>
              <w:tab/>
            </w:r>
            <w:r>
              <w:rPr>
                <w:color w:val="000000"/>
                <w:sz w:val="20"/>
                <w:szCs w:val="16"/>
              </w:rPr>
              <w:tab/>
            </w:r>
            <w:r>
              <w:rPr>
                <w:color w:val="000000"/>
                <w:sz w:val="20"/>
                <w:szCs w:val="16"/>
              </w:rPr>
              <w:tab/>
              <w:t>I.I.I.1.</w:t>
            </w:r>
            <w:r>
              <w:rPr>
                <w:color w:val="000000"/>
                <w:sz w:val="20"/>
                <w:szCs w:val="16"/>
              </w:rPr>
              <w:tab/>
            </w:r>
            <w:r>
              <w:rPr>
                <w:iCs/>
                <w:sz w:val="20"/>
                <w:szCs w:val="16"/>
                <w:lang w:val="en-US"/>
              </w:rPr>
              <w:t>Central Administration</w:t>
            </w:r>
          </w:p>
        </w:tc>
        <w:tc>
          <w:tcPr>
            <w:tcW w:w="1750" w:type="dxa"/>
          </w:tcPr>
          <w:p w:rsidR="00000000" w:rsidRDefault="00000000">
            <w:pPr>
              <w:widowControl w:val="0"/>
              <w:autoSpaceDE w:val="0"/>
              <w:autoSpaceDN w:val="0"/>
              <w:adjustRightInd w:val="0"/>
              <w:spacing w:before="80" w:after="80"/>
              <w:ind w:right="227"/>
              <w:jc w:val="right"/>
              <w:rPr>
                <w:color w:val="000000"/>
                <w:sz w:val="20"/>
                <w:szCs w:val="16"/>
              </w:rPr>
            </w:pPr>
            <w:r>
              <w:rPr>
                <w:color w:val="000000"/>
                <w:sz w:val="20"/>
                <w:szCs w:val="16"/>
              </w:rPr>
              <w:t>2 129 506 574.0</w:t>
            </w:r>
          </w:p>
        </w:tc>
        <w:tc>
          <w:tcPr>
            <w:tcW w:w="1741" w:type="dxa"/>
          </w:tcPr>
          <w:p w:rsidR="00000000" w:rsidRDefault="00000000">
            <w:pPr>
              <w:widowControl w:val="0"/>
              <w:autoSpaceDE w:val="0"/>
              <w:autoSpaceDN w:val="0"/>
              <w:adjustRightInd w:val="0"/>
              <w:spacing w:before="80" w:after="80"/>
              <w:ind w:right="227"/>
              <w:jc w:val="right"/>
              <w:rPr>
                <w:color w:val="000000"/>
                <w:sz w:val="20"/>
                <w:szCs w:val="16"/>
              </w:rPr>
            </w:pPr>
            <w:r>
              <w:rPr>
                <w:color w:val="000000"/>
                <w:sz w:val="20"/>
                <w:szCs w:val="16"/>
              </w:rPr>
              <w:t>1 815 868 461.3</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color w:val="000000"/>
                <w:sz w:val="20"/>
                <w:szCs w:val="16"/>
              </w:rPr>
            </w:pPr>
            <w:r>
              <w:rPr>
                <w:color w:val="000000"/>
                <w:sz w:val="20"/>
                <w:szCs w:val="16"/>
              </w:rPr>
              <w:tab/>
            </w:r>
            <w:r>
              <w:rPr>
                <w:color w:val="000000"/>
                <w:sz w:val="20"/>
                <w:szCs w:val="16"/>
              </w:rPr>
              <w:tab/>
            </w:r>
            <w:r>
              <w:rPr>
                <w:color w:val="000000"/>
                <w:sz w:val="20"/>
                <w:szCs w:val="16"/>
              </w:rPr>
              <w:tab/>
              <w:t>I.I.I.2.</w:t>
            </w:r>
            <w:r>
              <w:rPr>
                <w:color w:val="000000"/>
                <w:sz w:val="20"/>
                <w:szCs w:val="16"/>
              </w:rPr>
              <w:tab/>
            </w:r>
            <w:r>
              <w:rPr>
                <w:iCs/>
                <w:sz w:val="20"/>
                <w:szCs w:val="16"/>
                <w:lang w:val="en-US"/>
              </w:rPr>
              <w:t>Decentralized Administration</w:t>
            </w:r>
          </w:p>
        </w:tc>
        <w:tc>
          <w:tcPr>
            <w:tcW w:w="1750" w:type="dxa"/>
          </w:tcPr>
          <w:p w:rsidR="00000000" w:rsidRDefault="00000000">
            <w:pPr>
              <w:widowControl w:val="0"/>
              <w:autoSpaceDE w:val="0"/>
              <w:autoSpaceDN w:val="0"/>
              <w:adjustRightInd w:val="0"/>
              <w:spacing w:before="80" w:after="80"/>
              <w:ind w:right="227"/>
              <w:jc w:val="right"/>
              <w:rPr>
                <w:color w:val="000000"/>
                <w:sz w:val="20"/>
                <w:szCs w:val="16"/>
              </w:rPr>
            </w:pPr>
            <w:r>
              <w:rPr>
                <w:color w:val="000000"/>
                <w:sz w:val="20"/>
                <w:szCs w:val="16"/>
              </w:rPr>
              <w:t>0.0</w:t>
            </w:r>
          </w:p>
        </w:tc>
        <w:tc>
          <w:tcPr>
            <w:tcW w:w="1741" w:type="dxa"/>
          </w:tcPr>
          <w:p w:rsidR="00000000" w:rsidRDefault="00000000">
            <w:pPr>
              <w:widowControl w:val="0"/>
              <w:autoSpaceDE w:val="0"/>
              <w:autoSpaceDN w:val="0"/>
              <w:adjustRightInd w:val="0"/>
              <w:spacing w:before="80" w:after="80"/>
              <w:ind w:right="227"/>
              <w:jc w:val="right"/>
              <w:rPr>
                <w:color w:val="000000"/>
                <w:sz w:val="20"/>
                <w:szCs w:val="16"/>
              </w:rPr>
            </w:pPr>
            <w:r>
              <w:rPr>
                <w:color w:val="000000"/>
                <w:sz w:val="20"/>
                <w:szCs w:val="16"/>
              </w:rPr>
              <w:t>0.0</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color w:val="000000"/>
                <w:sz w:val="20"/>
                <w:szCs w:val="16"/>
              </w:rPr>
            </w:pPr>
            <w:r>
              <w:rPr>
                <w:color w:val="000000"/>
                <w:sz w:val="20"/>
                <w:szCs w:val="16"/>
              </w:rPr>
              <w:tab/>
            </w:r>
            <w:r>
              <w:rPr>
                <w:color w:val="000000"/>
                <w:sz w:val="20"/>
                <w:szCs w:val="16"/>
              </w:rPr>
              <w:tab/>
            </w:r>
            <w:r>
              <w:rPr>
                <w:color w:val="000000"/>
                <w:sz w:val="20"/>
                <w:szCs w:val="16"/>
              </w:rPr>
              <w:tab/>
              <w:t>I.I.I.3.</w:t>
            </w:r>
            <w:r>
              <w:rPr>
                <w:color w:val="000000"/>
                <w:sz w:val="20"/>
                <w:szCs w:val="16"/>
              </w:rPr>
              <w:tab/>
            </w:r>
            <w:r>
              <w:rPr>
                <w:iCs/>
                <w:sz w:val="20"/>
                <w:szCs w:val="16"/>
                <w:lang w:val="en-US"/>
              </w:rPr>
              <w:t>Social Security</w:t>
            </w:r>
          </w:p>
        </w:tc>
        <w:tc>
          <w:tcPr>
            <w:tcW w:w="1750" w:type="dxa"/>
          </w:tcPr>
          <w:p w:rsidR="00000000" w:rsidRDefault="00000000">
            <w:pPr>
              <w:widowControl w:val="0"/>
              <w:autoSpaceDE w:val="0"/>
              <w:autoSpaceDN w:val="0"/>
              <w:adjustRightInd w:val="0"/>
              <w:spacing w:before="80" w:after="80"/>
              <w:ind w:right="227"/>
              <w:jc w:val="right"/>
              <w:rPr>
                <w:color w:val="000000"/>
                <w:sz w:val="20"/>
                <w:szCs w:val="16"/>
              </w:rPr>
            </w:pPr>
            <w:r>
              <w:rPr>
                <w:color w:val="000000"/>
                <w:sz w:val="20"/>
                <w:szCs w:val="16"/>
              </w:rPr>
              <w:t>0.0</w:t>
            </w:r>
          </w:p>
        </w:tc>
        <w:tc>
          <w:tcPr>
            <w:tcW w:w="1741" w:type="dxa"/>
          </w:tcPr>
          <w:p w:rsidR="00000000" w:rsidRDefault="00000000">
            <w:pPr>
              <w:widowControl w:val="0"/>
              <w:autoSpaceDE w:val="0"/>
              <w:autoSpaceDN w:val="0"/>
              <w:adjustRightInd w:val="0"/>
              <w:spacing w:before="80" w:after="80"/>
              <w:ind w:right="227"/>
              <w:jc w:val="right"/>
              <w:rPr>
                <w:color w:val="000000"/>
                <w:sz w:val="20"/>
                <w:szCs w:val="16"/>
              </w:rPr>
            </w:pPr>
            <w:r>
              <w:rPr>
                <w:color w:val="000000"/>
                <w:sz w:val="20"/>
                <w:szCs w:val="16"/>
              </w:rPr>
              <w:t>0.0</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color w:val="000000"/>
                <w:sz w:val="20"/>
                <w:szCs w:val="16"/>
              </w:rPr>
            </w:pPr>
            <w:r>
              <w:rPr>
                <w:color w:val="000000"/>
                <w:sz w:val="20"/>
                <w:szCs w:val="16"/>
              </w:rPr>
              <w:tab/>
            </w:r>
            <w:r>
              <w:rPr>
                <w:color w:val="000000"/>
                <w:sz w:val="20"/>
                <w:szCs w:val="16"/>
              </w:rPr>
              <w:tab/>
              <w:t>I.I.II.</w:t>
            </w:r>
            <w:r>
              <w:rPr>
                <w:color w:val="000000"/>
                <w:sz w:val="20"/>
                <w:szCs w:val="16"/>
              </w:rPr>
              <w:tab/>
            </w:r>
            <w:r>
              <w:rPr>
                <w:sz w:val="20"/>
                <w:szCs w:val="16"/>
                <w:lang w:val="en-US"/>
              </w:rPr>
              <w:t>LOCAL GOVERNMENTS</w:t>
            </w:r>
          </w:p>
        </w:tc>
        <w:tc>
          <w:tcPr>
            <w:tcW w:w="1750" w:type="dxa"/>
          </w:tcPr>
          <w:p w:rsidR="00000000" w:rsidRDefault="00000000">
            <w:pPr>
              <w:widowControl w:val="0"/>
              <w:autoSpaceDE w:val="0"/>
              <w:autoSpaceDN w:val="0"/>
              <w:adjustRightInd w:val="0"/>
              <w:spacing w:before="80" w:after="80"/>
              <w:ind w:right="227"/>
              <w:jc w:val="right"/>
              <w:rPr>
                <w:color w:val="000000"/>
                <w:sz w:val="20"/>
                <w:szCs w:val="16"/>
                <w:lang w:val="fr-FR"/>
              </w:rPr>
            </w:pPr>
            <w:r>
              <w:rPr>
                <w:color w:val="000000"/>
                <w:sz w:val="20"/>
                <w:szCs w:val="16"/>
                <w:lang w:val="fr-FR"/>
              </w:rPr>
              <w:t>0.0</w:t>
            </w:r>
          </w:p>
        </w:tc>
        <w:tc>
          <w:tcPr>
            <w:tcW w:w="1741" w:type="dxa"/>
          </w:tcPr>
          <w:p w:rsidR="00000000" w:rsidRDefault="00000000">
            <w:pPr>
              <w:widowControl w:val="0"/>
              <w:autoSpaceDE w:val="0"/>
              <w:autoSpaceDN w:val="0"/>
              <w:adjustRightInd w:val="0"/>
              <w:spacing w:before="80" w:after="80"/>
              <w:ind w:right="227"/>
              <w:jc w:val="right"/>
              <w:rPr>
                <w:color w:val="000000"/>
                <w:sz w:val="20"/>
                <w:szCs w:val="16"/>
                <w:lang w:val="fr-FR"/>
              </w:rPr>
            </w:pPr>
            <w:r>
              <w:rPr>
                <w:color w:val="000000"/>
                <w:sz w:val="20"/>
                <w:szCs w:val="16"/>
                <w:lang w:val="fr-FR"/>
              </w:rPr>
              <w:t>910 977.8</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color w:val="000000"/>
                <w:sz w:val="20"/>
                <w:szCs w:val="16"/>
                <w:lang w:val="fr-FR"/>
              </w:rPr>
            </w:pPr>
            <w:r>
              <w:rPr>
                <w:color w:val="000000"/>
                <w:sz w:val="20"/>
                <w:szCs w:val="16"/>
                <w:lang w:val="fr-FR"/>
              </w:rPr>
              <w:tab/>
              <w:t>I.II.</w:t>
            </w:r>
            <w:r>
              <w:rPr>
                <w:color w:val="000000"/>
                <w:sz w:val="20"/>
                <w:szCs w:val="16"/>
                <w:lang w:val="fr-FR"/>
              </w:rPr>
              <w:tab/>
            </w:r>
            <w:r>
              <w:rPr>
                <w:sz w:val="20"/>
                <w:szCs w:val="16"/>
                <w:lang w:val="fr-FR"/>
              </w:rPr>
              <w:t>NON-FINANCIAL PUBLIC ENTERPRISES</w:t>
            </w:r>
          </w:p>
        </w:tc>
        <w:tc>
          <w:tcPr>
            <w:tcW w:w="1750" w:type="dxa"/>
          </w:tcPr>
          <w:p w:rsidR="00000000" w:rsidRDefault="00000000">
            <w:pPr>
              <w:widowControl w:val="0"/>
              <w:autoSpaceDE w:val="0"/>
              <w:autoSpaceDN w:val="0"/>
              <w:adjustRightInd w:val="0"/>
              <w:spacing w:before="80" w:after="80"/>
              <w:ind w:right="227"/>
              <w:jc w:val="right"/>
              <w:rPr>
                <w:color w:val="000000"/>
                <w:sz w:val="20"/>
                <w:szCs w:val="16"/>
              </w:rPr>
            </w:pPr>
            <w:r>
              <w:rPr>
                <w:color w:val="000000"/>
                <w:sz w:val="20"/>
                <w:szCs w:val="16"/>
              </w:rPr>
              <w:t>105 310 315.6</w:t>
            </w:r>
          </w:p>
        </w:tc>
        <w:tc>
          <w:tcPr>
            <w:tcW w:w="1741" w:type="dxa"/>
          </w:tcPr>
          <w:p w:rsidR="00000000" w:rsidRDefault="00000000">
            <w:pPr>
              <w:widowControl w:val="0"/>
              <w:autoSpaceDE w:val="0"/>
              <w:autoSpaceDN w:val="0"/>
              <w:adjustRightInd w:val="0"/>
              <w:spacing w:before="80" w:after="80"/>
              <w:ind w:right="227"/>
              <w:jc w:val="right"/>
              <w:rPr>
                <w:color w:val="000000"/>
                <w:sz w:val="20"/>
                <w:szCs w:val="16"/>
              </w:rPr>
            </w:pPr>
            <w:r>
              <w:rPr>
                <w:color w:val="000000"/>
                <w:sz w:val="20"/>
                <w:szCs w:val="16"/>
              </w:rPr>
              <w:t>413 959 204.4</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color w:val="000000"/>
                <w:sz w:val="20"/>
                <w:szCs w:val="16"/>
              </w:rPr>
            </w:pPr>
            <w:r>
              <w:rPr>
                <w:color w:val="000000"/>
                <w:sz w:val="20"/>
                <w:szCs w:val="16"/>
              </w:rPr>
              <w:t>II.</w:t>
            </w:r>
            <w:r>
              <w:rPr>
                <w:color w:val="000000"/>
                <w:sz w:val="20"/>
                <w:szCs w:val="16"/>
              </w:rPr>
              <w:tab/>
            </w:r>
            <w:r>
              <w:rPr>
                <w:sz w:val="20"/>
                <w:szCs w:val="18"/>
                <w:lang w:val="en-US"/>
              </w:rPr>
              <w:t>FINANCIAL PUBLIC SECTOR</w:t>
            </w:r>
          </w:p>
        </w:tc>
        <w:tc>
          <w:tcPr>
            <w:tcW w:w="1750" w:type="dxa"/>
          </w:tcPr>
          <w:p w:rsidR="00000000" w:rsidRDefault="00000000">
            <w:pPr>
              <w:widowControl w:val="0"/>
              <w:autoSpaceDE w:val="0"/>
              <w:autoSpaceDN w:val="0"/>
              <w:adjustRightInd w:val="0"/>
              <w:spacing w:before="80" w:after="80"/>
              <w:ind w:right="227"/>
              <w:jc w:val="right"/>
              <w:rPr>
                <w:color w:val="000000"/>
                <w:sz w:val="20"/>
                <w:szCs w:val="16"/>
              </w:rPr>
            </w:pPr>
            <w:r>
              <w:rPr>
                <w:color w:val="000000"/>
                <w:sz w:val="20"/>
                <w:szCs w:val="16"/>
              </w:rPr>
              <w:t>23 314 373.0</w:t>
            </w:r>
          </w:p>
        </w:tc>
        <w:tc>
          <w:tcPr>
            <w:tcW w:w="1741" w:type="dxa"/>
          </w:tcPr>
          <w:p w:rsidR="00000000" w:rsidRDefault="00000000">
            <w:pPr>
              <w:widowControl w:val="0"/>
              <w:autoSpaceDE w:val="0"/>
              <w:autoSpaceDN w:val="0"/>
              <w:adjustRightInd w:val="0"/>
              <w:spacing w:before="80" w:after="80"/>
              <w:ind w:right="227"/>
              <w:jc w:val="right"/>
              <w:rPr>
                <w:color w:val="000000"/>
                <w:sz w:val="20"/>
                <w:szCs w:val="16"/>
              </w:rPr>
            </w:pPr>
            <w:r>
              <w:rPr>
                <w:color w:val="000000"/>
                <w:sz w:val="20"/>
                <w:szCs w:val="16"/>
              </w:rPr>
              <w:t>27 392 619.0</w:t>
            </w:r>
          </w:p>
        </w:tc>
      </w:tr>
      <w:tr w:rsidR="00000000">
        <w:tblPrEx>
          <w:tblCellMar>
            <w:top w:w="0" w:type="dxa"/>
            <w:bottom w:w="0" w:type="dxa"/>
          </w:tblCellMar>
        </w:tblPrEx>
        <w:trPr>
          <w:jc w:val="center"/>
        </w:trPr>
        <w:tc>
          <w:tcPr>
            <w:tcW w:w="5894" w:type="dxa"/>
          </w:tcPr>
          <w:p w:rsidR="00000000" w:rsidRDefault="00000000">
            <w:pPr>
              <w:widowControl w:val="0"/>
              <w:tabs>
                <w:tab w:val="left" w:pos="306"/>
                <w:tab w:val="left" w:pos="340"/>
                <w:tab w:val="left" w:pos="680"/>
                <w:tab w:val="left" w:pos="1021"/>
                <w:tab w:val="left" w:pos="1361"/>
                <w:tab w:val="left" w:pos="1701"/>
              </w:tabs>
              <w:autoSpaceDE w:val="0"/>
              <w:autoSpaceDN w:val="0"/>
              <w:adjustRightInd w:val="0"/>
              <w:spacing w:before="80" w:after="80"/>
              <w:rPr>
                <w:color w:val="000000"/>
                <w:sz w:val="20"/>
                <w:szCs w:val="16"/>
              </w:rPr>
            </w:pPr>
            <w:r>
              <w:rPr>
                <w:color w:val="000000"/>
                <w:sz w:val="20"/>
                <w:szCs w:val="16"/>
              </w:rPr>
              <w:tab/>
            </w:r>
            <w:r>
              <w:rPr>
                <w:color w:val="000000"/>
                <w:sz w:val="20"/>
                <w:szCs w:val="16"/>
              </w:rPr>
              <w:tab/>
              <w:t>A.</w:t>
            </w:r>
            <w:r>
              <w:rPr>
                <w:color w:val="000000"/>
                <w:sz w:val="20"/>
                <w:szCs w:val="16"/>
              </w:rPr>
              <w:tab/>
            </w:r>
            <w:r>
              <w:rPr>
                <w:sz w:val="20"/>
                <w:szCs w:val="20"/>
              </w:rPr>
              <w:t>MULTILATERAL ORGANIZATIONS</w:t>
            </w:r>
          </w:p>
        </w:tc>
        <w:tc>
          <w:tcPr>
            <w:tcW w:w="1750" w:type="dxa"/>
          </w:tcPr>
          <w:p w:rsidR="00000000" w:rsidRDefault="00000000">
            <w:pPr>
              <w:widowControl w:val="0"/>
              <w:autoSpaceDE w:val="0"/>
              <w:autoSpaceDN w:val="0"/>
              <w:adjustRightInd w:val="0"/>
              <w:spacing w:before="80" w:after="80"/>
              <w:ind w:right="227"/>
              <w:jc w:val="right"/>
              <w:rPr>
                <w:color w:val="000000"/>
                <w:sz w:val="20"/>
                <w:szCs w:val="22"/>
              </w:rPr>
            </w:pPr>
            <w:r>
              <w:rPr>
                <w:color w:val="000000"/>
                <w:sz w:val="20"/>
                <w:szCs w:val="22"/>
              </w:rPr>
              <w:t xml:space="preserve">1 256 626 048.4 </w:t>
            </w:r>
          </w:p>
        </w:tc>
        <w:tc>
          <w:tcPr>
            <w:tcW w:w="1741" w:type="dxa"/>
          </w:tcPr>
          <w:p w:rsidR="00000000" w:rsidRDefault="00000000">
            <w:pPr>
              <w:widowControl w:val="0"/>
              <w:tabs>
                <w:tab w:val="decimal" w:pos="896"/>
              </w:tabs>
              <w:autoSpaceDE w:val="0"/>
              <w:autoSpaceDN w:val="0"/>
              <w:adjustRightInd w:val="0"/>
              <w:spacing w:before="80" w:after="80"/>
              <w:ind w:right="227"/>
              <w:jc w:val="right"/>
              <w:rPr>
                <w:color w:val="000000"/>
                <w:sz w:val="20"/>
                <w:szCs w:val="16"/>
              </w:rPr>
            </w:pPr>
            <w:r>
              <w:rPr>
                <w:color w:val="000000"/>
                <w:sz w:val="20"/>
                <w:szCs w:val="16"/>
              </w:rPr>
              <w:t>55.6</w:t>
            </w:r>
          </w:p>
        </w:tc>
      </w:tr>
      <w:tr w:rsidR="00000000">
        <w:tblPrEx>
          <w:tblCellMar>
            <w:top w:w="0" w:type="dxa"/>
            <w:bottom w:w="0" w:type="dxa"/>
          </w:tblCellMar>
        </w:tblPrEx>
        <w:trPr>
          <w:jc w:val="center"/>
        </w:trPr>
        <w:tc>
          <w:tcPr>
            <w:tcW w:w="5894" w:type="dxa"/>
          </w:tcPr>
          <w:p w:rsidR="00000000" w:rsidRDefault="00000000">
            <w:pPr>
              <w:widowControl w:val="0"/>
              <w:tabs>
                <w:tab w:val="left" w:pos="306"/>
                <w:tab w:val="left" w:pos="340"/>
                <w:tab w:val="left" w:pos="680"/>
                <w:tab w:val="left" w:pos="1021"/>
                <w:tab w:val="left" w:pos="1361"/>
                <w:tab w:val="left" w:pos="1701"/>
              </w:tabs>
              <w:autoSpaceDE w:val="0"/>
              <w:autoSpaceDN w:val="0"/>
              <w:adjustRightInd w:val="0"/>
              <w:spacing w:before="80" w:after="80"/>
              <w:rPr>
                <w:color w:val="000000"/>
                <w:sz w:val="20"/>
                <w:szCs w:val="16"/>
              </w:rPr>
            </w:pPr>
            <w:r>
              <w:rPr>
                <w:color w:val="000000"/>
                <w:sz w:val="20"/>
                <w:szCs w:val="16"/>
              </w:rPr>
              <w:tab/>
            </w:r>
            <w:r>
              <w:rPr>
                <w:color w:val="000000"/>
                <w:sz w:val="20"/>
                <w:szCs w:val="16"/>
              </w:rPr>
              <w:tab/>
              <w:t>B.</w:t>
            </w:r>
            <w:r>
              <w:rPr>
                <w:color w:val="000000"/>
                <w:sz w:val="20"/>
                <w:szCs w:val="16"/>
              </w:rPr>
              <w:tab/>
            </w:r>
            <w:r>
              <w:rPr>
                <w:sz w:val="20"/>
                <w:szCs w:val="20"/>
              </w:rPr>
              <w:t>OFFICIAL BILATERAL BODIES</w:t>
            </w:r>
          </w:p>
        </w:tc>
        <w:tc>
          <w:tcPr>
            <w:tcW w:w="1750" w:type="dxa"/>
          </w:tcPr>
          <w:p w:rsidR="00000000" w:rsidRDefault="00000000">
            <w:pPr>
              <w:widowControl w:val="0"/>
              <w:autoSpaceDE w:val="0"/>
              <w:autoSpaceDN w:val="0"/>
              <w:adjustRightInd w:val="0"/>
              <w:spacing w:before="80" w:after="80"/>
              <w:ind w:right="227"/>
              <w:jc w:val="right"/>
              <w:rPr>
                <w:color w:val="000000"/>
                <w:sz w:val="20"/>
                <w:szCs w:val="22"/>
              </w:rPr>
            </w:pPr>
            <w:r>
              <w:rPr>
                <w:color w:val="000000"/>
                <w:sz w:val="20"/>
                <w:szCs w:val="22"/>
              </w:rPr>
              <w:t xml:space="preserve">1 001 505 214.1 </w:t>
            </w:r>
          </w:p>
        </w:tc>
        <w:tc>
          <w:tcPr>
            <w:tcW w:w="1741" w:type="dxa"/>
          </w:tcPr>
          <w:p w:rsidR="00000000" w:rsidRDefault="00000000">
            <w:pPr>
              <w:widowControl w:val="0"/>
              <w:tabs>
                <w:tab w:val="decimal" w:pos="896"/>
              </w:tabs>
              <w:autoSpaceDE w:val="0"/>
              <w:autoSpaceDN w:val="0"/>
              <w:adjustRightInd w:val="0"/>
              <w:spacing w:before="80" w:after="80"/>
              <w:ind w:right="227"/>
              <w:jc w:val="right"/>
              <w:rPr>
                <w:color w:val="000000"/>
                <w:sz w:val="20"/>
                <w:szCs w:val="16"/>
              </w:rPr>
            </w:pPr>
            <w:r>
              <w:rPr>
                <w:color w:val="000000"/>
                <w:sz w:val="20"/>
                <w:szCs w:val="16"/>
              </w:rPr>
              <w:t>44.4</w:t>
            </w:r>
          </w:p>
        </w:tc>
      </w:tr>
      <w:tr w:rsidR="00000000">
        <w:tblPrEx>
          <w:tblCellMar>
            <w:top w:w="0" w:type="dxa"/>
            <w:bottom w:w="0" w:type="dxa"/>
          </w:tblCellMar>
        </w:tblPrEx>
        <w:trPr>
          <w:jc w:val="center"/>
        </w:trPr>
        <w:tc>
          <w:tcPr>
            <w:tcW w:w="5894" w:type="dxa"/>
          </w:tcPr>
          <w:p w:rsidR="00000000" w:rsidRDefault="00000000">
            <w:pPr>
              <w:widowControl w:val="0"/>
              <w:tabs>
                <w:tab w:val="left" w:pos="306"/>
                <w:tab w:val="left" w:pos="340"/>
                <w:tab w:val="left" w:pos="680"/>
                <w:tab w:val="left" w:pos="1021"/>
                <w:tab w:val="left" w:pos="1361"/>
                <w:tab w:val="left" w:pos="1701"/>
              </w:tabs>
              <w:autoSpaceDE w:val="0"/>
              <w:autoSpaceDN w:val="0"/>
              <w:adjustRightInd w:val="0"/>
              <w:spacing w:before="80" w:after="80"/>
              <w:rPr>
                <w:color w:val="000000"/>
                <w:sz w:val="20"/>
                <w:szCs w:val="16"/>
              </w:rPr>
            </w:pPr>
            <w:r>
              <w:rPr>
                <w:color w:val="000000"/>
                <w:sz w:val="20"/>
                <w:szCs w:val="16"/>
              </w:rPr>
              <w:tab/>
            </w:r>
            <w:r>
              <w:rPr>
                <w:color w:val="000000"/>
                <w:sz w:val="20"/>
                <w:szCs w:val="16"/>
              </w:rPr>
              <w:tab/>
              <w:t>C.</w:t>
            </w:r>
            <w:r>
              <w:rPr>
                <w:color w:val="000000"/>
                <w:sz w:val="20"/>
                <w:szCs w:val="16"/>
              </w:rPr>
              <w:tab/>
            </w:r>
            <w:r>
              <w:rPr>
                <w:sz w:val="20"/>
                <w:szCs w:val="20"/>
              </w:rPr>
              <w:t>COMMERCIAL BANKS AND PRIVATE PROVIDERS</w:t>
            </w:r>
          </w:p>
        </w:tc>
        <w:tc>
          <w:tcPr>
            <w:tcW w:w="1750" w:type="dxa"/>
          </w:tcPr>
          <w:p w:rsidR="00000000" w:rsidRDefault="00000000">
            <w:pPr>
              <w:widowControl w:val="0"/>
              <w:autoSpaceDE w:val="0"/>
              <w:autoSpaceDN w:val="0"/>
              <w:adjustRightInd w:val="0"/>
              <w:spacing w:before="80" w:after="80"/>
              <w:ind w:right="227"/>
              <w:jc w:val="right"/>
              <w:rPr>
                <w:color w:val="000000"/>
                <w:sz w:val="20"/>
                <w:szCs w:val="16"/>
                <w:lang w:val="fr-FR"/>
              </w:rPr>
            </w:pPr>
            <w:r>
              <w:rPr>
                <w:color w:val="000000"/>
                <w:sz w:val="20"/>
                <w:szCs w:val="16"/>
                <w:lang w:val="fr-FR"/>
              </w:rPr>
              <w:t>0.0</w:t>
            </w:r>
          </w:p>
        </w:tc>
        <w:tc>
          <w:tcPr>
            <w:tcW w:w="1741" w:type="dxa"/>
          </w:tcPr>
          <w:p w:rsidR="00000000" w:rsidRDefault="00000000">
            <w:pPr>
              <w:widowControl w:val="0"/>
              <w:tabs>
                <w:tab w:val="decimal" w:pos="896"/>
              </w:tabs>
              <w:autoSpaceDE w:val="0"/>
              <w:autoSpaceDN w:val="0"/>
              <w:adjustRightInd w:val="0"/>
              <w:spacing w:before="80" w:after="80"/>
              <w:ind w:right="227"/>
              <w:jc w:val="right"/>
              <w:rPr>
                <w:color w:val="000000"/>
                <w:sz w:val="20"/>
                <w:szCs w:val="16"/>
                <w:lang w:val="fr-FR"/>
              </w:rPr>
            </w:pPr>
            <w:r>
              <w:rPr>
                <w:color w:val="000000"/>
                <w:sz w:val="20"/>
                <w:szCs w:val="16"/>
                <w:lang w:val="fr-FR"/>
              </w:rPr>
              <w:t>0.0</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b/>
                <w:bCs/>
                <w:color w:val="000000"/>
                <w:sz w:val="20"/>
                <w:szCs w:val="16"/>
                <w:lang w:val="fr-FR"/>
              </w:rPr>
            </w:pPr>
            <w:r>
              <w:rPr>
                <w:sz w:val="20"/>
                <w:lang w:val="es-ES_tradnl"/>
              </w:rPr>
              <w:t>T O T A L (A+B+C)</w:t>
            </w:r>
          </w:p>
        </w:tc>
        <w:tc>
          <w:tcPr>
            <w:tcW w:w="1750" w:type="dxa"/>
          </w:tcPr>
          <w:p w:rsidR="00000000" w:rsidRDefault="00000000">
            <w:pPr>
              <w:widowControl w:val="0"/>
              <w:autoSpaceDE w:val="0"/>
              <w:autoSpaceDN w:val="0"/>
              <w:adjustRightInd w:val="0"/>
              <w:spacing w:before="80" w:after="80"/>
              <w:ind w:right="227"/>
              <w:jc w:val="right"/>
              <w:rPr>
                <w:b/>
                <w:bCs/>
                <w:color w:val="000000"/>
                <w:sz w:val="20"/>
                <w:szCs w:val="26"/>
              </w:rPr>
            </w:pPr>
            <w:r>
              <w:rPr>
                <w:b/>
                <w:bCs/>
                <w:color w:val="000000"/>
                <w:sz w:val="20"/>
                <w:szCs w:val="26"/>
              </w:rPr>
              <w:t xml:space="preserve">2 258 131 262.5 </w:t>
            </w:r>
          </w:p>
        </w:tc>
        <w:tc>
          <w:tcPr>
            <w:tcW w:w="1741" w:type="dxa"/>
          </w:tcPr>
          <w:p w:rsidR="00000000" w:rsidRDefault="00000000">
            <w:pPr>
              <w:widowControl w:val="0"/>
              <w:autoSpaceDE w:val="0"/>
              <w:autoSpaceDN w:val="0"/>
              <w:adjustRightInd w:val="0"/>
              <w:spacing w:before="80" w:after="80"/>
              <w:ind w:right="227"/>
              <w:jc w:val="right"/>
              <w:rPr>
                <w:b/>
                <w:bCs/>
                <w:color w:val="000000"/>
                <w:sz w:val="20"/>
                <w:szCs w:val="26"/>
              </w:rPr>
            </w:pPr>
            <w:r>
              <w:rPr>
                <w:b/>
                <w:bCs/>
                <w:color w:val="000000"/>
                <w:sz w:val="20"/>
                <w:szCs w:val="26"/>
              </w:rPr>
              <w:t>100.0</w:t>
            </w:r>
          </w:p>
        </w:tc>
      </w:tr>
      <w:tr w:rsidR="00000000">
        <w:tblPrEx>
          <w:tblCellMar>
            <w:top w:w="0" w:type="dxa"/>
            <w:bottom w:w="0" w:type="dxa"/>
          </w:tblCellMar>
        </w:tblPrEx>
        <w:trPr>
          <w:jc w:val="center"/>
        </w:trPr>
        <w:tc>
          <w:tcPr>
            <w:tcW w:w="5894" w:type="dxa"/>
            <w:tcBorders>
              <w:bottom w:val="single" w:sz="4" w:space="0" w:color="auto"/>
            </w:tcBorders>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b/>
                <w:bCs/>
                <w:color w:val="000000"/>
                <w:sz w:val="20"/>
                <w:szCs w:val="16"/>
              </w:rPr>
            </w:pPr>
            <w:r>
              <w:rPr>
                <w:sz w:val="20"/>
                <w:szCs w:val="18"/>
                <w:lang w:val="en-US"/>
              </w:rPr>
              <w:t>TOTAL PUBLIC SECTOR (I + II)</w:t>
            </w:r>
          </w:p>
        </w:tc>
        <w:tc>
          <w:tcPr>
            <w:tcW w:w="1750" w:type="dxa"/>
            <w:tcBorders>
              <w:bottom w:val="single" w:sz="4" w:space="0" w:color="auto"/>
            </w:tcBorders>
          </w:tcPr>
          <w:p w:rsidR="00000000" w:rsidRDefault="00000000">
            <w:pPr>
              <w:widowControl w:val="0"/>
              <w:autoSpaceDE w:val="0"/>
              <w:autoSpaceDN w:val="0"/>
              <w:adjustRightInd w:val="0"/>
              <w:spacing w:before="80" w:after="80"/>
              <w:ind w:right="227"/>
              <w:jc w:val="right"/>
              <w:rPr>
                <w:b/>
                <w:bCs/>
                <w:color w:val="000000"/>
                <w:sz w:val="20"/>
                <w:szCs w:val="26"/>
              </w:rPr>
            </w:pPr>
            <w:r>
              <w:rPr>
                <w:b/>
                <w:bCs/>
                <w:color w:val="000000"/>
                <w:sz w:val="20"/>
                <w:szCs w:val="26"/>
              </w:rPr>
              <w:t>2 258 131 262.5</w:t>
            </w:r>
          </w:p>
        </w:tc>
        <w:tc>
          <w:tcPr>
            <w:tcW w:w="1741" w:type="dxa"/>
            <w:tcBorders>
              <w:bottom w:val="single" w:sz="4" w:space="0" w:color="auto"/>
            </w:tcBorders>
          </w:tcPr>
          <w:p w:rsidR="00000000" w:rsidRDefault="00000000">
            <w:pPr>
              <w:widowControl w:val="0"/>
              <w:autoSpaceDE w:val="0"/>
              <w:autoSpaceDN w:val="0"/>
              <w:adjustRightInd w:val="0"/>
              <w:spacing w:before="80" w:after="80"/>
              <w:ind w:right="227"/>
              <w:jc w:val="right"/>
              <w:rPr>
                <w:b/>
                <w:bCs/>
                <w:color w:val="000000"/>
                <w:sz w:val="20"/>
                <w:szCs w:val="26"/>
              </w:rPr>
            </w:pPr>
            <w:r>
              <w:rPr>
                <w:b/>
                <w:bCs/>
                <w:color w:val="000000"/>
                <w:sz w:val="20"/>
                <w:szCs w:val="26"/>
              </w:rPr>
              <w:t>2 258 131 262.5</w:t>
            </w:r>
          </w:p>
        </w:tc>
      </w:tr>
    </w:tbl>
    <w:p w:rsidR="00000000" w:rsidRDefault="00000000">
      <w:pPr>
        <w:autoSpaceDE w:val="0"/>
        <w:autoSpaceDN w:val="0"/>
        <w:adjustRightInd w:val="0"/>
        <w:spacing w:before="80" w:after="80"/>
        <w:ind w:firstLine="567"/>
        <w:rPr>
          <w:sz w:val="20"/>
          <w:szCs w:val="16"/>
          <w:lang w:val="en-US"/>
        </w:rPr>
      </w:pPr>
      <w:r>
        <w:rPr>
          <w:i/>
          <w:iCs/>
          <w:sz w:val="20"/>
          <w:szCs w:val="16"/>
          <w:lang w:val="en-US"/>
        </w:rPr>
        <w:t>Source:</w:t>
      </w:r>
      <w:r>
        <w:rPr>
          <w:sz w:val="20"/>
          <w:szCs w:val="16"/>
          <w:lang w:val="en-US"/>
        </w:rPr>
        <w:t xml:space="preserve"> SIGADE-BROWSER 2.0. REPORTE 01/02/2006. 11:05 hours. – Rate for 30/12/05 – Preliminary figures.</w:t>
      </w:r>
    </w:p>
    <w:p w:rsidR="00000000" w:rsidRDefault="00000000">
      <w:pPr>
        <w:tabs>
          <w:tab w:val="left" w:pos="8459"/>
        </w:tabs>
        <w:autoSpaceDE w:val="0"/>
        <w:autoSpaceDN w:val="0"/>
        <w:adjustRightInd w:val="0"/>
        <w:spacing w:before="80" w:after="80"/>
        <w:ind w:left="567"/>
        <w:rPr>
          <w:sz w:val="20"/>
          <w:szCs w:val="16"/>
          <w:lang w:val="en-US"/>
        </w:rPr>
      </w:pPr>
      <w:r>
        <w:rPr>
          <w:i/>
          <w:iCs/>
          <w:sz w:val="20"/>
          <w:szCs w:val="16"/>
          <w:lang w:val="en-US"/>
        </w:rPr>
        <w:t xml:space="preserve">Note. </w:t>
      </w:r>
      <w:r>
        <w:rPr>
          <w:sz w:val="20"/>
          <w:szCs w:val="16"/>
          <w:lang w:val="en-US"/>
        </w:rPr>
        <w:t>The outstanding balance is the amount disbursed and pending reimbursement.</w:t>
      </w:r>
    </w:p>
    <w:p w:rsidR="00000000" w:rsidRDefault="00000000">
      <w:pPr>
        <w:autoSpaceDE w:val="0"/>
        <w:autoSpaceDN w:val="0"/>
        <w:adjustRightInd w:val="0"/>
        <w:spacing w:before="80" w:after="80"/>
        <w:ind w:left="567"/>
        <w:rPr>
          <w:sz w:val="20"/>
          <w:szCs w:val="16"/>
          <w:lang w:val="en-US"/>
        </w:rPr>
      </w:pPr>
      <w:r>
        <w:rPr>
          <w:sz w:val="20"/>
          <w:szCs w:val="16"/>
          <w:lang w:val="en-US"/>
        </w:rPr>
        <w:t>Debtor: is the lawful debtor of the loan under the agreement.</w:t>
      </w:r>
    </w:p>
    <w:p w:rsidR="00000000" w:rsidRDefault="00000000">
      <w:pPr>
        <w:autoSpaceDE w:val="0"/>
        <w:autoSpaceDN w:val="0"/>
        <w:adjustRightInd w:val="0"/>
        <w:spacing w:before="80" w:after="80"/>
        <w:ind w:left="567"/>
        <w:rPr>
          <w:sz w:val="20"/>
          <w:szCs w:val="16"/>
          <w:lang w:val="en-US"/>
        </w:rPr>
      </w:pPr>
      <w:r>
        <w:rPr>
          <w:sz w:val="20"/>
          <w:szCs w:val="16"/>
          <w:lang w:val="en-US"/>
        </w:rPr>
        <w:t>Disburser: the person that effectively undertakes  to service the debt</w:t>
      </w:r>
    </w:p>
    <w:p w:rsidR="00000000" w:rsidRDefault="00000000">
      <w:pPr>
        <w:autoSpaceDE w:val="0"/>
        <w:autoSpaceDN w:val="0"/>
        <w:adjustRightInd w:val="0"/>
        <w:spacing w:before="80" w:after="80"/>
        <w:ind w:firstLine="567"/>
        <w:rPr>
          <w:sz w:val="20"/>
          <w:szCs w:val="16"/>
          <w:lang w:val="en-US"/>
        </w:rPr>
      </w:pPr>
      <w:r>
        <w:rPr>
          <w:sz w:val="20"/>
          <w:szCs w:val="16"/>
          <w:lang w:val="en-US"/>
        </w:rPr>
        <w:t>* The amount shown for the Central Administration) includes amounts paid in respect of other public entities not forming part of the central administration</w:t>
      </w:r>
    </w:p>
    <w:p w:rsidR="00000000" w:rsidRDefault="00000000">
      <w:pPr>
        <w:autoSpaceDE w:val="0"/>
        <w:autoSpaceDN w:val="0"/>
        <w:adjustRightInd w:val="0"/>
        <w:spacing w:before="80" w:after="80"/>
        <w:ind w:firstLine="567"/>
        <w:rPr>
          <w:sz w:val="20"/>
          <w:szCs w:val="16"/>
          <w:lang w:val="en-US"/>
        </w:rPr>
      </w:pPr>
      <w:r>
        <w:rPr>
          <w:sz w:val="20"/>
          <w:szCs w:val="16"/>
          <w:lang w:val="en-US"/>
        </w:rPr>
        <w:t>**  Does not include loans from ANDE with the Banco do Brasil S.A. (Balance at 31/12/03 US $ 66.7 million) and Banco Nación Argentina. Balance at 31/12/03 US $48.3 million for incorporation in the capital to the Itaipú and Yacyretá binational entities.</w:t>
      </w:r>
    </w:p>
    <w:p w:rsidR="00000000" w:rsidRDefault="00000000">
      <w:pPr>
        <w:tabs>
          <w:tab w:val="left" w:pos="7537"/>
          <w:tab w:val="left" w:pos="8459"/>
        </w:tabs>
        <w:autoSpaceDE w:val="0"/>
        <w:autoSpaceDN w:val="0"/>
        <w:adjustRightInd w:val="0"/>
        <w:spacing w:before="80" w:after="80"/>
        <w:ind w:left="567"/>
        <w:rPr>
          <w:sz w:val="20"/>
          <w:szCs w:val="20"/>
          <w:lang w:val="en-US"/>
        </w:rPr>
      </w:pPr>
      <w:r>
        <w:rPr>
          <w:b/>
          <w:bCs/>
          <w:sz w:val="22"/>
          <w:szCs w:val="16"/>
          <w:vertAlign w:val="superscript"/>
          <w:lang w:val="en-US"/>
        </w:rPr>
        <w:t xml:space="preserve">1  </w:t>
      </w:r>
      <w:r>
        <w:rPr>
          <w:sz w:val="20"/>
          <w:szCs w:val="16"/>
          <w:lang w:val="en-US"/>
        </w:rPr>
        <w:t xml:space="preserve">Debt Credited:Chinatrust US $ 200 million- ICBC US $200 million. </w:t>
      </w:r>
    </w:p>
    <w:p w:rsidR="00000000" w:rsidRDefault="00000000">
      <w:pPr>
        <w:spacing w:beforeLines="40" w:before="96" w:afterLines="40" w:after="96"/>
        <w:rPr>
          <w:color w:val="000000"/>
          <w:lang w:val="en-US"/>
        </w:rPr>
      </w:pPr>
    </w:p>
    <w:p w:rsidR="00000000" w:rsidRDefault="00000000">
      <w:pPr>
        <w:spacing w:after="240"/>
      </w:pPr>
      <w:r>
        <w:t>41.</w:t>
      </w:r>
      <w:r>
        <w:tab/>
        <w:t>More recent figures made available by the same institution concerning the external public debt are given below:</w:t>
      </w:r>
    </w:p>
    <w:p w:rsidR="00000000" w:rsidRDefault="00000000">
      <w:pPr>
        <w:spacing w:after="240"/>
        <w:jc w:val="center"/>
        <w:rPr>
          <w:b/>
          <w:bCs/>
        </w:rPr>
      </w:pPr>
      <w:r>
        <w:br w:type="page"/>
      </w:r>
      <w:r>
        <w:rPr>
          <w:b/>
          <w:bCs/>
        </w:rPr>
        <w:t>F.</w:t>
      </w:r>
      <w:r>
        <w:rPr>
          <w:b/>
          <w:bCs/>
        </w:rPr>
        <w:tab/>
        <w:t>Cultural indicators</w:t>
      </w:r>
      <w:r>
        <w:rPr>
          <w:rStyle w:val="FootnoteReference"/>
          <w:b/>
          <w:bCs/>
        </w:rPr>
        <w:footnoteReference w:id="5"/>
      </w:r>
    </w:p>
    <w:p w:rsidR="00000000" w:rsidRDefault="00000000">
      <w:pPr>
        <w:numPr>
          <w:ilvl w:val="0"/>
          <w:numId w:val="1"/>
        </w:numPr>
        <w:tabs>
          <w:tab w:val="clear" w:pos="1080"/>
        </w:tabs>
        <w:spacing w:after="240"/>
        <w:ind w:left="0" w:firstLine="0"/>
        <w:rPr>
          <w:b/>
        </w:rPr>
      </w:pPr>
      <w:r>
        <w:rPr>
          <w:b/>
        </w:rPr>
        <w:t>School enrolment rate</w:t>
      </w:r>
    </w:p>
    <w:p w:rsidR="00000000" w:rsidRDefault="00000000">
      <w:pPr>
        <w:spacing w:after="240"/>
      </w:pPr>
      <w:r>
        <w:t>42.</w:t>
      </w:r>
      <w:r>
        <w:tab/>
        <w:t>The global enrolment rates in primary and secondary education (urban and rural areas) are known as crude and net enrolment rates and are shown in the table below.</w:t>
      </w:r>
    </w:p>
    <w:p w:rsidR="00000000" w:rsidRDefault="00000000">
      <w:pPr>
        <w:pStyle w:val="xl46"/>
        <w:spacing w:before="0" w:beforeAutospacing="0" w:after="240" w:afterAutospacing="0"/>
        <w:rPr>
          <w:rFonts w:ascii="Times New Roman" w:eastAsia="Times New Roman" w:hAnsi="Times New Roman" w:cs="Times New Roman"/>
          <w:bCs w:val="0"/>
          <w:szCs w:val="24"/>
          <w:lang w:val="en-GB" w:eastAsia="en-US"/>
        </w:rPr>
      </w:pPr>
      <w:r>
        <w:rPr>
          <w:rFonts w:ascii="Times New Roman" w:eastAsia="Times New Roman" w:hAnsi="Times New Roman" w:cs="Times New Roman"/>
          <w:bCs w:val="0"/>
          <w:szCs w:val="24"/>
          <w:lang w:val="en-GB" w:eastAsia="en-US"/>
        </w:rPr>
        <w:t xml:space="preserve">Gross and net enrolment rates by level and zone, </w:t>
      </w:r>
      <w:r>
        <w:rPr>
          <w:rFonts w:ascii="Times New Roman" w:hAnsi="Times New Roman" w:cs="Times New Roman"/>
          <w:bCs w:val="0"/>
          <w:szCs w:val="18"/>
          <w:lang w:val="es-ES_tradnl"/>
        </w:rPr>
        <w:t>period 1994-2000</w:t>
      </w:r>
    </w:p>
    <w:p w:rsidR="00000000" w:rsidRDefault="00000000">
      <w:pPr>
        <w:spacing w:after="240"/>
        <w:jc w:val="center"/>
        <w:rPr>
          <w:bCs/>
          <w:i/>
          <w:iCs/>
          <w:szCs w:val="16"/>
          <w:lang w:val="es-ES_tradnl"/>
        </w:rPr>
      </w:pPr>
      <w:r>
        <w:rPr>
          <w:bCs/>
          <w:i/>
          <w:iCs/>
          <w:szCs w:val="16"/>
          <w:lang w:val="es-ES_tradnl"/>
        </w:rPr>
        <w:t>(Percentages)</w:t>
      </w:r>
    </w:p>
    <w:tbl>
      <w:tblPr>
        <w:tblW w:w="5000" w:type="pct"/>
        <w:tblLayout w:type="fixed"/>
        <w:tblCellMar>
          <w:left w:w="0" w:type="dxa"/>
          <w:right w:w="0" w:type="dxa"/>
        </w:tblCellMar>
        <w:tblLook w:val="0000" w:firstRow="0" w:lastRow="0" w:firstColumn="0" w:lastColumn="0" w:noHBand="0" w:noVBand="0"/>
      </w:tblPr>
      <w:tblGrid>
        <w:gridCol w:w="1047"/>
        <w:gridCol w:w="1047"/>
        <w:gridCol w:w="1047"/>
        <w:gridCol w:w="1048"/>
        <w:gridCol w:w="1048"/>
        <w:gridCol w:w="1048"/>
        <w:gridCol w:w="1048"/>
        <w:gridCol w:w="1048"/>
        <w:gridCol w:w="1048"/>
      </w:tblGrid>
      <w:tr w:rsidR="00000000">
        <w:tblPrEx>
          <w:tblCellMar>
            <w:top w:w="0" w:type="dxa"/>
            <w:bottom w:w="0" w:type="dxa"/>
          </w:tblCellMar>
        </w:tblPrEx>
        <w:trPr>
          <w:cantSplit/>
        </w:trPr>
        <w:tc>
          <w:tcPr>
            <w:tcW w:w="1047" w:type="dxa"/>
            <w:vMerge w:val="restart"/>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rPr>
            </w:pPr>
            <w:r>
              <w:rPr>
                <w:b/>
                <w:bCs/>
                <w:i/>
                <w:iCs/>
                <w:sz w:val="20"/>
                <w:szCs w:val="20"/>
              </w:rPr>
              <w:t>Year</w:t>
            </w:r>
          </w:p>
        </w:tc>
        <w:tc>
          <w:tcPr>
            <w:tcW w:w="4190" w:type="dxa"/>
            <w:gridSpan w:val="4"/>
            <w:tcBorders>
              <w:top w:val="single" w:sz="4" w:space="0" w:color="auto"/>
              <w:bottom w:val="single" w:sz="4" w:space="0" w:color="auto"/>
            </w:tcBorders>
            <w:vAlign w:val="center"/>
          </w:tcPr>
          <w:p w:rsidR="00000000" w:rsidRDefault="00000000">
            <w:pPr>
              <w:pStyle w:val="Heading5"/>
              <w:jc w:val="center"/>
              <w:rPr>
                <w:i/>
                <w:iCs/>
              </w:rPr>
            </w:pPr>
            <w:r>
              <w:rPr>
                <w:i/>
                <w:iCs/>
                <w:lang w:val="es-ES_tradnl"/>
              </w:rPr>
              <w:t>Basic school education</w:t>
            </w:r>
          </w:p>
        </w:tc>
        <w:tc>
          <w:tcPr>
            <w:tcW w:w="4192" w:type="dxa"/>
            <w:gridSpan w:val="4"/>
            <w:tcBorders>
              <w:top w:val="single" w:sz="4" w:space="0" w:color="auto"/>
              <w:bottom w:val="single" w:sz="4" w:space="0" w:color="auto"/>
            </w:tcBorders>
            <w:vAlign w:val="center"/>
          </w:tcPr>
          <w:p w:rsidR="00000000" w:rsidRDefault="00000000">
            <w:pPr>
              <w:pStyle w:val="Heading8"/>
              <w:widowControl w:val="0"/>
              <w:spacing w:before="80" w:after="80"/>
              <w:rPr>
                <w:i/>
                <w:iCs/>
                <w:szCs w:val="24"/>
                <w:lang w:val="es-ES_tradnl"/>
              </w:rPr>
            </w:pPr>
            <w:r>
              <w:rPr>
                <w:i/>
                <w:iCs/>
                <w:szCs w:val="24"/>
                <w:lang w:val="es-ES_tradnl"/>
              </w:rPr>
              <w:t>Secondary school education</w:t>
            </w:r>
          </w:p>
        </w:tc>
      </w:tr>
      <w:tr w:rsidR="00000000">
        <w:tblPrEx>
          <w:tblCellMar>
            <w:top w:w="0" w:type="dxa"/>
            <w:bottom w:w="0" w:type="dxa"/>
          </w:tblCellMar>
        </w:tblPrEx>
        <w:trPr>
          <w:cantSplit/>
        </w:trPr>
        <w:tc>
          <w:tcPr>
            <w:tcW w:w="1047" w:type="dxa"/>
            <w:vMerge/>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rPr>
            </w:pPr>
          </w:p>
        </w:tc>
        <w:tc>
          <w:tcPr>
            <w:tcW w:w="2094"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fr-FR"/>
              </w:rPr>
            </w:pPr>
            <w:r>
              <w:rPr>
                <w:b/>
                <w:bCs/>
                <w:i/>
                <w:iCs/>
                <w:sz w:val="20"/>
                <w:lang w:val="es-ES_tradnl"/>
              </w:rPr>
              <w:t>Urban zones</w:t>
            </w:r>
          </w:p>
        </w:tc>
        <w:tc>
          <w:tcPr>
            <w:tcW w:w="2096"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fr-FR"/>
              </w:rPr>
            </w:pPr>
            <w:r>
              <w:rPr>
                <w:b/>
                <w:bCs/>
                <w:i/>
                <w:iCs/>
                <w:sz w:val="20"/>
                <w:lang w:val="es-ES_tradnl"/>
              </w:rPr>
              <w:t>Rural zones</w:t>
            </w:r>
          </w:p>
        </w:tc>
        <w:tc>
          <w:tcPr>
            <w:tcW w:w="2096"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fr-FR"/>
              </w:rPr>
            </w:pPr>
            <w:r>
              <w:rPr>
                <w:b/>
                <w:bCs/>
                <w:i/>
                <w:iCs/>
                <w:sz w:val="20"/>
                <w:lang w:val="es-ES_tradnl"/>
              </w:rPr>
              <w:t>Urban zones</w:t>
            </w:r>
          </w:p>
        </w:tc>
        <w:tc>
          <w:tcPr>
            <w:tcW w:w="2096"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fr-FR"/>
              </w:rPr>
            </w:pPr>
            <w:r>
              <w:rPr>
                <w:b/>
                <w:bCs/>
                <w:i/>
                <w:iCs/>
                <w:sz w:val="20"/>
                <w:lang w:val="es-ES_tradnl"/>
              </w:rPr>
              <w:t>Rural zones</w:t>
            </w:r>
          </w:p>
        </w:tc>
      </w:tr>
      <w:tr w:rsidR="00000000">
        <w:tblPrEx>
          <w:tblCellMar>
            <w:top w:w="0" w:type="dxa"/>
            <w:bottom w:w="0" w:type="dxa"/>
          </w:tblCellMar>
        </w:tblPrEx>
        <w:tc>
          <w:tcPr>
            <w:tcW w:w="1047" w:type="dxa"/>
            <w:tcBorders>
              <w:top w:val="single" w:sz="4" w:space="0" w:color="auto"/>
            </w:tcBorders>
          </w:tcPr>
          <w:p w:rsidR="00000000" w:rsidRDefault="00000000">
            <w:pPr>
              <w:widowControl w:val="0"/>
              <w:spacing w:before="80" w:after="80"/>
              <w:jc w:val="center"/>
              <w:rPr>
                <w:sz w:val="20"/>
                <w:szCs w:val="20"/>
                <w:lang w:val="fr-FR"/>
              </w:rPr>
            </w:pPr>
            <w:r>
              <w:rPr>
                <w:sz w:val="20"/>
                <w:szCs w:val="20"/>
                <w:lang w:val="fr-FR"/>
              </w:rPr>
              <w:t>1994</w:t>
            </w:r>
          </w:p>
        </w:tc>
        <w:tc>
          <w:tcPr>
            <w:tcW w:w="1047" w:type="dxa"/>
            <w:tcBorders>
              <w:top w:val="single" w:sz="4" w:space="0" w:color="auto"/>
            </w:tcBorders>
          </w:tcPr>
          <w:p w:rsidR="00000000" w:rsidRDefault="00000000">
            <w:pPr>
              <w:widowControl w:val="0"/>
              <w:spacing w:before="80" w:after="80"/>
              <w:jc w:val="center"/>
              <w:rPr>
                <w:sz w:val="20"/>
                <w:szCs w:val="20"/>
                <w:lang w:val="fr-FR"/>
              </w:rPr>
            </w:pPr>
            <w:r>
              <w:rPr>
                <w:sz w:val="20"/>
                <w:szCs w:val="20"/>
                <w:lang w:val="fr-FR"/>
              </w:rPr>
              <w:t>133</w:t>
            </w:r>
          </w:p>
        </w:tc>
        <w:tc>
          <w:tcPr>
            <w:tcW w:w="1047" w:type="dxa"/>
            <w:tcBorders>
              <w:top w:val="single" w:sz="4" w:space="0" w:color="auto"/>
            </w:tcBorders>
          </w:tcPr>
          <w:p w:rsidR="00000000" w:rsidRDefault="00000000">
            <w:pPr>
              <w:widowControl w:val="0"/>
              <w:spacing w:before="80" w:after="80"/>
              <w:jc w:val="center"/>
              <w:rPr>
                <w:sz w:val="20"/>
                <w:szCs w:val="20"/>
                <w:lang w:val="fr-FR"/>
              </w:rPr>
            </w:pPr>
            <w:r>
              <w:rPr>
                <w:sz w:val="20"/>
                <w:szCs w:val="20"/>
                <w:lang w:val="fr-FR"/>
              </w:rPr>
              <w:t>69</w:t>
            </w:r>
          </w:p>
        </w:tc>
        <w:tc>
          <w:tcPr>
            <w:tcW w:w="1048" w:type="dxa"/>
            <w:tcBorders>
              <w:top w:val="single" w:sz="4" w:space="0" w:color="auto"/>
            </w:tcBorders>
          </w:tcPr>
          <w:p w:rsidR="00000000" w:rsidRDefault="00000000">
            <w:pPr>
              <w:widowControl w:val="0"/>
              <w:spacing w:before="80" w:after="80"/>
              <w:jc w:val="center"/>
              <w:rPr>
                <w:sz w:val="20"/>
                <w:szCs w:val="20"/>
                <w:lang w:val="fr-FR"/>
              </w:rPr>
            </w:pPr>
            <w:r>
              <w:rPr>
                <w:sz w:val="20"/>
                <w:szCs w:val="20"/>
                <w:lang w:val="fr-FR"/>
              </w:rPr>
              <w:t>127</w:t>
            </w:r>
          </w:p>
        </w:tc>
        <w:tc>
          <w:tcPr>
            <w:tcW w:w="1048" w:type="dxa"/>
            <w:tcBorders>
              <w:top w:val="single" w:sz="4" w:space="0" w:color="auto"/>
            </w:tcBorders>
          </w:tcPr>
          <w:p w:rsidR="00000000" w:rsidRDefault="00000000">
            <w:pPr>
              <w:widowControl w:val="0"/>
              <w:spacing w:before="80" w:after="80"/>
              <w:jc w:val="center"/>
              <w:rPr>
                <w:sz w:val="20"/>
                <w:szCs w:val="20"/>
                <w:lang w:val="fr-FR"/>
              </w:rPr>
            </w:pPr>
            <w:r>
              <w:rPr>
                <w:sz w:val="20"/>
                <w:szCs w:val="20"/>
                <w:lang w:val="fr-FR"/>
              </w:rPr>
              <w:t>56</w:t>
            </w:r>
          </w:p>
        </w:tc>
        <w:tc>
          <w:tcPr>
            <w:tcW w:w="1048" w:type="dxa"/>
            <w:tcBorders>
              <w:top w:val="single" w:sz="4" w:space="0" w:color="auto"/>
            </w:tcBorders>
          </w:tcPr>
          <w:p w:rsidR="00000000" w:rsidRDefault="00000000">
            <w:pPr>
              <w:widowControl w:val="0"/>
              <w:spacing w:before="80" w:after="80"/>
              <w:jc w:val="center"/>
              <w:rPr>
                <w:sz w:val="20"/>
                <w:szCs w:val="20"/>
                <w:lang w:val="fr-FR"/>
              </w:rPr>
            </w:pPr>
            <w:r>
              <w:rPr>
                <w:sz w:val="20"/>
                <w:szCs w:val="20"/>
                <w:lang w:val="fr-FR"/>
              </w:rPr>
              <w:t>45</w:t>
            </w:r>
          </w:p>
        </w:tc>
        <w:tc>
          <w:tcPr>
            <w:tcW w:w="1048" w:type="dxa"/>
            <w:tcBorders>
              <w:top w:val="single" w:sz="4" w:space="0" w:color="auto"/>
            </w:tcBorders>
          </w:tcPr>
          <w:p w:rsidR="00000000" w:rsidRDefault="00000000">
            <w:pPr>
              <w:widowControl w:val="0"/>
              <w:spacing w:before="80" w:after="80"/>
              <w:jc w:val="center"/>
              <w:rPr>
                <w:sz w:val="20"/>
                <w:szCs w:val="20"/>
                <w:lang w:val="fr-FR"/>
              </w:rPr>
            </w:pPr>
            <w:r>
              <w:rPr>
                <w:sz w:val="20"/>
                <w:szCs w:val="20"/>
                <w:lang w:val="fr-FR"/>
              </w:rPr>
              <w:t>33</w:t>
            </w:r>
          </w:p>
        </w:tc>
        <w:tc>
          <w:tcPr>
            <w:tcW w:w="1048" w:type="dxa"/>
            <w:tcBorders>
              <w:top w:val="single" w:sz="4" w:space="0" w:color="auto"/>
            </w:tcBorders>
          </w:tcPr>
          <w:p w:rsidR="00000000" w:rsidRDefault="00000000">
            <w:pPr>
              <w:widowControl w:val="0"/>
              <w:spacing w:before="80" w:after="80"/>
              <w:jc w:val="center"/>
              <w:rPr>
                <w:sz w:val="20"/>
                <w:szCs w:val="20"/>
                <w:lang w:val="fr-FR"/>
              </w:rPr>
            </w:pPr>
            <w:r>
              <w:rPr>
                <w:sz w:val="20"/>
                <w:szCs w:val="20"/>
                <w:lang w:val="fr-FR"/>
              </w:rPr>
              <w:t>6</w:t>
            </w:r>
          </w:p>
        </w:tc>
        <w:tc>
          <w:tcPr>
            <w:tcW w:w="1048" w:type="dxa"/>
            <w:tcBorders>
              <w:top w:val="single" w:sz="4" w:space="0" w:color="auto"/>
            </w:tcBorders>
          </w:tcPr>
          <w:p w:rsidR="00000000" w:rsidRDefault="00000000">
            <w:pPr>
              <w:widowControl w:val="0"/>
              <w:spacing w:before="80" w:after="80"/>
              <w:jc w:val="center"/>
              <w:rPr>
                <w:sz w:val="20"/>
                <w:szCs w:val="20"/>
                <w:lang w:val="fr-FR"/>
              </w:rPr>
            </w:pPr>
            <w:r>
              <w:rPr>
                <w:sz w:val="20"/>
                <w:szCs w:val="20"/>
                <w:lang w:val="fr-FR"/>
              </w:rPr>
              <w:t>4</w:t>
            </w:r>
          </w:p>
        </w:tc>
      </w:tr>
      <w:tr w:rsidR="00000000">
        <w:tblPrEx>
          <w:tblCellMar>
            <w:top w:w="0" w:type="dxa"/>
            <w:bottom w:w="0" w:type="dxa"/>
          </w:tblCellMar>
        </w:tblPrEx>
        <w:tc>
          <w:tcPr>
            <w:tcW w:w="1047" w:type="dxa"/>
          </w:tcPr>
          <w:p w:rsidR="00000000" w:rsidRDefault="00000000">
            <w:pPr>
              <w:widowControl w:val="0"/>
              <w:spacing w:before="80" w:after="80"/>
              <w:jc w:val="center"/>
              <w:rPr>
                <w:sz w:val="20"/>
                <w:szCs w:val="20"/>
                <w:lang w:val="fr-FR"/>
              </w:rPr>
            </w:pPr>
            <w:r>
              <w:rPr>
                <w:sz w:val="20"/>
                <w:szCs w:val="20"/>
                <w:lang w:val="fr-FR"/>
              </w:rPr>
              <w:t>1995</w:t>
            </w:r>
          </w:p>
        </w:tc>
        <w:tc>
          <w:tcPr>
            <w:tcW w:w="1047" w:type="dxa"/>
          </w:tcPr>
          <w:p w:rsidR="00000000" w:rsidRDefault="00000000">
            <w:pPr>
              <w:widowControl w:val="0"/>
              <w:spacing w:before="80" w:after="80"/>
              <w:jc w:val="center"/>
              <w:rPr>
                <w:sz w:val="20"/>
                <w:szCs w:val="20"/>
                <w:lang w:val="fr-FR"/>
              </w:rPr>
            </w:pPr>
            <w:r>
              <w:rPr>
                <w:sz w:val="20"/>
                <w:szCs w:val="20"/>
                <w:lang w:val="fr-FR"/>
              </w:rPr>
              <w:t>125</w:t>
            </w:r>
          </w:p>
        </w:tc>
        <w:tc>
          <w:tcPr>
            <w:tcW w:w="1047" w:type="dxa"/>
          </w:tcPr>
          <w:p w:rsidR="00000000" w:rsidRDefault="00000000">
            <w:pPr>
              <w:widowControl w:val="0"/>
              <w:spacing w:before="80" w:after="80"/>
              <w:jc w:val="center"/>
              <w:rPr>
                <w:sz w:val="20"/>
                <w:szCs w:val="20"/>
                <w:lang w:val="fr-FR"/>
              </w:rPr>
            </w:pPr>
            <w:r>
              <w:rPr>
                <w:sz w:val="20"/>
                <w:szCs w:val="20"/>
                <w:lang w:val="fr-FR"/>
              </w:rPr>
              <w:t>76</w:t>
            </w:r>
          </w:p>
        </w:tc>
        <w:tc>
          <w:tcPr>
            <w:tcW w:w="1048" w:type="dxa"/>
          </w:tcPr>
          <w:p w:rsidR="00000000" w:rsidRDefault="00000000">
            <w:pPr>
              <w:widowControl w:val="0"/>
              <w:spacing w:before="80" w:after="80"/>
              <w:jc w:val="center"/>
              <w:rPr>
                <w:sz w:val="20"/>
                <w:szCs w:val="20"/>
                <w:lang w:val="fr-FR"/>
              </w:rPr>
            </w:pPr>
            <w:r>
              <w:rPr>
                <w:sz w:val="20"/>
                <w:szCs w:val="20"/>
                <w:lang w:val="fr-FR"/>
              </w:rPr>
              <w:t>122</w:t>
            </w:r>
          </w:p>
        </w:tc>
        <w:tc>
          <w:tcPr>
            <w:tcW w:w="1048" w:type="dxa"/>
          </w:tcPr>
          <w:p w:rsidR="00000000" w:rsidRDefault="00000000">
            <w:pPr>
              <w:widowControl w:val="0"/>
              <w:spacing w:before="80" w:after="80"/>
              <w:jc w:val="center"/>
              <w:rPr>
                <w:sz w:val="20"/>
                <w:szCs w:val="20"/>
                <w:lang w:val="fr-FR"/>
              </w:rPr>
            </w:pPr>
            <w:r>
              <w:rPr>
                <w:sz w:val="20"/>
                <w:szCs w:val="20"/>
                <w:lang w:val="fr-FR"/>
              </w:rPr>
              <w:t>61</w:t>
            </w:r>
          </w:p>
        </w:tc>
        <w:tc>
          <w:tcPr>
            <w:tcW w:w="1048" w:type="dxa"/>
          </w:tcPr>
          <w:p w:rsidR="00000000" w:rsidRDefault="00000000">
            <w:pPr>
              <w:widowControl w:val="0"/>
              <w:spacing w:before="80" w:after="80"/>
              <w:jc w:val="center"/>
              <w:rPr>
                <w:sz w:val="20"/>
                <w:szCs w:val="20"/>
                <w:lang w:val="fr-FR"/>
              </w:rPr>
            </w:pPr>
            <w:r>
              <w:rPr>
                <w:sz w:val="20"/>
                <w:szCs w:val="20"/>
                <w:lang w:val="fr-FR"/>
              </w:rPr>
              <w:t>49</w:t>
            </w:r>
          </w:p>
        </w:tc>
        <w:tc>
          <w:tcPr>
            <w:tcW w:w="1048" w:type="dxa"/>
          </w:tcPr>
          <w:p w:rsidR="00000000" w:rsidRDefault="00000000">
            <w:pPr>
              <w:widowControl w:val="0"/>
              <w:spacing w:before="80" w:after="80"/>
              <w:jc w:val="center"/>
              <w:rPr>
                <w:sz w:val="20"/>
                <w:szCs w:val="20"/>
                <w:lang w:val="fr-FR"/>
              </w:rPr>
            </w:pPr>
            <w:r>
              <w:rPr>
                <w:sz w:val="20"/>
                <w:szCs w:val="20"/>
                <w:lang w:val="fr-FR"/>
              </w:rPr>
              <w:t>36</w:t>
            </w:r>
          </w:p>
        </w:tc>
        <w:tc>
          <w:tcPr>
            <w:tcW w:w="1048" w:type="dxa"/>
          </w:tcPr>
          <w:p w:rsidR="00000000" w:rsidRDefault="00000000">
            <w:pPr>
              <w:widowControl w:val="0"/>
              <w:spacing w:before="80" w:after="80"/>
              <w:jc w:val="center"/>
              <w:rPr>
                <w:sz w:val="20"/>
                <w:szCs w:val="20"/>
                <w:lang w:val="fr-FR"/>
              </w:rPr>
            </w:pPr>
            <w:r>
              <w:rPr>
                <w:sz w:val="20"/>
                <w:szCs w:val="20"/>
                <w:lang w:val="fr-FR"/>
              </w:rPr>
              <w:t>7</w:t>
            </w:r>
          </w:p>
        </w:tc>
        <w:tc>
          <w:tcPr>
            <w:tcW w:w="1048" w:type="dxa"/>
          </w:tcPr>
          <w:p w:rsidR="00000000" w:rsidRDefault="00000000">
            <w:pPr>
              <w:widowControl w:val="0"/>
              <w:spacing w:before="80" w:after="80"/>
              <w:jc w:val="center"/>
              <w:rPr>
                <w:sz w:val="20"/>
                <w:szCs w:val="20"/>
                <w:lang w:val="fr-FR"/>
              </w:rPr>
            </w:pPr>
            <w:r>
              <w:rPr>
                <w:sz w:val="20"/>
                <w:szCs w:val="20"/>
                <w:lang w:val="fr-FR"/>
              </w:rPr>
              <w:t>5</w:t>
            </w:r>
          </w:p>
        </w:tc>
      </w:tr>
      <w:tr w:rsidR="00000000">
        <w:tblPrEx>
          <w:tblCellMar>
            <w:top w:w="0" w:type="dxa"/>
            <w:bottom w:w="0" w:type="dxa"/>
          </w:tblCellMar>
        </w:tblPrEx>
        <w:tc>
          <w:tcPr>
            <w:tcW w:w="1047" w:type="dxa"/>
          </w:tcPr>
          <w:p w:rsidR="00000000" w:rsidRDefault="00000000">
            <w:pPr>
              <w:widowControl w:val="0"/>
              <w:spacing w:before="80" w:after="80"/>
              <w:jc w:val="center"/>
              <w:rPr>
                <w:sz w:val="20"/>
                <w:szCs w:val="20"/>
                <w:lang w:val="fr-FR"/>
              </w:rPr>
            </w:pPr>
            <w:r>
              <w:rPr>
                <w:sz w:val="20"/>
                <w:szCs w:val="20"/>
                <w:lang w:val="fr-FR"/>
              </w:rPr>
              <w:t>1996</w:t>
            </w:r>
          </w:p>
        </w:tc>
        <w:tc>
          <w:tcPr>
            <w:tcW w:w="1047" w:type="dxa"/>
          </w:tcPr>
          <w:p w:rsidR="00000000" w:rsidRDefault="00000000">
            <w:pPr>
              <w:widowControl w:val="0"/>
              <w:spacing w:before="80" w:after="80"/>
              <w:jc w:val="center"/>
              <w:rPr>
                <w:sz w:val="20"/>
                <w:szCs w:val="20"/>
                <w:lang w:val="fr-FR"/>
              </w:rPr>
            </w:pPr>
            <w:r>
              <w:rPr>
                <w:sz w:val="20"/>
                <w:szCs w:val="20"/>
                <w:lang w:val="fr-FR"/>
              </w:rPr>
              <w:t>120</w:t>
            </w:r>
          </w:p>
        </w:tc>
        <w:tc>
          <w:tcPr>
            <w:tcW w:w="1047" w:type="dxa"/>
          </w:tcPr>
          <w:p w:rsidR="00000000" w:rsidRDefault="00000000">
            <w:pPr>
              <w:widowControl w:val="0"/>
              <w:spacing w:before="80" w:after="80"/>
              <w:jc w:val="center"/>
              <w:rPr>
                <w:sz w:val="20"/>
                <w:szCs w:val="20"/>
                <w:lang w:val="fr-FR"/>
              </w:rPr>
            </w:pPr>
            <w:r>
              <w:rPr>
                <w:sz w:val="20"/>
                <w:szCs w:val="20"/>
                <w:lang w:val="fr-FR"/>
              </w:rPr>
              <w:t>78</w:t>
            </w:r>
          </w:p>
        </w:tc>
        <w:tc>
          <w:tcPr>
            <w:tcW w:w="1048" w:type="dxa"/>
          </w:tcPr>
          <w:p w:rsidR="00000000" w:rsidRDefault="00000000">
            <w:pPr>
              <w:widowControl w:val="0"/>
              <w:spacing w:before="80" w:after="80"/>
              <w:jc w:val="center"/>
              <w:rPr>
                <w:sz w:val="20"/>
                <w:szCs w:val="20"/>
                <w:lang w:val="fr-FR"/>
              </w:rPr>
            </w:pPr>
            <w:r>
              <w:rPr>
                <w:sz w:val="20"/>
                <w:szCs w:val="20"/>
                <w:lang w:val="fr-FR"/>
              </w:rPr>
              <w:t>123</w:t>
            </w:r>
          </w:p>
        </w:tc>
        <w:tc>
          <w:tcPr>
            <w:tcW w:w="1048" w:type="dxa"/>
          </w:tcPr>
          <w:p w:rsidR="00000000" w:rsidRDefault="00000000">
            <w:pPr>
              <w:widowControl w:val="0"/>
              <w:spacing w:before="80" w:after="80"/>
              <w:jc w:val="center"/>
              <w:rPr>
                <w:sz w:val="20"/>
                <w:szCs w:val="20"/>
                <w:lang w:val="fr-FR"/>
              </w:rPr>
            </w:pPr>
            <w:r>
              <w:rPr>
                <w:sz w:val="20"/>
                <w:szCs w:val="20"/>
                <w:lang w:val="fr-FR"/>
              </w:rPr>
              <w:t>66</w:t>
            </w:r>
          </w:p>
        </w:tc>
        <w:tc>
          <w:tcPr>
            <w:tcW w:w="1048" w:type="dxa"/>
          </w:tcPr>
          <w:p w:rsidR="00000000" w:rsidRDefault="00000000">
            <w:pPr>
              <w:widowControl w:val="0"/>
              <w:spacing w:before="80" w:after="80"/>
              <w:jc w:val="center"/>
              <w:rPr>
                <w:sz w:val="20"/>
                <w:szCs w:val="20"/>
                <w:lang w:val="fr-FR"/>
              </w:rPr>
            </w:pPr>
            <w:r>
              <w:rPr>
                <w:sz w:val="20"/>
                <w:szCs w:val="20"/>
                <w:lang w:val="fr-FR"/>
              </w:rPr>
              <w:t>54</w:t>
            </w:r>
          </w:p>
        </w:tc>
        <w:tc>
          <w:tcPr>
            <w:tcW w:w="1048" w:type="dxa"/>
          </w:tcPr>
          <w:p w:rsidR="00000000" w:rsidRDefault="00000000">
            <w:pPr>
              <w:widowControl w:val="0"/>
              <w:spacing w:before="80" w:after="80"/>
              <w:jc w:val="center"/>
              <w:rPr>
                <w:sz w:val="20"/>
                <w:szCs w:val="20"/>
                <w:lang w:val="fr-FR"/>
              </w:rPr>
            </w:pPr>
            <w:r>
              <w:rPr>
                <w:sz w:val="20"/>
                <w:szCs w:val="20"/>
                <w:lang w:val="fr-FR"/>
              </w:rPr>
              <w:t>40</w:t>
            </w:r>
          </w:p>
        </w:tc>
        <w:tc>
          <w:tcPr>
            <w:tcW w:w="1048" w:type="dxa"/>
          </w:tcPr>
          <w:p w:rsidR="00000000" w:rsidRDefault="00000000">
            <w:pPr>
              <w:widowControl w:val="0"/>
              <w:spacing w:before="80" w:after="80"/>
              <w:jc w:val="center"/>
              <w:rPr>
                <w:sz w:val="20"/>
                <w:szCs w:val="20"/>
                <w:lang w:val="fr-FR"/>
              </w:rPr>
            </w:pPr>
            <w:r>
              <w:rPr>
                <w:sz w:val="20"/>
                <w:szCs w:val="20"/>
                <w:lang w:val="fr-FR"/>
              </w:rPr>
              <w:t>9</w:t>
            </w:r>
          </w:p>
        </w:tc>
        <w:tc>
          <w:tcPr>
            <w:tcW w:w="1048" w:type="dxa"/>
          </w:tcPr>
          <w:p w:rsidR="00000000" w:rsidRDefault="00000000">
            <w:pPr>
              <w:widowControl w:val="0"/>
              <w:spacing w:before="80" w:after="80"/>
              <w:jc w:val="center"/>
              <w:rPr>
                <w:sz w:val="20"/>
                <w:szCs w:val="20"/>
                <w:lang w:val="fr-FR"/>
              </w:rPr>
            </w:pPr>
            <w:r>
              <w:rPr>
                <w:sz w:val="20"/>
                <w:szCs w:val="20"/>
                <w:lang w:val="fr-FR"/>
              </w:rPr>
              <w:t>6</w:t>
            </w:r>
          </w:p>
        </w:tc>
      </w:tr>
      <w:tr w:rsidR="00000000">
        <w:tblPrEx>
          <w:tblCellMar>
            <w:top w:w="0" w:type="dxa"/>
            <w:bottom w:w="0" w:type="dxa"/>
          </w:tblCellMar>
        </w:tblPrEx>
        <w:tc>
          <w:tcPr>
            <w:tcW w:w="1047" w:type="dxa"/>
          </w:tcPr>
          <w:p w:rsidR="00000000" w:rsidRDefault="00000000">
            <w:pPr>
              <w:widowControl w:val="0"/>
              <w:spacing w:before="80" w:after="80"/>
              <w:jc w:val="center"/>
              <w:rPr>
                <w:sz w:val="20"/>
                <w:szCs w:val="20"/>
                <w:lang w:val="fr-FR"/>
              </w:rPr>
            </w:pPr>
            <w:r>
              <w:rPr>
                <w:sz w:val="20"/>
                <w:szCs w:val="20"/>
                <w:lang w:val="fr-FR"/>
              </w:rPr>
              <w:t>1997</w:t>
            </w:r>
          </w:p>
        </w:tc>
        <w:tc>
          <w:tcPr>
            <w:tcW w:w="1047" w:type="dxa"/>
          </w:tcPr>
          <w:p w:rsidR="00000000" w:rsidRDefault="00000000">
            <w:pPr>
              <w:widowControl w:val="0"/>
              <w:spacing w:before="80" w:after="80"/>
              <w:jc w:val="center"/>
              <w:rPr>
                <w:sz w:val="20"/>
                <w:szCs w:val="20"/>
                <w:lang w:val="fr-FR"/>
              </w:rPr>
            </w:pPr>
            <w:r>
              <w:rPr>
                <w:sz w:val="20"/>
                <w:szCs w:val="20"/>
                <w:lang w:val="fr-FR"/>
              </w:rPr>
              <w:t>124</w:t>
            </w:r>
          </w:p>
        </w:tc>
        <w:tc>
          <w:tcPr>
            <w:tcW w:w="1047" w:type="dxa"/>
          </w:tcPr>
          <w:p w:rsidR="00000000" w:rsidRDefault="00000000">
            <w:pPr>
              <w:widowControl w:val="0"/>
              <w:spacing w:before="80" w:after="80"/>
              <w:jc w:val="center"/>
              <w:rPr>
                <w:sz w:val="20"/>
                <w:szCs w:val="20"/>
                <w:lang w:val="fr-FR"/>
              </w:rPr>
            </w:pPr>
            <w:r>
              <w:rPr>
                <w:sz w:val="20"/>
                <w:szCs w:val="20"/>
                <w:lang w:val="fr-FR"/>
              </w:rPr>
              <w:t>77</w:t>
            </w:r>
          </w:p>
        </w:tc>
        <w:tc>
          <w:tcPr>
            <w:tcW w:w="1048" w:type="dxa"/>
          </w:tcPr>
          <w:p w:rsidR="00000000" w:rsidRDefault="00000000">
            <w:pPr>
              <w:widowControl w:val="0"/>
              <w:spacing w:before="80" w:after="80"/>
              <w:jc w:val="center"/>
              <w:rPr>
                <w:sz w:val="20"/>
                <w:szCs w:val="20"/>
                <w:lang w:val="fr-FR"/>
              </w:rPr>
            </w:pPr>
            <w:r>
              <w:rPr>
                <w:sz w:val="20"/>
                <w:szCs w:val="20"/>
                <w:lang w:val="fr-FR"/>
              </w:rPr>
              <w:t>122</w:t>
            </w:r>
          </w:p>
        </w:tc>
        <w:tc>
          <w:tcPr>
            <w:tcW w:w="1048" w:type="dxa"/>
          </w:tcPr>
          <w:p w:rsidR="00000000" w:rsidRDefault="00000000">
            <w:pPr>
              <w:widowControl w:val="0"/>
              <w:spacing w:before="80" w:after="80"/>
              <w:jc w:val="center"/>
              <w:rPr>
                <w:sz w:val="20"/>
                <w:szCs w:val="20"/>
                <w:lang w:val="fr-FR"/>
              </w:rPr>
            </w:pPr>
            <w:r>
              <w:rPr>
                <w:sz w:val="20"/>
                <w:szCs w:val="20"/>
                <w:lang w:val="fr-FR"/>
              </w:rPr>
              <w:t>65</w:t>
            </w:r>
          </w:p>
        </w:tc>
        <w:tc>
          <w:tcPr>
            <w:tcW w:w="1048" w:type="dxa"/>
          </w:tcPr>
          <w:p w:rsidR="00000000" w:rsidRDefault="00000000">
            <w:pPr>
              <w:widowControl w:val="0"/>
              <w:spacing w:before="80" w:after="80"/>
              <w:jc w:val="center"/>
              <w:rPr>
                <w:sz w:val="20"/>
                <w:szCs w:val="20"/>
                <w:lang w:val="fr-FR"/>
              </w:rPr>
            </w:pPr>
            <w:r>
              <w:rPr>
                <w:sz w:val="20"/>
                <w:szCs w:val="20"/>
                <w:lang w:val="fr-FR"/>
              </w:rPr>
              <w:t>57</w:t>
            </w:r>
          </w:p>
        </w:tc>
        <w:tc>
          <w:tcPr>
            <w:tcW w:w="1048" w:type="dxa"/>
          </w:tcPr>
          <w:p w:rsidR="00000000" w:rsidRDefault="00000000">
            <w:pPr>
              <w:widowControl w:val="0"/>
              <w:spacing w:before="80" w:after="80"/>
              <w:jc w:val="center"/>
              <w:rPr>
                <w:sz w:val="20"/>
                <w:szCs w:val="20"/>
                <w:lang w:val="fr-FR"/>
              </w:rPr>
            </w:pPr>
            <w:r>
              <w:rPr>
                <w:sz w:val="20"/>
                <w:szCs w:val="20"/>
                <w:lang w:val="fr-FR"/>
              </w:rPr>
              <w:t>44</w:t>
            </w:r>
          </w:p>
        </w:tc>
        <w:tc>
          <w:tcPr>
            <w:tcW w:w="1048" w:type="dxa"/>
          </w:tcPr>
          <w:p w:rsidR="00000000" w:rsidRDefault="00000000">
            <w:pPr>
              <w:widowControl w:val="0"/>
              <w:spacing w:before="80" w:after="80"/>
              <w:jc w:val="center"/>
              <w:rPr>
                <w:sz w:val="20"/>
                <w:szCs w:val="20"/>
                <w:lang w:val="fr-FR"/>
              </w:rPr>
            </w:pPr>
            <w:r>
              <w:rPr>
                <w:sz w:val="20"/>
                <w:szCs w:val="20"/>
                <w:lang w:val="fr-FR"/>
              </w:rPr>
              <w:t>9</w:t>
            </w:r>
          </w:p>
        </w:tc>
        <w:tc>
          <w:tcPr>
            <w:tcW w:w="1048" w:type="dxa"/>
          </w:tcPr>
          <w:p w:rsidR="00000000" w:rsidRDefault="00000000">
            <w:pPr>
              <w:widowControl w:val="0"/>
              <w:spacing w:before="80" w:after="80"/>
              <w:jc w:val="center"/>
              <w:rPr>
                <w:sz w:val="20"/>
                <w:szCs w:val="20"/>
                <w:lang w:val="fr-FR"/>
              </w:rPr>
            </w:pPr>
            <w:r>
              <w:rPr>
                <w:sz w:val="20"/>
                <w:szCs w:val="20"/>
                <w:lang w:val="fr-FR"/>
              </w:rPr>
              <w:t>6</w:t>
            </w:r>
          </w:p>
        </w:tc>
      </w:tr>
      <w:tr w:rsidR="00000000">
        <w:tblPrEx>
          <w:tblCellMar>
            <w:top w:w="0" w:type="dxa"/>
            <w:bottom w:w="0" w:type="dxa"/>
          </w:tblCellMar>
        </w:tblPrEx>
        <w:tc>
          <w:tcPr>
            <w:tcW w:w="1047" w:type="dxa"/>
          </w:tcPr>
          <w:p w:rsidR="00000000" w:rsidRDefault="00000000">
            <w:pPr>
              <w:widowControl w:val="0"/>
              <w:spacing w:before="80" w:after="80"/>
              <w:jc w:val="center"/>
              <w:rPr>
                <w:sz w:val="20"/>
                <w:szCs w:val="20"/>
                <w:lang w:val="fr-FR"/>
              </w:rPr>
            </w:pPr>
            <w:r>
              <w:rPr>
                <w:sz w:val="20"/>
                <w:szCs w:val="20"/>
                <w:lang w:val="fr-FR"/>
              </w:rPr>
              <w:t>1998</w:t>
            </w:r>
          </w:p>
        </w:tc>
        <w:tc>
          <w:tcPr>
            <w:tcW w:w="1047" w:type="dxa"/>
          </w:tcPr>
          <w:p w:rsidR="00000000" w:rsidRDefault="00000000">
            <w:pPr>
              <w:widowControl w:val="0"/>
              <w:spacing w:before="80" w:after="80"/>
              <w:jc w:val="center"/>
              <w:rPr>
                <w:sz w:val="20"/>
                <w:szCs w:val="20"/>
                <w:lang w:val="fr-FR"/>
              </w:rPr>
            </w:pPr>
            <w:r>
              <w:rPr>
                <w:sz w:val="20"/>
                <w:szCs w:val="20"/>
                <w:lang w:val="fr-FR"/>
              </w:rPr>
              <w:t>124</w:t>
            </w:r>
          </w:p>
        </w:tc>
        <w:tc>
          <w:tcPr>
            <w:tcW w:w="1047" w:type="dxa"/>
          </w:tcPr>
          <w:p w:rsidR="00000000" w:rsidRDefault="00000000">
            <w:pPr>
              <w:widowControl w:val="0"/>
              <w:spacing w:before="80" w:after="80"/>
              <w:jc w:val="center"/>
              <w:rPr>
                <w:sz w:val="20"/>
                <w:szCs w:val="20"/>
                <w:lang w:val="fr-FR"/>
              </w:rPr>
            </w:pPr>
            <w:r>
              <w:rPr>
                <w:sz w:val="20"/>
                <w:szCs w:val="20"/>
                <w:lang w:val="fr-FR"/>
              </w:rPr>
              <w:t>77</w:t>
            </w:r>
          </w:p>
        </w:tc>
        <w:tc>
          <w:tcPr>
            <w:tcW w:w="1048" w:type="dxa"/>
          </w:tcPr>
          <w:p w:rsidR="00000000" w:rsidRDefault="00000000">
            <w:pPr>
              <w:widowControl w:val="0"/>
              <w:spacing w:before="80" w:after="80"/>
              <w:jc w:val="center"/>
              <w:rPr>
                <w:sz w:val="20"/>
                <w:szCs w:val="20"/>
                <w:lang w:val="fr-FR"/>
              </w:rPr>
            </w:pPr>
            <w:r>
              <w:rPr>
                <w:sz w:val="20"/>
                <w:szCs w:val="20"/>
                <w:lang w:val="fr-FR"/>
              </w:rPr>
              <w:t>121</w:t>
            </w:r>
          </w:p>
        </w:tc>
        <w:tc>
          <w:tcPr>
            <w:tcW w:w="1048" w:type="dxa"/>
          </w:tcPr>
          <w:p w:rsidR="00000000" w:rsidRDefault="00000000">
            <w:pPr>
              <w:widowControl w:val="0"/>
              <w:spacing w:before="80" w:after="80"/>
              <w:jc w:val="center"/>
              <w:rPr>
                <w:sz w:val="20"/>
                <w:szCs w:val="20"/>
                <w:lang w:val="fr-FR"/>
              </w:rPr>
            </w:pPr>
            <w:r>
              <w:rPr>
                <w:sz w:val="20"/>
                <w:szCs w:val="20"/>
                <w:lang w:val="fr-FR"/>
              </w:rPr>
              <w:t>65</w:t>
            </w:r>
          </w:p>
        </w:tc>
        <w:tc>
          <w:tcPr>
            <w:tcW w:w="1048" w:type="dxa"/>
          </w:tcPr>
          <w:p w:rsidR="00000000" w:rsidRDefault="00000000">
            <w:pPr>
              <w:widowControl w:val="0"/>
              <w:spacing w:before="80" w:after="80"/>
              <w:jc w:val="center"/>
              <w:rPr>
                <w:sz w:val="20"/>
                <w:szCs w:val="20"/>
                <w:lang w:val="fr-FR"/>
              </w:rPr>
            </w:pPr>
            <w:r>
              <w:rPr>
                <w:sz w:val="20"/>
                <w:szCs w:val="20"/>
                <w:lang w:val="fr-FR"/>
              </w:rPr>
              <w:t>60</w:t>
            </w:r>
          </w:p>
        </w:tc>
        <w:tc>
          <w:tcPr>
            <w:tcW w:w="1048" w:type="dxa"/>
          </w:tcPr>
          <w:p w:rsidR="00000000" w:rsidRDefault="00000000">
            <w:pPr>
              <w:widowControl w:val="0"/>
              <w:spacing w:before="80" w:after="80"/>
              <w:jc w:val="center"/>
              <w:rPr>
                <w:sz w:val="20"/>
                <w:szCs w:val="20"/>
                <w:lang w:val="fr-FR"/>
              </w:rPr>
            </w:pPr>
            <w:r>
              <w:rPr>
                <w:sz w:val="20"/>
                <w:szCs w:val="20"/>
                <w:lang w:val="fr-FR"/>
              </w:rPr>
              <w:t>45</w:t>
            </w:r>
          </w:p>
        </w:tc>
        <w:tc>
          <w:tcPr>
            <w:tcW w:w="1048" w:type="dxa"/>
          </w:tcPr>
          <w:p w:rsidR="00000000" w:rsidRDefault="00000000">
            <w:pPr>
              <w:widowControl w:val="0"/>
              <w:spacing w:before="80" w:after="80"/>
              <w:jc w:val="center"/>
              <w:rPr>
                <w:sz w:val="20"/>
                <w:szCs w:val="20"/>
                <w:lang w:val="fr-FR"/>
              </w:rPr>
            </w:pPr>
            <w:r>
              <w:rPr>
                <w:sz w:val="20"/>
                <w:szCs w:val="20"/>
                <w:lang w:val="fr-FR"/>
              </w:rPr>
              <w:t>12</w:t>
            </w:r>
          </w:p>
        </w:tc>
        <w:tc>
          <w:tcPr>
            <w:tcW w:w="1048" w:type="dxa"/>
          </w:tcPr>
          <w:p w:rsidR="00000000" w:rsidRDefault="00000000">
            <w:pPr>
              <w:widowControl w:val="0"/>
              <w:spacing w:before="80" w:after="80"/>
              <w:jc w:val="center"/>
              <w:rPr>
                <w:sz w:val="20"/>
                <w:szCs w:val="20"/>
                <w:lang w:val="fr-FR"/>
              </w:rPr>
            </w:pPr>
            <w:r>
              <w:rPr>
                <w:sz w:val="20"/>
                <w:szCs w:val="20"/>
                <w:lang w:val="fr-FR"/>
              </w:rPr>
              <w:t>8</w:t>
            </w:r>
          </w:p>
        </w:tc>
      </w:tr>
      <w:tr w:rsidR="00000000">
        <w:tblPrEx>
          <w:tblCellMar>
            <w:top w:w="0" w:type="dxa"/>
            <w:bottom w:w="0" w:type="dxa"/>
          </w:tblCellMar>
        </w:tblPrEx>
        <w:tc>
          <w:tcPr>
            <w:tcW w:w="1047" w:type="dxa"/>
          </w:tcPr>
          <w:p w:rsidR="00000000" w:rsidRDefault="00000000">
            <w:pPr>
              <w:widowControl w:val="0"/>
              <w:spacing w:before="80" w:after="80"/>
              <w:jc w:val="center"/>
              <w:rPr>
                <w:sz w:val="20"/>
                <w:szCs w:val="20"/>
                <w:lang w:val="fr-FR"/>
              </w:rPr>
            </w:pPr>
            <w:r>
              <w:rPr>
                <w:sz w:val="20"/>
                <w:szCs w:val="20"/>
                <w:lang w:val="fr-FR"/>
              </w:rPr>
              <w:t>1999</w:t>
            </w:r>
          </w:p>
        </w:tc>
        <w:tc>
          <w:tcPr>
            <w:tcW w:w="1047" w:type="dxa"/>
          </w:tcPr>
          <w:p w:rsidR="00000000" w:rsidRDefault="00000000">
            <w:pPr>
              <w:widowControl w:val="0"/>
              <w:spacing w:before="80" w:after="80"/>
              <w:jc w:val="center"/>
              <w:rPr>
                <w:sz w:val="20"/>
                <w:szCs w:val="20"/>
                <w:lang w:val="fr-FR"/>
              </w:rPr>
            </w:pPr>
            <w:r>
              <w:rPr>
                <w:sz w:val="20"/>
                <w:szCs w:val="20"/>
                <w:lang w:val="fr-FR"/>
              </w:rPr>
              <w:t>118</w:t>
            </w:r>
          </w:p>
        </w:tc>
        <w:tc>
          <w:tcPr>
            <w:tcW w:w="1047" w:type="dxa"/>
          </w:tcPr>
          <w:p w:rsidR="00000000" w:rsidRDefault="00000000">
            <w:pPr>
              <w:widowControl w:val="0"/>
              <w:spacing w:before="80" w:after="80"/>
              <w:jc w:val="center"/>
              <w:rPr>
                <w:sz w:val="20"/>
                <w:szCs w:val="20"/>
                <w:lang w:val="fr-FR"/>
              </w:rPr>
            </w:pPr>
            <w:r>
              <w:rPr>
                <w:sz w:val="20"/>
                <w:szCs w:val="20"/>
                <w:lang w:val="fr-FR"/>
              </w:rPr>
              <w:t>73</w:t>
            </w:r>
          </w:p>
        </w:tc>
        <w:tc>
          <w:tcPr>
            <w:tcW w:w="1048" w:type="dxa"/>
          </w:tcPr>
          <w:p w:rsidR="00000000" w:rsidRDefault="00000000">
            <w:pPr>
              <w:widowControl w:val="0"/>
              <w:spacing w:before="80" w:after="80"/>
              <w:jc w:val="center"/>
              <w:rPr>
                <w:sz w:val="20"/>
                <w:szCs w:val="20"/>
                <w:lang w:val="fr-FR"/>
              </w:rPr>
            </w:pPr>
            <w:r>
              <w:rPr>
                <w:sz w:val="20"/>
                <w:szCs w:val="20"/>
                <w:lang w:val="fr-FR"/>
              </w:rPr>
              <w:t>119</w:t>
            </w:r>
          </w:p>
        </w:tc>
        <w:tc>
          <w:tcPr>
            <w:tcW w:w="1048" w:type="dxa"/>
          </w:tcPr>
          <w:p w:rsidR="00000000" w:rsidRDefault="00000000">
            <w:pPr>
              <w:widowControl w:val="0"/>
              <w:spacing w:before="80" w:after="80"/>
              <w:jc w:val="center"/>
              <w:rPr>
                <w:sz w:val="20"/>
                <w:szCs w:val="20"/>
                <w:lang w:val="fr-FR"/>
              </w:rPr>
            </w:pPr>
            <w:r>
              <w:rPr>
                <w:sz w:val="20"/>
                <w:szCs w:val="20"/>
                <w:lang w:val="fr-FR"/>
              </w:rPr>
              <w:t>63</w:t>
            </w:r>
          </w:p>
        </w:tc>
        <w:tc>
          <w:tcPr>
            <w:tcW w:w="1048" w:type="dxa"/>
          </w:tcPr>
          <w:p w:rsidR="00000000" w:rsidRDefault="00000000">
            <w:pPr>
              <w:widowControl w:val="0"/>
              <w:spacing w:before="80" w:after="80"/>
              <w:jc w:val="center"/>
              <w:rPr>
                <w:sz w:val="20"/>
                <w:szCs w:val="20"/>
                <w:lang w:val="fr-FR"/>
              </w:rPr>
            </w:pPr>
            <w:r>
              <w:rPr>
                <w:sz w:val="20"/>
                <w:szCs w:val="20"/>
                <w:lang w:val="fr-FR"/>
              </w:rPr>
              <w:t>63</w:t>
            </w:r>
          </w:p>
        </w:tc>
        <w:tc>
          <w:tcPr>
            <w:tcW w:w="1048" w:type="dxa"/>
          </w:tcPr>
          <w:p w:rsidR="00000000" w:rsidRDefault="00000000">
            <w:pPr>
              <w:widowControl w:val="0"/>
              <w:spacing w:before="80" w:after="80"/>
              <w:jc w:val="center"/>
              <w:rPr>
                <w:sz w:val="20"/>
                <w:szCs w:val="20"/>
                <w:lang w:val="fr-FR"/>
              </w:rPr>
            </w:pPr>
            <w:r>
              <w:rPr>
                <w:sz w:val="20"/>
                <w:szCs w:val="20"/>
                <w:lang w:val="fr-FR"/>
              </w:rPr>
              <w:t>48</w:t>
            </w:r>
          </w:p>
        </w:tc>
        <w:tc>
          <w:tcPr>
            <w:tcW w:w="1048" w:type="dxa"/>
          </w:tcPr>
          <w:p w:rsidR="00000000" w:rsidRDefault="00000000">
            <w:pPr>
              <w:widowControl w:val="0"/>
              <w:spacing w:before="80" w:after="80"/>
              <w:jc w:val="center"/>
              <w:rPr>
                <w:sz w:val="20"/>
                <w:szCs w:val="20"/>
                <w:lang w:val="fr-FR"/>
              </w:rPr>
            </w:pPr>
            <w:r>
              <w:rPr>
                <w:sz w:val="20"/>
                <w:szCs w:val="20"/>
                <w:lang w:val="fr-FR"/>
              </w:rPr>
              <w:t>14</w:t>
            </w:r>
          </w:p>
        </w:tc>
        <w:tc>
          <w:tcPr>
            <w:tcW w:w="1048" w:type="dxa"/>
          </w:tcPr>
          <w:p w:rsidR="00000000" w:rsidRDefault="00000000">
            <w:pPr>
              <w:widowControl w:val="0"/>
              <w:spacing w:before="80" w:after="80"/>
              <w:jc w:val="center"/>
              <w:rPr>
                <w:sz w:val="20"/>
                <w:szCs w:val="20"/>
                <w:lang w:val="fr-FR"/>
              </w:rPr>
            </w:pPr>
            <w:r>
              <w:rPr>
                <w:sz w:val="20"/>
                <w:szCs w:val="20"/>
                <w:lang w:val="fr-FR"/>
              </w:rPr>
              <w:t>10</w:t>
            </w:r>
          </w:p>
        </w:tc>
      </w:tr>
      <w:tr w:rsidR="00000000">
        <w:tblPrEx>
          <w:tblCellMar>
            <w:top w:w="0" w:type="dxa"/>
            <w:bottom w:w="0" w:type="dxa"/>
          </w:tblCellMar>
        </w:tblPrEx>
        <w:tc>
          <w:tcPr>
            <w:tcW w:w="1047" w:type="dxa"/>
            <w:tcBorders>
              <w:bottom w:val="single" w:sz="4" w:space="0" w:color="auto"/>
            </w:tcBorders>
          </w:tcPr>
          <w:p w:rsidR="00000000" w:rsidRDefault="00000000">
            <w:pPr>
              <w:widowControl w:val="0"/>
              <w:spacing w:before="80" w:after="80"/>
              <w:jc w:val="center"/>
              <w:rPr>
                <w:sz w:val="20"/>
                <w:szCs w:val="20"/>
                <w:lang w:val="fr-FR"/>
              </w:rPr>
            </w:pPr>
            <w:r>
              <w:rPr>
                <w:sz w:val="20"/>
                <w:szCs w:val="20"/>
                <w:lang w:val="fr-FR"/>
              </w:rPr>
              <w:t>2000</w:t>
            </w:r>
          </w:p>
        </w:tc>
        <w:tc>
          <w:tcPr>
            <w:tcW w:w="1047" w:type="dxa"/>
            <w:tcBorders>
              <w:bottom w:val="single" w:sz="4" w:space="0" w:color="auto"/>
            </w:tcBorders>
          </w:tcPr>
          <w:p w:rsidR="00000000" w:rsidRDefault="00000000">
            <w:pPr>
              <w:widowControl w:val="0"/>
              <w:spacing w:before="80" w:after="80"/>
              <w:jc w:val="center"/>
              <w:rPr>
                <w:sz w:val="20"/>
                <w:szCs w:val="20"/>
                <w:lang w:val="fr-FR"/>
              </w:rPr>
            </w:pPr>
            <w:r>
              <w:rPr>
                <w:sz w:val="20"/>
                <w:szCs w:val="20"/>
                <w:lang w:val="fr-FR"/>
              </w:rPr>
              <w:t>108</w:t>
            </w:r>
          </w:p>
        </w:tc>
        <w:tc>
          <w:tcPr>
            <w:tcW w:w="1047" w:type="dxa"/>
            <w:tcBorders>
              <w:bottom w:val="single" w:sz="4" w:space="0" w:color="auto"/>
            </w:tcBorders>
          </w:tcPr>
          <w:p w:rsidR="00000000" w:rsidRDefault="00000000">
            <w:pPr>
              <w:widowControl w:val="0"/>
              <w:spacing w:before="80" w:after="80"/>
              <w:jc w:val="center"/>
              <w:rPr>
                <w:sz w:val="20"/>
                <w:szCs w:val="20"/>
                <w:lang w:val="fr-FR"/>
              </w:rPr>
            </w:pPr>
            <w:r>
              <w:rPr>
                <w:sz w:val="20"/>
                <w:szCs w:val="20"/>
                <w:lang w:val="fr-FR"/>
              </w:rPr>
              <w:t>70</w:t>
            </w:r>
          </w:p>
        </w:tc>
        <w:tc>
          <w:tcPr>
            <w:tcW w:w="1048" w:type="dxa"/>
            <w:tcBorders>
              <w:bottom w:val="single" w:sz="4" w:space="0" w:color="auto"/>
            </w:tcBorders>
          </w:tcPr>
          <w:p w:rsidR="00000000" w:rsidRDefault="00000000">
            <w:pPr>
              <w:widowControl w:val="0"/>
              <w:spacing w:before="80" w:after="80"/>
              <w:jc w:val="center"/>
              <w:rPr>
                <w:sz w:val="20"/>
                <w:szCs w:val="20"/>
                <w:lang w:val="fr-FR"/>
              </w:rPr>
            </w:pPr>
            <w:r>
              <w:rPr>
                <w:sz w:val="20"/>
                <w:szCs w:val="20"/>
                <w:lang w:val="fr-FR"/>
              </w:rPr>
              <w:t>123</w:t>
            </w:r>
          </w:p>
        </w:tc>
        <w:tc>
          <w:tcPr>
            <w:tcW w:w="1048" w:type="dxa"/>
            <w:tcBorders>
              <w:bottom w:val="single" w:sz="4" w:space="0" w:color="auto"/>
            </w:tcBorders>
          </w:tcPr>
          <w:p w:rsidR="00000000" w:rsidRDefault="00000000">
            <w:pPr>
              <w:widowControl w:val="0"/>
              <w:spacing w:before="80" w:after="80"/>
              <w:jc w:val="center"/>
              <w:rPr>
                <w:sz w:val="20"/>
                <w:szCs w:val="20"/>
                <w:lang w:val="fr-FR"/>
              </w:rPr>
            </w:pPr>
            <w:r>
              <w:rPr>
                <w:sz w:val="20"/>
                <w:szCs w:val="20"/>
                <w:lang w:val="fr-FR"/>
              </w:rPr>
              <w:t>68</w:t>
            </w:r>
          </w:p>
        </w:tc>
        <w:tc>
          <w:tcPr>
            <w:tcW w:w="1048" w:type="dxa"/>
            <w:tcBorders>
              <w:bottom w:val="single" w:sz="4" w:space="0" w:color="auto"/>
            </w:tcBorders>
          </w:tcPr>
          <w:p w:rsidR="00000000" w:rsidRDefault="00000000">
            <w:pPr>
              <w:widowControl w:val="0"/>
              <w:spacing w:before="80" w:after="80"/>
              <w:jc w:val="center"/>
              <w:rPr>
                <w:sz w:val="20"/>
                <w:szCs w:val="20"/>
                <w:lang w:val="fr-FR"/>
              </w:rPr>
            </w:pPr>
            <w:r>
              <w:rPr>
                <w:sz w:val="20"/>
                <w:szCs w:val="20"/>
                <w:lang w:val="fr-FR"/>
              </w:rPr>
              <w:t>63</w:t>
            </w:r>
          </w:p>
        </w:tc>
        <w:tc>
          <w:tcPr>
            <w:tcW w:w="1048" w:type="dxa"/>
            <w:tcBorders>
              <w:bottom w:val="single" w:sz="4" w:space="0" w:color="auto"/>
            </w:tcBorders>
          </w:tcPr>
          <w:p w:rsidR="00000000" w:rsidRDefault="00000000">
            <w:pPr>
              <w:widowControl w:val="0"/>
              <w:spacing w:before="80" w:after="80"/>
              <w:jc w:val="center"/>
              <w:rPr>
                <w:sz w:val="20"/>
                <w:szCs w:val="20"/>
                <w:lang w:val="fr-FR"/>
              </w:rPr>
            </w:pPr>
            <w:r>
              <w:rPr>
                <w:sz w:val="20"/>
                <w:szCs w:val="20"/>
                <w:lang w:val="fr-FR"/>
              </w:rPr>
              <w:t>49</w:t>
            </w:r>
          </w:p>
        </w:tc>
        <w:tc>
          <w:tcPr>
            <w:tcW w:w="1048" w:type="dxa"/>
            <w:tcBorders>
              <w:bottom w:val="single" w:sz="4" w:space="0" w:color="auto"/>
            </w:tcBorders>
          </w:tcPr>
          <w:p w:rsidR="00000000" w:rsidRDefault="00000000">
            <w:pPr>
              <w:widowControl w:val="0"/>
              <w:spacing w:before="80" w:after="80"/>
              <w:jc w:val="center"/>
              <w:rPr>
                <w:sz w:val="20"/>
                <w:szCs w:val="20"/>
                <w:lang w:val="fr-FR"/>
              </w:rPr>
            </w:pPr>
            <w:r>
              <w:rPr>
                <w:sz w:val="20"/>
                <w:szCs w:val="20"/>
                <w:lang w:val="fr-FR"/>
              </w:rPr>
              <w:t>18</w:t>
            </w:r>
          </w:p>
        </w:tc>
        <w:tc>
          <w:tcPr>
            <w:tcW w:w="1048" w:type="dxa"/>
            <w:tcBorders>
              <w:bottom w:val="single" w:sz="4" w:space="0" w:color="auto"/>
            </w:tcBorders>
          </w:tcPr>
          <w:p w:rsidR="00000000" w:rsidRDefault="00000000">
            <w:pPr>
              <w:widowControl w:val="0"/>
              <w:spacing w:before="80" w:after="80"/>
              <w:jc w:val="center"/>
              <w:rPr>
                <w:sz w:val="20"/>
                <w:szCs w:val="20"/>
                <w:lang w:val="fr-FR"/>
              </w:rPr>
            </w:pPr>
            <w:r>
              <w:rPr>
                <w:sz w:val="20"/>
                <w:szCs w:val="20"/>
                <w:lang w:val="fr-FR"/>
              </w:rPr>
              <w:t>12</w:t>
            </w:r>
          </w:p>
        </w:tc>
      </w:tr>
    </w:tbl>
    <w:p w:rsidR="00000000" w:rsidRDefault="00000000">
      <w:pPr>
        <w:pStyle w:val="Heading1"/>
        <w:spacing w:beforeLines="40" w:before="96" w:afterLines="40" w:after="96"/>
        <w:ind w:firstLine="567"/>
        <w:rPr>
          <w:rFonts w:ascii="Times New Roman" w:hAnsi="Times New Roman" w:cs="Times New Roman"/>
          <w:b w:val="0"/>
          <w:iCs/>
          <w:sz w:val="20"/>
          <w:szCs w:val="20"/>
        </w:rPr>
      </w:pPr>
      <w:r>
        <w:rPr>
          <w:rFonts w:ascii="Times New Roman" w:hAnsi="Times New Roman" w:cs="Times New Roman"/>
          <w:b w:val="0"/>
          <w:i/>
          <w:sz w:val="20"/>
          <w:szCs w:val="20"/>
        </w:rPr>
        <w:t xml:space="preserve">Source: </w:t>
      </w:r>
      <w:r>
        <w:rPr>
          <w:rFonts w:ascii="Times New Roman" w:hAnsi="Times New Roman" w:cs="Times New Roman"/>
          <w:b w:val="0"/>
          <w:iCs/>
          <w:sz w:val="20"/>
          <w:szCs w:val="20"/>
        </w:rPr>
        <w:t>MEC. DGPEC.</w:t>
      </w:r>
    </w:p>
    <w:p w:rsidR="00000000" w:rsidRDefault="00000000">
      <w:pPr>
        <w:spacing w:after="240"/>
        <w:ind w:firstLine="567"/>
        <w:rPr>
          <w:sz w:val="20"/>
          <w:szCs w:val="16"/>
        </w:rPr>
      </w:pPr>
      <w:r>
        <w:rPr>
          <w:bCs/>
          <w:i/>
          <w:iCs/>
          <w:sz w:val="20"/>
          <w:szCs w:val="16"/>
        </w:rPr>
        <w:t xml:space="preserve">Comment: </w:t>
      </w:r>
      <w:r>
        <w:rPr>
          <w:sz w:val="20"/>
          <w:szCs w:val="16"/>
        </w:rPr>
        <w:t>The Department of Educational and Cultural Planning of the Ministry of Education and Culture (DGPEC, MEC) has been unable to process the gross and net rates by area (from 2001-2005), owing to the lack of a population projection based on actual ages and geographical area. (This information is currently being adjusted by the Directorate-General for Statistics. Surveys and Censuses)</w:t>
      </w:r>
    </w:p>
    <w:p w:rsidR="00000000" w:rsidRDefault="00000000">
      <w:pPr>
        <w:spacing w:after="240"/>
        <w:rPr>
          <w:b/>
          <w:iCs/>
        </w:rPr>
      </w:pPr>
      <w:r>
        <w:rPr>
          <w:b/>
          <w:iCs/>
        </w:rPr>
        <w:t>1.2</w:t>
      </w:r>
      <w:r>
        <w:rPr>
          <w:b/>
          <w:iCs/>
        </w:rPr>
        <w:tab/>
        <w:t xml:space="preserve">Basic school education </w:t>
      </w:r>
    </w:p>
    <w:p w:rsidR="00000000" w:rsidRDefault="00000000">
      <w:pPr>
        <w:spacing w:after="240"/>
        <w:rPr>
          <w:spacing w:val="-2"/>
        </w:rPr>
      </w:pPr>
      <w:r>
        <w:rPr>
          <w:spacing w:val="-2"/>
        </w:rPr>
        <w:t>43.</w:t>
      </w:r>
      <w:r>
        <w:rPr>
          <w:spacing w:val="-2"/>
        </w:rPr>
        <w:tab/>
        <w:t>Throughout the period under consideration the gross enrolment rate (GER) has been over 100 per cent; it must therefore be borne in mind that the base data stems from population projections; there are also signs of a high over-age rate of access that affects the entire system. The net rate, which stood at 69 per cent in 1994, has shown a tendency to increase in the ensuing years.</w:t>
      </w:r>
    </w:p>
    <w:p w:rsidR="00000000" w:rsidRDefault="00000000">
      <w:pPr>
        <w:pStyle w:val="xl23"/>
        <w:spacing w:before="0" w:beforeAutospacing="0" w:after="240" w:afterAutospacing="0"/>
        <w:rPr>
          <w:rFonts w:ascii="Times New Roman" w:hAnsi="Times New Roman" w:cs="Times New Roman"/>
          <w:bCs w:val="0"/>
          <w:iCs/>
          <w:lang w:val="en-GB" w:eastAsia="en-US"/>
        </w:rPr>
      </w:pPr>
      <w:r>
        <w:rPr>
          <w:rFonts w:ascii="Times New Roman" w:hAnsi="Times New Roman" w:cs="Times New Roman"/>
          <w:bCs w:val="0"/>
          <w:iCs/>
          <w:lang w:val="en-GB" w:eastAsia="en-US"/>
        </w:rPr>
        <w:t>1.3.</w:t>
      </w:r>
      <w:r>
        <w:rPr>
          <w:rFonts w:ascii="Times New Roman" w:hAnsi="Times New Roman" w:cs="Times New Roman"/>
          <w:bCs w:val="0"/>
          <w:iCs/>
          <w:lang w:val="en-GB" w:eastAsia="en-US"/>
        </w:rPr>
        <w:tab/>
        <w:t>Secondary education</w:t>
      </w:r>
    </w:p>
    <w:p w:rsidR="00000000" w:rsidRDefault="00000000">
      <w:pPr>
        <w:spacing w:after="240"/>
        <w:rPr>
          <w:lang w:val="en-US"/>
        </w:rPr>
      </w:pPr>
      <w:r>
        <w:t>44.</w:t>
      </w:r>
      <w:r>
        <w:tab/>
        <w:t xml:space="preserve">During the period 1994-2005 the gross and net enrolment rates posted increases of 22 and 18 percentage points respectively; however, coverage at this level remains inadequate, since the rates have remained below 45 per cent at the national level. Disaggregation of coverage by area shows that enrolment in rural areas is a good deal lower than in urban areas, so that the growth of the gross rate in urban areas is higher than in rural areas. The existing difference in coverage in favour of urban areas could be explained not only by internal migrations and urbanization processes, but also by lower educational supply in rural areas. </w:t>
      </w:r>
      <w:r>
        <w:rPr>
          <w:lang w:val="en-US"/>
        </w:rPr>
        <w:t>A statistical analysis is provided below.</w:t>
      </w:r>
    </w:p>
    <w:p w:rsidR="00000000" w:rsidRDefault="00000000">
      <w:pPr>
        <w:spacing w:beforeLines="40" w:before="96" w:afterLines="100" w:after="240"/>
        <w:jc w:val="center"/>
        <w:rPr>
          <w:b/>
          <w:bCs/>
          <w:sz w:val="22"/>
          <w:szCs w:val="28"/>
          <w:lang w:val="en-US"/>
        </w:rPr>
      </w:pPr>
      <w:r>
        <w:rPr>
          <w:b/>
          <w:bCs/>
          <w:sz w:val="22"/>
          <w:szCs w:val="28"/>
          <w:lang w:val="en-US"/>
        </w:rPr>
        <w:t>Growth of enrolment by area, level and/or cycle. Years 1994-2006</w:t>
      </w:r>
    </w:p>
    <w:tbl>
      <w:tblPr>
        <w:tblW w:w="5004" w:type="pct"/>
        <w:jc w:val="center"/>
        <w:tblLayout w:type="fixed"/>
        <w:tblCellMar>
          <w:left w:w="0" w:type="dxa"/>
          <w:right w:w="0" w:type="dxa"/>
        </w:tblCellMar>
        <w:tblLook w:val="0000" w:firstRow="0" w:lastRow="0" w:firstColumn="0" w:lastColumn="0" w:noHBand="0" w:noVBand="0"/>
      </w:tblPr>
      <w:tblGrid>
        <w:gridCol w:w="9"/>
        <w:gridCol w:w="1795"/>
        <w:gridCol w:w="1134"/>
        <w:gridCol w:w="980"/>
        <w:gridCol w:w="938"/>
        <w:gridCol w:w="951"/>
        <w:gridCol w:w="980"/>
        <w:gridCol w:w="997"/>
        <w:gridCol w:w="8"/>
        <w:gridCol w:w="771"/>
        <w:gridCol w:w="8"/>
        <w:gridCol w:w="858"/>
        <w:gridCol w:w="8"/>
      </w:tblGrid>
      <w:tr w:rsidR="00000000">
        <w:tblPrEx>
          <w:tblCellMar>
            <w:top w:w="0" w:type="dxa"/>
            <w:bottom w:w="0" w:type="dxa"/>
          </w:tblCellMar>
        </w:tblPrEx>
        <w:trPr>
          <w:gridAfter w:val="1"/>
          <w:wAfter w:w="8" w:type="dxa"/>
          <w:cantSplit/>
          <w:jc w:val="center"/>
        </w:trPr>
        <w:tc>
          <w:tcPr>
            <w:tcW w:w="1804" w:type="dxa"/>
            <w:gridSpan w:val="2"/>
            <w:vMerge w:val="restart"/>
            <w:tcBorders>
              <w:top w:val="single" w:sz="4" w:space="0" w:color="auto"/>
              <w:bottom w:val="single" w:sz="4" w:space="0" w:color="auto"/>
            </w:tcBorders>
            <w:vAlign w:val="center"/>
          </w:tcPr>
          <w:p w:rsidR="00000000" w:rsidRDefault="00000000">
            <w:pPr>
              <w:pStyle w:val="Heading8"/>
              <w:rPr>
                <w:i/>
                <w:iCs/>
                <w:lang w:val="en-US"/>
              </w:rPr>
            </w:pPr>
            <w:r>
              <w:rPr>
                <w:i/>
                <w:iCs/>
                <w:lang w:val="en-US"/>
              </w:rPr>
              <w:t>Year</w:t>
            </w:r>
          </w:p>
        </w:tc>
        <w:tc>
          <w:tcPr>
            <w:tcW w:w="4003" w:type="dxa"/>
            <w:gridSpan w:val="4"/>
            <w:tcBorders>
              <w:top w:val="single" w:sz="4" w:space="0" w:color="auto"/>
              <w:bottom w:val="single" w:sz="4" w:space="0" w:color="auto"/>
            </w:tcBorders>
            <w:vAlign w:val="center"/>
          </w:tcPr>
          <w:p w:rsidR="00000000" w:rsidRDefault="00000000">
            <w:pPr>
              <w:widowControl w:val="0"/>
              <w:spacing w:before="80" w:after="80"/>
              <w:jc w:val="center"/>
              <w:rPr>
                <w:b/>
                <w:bCs/>
                <w:i/>
                <w:iCs/>
                <w:noProof/>
                <w:sz w:val="20"/>
                <w:szCs w:val="20"/>
                <w:lang w:val="en-US"/>
              </w:rPr>
            </w:pPr>
            <w:r>
              <w:rPr>
                <w:b/>
                <w:bCs/>
                <w:i/>
                <w:iCs/>
                <w:sz w:val="20"/>
              </w:rPr>
              <w:t>Urban</w:t>
            </w:r>
          </w:p>
        </w:tc>
        <w:tc>
          <w:tcPr>
            <w:tcW w:w="3622" w:type="dxa"/>
            <w:gridSpan w:val="6"/>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en-US"/>
              </w:rPr>
            </w:pPr>
            <w:r>
              <w:rPr>
                <w:b/>
                <w:bCs/>
                <w:i/>
                <w:iCs/>
                <w:sz w:val="20"/>
              </w:rPr>
              <w:t>Rural</w:t>
            </w:r>
          </w:p>
        </w:tc>
      </w:tr>
      <w:tr w:rsidR="00000000">
        <w:tblPrEx>
          <w:tblCellMar>
            <w:top w:w="0" w:type="dxa"/>
            <w:bottom w:w="0" w:type="dxa"/>
          </w:tblCellMar>
        </w:tblPrEx>
        <w:trPr>
          <w:gridAfter w:val="1"/>
          <w:wAfter w:w="8" w:type="dxa"/>
          <w:cantSplit/>
          <w:jc w:val="center"/>
        </w:trPr>
        <w:tc>
          <w:tcPr>
            <w:tcW w:w="1804" w:type="dxa"/>
            <w:gridSpan w:val="2"/>
            <w:vMerge/>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en-US"/>
              </w:rPr>
            </w:pPr>
          </w:p>
        </w:tc>
        <w:tc>
          <w:tcPr>
            <w:tcW w:w="1134"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en-US"/>
              </w:rPr>
            </w:pPr>
            <w:r>
              <w:rPr>
                <w:b/>
                <w:bCs/>
                <w:i/>
                <w:iCs/>
                <w:sz w:val="20"/>
              </w:rPr>
              <w:t>Pre-school</w:t>
            </w:r>
          </w:p>
        </w:tc>
        <w:tc>
          <w:tcPr>
            <w:tcW w:w="980"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en-US"/>
              </w:rPr>
            </w:pPr>
            <w:r>
              <w:rPr>
                <w:b/>
                <w:bCs/>
                <w:i/>
                <w:iCs/>
                <w:sz w:val="20"/>
              </w:rPr>
              <w:t>EEB 1</w:t>
            </w:r>
            <w:r>
              <w:rPr>
                <w:b/>
                <w:bCs/>
                <w:i/>
                <w:iCs/>
                <w:sz w:val="20"/>
                <w:vertAlign w:val="superscript"/>
              </w:rPr>
              <w:t>st</w:t>
            </w:r>
            <w:r>
              <w:rPr>
                <w:b/>
                <w:bCs/>
                <w:i/>
                <w:iCs/>
                <w:sz w:val="20"/>
              </w:rPr>
              <w:t xml:space="preserve"> and 2</w:t>
            </w:r>
            <w:r>
              <w:rPr>
                <w:b/>
                <w:bCs/>
                <w:i/>
                <w:iCs/>
                <w:sz w:val="20"/>
                <w:vertAlign w:val="superscript"/>
              </w:rPr>
              <w:t>nd</w:t>
            </w:r>
            <w:r>
              <w:rPr>
                <w:b/>
                <w:bCs/>
                <w:i/>
                <w:iCs/>
                <w:sz w:val="20"/>
              </w:rPr>
              <w:t xml:space="preserve"> cycle (Primary)</w:t>
            </w:r>
          </w:p>
        </w:tc>
        <w:tc>
          <w:tcPr>
            <w:tcW w:w="938"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en-US"/>
              </w:rPr>
            </w:pPr>
            <w:r>
              <w:rPr>
                <w:b/>
                <w:bCs/>
                <w:i/>
                <w:iCs/>
                <w:sz w:val="20"/>
              </w:rPr>
              <w:t>EEB 3</w:t>
            </w:r>
            <w:r>
              <w:rPr>
                <w:b/>
                <w:bCs/>
                <w:i/>
                <w:iCs/>
                <w:sz w:val="20"/>
                <w:vertAlign w:val="superscript"/>
              </w:rPr>
              <w:t>rd</w:t>
            </w:r>
            <w:r>
              <w:rPr>
                <w:b/>
                <w:bCs/>
                <w:i/>
                <w:iCs/>
                <w:sz w:val="20"/>
              </w:rPr>
              <w:t xml:space="preserve"> cycle (Basic cycle)</w:t>
            </w:r>
          </w:p>
        </w:tc>
        <w:tc>
          <w:tcPr>
            <w:tcW w:w="951"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en-US"/>
              </w:rPr>
            </w:pPr>
            <w:r>
              <w:rPr>
                <w:b/>
                <w:bCs/>
                <w:i/>
                <w:iCs/>
                <w:sz w:val="20"/>
              </w:rPr>
              <w:t>Secondary education</w:t>
            </w:r>
          </w:p>
        </w:tc>
        <w:tc>
          <w:tcPr>
            <w:tcW w:w="980" w:type="dxa"/>
            <w:tcBorders>
              <w:top w:val="single" w:sz="4" w:space="0" w:color="auto"/>
              <w:bottom w:val="single" w:sz="4" w:space="0" w:color="auto"/>
            </w:tcBorders>
            <w:vAlign w:val="center"/>
          </w:tcPr>
          <w:p w:rsidR="00000000" w:rsidRDefault="00000000">
            <w:pPr>
              <w:pStyle w:val="Heading4"/>
              <w:widowControl w:val="0"/>
              <w:rPr>
                <w:szCs w:val="24"/>
                <w:lang w:val="en-US"/>
              </w:rPr>
            </w:pPr>
            <w:r>
              <w:rPr>
                <w:szCs w:val="24"/>
              </w:rPr>
              <w:t>Pre-school</w:t>
            </w:r>
          </w:p>
        </w:tc>
        <w:tc>
          <w:tcPr>
            <w:tcW w:w="997"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en-US"/>
              </w:rPr>
            </w:pPr>
            <w:r>
              <w:rPr>
                <w:b/>
                <w:bCs/>
                <w:i/>
                <w:iCs/>
                <w:sz w:val="20"/>
              </w:rPr>
              <w:t>EEB 1</w:t>
            </w:r>
            <w:r>
              <w:rPr>
                <w:b/>
                <w:bCs/>
                <w:i/>
                <w:iCs/>
                <w:sz w:val="20"/>
                <w:vertAlign w:val="superscript"/>
              </w:rPr>
              <w:t>st</w:t>
            </w:r>
            <w:r>
              <w:rPr>
                <w:b/>
                <w:bCs/>
                <w:i/>
                <w:iCs/>
                <w:sz w:val="20"/>
              </w:rPr>
              <w:t xml:space="preserve"> and 2</w:t>
            </w:r>
            <w:r>
              <w:rPr>
                <w:b/>
                <w:bCs/>
                <w:i/>
                <w:iCs/>
                <w:sz w:val="20"/>
                <w:vertAlign w:val="superscript"/>
              </w:rPr>
              <w:t>nd</w:t>
            </w:r>
            <w:r>
              <w:rPr>
                <w:b/>
                <w:bCs/>
                <w:i/>
                <w:iCs/>
                <w:sz w:val="20"/>
              </w:rPr>
              <w:t xml:space="preserve"> cycle (Primary)</w:t>
            </w:r>
          </w:p>
        </w:tc>
        <w:tc>
          <w:tcPr>
            <w:tcW w:w="779"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en-US"/>
              </w:rPr>
            </w:pPr>
            <w:r>
              <w:rPr>
                <w:b/>
                <w:bCs/>
                <w:i/>
                <w:iCs/>
                <w:sz w:val="20"/>
              </w:rPr>
              <w:t>EEB 3</w:t>
            </w:r>
            <w:r>
              <w:rPr>
                <w:b/>
                <w:bCs/>
                <w:i/>
                <w:iCs/>
                <w:sz w:val="20"/>
                <w:vertAlign w:val="superscript"/>
              </w:rPr>
              <w:t>rd</w:t>
            </w:r>
            <w:r>
              <w:rPr>
                <w:b/>
                <w:bCs/>
                <w:i/>
                <w:iCs/>
                <w:sz w:val="20"/>
              </w:rPr>
              <w:t xml:space="preserve"> cycle (Basic cycle)</w:t>
            </w:r>
          </w:p>
        </w:tc>
        <w:tc>
          <w:tcPr>
            <w:tcW w:w="866"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en-US"/>
              </w:rPr>
            </w:pPr>
            <w:r>
              <w:rPr>
                <w:b/>
                <w:bCs/>
                <w:i/>
                <w:iCs/>
                <w:sz w:val="20"/>
              </w:rPr>
              <w:t>Second-ary education</w:t>
            </w:r>
          </w:p>
        </w:tc>
      </w:tr>
      <w:tr w:rsidR="00000000">
        <w:tblPrEx>
          <w:tblCellMar>
            <w:top w:w="0" w:type="dxa"/>
            <w:bottom w:w="0" w:type="dxa"/>
          </w:tblCellMar>
        </w:tblPrEx>
        <w:trPr>
          <w:gridBefore w:val="1"/>
          <w:wBefore w:w="9" w:type="dxa"/>
          <w:jc w:val="center"/>
        </w:trPr>
        <w:tc>
          <w:tcPr>
            <w:tcW w:w="1795" w:type="dxa"/>
            <w:tcBorders>
              <w:top w:val="single" w:sz="4" w:space="0" w:color="auto"/>
            </w:tcBorders>
          </w:tcPr>
          <w:p w:rsidR="00000000" w:rsidRDefault="00000000">
            <w:pPr>
              <w:widowControl w:val="0"/>
              <w:spacing w:before="80" w:after="80"/>
              <w:rPr>
                <w:sz w:val="18"/>
                <w:szCs w:val="20"/>
                <w:lang w:val="en-US"/>
              </w:rPr>
            </w:pPr>
            <w:r>
              <w:rPr>
                <w:sz w:val="18"/>
                <w:szCs w:val="20"/>
                <w:lang w:val="en-US"/>
              </w:rPr>
              <w:t>1994</w:t>
            </w:r>
          </w:p>
        </w:tc>
        <w:tc>
          <w:tcPr>
            <w:tcW w:w="1134" w:type="dxa"/>
            <w:tcBorders>
              <w:top w:val="single" w:sz="4" w:space="0" w:color="auto"/>
            </w:tcBorders>
          </w:tcPr>
          <w:p w:rsidR="00000000" w:rsidRDefault="00000000">
            <w:pPr>
              <w:widowControl w:val="0"/>
              <w:spacing w:before="80" w:after="80"/>
              <w:ind w:right="170"/>
              <w:jc w:val="right"/>
              <w:rPr>
                <w:sz w:val="18"/>
                <w:szCs w:val="20"/>
                <w:lang w:val="en-US"/>
              </w:rPr>
            </w:pPr>
            <w:r>
              <w:rPr>
                <w:sz w:val="18"/>
                <w:szCs w:val="20"/>
                <w:lang w:val="en-US"/>
              </w:rPr>
              <w:t>39 946</w:t>
            </w:r>
          </w:p>
        </w:tc>
        <w:tc>
          <w:tcPr>
            <w:tcW w:w="980" w:type="dxa"/>
            <w:tcBorders>
              <w:top w:val="single" w:sz="4" w:space="0" w:color="auto"/>
            </w:tcBorders>
          </w:tcPr>
          <w:p w:rsidR="00000000" w:rsidRDefault="00000000">
            <w:pPr>
              <w:widowControl w:val="0"/>
              <w:spacing w:before="80" w:after="80"/>
              <w:ind w:right="170"/>
              <w:jc w:val="right"/>
              <w:rPr>
                <w:sz w:val="18"/>
                <w:szCs w:val="20"/>
                <w:lang w:val="en-US"/>
              </w:rPr>
            </w:pPr>
            <w:r>
              <w:rPr>
                <w:sz w:val="18"/>
                <w:szCs w:val="20"/>
                <w:lang w:val="en-US"/>
              </w:rPr>
              <w:t>387 682</w:t>
            </w:r>
          </w:p>
        </w:tc>
        <w:tc>
          <w:tcPr>
            <w:tcW w:w="938" w:type="dxa"/>
            <w:tcBorders>
              <w:top w:val="single" w:sz="4" w:space="0" w:color="auto"/>
            </w:tcBorders>
          </w:tcPr>
          <w:p w:rsidR="00000000" w:rsidRDefault="00000000">
            <w:pPr>
              <w:widowControl w:val="0"/>
              <w:spacing w:before="80" w:after="80"/>
              <w:ind w:right="170"/>
              <w:jc w:val="right"/>
              <w:rPr>
                <w:sz w:val="18"/>
                <w:szCs w:val="20"/>
                <w:lang w:val="en-US"/>
              </w:rPr>
            </w:pPr>
            <w:r>
              <w:rPr>
                <w:sz w:val="18"/>
                <w:szCs w:val="20"/>
                <w:lang w:val="en-US"/>
              </w:rPr>
              <w:t>129 011</w:t>
            </w:r>
          </w:p>
        </w:tc>
        <w:tc>
          <w:tcPr>
            <w:tcW w:w="951" w:type="dxa"/>
            <w:tcBorders>
              <w:top w:val="single" w:sz="4" w:space="0" w:color="auto"/>
            </w:tcBorders>
          </w:tcPr>
          <w:p w:rsidR="00000000" w:rsidRDefault="00000000">
            <w:pPr>
              <w:widowControl w:val="0"/>
              <w:spacing w:before="80" w:after="80"/>
              <w:ind w:right="170"/>
              <w:jc w:val="right"/>
              <w:rPr>
                <w:sz w:val="18"/>
                <w:szCs w:val="20"/>
                <w:lang w:val="en-US"/>
              </w:rPr>
            </w:pPr>
            <w:r>
              <w:rPr>
                <w:sz w:val="18"/>
                <w:szCs w:val="20"/>
                <w:lang w:val="en-US"/>
              </w:rPr>
              <w:t>68 419</w:t>
            </w:r>
          </w:p>
        </w:tc>
        <w:tc>
          <w:tcPr>
            <w:tcW w:w="980" w:type="dxa"/>
            <w:tcBorders>
              <w:top w:val="single" w:sz="4" w:space="0" w:color="auto"/>
            </w:tcBorders>
          </w:tcPr>
          <w:p w:rsidR="00000000" w:rsidRDefault="00000000">
            <w:pPr>
              <w:widowControl w:val="0"/>
              <w:spacing w:before="80" w:after="80"/>
              <w:ind w:right="170"/>
              <w:jc w:val="right"/>
              <w:rPr>
                <w:sz w:val="18"/>
                <w:szCs w:val="20"/>
                <w:lang w:val="en-US"/>
              </w:rPr>
            </w:pPr>
            <w:r>
              <w:rPr>
                <w:sz w:val="18"/>
                <w:szCs w:val="20"/>
                <w:lang w:val="en-US"/>
              </w:rPr>
              <w:t>10 680</w:t>
            </w:r>
          </w:p>
        </w:tc>
        <w:tc>
          <w:tcPr>
            <w:tcW w:w="1005" w:type="dxa"/>
            <w:gridSpan w:val="2"/>
            <w:tcBorders>
              <w:top w:val="single" w:sz="4" w:space="0" w:color="auto"/>
            </w:tcBorders>
          </w:tcPr>
          <w:p w:rsidR="00000000" w:rsidRDefault="00000000">
            <w:pPr>
              <w:widowControl w:val="0"/>
              <w:spacing w:before="80" w:after="80"/>
              <w:ind w:right="170"/>
              <w:jc w:val="right"/>
              <w:rPr>
                <w:sz w:val="18"/>
                <w:szCs w:val="20"/>
                <w:lang w:val="en-US"/>
              </w:rPr>
            </w:pPr>
            <w:r>
              <w:rPr>
                <w:sz w:val="18"/>
                <w:szCs w:val="20"/>
                <w:lang w:val="en-US"/>
              </w:rPr>
              <w:t>447 407</w:t>
            </w:r>
          </w:p>
        </w:tc>
        <w:tc>
          <w:tcPr>
            <w:tcW w:w="779" w:type="dxa"/>
            <w:gridSpan w:val="2"/>
            <w:tcBorders>
              <w:top w:val="single" w:sz="4" w:space="0" w:color="auto"/>
            </w:tcBorders>
          </w:tcPr>
          <w:p w:rsidR="00000000" w:rsidRDefault="00000000">
            <w:pPr>
              <w:widowControl w:val="0"/>
              <w:spacing w:before="80" w:after="80"/>
              <w:ind w:right="170"/>
              <w:jc w:val="right"/>
              <w:rPr>
                <w:sz w:val="18"/>
                <w:szCs w:val="20"/>
                <w:lang w:val="en-US"/>
              </w:rPr>
            </w:pPr>
            <w:r>
              <w:rPr>
                <w:sz w:val="18"/>
                <w:szCs w:val="20"/>
                <w:lang w:val="en-US"/>
              </w:rPr>
              <w:t>30 664</w:t>
            </w:r>
          </w:p>
        </w:tc>
        <w:tc>
          <w:tcPr>
            <w:tcW w:w="866" w:type="dxa"/>
            <w:gridSpan w:val="2"/>
            <w:tcBorders>
              <w:top w:val="single" w:sz="4" w:space="0" w:color="auto"/>
            </w:tcBorders>
          </w:tcPr>
          <w:p w:rsidR="00000000" w:rsidRDefault="00000000">
            <w:pPr>
              <w:widowControl w:val="0"/>
              <w:spacing w:before="80" w:after="80"/>
              <w:ind w:right="170"/>
              <w:jc w:val="right"/>
              <w:rPr>
                <w:sz w:val="18"/>
                <w:szCs w:val="20"/>
                <w:lang w:val="en-US"/>
              </w:rPr>
            </w:pPr>
            <w:r>
              <w:rPr>
                <w:sz w:val="18"/>
                <w:szCs w:val="20"/>
                <w:lang w:val="en-US"/>
              </w:rPr>
              <w:t>7 820</w:t>
            </w:r>
          </w:p>
        </w:tc>
      </w:tr>
      <w:tr w:rsidR="00000000">
        <w:tblPrEx>
          <w:tblCellMar>
            <w:top w:w="0" w:type="dxa"/>
            <w:bottom w:w="0" w:type="dxa"/>
          </w:tblCellMar>
        </w:tblPrEx>
        <w:trPr>
          <w:gridBefore w:val="1"/>
          <w:wBefore w:w="9" w:type="dxa"/>
          <w:jc w:val="center"/>
        </w:trPr>
        <w:tc>
          <w:tcPr>
            <w:tcW w:w="1795" w:type="dxa"/>
          </w:tcPr>
          <w:p w:rsidR="00000000" w:rsidRDefault="00000000">
            <w:pPr>
              <w:widowControl w:val="0"/>
              <w:spacing w:before="80" w:after="80"/>
              <w:rPr>
                <w:sz w:val="18"/>
                <w:szCs w:val="20"/>
                <w:lang w:val="en-US"/>
              </w:rPr>
            </w:pPr>
            <w:r>
              <w:rPr>
                <w:sz w:val="18"/>
                <w:szCs w:val="20"/>
                <w:lang w:val="en-US"/>
              </w:rPr>
              <w:t>2005</w:t>
            </w:r>
          </w:p>
        </w:tc>
        <w:tc>
          <w:tcPr>
            <w:tcW w:w="1134" w:type="dxa"/>
          </w:tcPr>
          <w:p w:rsidR="00000000" w:rsidRDefault="00000000">
            <w:pPr>
              <w:widowControl w:val="0"/>
              <w:spacing w:before="80" w:after="80"/>
              <w:ind w:right="170"/>
              <w:jc w:val="right"/>
              <w:rPr>
                <w:sz w:val="18"/>
                <w:szCs w:val="20"/>
                <w:lang w:val="en-US"/>
              </w:rPr>
            </w:pPr>
            <w:r>
              <w:rPr>
                <w:sz w:val="18"/>
                <w:szCs w:val="20"/>
                <w:lang w:val="en-US"/>
              </w:rPr>
              <w:t>66 592</w:t>
            </w:r>
          </w:p>
        </w:tc>
        <w:tc>
          <w:tcPr>
            <w:tcW w:w="980" w:type="dxa"/>
          </w:tcPr>
          <w:p w:rsidR="00000000" w:rsidRDefault="00000000">
            <w:pPr>
              <w:widowControl w:val="0"/>
              <w:spacing w:before="80" w:after="80"/>
              <w:ind w:right="170"/>
              <w:jc w:val="right"/>
              <w:rPr>
                <w:sz w:val="18"/>
                <w:szCs w:val="20"/>
                <w:lang w:val="en-US"/>
              </w:rPr>
            </w:pPr>
            <w:r>
              <w:rPr>
                <w:sz w:val="18"/>
                <w:szCs w:val="20"/>
                <w:lang w:val="en-US"/>
              </w:rPr>
              <w:t>454 378</w:t>
            </w:r>
          </w:p>
        </w:tc>
        <w:tc>
          <w:tcPr>
            <w:tcW w:w="938" w:type="dxa"/>
          </w:tcPr>
          <w:p w:rsidR="00000000" w:rsidRDefault="00000000">
            <w:pPr>
              <w:widowControl w:val="0"/>
              <w:spacing w:before="80" w:after="80"/>
              <w:ind w:right="170"/>
              <w:jc w:val="right"/>
              <w:rPr>
                <w:sz w:val="18"/>
                <w:szCs w:val="20"/>
                <w:lang w:val="en-US"/>
              </w:rPr>
            </w:pPr>
            <w:r>
              <w:rPr>
                <w:sz w:val="18"/>
                <w:szCs w:val="20"/>
                <w:lang w:val="en-US"/>
              </w:rPr>
              <w:t>205 918</w:t>
            </w:r>
          </w:p>
        </w:tc>
        <w:tc>
          <w:tcPr>
            <w:tcW w:w="951" w:type="dxa"/>
          </w:tcPr>
          <w:p w:rsidR="00000000" w:rsidRDefault="00000000">
            <w:pPr>
              <w:widowControl w:val="0"/>
              <w:spacing w:before="80" w:after="80"/>
              <w:ind w:right="170"/>
              <w:jc w:val="right"/>
              <w:rPr>
                <w:sz w:val="18"/>
                <w:szCs w:val="20"/>
                <w:lang w:val="en-US"/>
              </w:rPr>
            </w:pPr>
            <w:r>
              <w:rPr>
                <w:sz w:val="18"/>
                <w:szCs w:val="20"/>
                <w:lang w:val="en-US"/>
              </w:rPr>
              <w:t>159 059</w:t>
            </w:r>
          </w:p>
        </w:tc>
        <w:tc>
          <w:tcPr>
            <w:tcW w:w="980" w:type="dxa"/>
          </w:tcPr>
          <w:p w:rsidR="00000000" w:rsidRDefault="00000000">
            <w:pPr>
              <w:widowControl w:val="0"/>
              <w:spacing w:before="80" w:after="80"/>
              <w:ind w:right="170"/>
              <w:jc w:val="right"/>
              <w:rPr>
                <w:sz w:val="18"/>
                <w:szCs w:val="20"/>
                <w:lang w:val="en-US"/>
              </w:rPr>
            </w:pPr>
            <w:r>
              <w:rPr>
                <w:sz w:val="18"/>
                <w:szCs w:val="20"/>
                <w:lang w:val="en-US"/>
              </w:rPr>
              <w:t>58 181</w:t>
            </w:r>
          </w:p>
        </w:tc>
        <w:tc>
          <w:tcPr>
            <w:tcW w:w="1005" w:type="dxa"/>
            <w:gridSpan w:val="2"/>
          </w:tcPr>
          <w:p w:rsidR="00000000" w:rsidRDefault="00000000">
            <w:pPr>
              <w:widowControl w:val="0"/>
              <w:spacing w:before="80" w:after="80"/>
              <w:ind w:right="170"/>
              <w:jc w:val="right"/>
              <w:rPr>
                <w:sz w:val="18"/>
                <w:szCs w:val="20"/>
                <w:lang w:val="en-US"/>
              </w:rPr>
            </w:pPr>
            <w:r>
              <w:rPr>
                <w:sz w:val="18"/>
                <w:szCs w:val="20"/>
                <w:lang w:val="en-US"/>
              </w:rPr>
              <w:t>479 155</w:t>
            </w:r>
          </w:p>
        </w:tc>
        <w:tc>
          <w:tcPr>
            <w:tcW w:w="779" w:type="dxa"/>
            <w:gridSpan w:val="2"/>
          </w:tcPr>
          <w:p w:rsidR="00000000" w:rsidRDefault="00000000">
            <w:pPr>
              <w:widowControl w:val="0"/>
              <w:spacing w:before="80" w:after="80"/>
              <w:ind w:right="170"/>
              <w:jc w:val="right"/>
              <w:rPr>
                <w:sz w:val="18"/>
                <w:szCs w:val="20"/>
                <w:lang w:val="en-US"/>
              </w:rPr>
            </w:pPr>
            <w:r>
              <w:rPr>
                <w:sz w:val="18"/>
                <w:szCs w:val="20"/>
                <w:lang w:val="en-US"/>
              </w:rPr>
              <w:t>117 845</w:t>
            </w:r>
          </w:p>
        </w:tc>
        <w:tc>
          <w:tcPr>
            <w:tcW w:w="866" w:type="dxa"/>
            <w:gridSpan w:val="2"/>
          </w:tcPr>
          <w:p w:rsidR="00000000" w:rsidRDefault="00000000">
            <w:pPr>
              <w:widowControl w:val="0"/>
              <w:spacing w:before="80" w:after="80"/>
              <w:ind w:right="170"/>
              <w:jc w:val="right"/>
              <w:rPr>
                <w:sz w:val="18"/>
                <w:szCs w:val="20"/>
                <w:lang w:val="en-US"/>
              </w:rPr>
            </w:pPr>
            <w:r>
              <w:rPr>
                <w:sz w:val="18"/>
                <w:szCs w:val="20"/>
                <w:lang w:val="en-US"/>
              </w:rPr>
              <w:t>57 272</w:t>
            </w:r>
          </w:p>
        </w:tc>
      </w:tr>
      <w:tr w:rsidR="00000000">
        <w:tblPrEx>
          <w:tblCellMar>
            <w:top w:w="0" w:type="dxa"/>
            <w:bottom w:w="0" w:type="dxa"/>
          </w:tblCellMar>
        </w:tblPrEx>
        <w:trPr>
          <w:gridBefore w:val="1"/>
          <w:wBefore w:w="9" w:type="dxa"/>
          <w:jc w:val="center"/>
        </w:trPr>
        <w:tc>
          <w:tcPr>
            <w:tcW w:w="1795" w:type="dxa"/>
          </w:tcPr>
          <w:p w:rsidR="00000000" w:rsidRDefault="00000000">
            <w:pPr>
              <w:widowControl w:val="0"/>
              <w:spacing w:before="80" w:after="80"/>
              <w:rPr>
                <w:sz w:val="18"/>
                <w:szCs w:val="20"/>
                <w:lang w:val="en-US"/>
              </w:rPr>
            </w:pPr>
            <w:r>
              <w:rPr>
                <w:sz w:val="18"/>
                <w:szCs w:val="20"/>
                <w:lang w:val="en-US"/>
              </w:rPr>
              <w:t>2006</w:t>
            </w:r>
          </w:p>
        </w:tc>
        <w:tc>
          <w:tcPr>
            <w:tcW w:w="1134" w:type="dxa"/>
          </w:tcPr>
          <w:p w:rsidR="00000000" w:rsidRDefault="00000000">
            <w:pPr>
              <w:widowControl w:val="0"/>
              <w:spacing w:before="80" w:after="80"/>
              <w:ind w:right="170"/>
              <w:jc w:val="right"/>
              <w:rPr>
                <w:sz w:val="18"/>
                <w:szCs w:val="20"/>
                <w:lang w:val="en-US"/>
              </w:rPr>
            </w:pPr>
            <w:r>
              <w:rPr>
                <w:sz w:val="18"/>
                <w:szCs w:val="20"/>
                <w:lang w:val="en-US"/>
              </w:rPr>
              <w:t>68 360</w:t>
            </w:r>
          </w:p>
        </w:tc>
        <w:tc>
          <w:tcPr>
            <w:tcW w:w="980" w:type="dxa"/>
          </w:tcPr>
          <w:p w:rsidR="00000000" w:rsidRDefault="00000000">
            <w:pPr>
              <w:widowControl w:val="0"/>
              <w:spacing w:before="80" w:after="80"/>
              <w:ind w:right="170"/>
              <w:jc w:val="right"/>
              <w:rPr>
                <w:sz w:val="18"/>
                <w:szCs w:val="20"/>
                <w:lang w:val="en-US"/>
              </w:rPr>
            </w:pPr>
            <w:r>
              <w:rPr>
                <w:sz w:val="18"/>
                <w:szCs w:val="20"/>
                <w:lang w:val="en-US"/>
              </w:rPr>
              <w:t>457 437</w:t>
            </w:r>
          </w:p>
        </w:tc>
        <w:tc>
          <w:tcPr>
            <w:tcW w:w="938" w:type="dxa"/>
          </w:tcPr>
          <w:p w:rsidR="00000000" w:rsidRDefault="00000000">
            <w:pPr>
              <w:widowControl w:val="0"/>
              <w:spacing w:before="80" w:after="80"/>
              <w:ind w:right="170"/>
              <w:jc w:val="right"/>
              <w:rPr>
                <w:sz w:val="18"/>
                <w:szCs w:val="20"/>
                <w:lang w:val="en-US"/>
              </w:rPr>
            </w:pPr>
            <w:r>
              <w:rPr>
                <w:sz w:val="18"/>
                <w:szCs w:val="20"/>
                <w:lang w:val="en-US"/>
              </w:rPr>
              <w:t>208 923</w:t>
            </w:r>
          </w:p>
        </w:tc>
        <w:tc>
          <w:tcPr>
            <w:tcW w:w="951" w:type="dxa"/>
          </w:tcPr>
          <w:p w:rsidR="00000000" w:rsidRDefault="00000000">
            <w:pPr>
              <w:widowControl w:val="0"/>
              <w:spacing w:before="80" w:after="80"/>
              <w:ind w:right="170"/>
              <w:jc w:val="right"/>
              <w:rPr>
                <w:sz w:val="18"/>
                <w:szCs w:val="20"/>
                <w:lang w:val="en-US"/>
              </w:rPr>
            </w:pPr>
            <w:r>
              <w:rPr>
                <w:sz w:val="18"/>
                <w:szCs w:val="20"/>
                <w:lang w:val="en-US"/>
              </w:rPr>
              <w:t>164 948</w:t>
            </w:r>
          </w:p>
        </w:tc>
        <w:tc>
          <w:tcPr>
            <w:tcW w:w="980" w:type="dxa"/>
          </w:tcPr>
          <w:p w:rsidR="00000000" w:rsidRDefault="00000000">
            <w:pPr>
              <w:widowControl w:val="0"/>
              <w:spacing w:before="80" w:after="80"/>
              <w:ind w:right="170"/>
              <w:jc w:val="right"/>
              <w:rPr>
                <w:sz w:val="18"/>
                <w:szCs w:val="20"/>
                <w:lang w:val="en-US"/>
              </w:rPr>
            </w:pPr>
            <w:r>
              <w:rPr>
                <w:sz w:val="18"/>
                <w:szCs w:val="20"/>
                <w:lang w:val="en-US"/>
              </w:rPr>
              <w:t>59 726</w:t>
            </w:r>
          </w:p>
        </w:tc>
        <w:tc>
          <w:tcPr>
            <w:tcW w:w="1005" w:type="dxa"/>
            <w:gridSpan w:val="2"/>
          </w:tcPr>
          <w:p w:rsidR="00000000" w:rsidRDefault="00000000">
            <w:pPr>
              <w:widowControl w:val="0"/>
              <w:spacing w:before="80" w:after="80"/>
              <w:ind w:right="170"/>
              <w:jc w:val="right"/>
              <w:rPr>
                <w:sz w:val="18"/>
                <w:szCs w:val="20"/>
                <w:lang w:val="en-US"/>
              </w:rPr>
            </w:pPr>
            <w:r>
              <w:rPr>
                <w:sz w:val="18"/>
                <w:szCs w:val="20"/>
                <w:lang w:val="en-US"/>
              </w:rPr>
              <w:t>482 382</w:t>
            </w:r>
          </w:p>
        </w:tc>
        <w:tc>
          <w:tcPr>
            <w:tcW w:w="779" w:type="dxa"/>
            <w:gridSpan w:val="2"/>
          </w:tcPr>
          <w:p w:rsidR="00000000" w:rsidRDefault="00000000">
            <w:pPr>
              <w:widowControl w:val="0"/>
              <w:spacing w:before="80" w:after="80"/>
              <w:ind w:right="170"/>
              <w:jc w:val="right"/>
              <w:rPr>
                <w:sz w:val="18"/>
                <w:szCs w:val="20"/>
                <w:lang w:val="en-US"/>
              </w:rPr>
            </w:pPr>
            <w:r>
              <w:rPr>
                <w:sz w:val="18"/>
                <w:szCs w:val="20"/>
                <w:lang w:val="en-US"/>
              </w:rPr>
              <w:t>119 565</w:t>
            </w:r>
          </w:p>
        </w:tc>
        <w:tc>
          <w:tcPr>
            <w:tcW w:w="866" w:type="dxa"/>
            <w:gridSpan w:val="2"/>
          </w:tcPr>
          <w:p w:rsidR="00000000" w:rsidRDefault="00000000">
            <w:pPr>
              <w:widowControl w:val="0"/>
              <w:spacing w:before="80" w:after="80"/>
              <w:ind w:right="170"/>
              <w:jc w:val="right"/>
              <w:rPr>
                <w:sz w:val="18"/>
                <w:szCs w:val="20"/>
                <w:lang w:val="en-US"/>
              </w:rPr>
            </w:pPr>
            <w:r>
              <w:rPr>
                <w:sz w:val="18"/>
                <w:szCs w:val="20"/>
                <w:lang w:val="en-US"/>
              </w:rPr>
              <w:t>59 393</w:t>
            </w:r>
          </w:p>
        </w:tc>
      </w:tr>
      <w:tr w:rsidR="00000000">
        <w:tblPrEx>
          <w:tblCellMar>
            <w:top w:w="0" w:type="dxa"/>
            <w:bottom w:w="0" w:type="dxa"/>
          </w:tblCellMar>
        </w:tblPrEx>
        <w:trPr>
          <w:gridBefore w:val="1"/>
          <w:wBefore w:w="9" w:type="dxa"/>
          <w:jc w:val="center"/>
        </w:trPr>
        <w:tc>
          <w:tcPr>
            <w:tcW w:w="1795" w:type="dxa"/>
          </w:tcPr>
          <w:p w:rsidR="00000000" w:rsidRDefault="00000000">
            <w:pPr>
              <w:pStyle w:val="FootnoteText"/>
              <w:widowControl w:val="0"/>
              <w:spacing w:before="80" w:after="80"/>
              <w:rPr>
                <w:bCs/>
                <w:sz w:val="18"/>
                <w:szCs w:val="24"/>
                <w:lang w:val="en-US"/>
              </w:rPr>
            </w:pPr>
            <w:r>
              <w:rPr>
                <w:bCs/>
                <w:sz w:val="18"/>
                <w:szCs w:val="24"/>
                <w:lang w:val="en-US"/>
              </w:rPr>
              <w:t>Absolute growth</w:t>
            </w:r>
          </w:p>
        </w:tc>
        <w:tc>
          <w:tcPr>
            <w:tcW w:w="1134" w:type="dxa"/>
          </w:tcPr>
          <w:p w:rsidR="00000000" w:rsidRDefault="00000000">
            <w:pPr>
              <w:widowControl w:val="0"/>
              <w:spacing w:before="80" w:after="80"/>
              <w:ind w:right="170"/>
              <w:jc w:val="right"/>
              <w:rPr>
                <w:sz w:val="18"/>
                <w:szCs w:val="20"/>
                <w:lang w:val="en-US"/>
              </w:rPr>
            </w:pPr>
            <w:r>
              <w:rPr>
                <w:sz w:val="18"/>
                <w:szCs w:val="20"/>
                <w:lang w:val="en-US"/>
              </w:rPr>
              <w:t>28 414</w:t>
            </w:r>
          </w:p>
        </w:tc>
        <w:tc>
          <w:tcPr>
            <w:tcW w:w="980" w:type="dxa"/>
          </w:tcPr>
          <w:p w:rsidR="00000000" w:rsidRDefault="00000000">
            <w:pPr>
              <w:widowControl w:val="0"/>
              <w:spacing w:before="80" w:after="80"/>
              <w:ind w:right="170"/>
              <w:jc w:val="right"/>
              <w:rPr>
                <w:sz w:val="18"/>
                <w:szCs w:val="20"/>
                <w:lang w:val="en-US"/>
              </w:rPr>
            </w:pPr>
            <w:r>
              <w:rPr>
                <w:sz w:val="18"/>
                <w:szCs w:val="20"/>
                <w:lang w:val="en-US"/>
              </w:rPr>
              <w:t>69 755</w:t>
            </w:r>
          </w:p>
        </w:tc>
        <w:tc>
          <w:tcPr>
            <w:tcW w:w="938" w:type="dxa"/>
          </w:tcPr>
          <w:p w:rsidR="00000000" w:rsidRDefault="00000000">
            <w:pPr>
              <w:widowControl w:val="0"/>
              <w:spacing w:before="80" w:after="80"/>
              <w:ind w:right="170"/>
              <w:jc w:val="right"/>
              <w:rPr>
                <w:sz w:val="18"/>
                <w:szCs w:val="20"/>
                <w:lang w:val="en-US"/>
              </w:rPr>
            </w:pPr>
            <w:r>
              <w:rPr>
                <w:sz w:val="18"/>
                <w:szCs w:val="20"/>
                <w:lang w:val="en-US"/>
              </w:rPr>
              <w:t>79 912</w:t>
            </w:r>
          </w:p>
        </w:tc>
        <w:tc>
          <w:tcPr>
            <w:tcW w:w="951" w:type="dxa"/>
          </w:tcPr>
          <w:p w:rsidR="00000000" w:rsidRDefault="00000000">
            <w:pPr>
              <w:widowControl w:val="0"/>
              <w:spacing w:before="80" w:after="80"/>
              <w:ind w:right="170"/>
              <w:jc w:val="right"/>
              <w:rPr>
                <w:sz w:val="18"/>
                <w:szCs w:val="20"/>
                <w:lang w:val="en-US"/>
              </w:rPr>
            </w:pPr>
            <w:r>
              <w:rPr>
                <w:sz w:val="18"/>
                <w:szCs w:val="20"/>
                <w:lang w:val="en-US"/>
              </w:rPr>
              <w:t>96 529</w:t>
            </w:r>
          </w:p>
        </w:tc>
        <w:tc>
          <w:tcPr>
            <w:tcW w:w="980" w:type="dxa"/>
          </w:tcPr>
          <w:p w:rsidR="00000000" w:rsidRDefault="00000000">
            <w:pPr>
              <w:widowControl w:val="0"/>
              <w:spacing w:before="80" w:after="80"/>
              <w:ind w:right="170"/>
              <w:jc w:val="right"/>
              <w:rPr>
                <w:sz w:val="18"/>
                <w:szCs w:val="20"/>
                <w:lang w:val="en-US"/>
              </w:rPr>
            </w:pPr>
            <w:r>
              <w:rPr>
                <w:sz w:val="18"/>
                <w:szCs w:val="20"/>
                <w:lang w:val="en-US"/>
              </w:rPr>
              <w:t>49 046</w:t>
            </w:r>
          </w:p>
        </w:tc>
        <w:tc>
          <w:tcPr>
            <w:tcW w:w="1005" w:type="dxa"/>
            <w:gridSpan w:val="2"/>
          </w:tcPr>
          <w:p w:rsidR="00000000" w:rsidRDefault="00000000">
            <w:pPr>
              <w:widowControl w:val="0"/>
              <w:spacing w:before="80" w:after="80"/>
              <w:ind w:right="170"/>
              <w:jc w:val="right"/>
              <w:rPr>
                <w:sz w:val="18"/>
                <w:szCs w:val="20"/>
                <w:lang w:val="en-US"/>
              </w:rPr>
            </w:pPr>
            <w:r>
              <w:rPr>
                <w:sz w:val="18"/>
                <w:szCs w:val="20"/>
                <w:lang w:val="en-US"/>
              </w:rPr>
              <w:t>34 975</w:t>
            </w:r>
          </w:p>
        </w:tc>
        <w:tc>
          <w:tcPr>
            <w:tcW w:w="779" w:type="dxa"/>
            <w:gridSpan w:val="2"/>
          </w:tcPr>
          <w:p w:rsidR="00000000" w:rsidRDefault="00000000">
            <w:pPr>
              <w:widowControl w:val="0"/>
              <w:spacing w:before="80" w:after="80"/>
              <w:ind w:right="170"/>
              <w:jc w:val="right"/>
              <w:rPr>
                <w:sz w:val="18"/>
                <w:szCs w:val="20"/>
                <w:lang w:val="en-US"/>
              </w:rPr>
            </w:pPr>
            <w:r>
              <w:rPr>
                <w:sz w:val="18"/>
                <w:szCs w:val="20"/>
                <w:lang w:val="en-US"/>
              </w:rPr>
              <w:t>88 901</w:t>
            </w:r>
          </w:p>
        </w:tc>
        <w:tc>
          <w:tcPr>
            <w:tcW w:w="866" w:type="dxa"/>
            <w:gridSpan w:val="2"/>
          </w:tcPr>
          <w:p w:rsidR="00000000" w:rsidRDefault="00000000">
            <w:pPr>
              <w:widowControl w:val="0"/>
              <w:spacing w:before="80" w:after="80"/>
              <w:ind w:right="170"/>
              <w:jc w:val="right"/>
              <w:rPr>
                <w:sz w:val="18"/>
                <w:szCs w:val="20"/>
                <w:lang w:val="en-US"/>
              </w:rPr>
            </w:pPr>
            <w:r>
              <w:rPr>
                <w:sz w:val="18"/>
                <w:szCs w:val="20"/>
                <w:lang w:val="en-US"/>
              </w:rPr>
              <w:t>51 573</w:t>
            </w:r>
          </w:p>
        </w:tc>
      </w:tr>
      <w:tr w:rsidR="00000000">
        <w:tblPrEx>
          <w:tblCellMar>
            <w:top w:w="0" w:type="dxa"/>
            <w:bottom w:w="0" w:type="dxa"/>
          </w:tblCellMar>
        </w:tblPrEx>
        <w:trPr>
          <w:gridBefore w:val="1"/>
          <w:wBefore w:w="9" w:type="dxa"/>
          <w:jc w:val="center"/>
        </w:trPr>
        <w:tc>
          <w:tcPr>
            <w:tcW w:w="1795" w:type="dxa"/>
            <w:tcBorders>
              <w:bottom w:val="single" w:sz="4" w:space="0" w:color="auto"/>
            </w:tcBorders>
          </w:tcPr>
          <w:p w:rsidR="00000000" w:rsidRDefault="00000000">
            <w:pPr>
              <w:widowControl w:val="0"/>
              <w:spacing w:before="80" w:after="80"/>
              <w:rPr>
                <w:bCs/>
                <w:sz w:val="18"/>
                <w:szCs w:val="20"/>
                <w:lang w:val="en-US"/>
              </w:rPr>
            </w:pPr>
            <w:r>
              <w:rPr>
                <w:bCs/>
                <w:sz w:val="18"/>
              </w:rPr>
              <w:t>Percentage growth</w:t>
            </w:r>
          </w:p>
        </w:tc>
        <w:tc>
          <w:tcPr>
            <w:tcW w:w="1134" w:type="dxa"/>
            <w:tcBorders>
              <w:bottom w:val="single" w:sz="4" w:space="0" w:color="auto"/>
            </w:tcBorders>
          </w:tcPr>
          <w:p w:rsidR="00000000" w:rsidRDefault="00000000">
            <w:pPr>
              <w:widowControl w:val="0"/>
              <w:spacing w:before="80" w:after="80"/>
              <w:ind w:right="170"/>
              <w:jc w:val="right"/>
              <w:rPr>
                <w:sz w:val="18"/>
                <w:szCs w:val="20"/>
                <w:lang w:val="en-US"/>
              </w:rPr>
            </w:pPr>
            <w:r>
              <w:rPr>
                <w:sz w:val="18"/>
                <w:szCs w:val="20"/>
                <w:lang w:val="en-US"/>
              </w:rPr>
              <w:t>71</w:t>
            </w:r>
          </w:p>
        </w:tc>
        <w:tc>
          <w:tcPr>
            <w:tcW w:w="980" w:type="dxa"/>
            <w:tcBorders>
              <w:bottom w:val="single" w:sz="4" w:space="0" w:color="auto"/>
            </w:tcBorders>
          </w:tcPr>
          <w:p w:rsidR="00000000" w:rsidRDefault="00000000">
            <w:pPr>
              <w:widowControl w:val="0"/>
              <w:spacing w:before="80" w:after="80"/>
              <w:ind w:right="170"/>
              <w:jc w:val="right"/>
              <w:rPr>
                <w:sz w:val="18"/>
                <w:szCs w:val="20"/>
                <w:lang w:val="en-US"/>
              </w:rPr>
            </w:pPr>
            <w:r>
              <w:rPr>
                <w:sz w:val="18"/>
                <w:szCs w:val="20"/>
                <w:lang w:val="en-US"/>
              </w:rPr>
              <w:t>18</w:t>
            </w:r>
          </w:p>
        </w:tc>
        <w:tc>
          <w:tcPr>
            <w:tcW w:w="938" w:type="dxa"/>
            <w:tcBorders>
              <w:bottom w:val="single" w:sz="4" w:space="0" w:color="auto"/>
            </w:tcBorders>
          </w:tcPr>
          <w:p w:rsidR="00000000" w:rsidRDefault="00000000">
            <w:pPr>
              <w:widowControl w:val="0"/>
              <w:spacing w:before="80" w:after="80"/>
              <w:ind w:right="170"/>
              <w:jc w:val="right"/>
              <w:rPr>
                <w:sz w:val="18"/>
                <w:szCs w:val="20"/>
                <w:lang w:val="en-US"/>
              </w:rPr>
            </w:pPr>
            <w:r>
              <w:rPr>
                <w:sz w:val="18"/>
                <w:szCs w:val="20"/>
                <w:lang w:val="en-US"/>
              </w:rPr>
              <w:t>62</w:t>
            </w:r>
          </w:p>
        </w:tc>
        <w:tc>
          <w:tcPr>
            <w:tcW w:w="951" w:type="dxa"/>
            <w:tcBorders>
              <w:bottom w:val="single" w:sz="4" w:space="0" w:color="auto"/>
            </w:tcBorders>
          </w:tcPr>
          <w:p w:rsidR="00000000" w:rsidRDefault="00000000">
            <w:pPr>
              <w:widowControl w:val="0"/>
              <w:spacing w:before="80" w:after="80"/>
              <w:ind w:right="170"/>
              <w:jc w:val="right"/>
              <w:rPr>
                <w:sz w:val="18"/>
                <w:szCs w:val="20"/>
                <w:lang w:val="en-US"/>
              </w:rPr>
            </w:pPr>
            <w:r>
              <w:rPr>
                <w:sz w:val="18"/>
                <w:szCs w:val="20"/>
                <w:lang w:val="en-US"/>
              </w:rPr>
              <w:t>141</w:t>
            </w:r>
          </w:p>
        </w:tc>
        <w:tc>
          <w:tcPr>
            <w:tcW w:w="980" w:type="dxa"/>
            <w:tcBorders>
              <w:bottom w:val="single" w:sz="4" w:space="0" w:color="auto"/>
            </w:tcBorders>
          </w:tcPr>
          <w:p w:rsidR="00000000" w:rsidRDefault="00000000">
            <w:pPr>
              <w:widowControl w:val="0"/>
              <w:spacing w:before="80" w:after="80"/>
              <w:ind w:right="170"/>
              <w:jc w:val="right"/>
              <w:rPr>
                <w:sz w:val="18"/>
                <w:szCs w:val="20"/>
                <w:lang w:val="en-US"/>
              </w:rPr>
            </w:pPr>
            <w:r>
              <w:rPr>
                <w:sz w:val="18"/>
                <w:szCs w:val="20"/>
                <w:lang w:val="en-US"/>
              </w:rPr>
              <w:t>459</w:t>
            </w:r>
          </w:p>
        </w:tc>
        <w:tc>
          <w:tcPr>
            <w:tcW w:w="1005" w:type="dxa"/>
            <w:gridSpan w:val="2"/>
            <w:tcBorders>
              <w:bottom w:val="single" w:sz="4" w:space="0" w:color="auto"/>
            </w:tcBorders>
          </w:tcPr>
          <w:p w:rsidR="00000000" w:rsidRDefault="00000000">
            <w:pPr>
              <w:widowControl w:val="0"/>
              <w:spacing w:before="80" w:after="80"/>
              <w:ind w:right="170"/>
              <w:jc w:val="right"/>
              <w:rPr>
                <w:sz w:val="18"/>
                <w:szCs w:val="20"/>
                <w:lang w:val="en-US"/>
              </w:rPr>
            </w:pPr>
            <w:r>
              <w:rPr>
                <w:sz w:val="18"/>
                <w:szCs w:val="20"/>
                <w:lang w:val="en-US"/>
              </w:rPr>
              <w:t>8</w:t>
            </w:r>
          </w:p>
        </w:tc>
        <w:tc>
          <w:tcPr>
            <w:tcW w:w="779" w:type="dxa"/>
            <w:gridSpan w:val="2"/>
            <w:tcBorders>
              <w:bottom w:val="single" w:sz="4" w:space="0" w:color="auto"/>
            </w:tcBorders>
          </w:tcPr>
          <w:p w:rsidR="00000000" w:rsidRDefault="00000000">
            <w:pPr>
              <w:widowControl w:val="0"/>
              <w:spacing w:before="80" w:after="80"/>
              <w:ind w:right="170"/>
              <w:jc w:val="right"/>
              <w:rPr>
                <w:sz w:val="18"/>
                <w:szCs w:val="20"/>
                <w:lang w:val="en-US"/>
              </w:rPr>
            </w:pPr>
            <w:r>
              <w:rPr>
                <w:sz w:val="18"/>
                <w:szCs w:val="20"/>
                <w:lang w:val="en-US"/>
              </w:rPr>
              <w:t>290</w:t>
            </w:r>
          </w:p>
        </w:tc>
        <w:tc>
          <w:tcPr>
            <w:tcW w:w="866" w:type="dxa"/>
            <w:gridSpan w:val="2"/>
            <w:tcBorders>
              <w:bottom w:val="single" w:sz="4" w:space="0" w:color="auto"/>
            </w:tcBorders>
          </w:tcPr>
          <w:p w:rsidR="00000000" w:rsidRDefault="00000000">
            <w:pPr>
              <w:widowControl w:val="0"/>
              <w:spacing w:before="80" w:after="80"/>
              <w:ind w:right="170"/>
              <w:jc w:val="right"/>
              <w:rPr>
                <w:sz w:val="18"/>
                <w:szCs w:val="20"/>
                <w:lang w:val="en-US"/>
              </w:rPr>
            </w:pPr>
            <w:r>
              <w:rPr>
                <w:sz w:val="18"/>
                <w:szCs w:val="20"/>
                <w:lang w:val="en-US"/>
              </w:rPr>
              <w:t>659</w:t>
            </w:r>
          </w:p>
        </w:tc>
      </w:tr>
    </w:tbl>
    <w:p w:rsidR="00000000" w:rsidRDefault="00000000">
      <w:pPr>
        <w:pStyle w:val="Heading1"/>
        <w:spacing w:beforeLines="40" w:before="96" w:afterLines="100" w:after="240"/>
        <w:ind w:left="567"/>
        <w:rPr>
          <w:rFonts w:ascii="Times New Roman" w:hAnsi="Times New Roman" w:cs="Times New Roman"/>
          <w:b w:val="0"/>
          <w:i/>
          <w:sz w:val="20"/>
          <w:szCs w:val="20"/>
          <w:lang w:val="en-US"/>
        </w:rPr>
      </w:pPr>
      <w:r>
        <w:rPr>
          <w:rFonts w:ascii="Times New Roman" w:hAnsi="Times New Roman" w:cs="Times New Roman"/>
          <w:b w:val="0"/>
          <w:i/>
          <w:sz w:val="20"/>
          <w:szCs w:val="20"/>
          <w:lang w:val="en-US"/>
        </w:rPr>
        <w:t xml:space="preserve">Source: </w:t>
      </w:r>
      <w:r>
        <w:rPr>
          <w:rFonts w:ascii="Times New Roman" w:hAnsi="Times New Roman" w:cs="Times New Roman"/>
          <w:b w:val="0"/>
          <w:iCs/>
          <w:sz w:val="20"/>
          <w:szCs w:val="20"/>
          <w:lang w:val="en-US"/>
        </w:rPr>
        <w:t>MEC. DGPEC. The data are estimated from 2005.</w:t>
      </w:r>
    </w:p>
    <w:p w:rsidR="00000000" w:rsidRDefault="00000000">
      <w:pPr>
        <w:spacing w:after="240"/>
      </w:pPr>
      <w:r>
        <w:rPr>
          <w:b/>
        </w:rPr>
        <w:t>2.</w:t>
      </w:r>
      <w:r>
        <w:rPr>
          <w:b/>
        </w:rPr>
        <w:tab/>
        <w:t>Education and GDP</w:t>
      </w:r>
    </w:p>
    <w:p w:rsidR="00000000" w:rsidRDefault="00000000">
      <w:pPr>
        <w:spacing w:after="240"/>
      </w:pPr>
      <w:r>
        <w:t>45.</w:t>
      </w:r>
      <w:r>
        <w:tab/>
        <w:t>Regarding the evolution of the percentage of gross domestic product (GDP) and the National General Budget of Expenditures allocated to education, there was a period of continuous growth lasting from 1993 to 2000. This contrasts with the situation obtaining from 2001 onwards; in that year, a decrease began and became more and more marked until 2004; a small increase occurred in 2005. As regards the share of the budget of the Ministry of Education and Culture in the National General Budget of Expenditures, there have been no significant changes throughout the period under consideration, with the proportion hovering between 17 per cent and 20 per cent.</w:t>
      </w:r>
    </w:p>
    <w:p w:rsidR="00000000" w:rsidRDefault="00000000">
      <w:pPr>
        <w:pStyle w:val="xl46"/>
        <w:spacing w:before="0" w:beforeAutospacing="0" w:after="180" w:afterAutospacing="0"/>
        <w:rPr>
          <w:rFonts w:ascii="Times New Roman" w:eastAsia="Times New Roman" w:hAnsi="Times New Roman" w:cs="Times New Roman"/>
          <w:szCs w:val="20"/>
          <w:lang w:val="en-US" w:eastAsia="en-US"/>
        </w:rPr>
      </w:pPr>
      <w:r>
        <w:rPr>
          <w:rFonts w:ascii="Times New Roman" w:eastAsia="Times New Roman" w:hAnsi="Times New Roman" w:cs="Times New Roman"/>
          <w:szCs w:val="20"/>
          <w:lang w:val="en-US" w:eastAsia="en-US"/>
        </w:rPr>
        <w:t>Ministry of education and worship 1993-2005 – Budget and execution</w:t>
      </w:r>
      <w:r>
        <w:rPr>
          <w:rFonts w:ascii="Times New Roman" w:eastAsia="Times New Roman" w:hAnsi="Times New Roman" w:cs="Times New Roman"/>
          <w:szCs w:val="20"/>
          <w:lang w:val="en-US" w:eastAsia="en-US"/>
        </w:rPr>
        <w:br/>
        <w:t>(in millions of guaraníes)</w:t>
      </w:r>
    </w:p>
    <w:p w:rsidR="00000000" w:rsidRDefault="00000000">
      <w:pPr>
        <w:spacing w:after="180"/>
        <w:jc w:val="center"/>
        <w:rPr>
          <w:b/>
          <w:bCs/>
          <w:sz w:val="20"/>
        </w:rPr>
      </w:pPr>
      <w:r>
        <w:rPr>
          <w:b/>
          <w:bCs/>
          <w:color w:val="000000"/>
          <w:sz w:val="20"/>
          <w:szCs w:val="20"/>
        </w:rPr>
        <w:t>1993 - 1999</w:t>
      </w:r>
    </w:p>
    <w:tbl>
      <w:tblPr>
        <w:tblW w:w="5000" w:type="pct"/>
        <w:tblLayout w:type="fixed"/>
        <w:tblCellMar>
          <w:left w:w="0" w:type="dxa"/>
          <w:right w:w="0" w:type="dxa"/>
        </w:tblCellMar>
        <w:tblLook w:val="0000" w:firstRow="0" w:lastRow="0" w:firstColumn="0" w:lastColumn="0" w:noHBand="0" w:noVBand="0"/>
      </w:tblPr>
      <w:tblGrid>
        <w:gridCol w:w="1813"/>
        <w:gridCol w:w="1088"/>
        <w:gridCol w:w="1088"/>
        <w:gridCol w:w="1088"/>
        <w:gridCol w:w="1088"/>
        <w:gridCol w:w="1088"/>
        <w:gridCol w:w="1088"/>
        <w:gridCol w:w="1088"/>
      </w:tblGrid>
      <w:tr w:rsidR="00000000">
        <w:trPr>
          <w:tblHeader/>
        </w:trPr>
        <w:tc>
          <w:tcPr>
            <w:tcW w:w="1813" w:type="dxa"/>
            <w:tcBorders>
              <w:top w:val="single" w:sz="4" w:space="0" w:color="auto"/>
              <w:bottom w:val="single" w:sz="4" w:space="0" w:color="auto"/>
            </w:tcBorders>
            <w:noWrap/>
            <w:vAlign w:val="center"/>
          </w:tcPr>
          <w:p w:rsidR="00000000" w:rsidRDefault="00000000">
            <w:pPr>
              <w:pStyle w:val="Heading9"/>
              <w:jc w:val="center"/>
              <w:rPr>
                <w:i/>
                <w:iCs/>
                <w:sz w:val="18"/>
              </w:rPr>
            </w:pPr>
            <w:r>
              <w:rPr>
                <w:i/>
                <w:iCs/>
                <w:sz w:val="18"/>
              </w:rPr>
              <w:t>Items</w:t>
            </w:r>
          </w:p>
        </w:tc>
        <w:tc>
          <w:tcPr>
            <w:tcW w:w="1088" w:type="dxa"/>
            <w:tcBorders>
              <w:top w:val="single" w:sz="4" w:space="0" w:color="auto"/>
              <w:bottom w:val="single" w:sz="4" w:space="0" w:color="auto"/>
            </w:tcBorders>
            <w:noWrap/>
            <w:vAlign w:val="center"/>
          </w:tcPr>
          <w:p w:rsidR="00000000" w:rsidRDefault="00000000">
            <w:pPr>
              <w:widowControl w:val="0"/>
              <w:spacing w:before="60" w:after="60"/>
              <w:jc w:val="center"/>
              <w:rPr>
                <w:b/>
                <w:bCs/>
                <w:i/>
                <w:iCs/>
                <w:color w:val="000000"/>
                <w:sz w:val="18"/>
                <w:szCs w:val="20"/>
              </w:rPr>
            </w:pPr>
            <w:r>
              <w:rPr>
                <w:b/>
                <w:bCs/>
                <w:i/>
                <w:iCs/>
                <w:color w:val="000000"/>
                <w:sz w:val="18"/>
                <w:szCs w:val="20"/>
              </w:rPr>
              <w:t>1993</w:t>
            </w:r>
          </w:p>
        </w:tc>
        <w:tc>
          <w:tcPr>
            <w:tcW w:w="1088" w:type="dxa"/>
            <w:tcBorders>
              <w:top w:val="single" w:sz="4" w:space="0" w:color="auto"/>
              <w:bottom w:val="single" w:sz="4" w:space="0" w:color="auto"/>
            </w:tcBorders>
            <w:noWrap/>
            <w:vAlign w:val="center"/>
          </w:tcPr>
          <w:p w:rsidR="00000000" w:rsidRDefault="00000000">
            <w:pPr>
              <w:widowControl w:val="0"/>
              <w:spacing w:before="60" w:after="60"/>
              <w:jc w:val="center"/>
              <w:rPr>
                <w:b/>
                <w:bCs/>
                <w:i/>
                <w:iCs/>
                <w:color w:val="000000"/>
                <w:sz w:val="18"/>
                <w:szCs w:val="20"/>
              </w:rPr>
            </w:pPr>
            <w:r>
              <w:rPr>
                <w:b/>
                <w:bCs/>
                <w:i/>
                <w:iCs/>
                <w:color w:val="000000"/>
                <w:sz w:val="18"/>
                <w:szCs w:val="20"/>
              </w:rPr>
              <w:t>1994</w:t>
            </w:r>
          </w:p>
        </w:tc>
        <w:tc>
          <w:tcPr>
            <w:tcW w:w="1088" w:type="dxa"/>
            <w:tcBorders>
              <w:top w:val="single" w:sz="4" w:space="0" w:color="auto"/>
              <w:bottom w:val="single" w:sz="4" w:space="0" w:color="auto"/>
            </w:tcBorders>
            <w:noWrap/>
            <w:vAlign w:val="center"/>
          </w:tcPr>
          <w:p w:rsidR="00000000" w:rsidRDefault="00000000">
            <w:pPr>
              <w:widowControl w:val="0"/>
              <w:spacing w:before="60" w:after="60"/>
              <w:jc w:val="center"/>
              <w:rPr>
                <w:b/>
                <w:bCs/>
                <w:i/>
                <w:iCs/>
                <w:color w:val="000000"/>
                <w:sz w:val="18"/>
                <w:szCs w:val="20"/>
              </w:rPr>
            </w:pPr>
            <w:r>
              <w:rPr>
                <w:b/>
                <w:bCs/>
                <w:i/>
                <w:iCs/>
                <w:color w:val="000000"/>
                <w:sz w:val="18"/>
                <w:szCs w:val="20"/>
              </w:rPr>
              <w:t>1995</w:t>
            </w:r>
          </w:p>
        </w:tc>
        <w:tc>
          <w:tcPr>
            <w:tcW w:w="1088" w:type="dxa"/>
            <w:tcBorders>
              <w:top w:val="single" w:sz="4" w:space="0" w:color="auto"/>
              <w:bottom w:val="single" w:sz="4" w:space="0" w:color="auto"/>
            </w:tcBorders>
            <w:noWrap/>
            <w:vAlign w:val="center"/>
          </w:tcPr>
          <w:p w:rsidR="00000000" w:rsidRDefault="00000000">
            <w:pPr>
              <w:widowControl w:val="0"/>
              <w:spacing w:before="60" w:after="60"/>
              <w:jc w:val="center"/>
              <w:rPr>
                <w:b/>
                <w:bCs/>
                <w:i/>
                <w:iCs/>
                <w:color w:val="000000"/>
                <w:sz w:val="18"/>
                <w:szCs w:val="20"/>
              </w:rPr>
            </w:pPr>
            <w:r>
              <w:rPr>
                <w:b/>
                <w:bCs/>
                <w:i/>
                <w:iCs/>
                <w:color w:val="000000"/>
                <w:sz w:val="18"/>
                <w:szCs w:val="20"/>
              </w:rPr>
              <w:t>1996</w:t>
            </w:r>
          </w:p>
        </w:tc>
        <w:tc>
          <w:tcPr>
            <w:tcW w:w="1088" w:type="dxa"/>
            <w:tcBorders>
              <w:top w:val="single" w:sz="4" w:space="0" w:color="auto"/>
              <w:bottom w:val="single" w:sz="4" w:space="0" w:color="auto"/>
            </w:tcBorders>
            <w:noWrap/>
            <w:vAlign w:val="center"/>
          </w:tcPr>
          <w:p w:rsidR="00000000" w:rsidRDefault="00000000">
            <w:pPr>
              <w:widowControl w:val="0"/>
              <w:spacing w:before="60" w:after="60"/>
              <w:jc w:val="center"/>
              <w:rPr>
                <w:b/>
                <w:bCs/>
                <w:i/>
                <w:iCs/>
                <w:color w:val="000000"/>
                <w:sz w:val="18"/>
                <w:szCs w:val="20"/>
              </w:rPr>
            </w:pPr>
            <w:r>
              <w:rPr>
                <w:b/>
                <w:bCs/>
                <w:i/>
                <w:iCs/>
                <w:color w:val="000000"/>
                <w:sz w:val="18"/>
                <w:szCs w:val="20"/>
              </w:rPr>
              <w:t>1997</w:t>
            </w:r>
          </w:p>
        </w:tc>
        <w:tc>
          <w:tcPr>
            <w:tcW w:w="1088" w:type="dxa"/>
            <w:tcBorders>
              <w:top w:val="single" w:sz="4" w:space="0" w:color="auto"/>
              <w:bottom w:val="single" w:sz="4" w:space="0" w:color="auto"/>
            </w:tcBorders>
            <w:noWrap/>
            <w:vAlign w:val="center"/>
          </w:tcPr>
          <w:p w:rsidR="00000000" w:rsidRDefault="00000000">
            <w:pPr>
              <w:widowControl w:val="0"/>
              <w:spacing w:before="60" w:after="60"/>
              <w:jc w:val="center"/>
              <w:rPr>
                <w:b/>
                <w:bCs/>
                <w:i/>
                <w:iCs/>
                <w:color w:val="000000"/>
                <w:sz w:val="18"/>
                <w:szCs w:val="20"/>
              </w:rPr>
            </w:pPr>
            <w:r>
              <w:rPr>
                <w:b/>
                <w:bCs/>
                <w:i/>
                <w:iCs/>
                <w:color w:val="000000"/>
                <w:sz w:val="18"/>
                <w:szCs w:val="20"/>
              </w:rPr>
              <w:t>1998</w:t>
            </w:r>
          </w:p>
        </w:tc>
        <w:tc>
          <w:tcPr>
            <w:tcW w:w="1088" w:type="dxa"/>
            <w:tcBorders>
              <w:top w:val="single" w:sz="4" w:space="0" w:color="auto"/>
              <w:bottom w:val="single" w:sz="4" w:space="0" w:color="auto"/>
            </w:tcBorders>
            <w:noWrap/>
            <w:vAlign w:val="center"/>
          </w:tcPr>
          <w:p w:rsidR="00000000" w:rsidRDefault="00000000">
            <w:pPr>
              <w:widowControl w:val="0"/>
              <w:spacing w:before="60" w:after="60"/>
              <w:jc w:val="center"/>
              <w:rPr>
                <w:b/>
                <w:bCs/>
                <w:i/>
                <w:iCs/>
                <w:color w:val="000000"/>
                <w:sz w:val="18"/>
                <w:szCs w:val="20"/>
              </w:rPr>
            </w:pPr>
            <w:r>
              <w:rPr>
                <w:b/>
                <w:bCs/>
                <w:i/>
                <w:iCs/>
                <w:color w:val="000000"/>
                <w:sz w:val="18"/>
                <w:szCs w:val="20"/>
              </w:rPr>
              <w:t>1999</w:t>
            </w:r>
          </w:p>
        </w:tc>
      </w:tr>
      <w:tr w:rsidR="00000000">
        <w:trPr>
          <w:tblHeader/>
        </w:trPr>
        <w:tc>
          <w:tcPr>
            <w:tcW w:w="1813" w:type="dxa"/>
            <w:tcBorders>
              <w:top w:val="single" w:sz="4" w:space="0" w:color="auto"/>
            </w:tcBorders>
            <w:noWrap/>
            <w:vAlign w:val="center"/>
          </w:tcPr>
          <w:p w:rsidR="00000000" w:rsidRDefault="00000000">
            <w:pPr>
              <w:widowControl w:val="0"/>
              <w:spacing w:before="60" w:after="60"/>
              <w:rPr>
                <w:b/>
                <w:bCs/>
                <w:color w:val="000000"/>
                <w:sz w:val="18"/>
                <w:szCs w:val="20"/>
              </w:rPr>
            </w:pPr>
            <w:r>
              <w:rPr>
                <w:b/>
                <w:bCs/>
                <w:sz w:val="20"/>
                <w:szCs w:val="20"/>
              </w:rPr>
              <w:t>Budget</w:t>
            </w:r>
          </w:p>
        </w:tc>
        <w:tc>
          <w:tcPr>
            <w:tcW w:w="1088" w:type="dxa"/>
            <w:tcBorders>
              <w:top w:val="single" w:sz="4" w:space="0" w:color="auto"/>
            </w:tcBorders>
            <w:noWrap/>
            <w:vAlign w:val="bottom"/>
          </w:tcPr>
          <w:p w:rsidR="00000000" w:rsidRDefault="00000000">
            <w:pPr>
              <w:widowControl w:val="0"/>
              <w:spacing w:before="60" w:after="60"/>
              <w:rPr>
                <w:color w:val="000000"/>
                <w:sz w:val="18"/>
                <w:szCs w:val="20"/>
              </w:rPr>
            </w:pPr>
            <w:r>
              <w:rPr>
                <w:color w:val="000000"/>
                <w:sz w:val="18"/>
                <w:szCs w:val="20"/>
              </w:rPr>
              <w:t> </w:t>
            </w:r>
          </w:p>
        </w:tc>
        <w:tc>
          <w:tcPr>
            <w:tcW w:w="1088" w:type="dxa"/>
            <w:tcBorders>
              <w:top w:val="single" w:sz="4" w:space="0" w:color="auto"/>
            </w:tcBorders>
            <w:noWrap/>
            <w:vAlign w:val="bottom"/>
          </w:tcPr>
          <w:p w:rsidR="00000000" w:rsidRDefault="00000000">
            <w:pPr>
              <w:widowControl w:val="0"/>
              <w:spacing w:before="60" w:after="60"/>
              <w:rPr>
                <w:color w:val="000000"/>
                <w:sz w:val="18"/>
                <w:szCs w:val="20"/>
              </w:rPr>
            </w:pPr>
            <w:r>
              <w:rPr>
                <w:color w:val="000000"/>
                <w:sz w:val="18"/>
                <w:szCs w:val="20"/>
              </w:rPr>
              <w:t> </w:t>
            </w:r>
          </w:p>
        </w:tc>
        <w:tc>
          <w:tcPr>
            <w:tcW w:w="1088" w:type="dxa"/>
            <w:tcBorders>
              <w:top w:val="single" w:sz="4" w:space="0" w:color="auto"/>
            </w:tcBorders>
            <w:noWrap/>
            <w:vAlign w:val="bottom"/>
          </w:tcPr>
          <w:p w:rsidR="00000000" w:rsidRDefault="00000000">
            <w:pPr>
              <w:widowControl w:val="0"/>
              <w:spacing w:before="60" w:after="60"/>
              <w:rPr>
                <w:color w:val="000000"/>
                <w:sz w:val="18"/>
                <w:szCs w:val="20"/>
              </w:rPr>
            </w:pPr>
            <w:r>
              <w:rPr>
                <w:color w:val="000000"/>
                <w:sz w:val="18"/>
                <w:szCs w:val="20"/>
              </w:rPr>
              <w:t> </w:t>
            </w:r>
          </w:p>
        </w:tc>
        <w:tc>
          <w:tcPr>
            <w:tcW w:w="1088" w:type="dxa"/>
            <w:tcBorders>
              <w:top w:val="single" w:sz="4" w:space="0" w:color="auto"/>
            </w:tcBorders>
            <w:noWrap/>
            <w:vAlign w:val="bottom"/>
          </w:tcPr>
          <w:p w:rsidR="00000000" w:rsidRDefault="00000000">
            <w:pPr>
              <w:widowControl w:val="0"/>
              <w:spacing w:before="60" w:after="60"/>
              <w:rPr>
                <w:color w:val="000000"/>
                <w:sz w:val="18"/>
                <w:szCs w:val="20"/>
              </w:rPr>
            </w:pPr>
            <w:r>
              <w:rPr>
                <w:color w:val="000000"/>
                <w:sz w:val="18"/>
                <w:szCs w:val="20"/>
              </w:rPr>
              <w:t> </w:t>
            </w:r>
          </w:p>
        </w:tc>
        <w:tc>
          <w:tcPr>
            <w:tcW w:w="1088" w:type="dxa"/>
            <w:tcBorders>
              <w:top w:val="single" w:sz="4" w:space="0" w:color="auto"/>
            </w:tcBorders>
            <w:noWrap/>
            <w:vAlign w:val="bottom"/>
          </w:tcPr>
          <w:p w:rsidR="00000000" w:rsidRDefault="00000000">
            <w:pPr>
              <w:widowControl w:val="0"/>
              <w:spacing w:before="60" w:after="60"/>
              <w:rPr>
                <w:color w:val="000000"/>
                <w:sz w:val="18"/>
                <w:szCs w:val="20"/>
              </w:rPr>
            </w:pPr>
            <w:r>
              <w:rPr>
                <w:color w:val="000000"/>
                <w:sz w:val="18"/>
                <w:szCs w:val="20"/>
              </w:rPr>
              <w:t> </w:t>
            </w:r>
          </w:p>
        </w:tc>
        <w:tc>
          <w:tcPr>
            <w:tcW w:w="1088" w:type="dxa"/>
            <w:tcBorders>
              <w:top w:val="single" w:sz="4" w:space="0" w:color="auto"/>
            </w:tcBorders>
            <w:noWrap/>
            <w:vAlign w:val="bottom"/>
          </w:tcPr>
          <w:p w:rsidR="00000000" w:rsidRDefault="00000000">
            <w:pPr>
              <w:widowControl w:val="0"/>
              <w:spacing w:before="60" w:after="60"/>
              <w:rPr>
                <w:color w:val="000000"/>
                <w:sz w:val="18"/>
                <w:szCs w:val="20"/>
              </w:rPr>
            </w:pPr>
            <w:r>
              <w:rPr>
                <w:color w:val="000000"/>
                <w:sz w:val="18"/>
                <w:szCs w:val="20"/>
              </w:rPr>
              <w:t> </w:t>
            </w:r>
          </w:p>
        </w:tc>
        <w:tc>
          <w:tcPr>
            <w:tcW w:w="1088" w:type="dxa"/>
            <w:tcBorders>
              <w:top w:val="single" w:sz="4" w:space="0" w:color="auto"/>
            </w:tcBorders>
            <w:noWrap/>
            <w:vAlign w:val="bottom"/>
          </w:tcPr>
          <w:p w:rsidR="00000000" w:rsidRDefault="00000000">
            <w:pPr>
              <w:widowControl w:val="0"/>
              <w:spacing w:before="60" w:after="60"/>
              <w:rPr>
                <w:color w:val="000000"/>
                <w:sz w:val="18"/>
                <w:szCs w:val="20"/>
              </w:rPr>
            </w:pPr>
            <w:r>
              <w:rPr>
                <w:color w:val="000000"/>
                <w:sz w:val="18"/>
                <w:szCs w:val="20"/>
              </w:rPr>
              <w:t> </w:t>
            </w:r>
          </w:p>
        </w:tc>
      </w:tr>
      <w:tr w:rsidR="00000000">
        <w:trPr>
          <w:tblHeader/>
        </w:trPr>
        <w:tc>
          <w:tcPr>
            <w:tcW w:w="1813" w:type="dxa"/>
            <w:noWrap/>
            <w:vAlign w:val="bottom"/>
          </w:tcPr>
          <w:p w:rsidR="00000000" w:rsidRDefault="00000000">
            <w:pPr>
              <w:widowControl w:val="0"/>
              <w:spacing w:before="60" w:after="60"/>
              <w:rPr>
                <w:color w:val="000000"/>
                <w:sz w:val="18"/>
                <w:szCs w:val="20"/>
              </w:rPr>
            </w:pPr>
            <w:r>
              <w:rPr>
                <w:color w:val="000000"/>
                <w:sz w:val="20"/>
                <w:szCs w:val="20"/>
              </w:rPr>
              <w:t>Central Administration</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2 068 868</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2 568 389</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3 490 367</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4 303 706</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4 528 874</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5 419 007</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7 278 673</w:t>
            </w:r>
          </w:p>
        </w:tc>
      </w:tr>
      <w:tr w:rsidR="00000000">
        <w:trPr>
          <w:tblHeader/>
        </w:trPr>
        <w:tc>
          <w:tcPr>
            <w:tcW w:w="1813" w:type="dxa"/>
            <w:noWrap/>
            <w:vAlign w:val="bottom"/>
          </w:tcPr>
          <w:p w:rsidR="00000000" w:rsidRDefault="00000000">
            <w:pPr>
              <w:widowControl w:val="0"/>
              <w:spacing w:before="60" w:after="60"/>
              <w:rPr>
                <w:color w:val="000000"/>
                <w:sz w:val="18"/>
                <w:szCs w:val="20"/>
              </w:rPr>
            </w:pPr>
            <w:r>
              <w:rPr>
                <w:color w:val="000000"/>
                <w:sz w:val="20"/>
                <w:szCs w:val="20"/>
                <w:lang w:val="en-US"/>
              </w:rPr>
              <w:t>Ministery of Education and Worship</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349 981</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439 233</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610 698</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788 674</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949 009</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1 071 373</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1 122 042</w:t>
            </w:r>
          </w:p>
        </w:tc>
      </w:tr>
      <w:tr w:rsidR="00000000">
        <w:trPr>
          <w:tblHeader/>
        </w:trPr>
        <w:tc>
          <w:tcPr>
            <w:tcW w:w="1813" w:type="dxa"/>
            <w:noWrap/>
            <w:vAlign w:val="bottom"/>
          </w:tcPr>
          <w:p w:rsidR="00000000" w:rsidRDefault="00000000">
            <w:pPr>
              <w:widowControl w:val="0"/>
              <w:spacing w:before="60" w:after="60"/>
              <w:rPr>
                <w:color w:val="000000"/>
                <w:sz w:val="18"/>
                <w:szCs w:val="20"/>
              </w:rPr>
            </w:pPr>
            <w:r>
              <w:rPr>
                <w:sz w:val="20"/>
                <w:szCs w:val="20"/>
              </w:rPr>
              <w:t>Nominal GDP (Current Gs.) *</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10 963 527</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13 220 624</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15 833 186</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18 004 375</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19 322 537</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21 580 612</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22 771 596</w:t>
            </w:r>
          </w:p>
        </w:tc>
      </w:tr>
      <w:tr w:rsidR="00000000">
        <w:trPr>
          <w:tblHeader/>
        </w:trPr>
        <w:tc>
          <w:tcPr>
            <w:tcW w:w="1813" w:type="dxa"/>
            <w:noWrap/>
            <w:vAlign w:val="bottom"/>
          </w:tcPr>
          <w:p w:rsidR="00000000" w:rsidRDefault="00000000">
            <w:pPr>
              <w:widowControl w:val="0"/>
              <w:spacing w:before="60" w:after="60"/>
              <w:rPr>
                <w:color w:val="000000"/>
                <w:sz w:val="18"/>
                <w:szCs w:val="20"/>
              </w:rPr>
            </w:pPr>
            <w:r>
              <w:rPr>
                <w:sz w:val="20"/>
                <w:szCs w:val="20"/>
              </w:rPr>
              <w:t>MEC budget/Total budget</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19.1</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19.0</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19.1</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20.8</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21.6</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21.3</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19.5</w:t>
            </w:r>
          </w:p>
        </w:tc>
      </w:tr>
      <w:tr w:rsidR="00000000">
        <w:trPr>
          <w:tblHeader/>
        </w:trPr>
        <w:tc>
          <w:tcPr>
            <w:tcW w:w="1813" w:type="dxa"/>
            <w:noWrap/>
            <w:vAlign w:val="bottom"/>
          </w:tcPr>
          <w:p w:rsidR="00000000" w:rsidRDefault="00000000">
            <w:pPr>
              <w:widowControl w:val="0"/>
              <w:spacing w:before="60" w:after="60"/>
              <w:rPr>
                <w:color w:val="000000"/>
                <w:sz w:val="18"/>
                <w:szCs w:val="20"/>
              </w:rPr>
            </w:pPr>
            <w:r>
              <w:rPr>
                <w:sz w:val="20"/>
                <w:szCs w:val="20"/>
              </w:rPr>
              <w:t>MEC executed budget/GDP</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3.0</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3.2</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3.7</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4.0</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4.2</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4.3</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4.6</w:t>
            </w:r>
          </w:p>
        </w:tc>
      </w:tr>
      <w:tr w:rsidR="00000000">
        <w:trPr>
          <w:tblHeader/>
        </w:trPr>
        <w:tc>
          <w:tcPr>
            <w:tcW w:w="1813" w:type="dxa"/>
            <w:noWrap/>
            <w:vAlign w:val="bottom"/>
          </w:tcPr>
          <w:p w:rsidR="00000000" w:rsidRDefault="00000000">
            <w:pPr>
              <w:widowControl w:val="0"/>
              <w:spacing w:before="60" w:after="60"/>
              <w:rPr>
                <w:b/>
                <w:bCs/>
                <w:color w:val="000000"/>
                <w:sz w:val="18"/>
                <w:szCs w:val="20"/>
              </w:rPr>
            </w:pPr>
            <w:r>
              <w:rPr>
                <w:b/>
                <w:bCs/>
                <w:sz w:val="20"/>
                <w:szCs w:val="20"/>
              </w:rPr>
              <w:t>Execution</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 </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 </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 </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 </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 </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 </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 </w:t>
            </w:r>
          </w:p>
        </w:tc>
      </w:tr>
      <w:tr w:rsidR="00000000">
        <w:trPr>
          <w:tblHeader/>
        </w:trPr>
        <w:tc>
          <w:tcPr>
            <w:tcW w:w="1813" w:type="dxa"/>
            <w:noWrap/>
            <w:vAlign w:val="bottom"/>
          </w:tcPr>
          <w:p w:rsidR="00000000" w:rsidRDefault="00000000">
            <w:pPr>
              <w:widowControl w:val="0"/>
              <w:spacing w:before="60" w:after="60"/>
              <w:rPr>
                <w:color w:val="000000"/>
                <w:sz w:val="18"/>
                <w:szCs w:val="20"/>
              </w:rPr>
            </w:pPr>
            <w:r>
              <w:rPr>
                <w:sz w:val="20"/>
                <w:szCs w:val="20"/>
              </w:rPr>
              <w:t>Central Administration</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1 745 300</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2 253 815</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3 042 601</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3 416 259</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3 750 122</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4 343 994</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5 338 882</w:t>
            </w:r>
          </w:p>
        </w:tc>
      </w:tr>
      <w:tr w:rsidR="00000000">
        <w:trPr>
          <w:tblHeader/>
        </w:trPr>
        <w:tc>
          <w:tcPr>
            <w:tcW w:w="1813" w:type="dxa"/>
            <w:noWrap/>
            <w:vAlign w:val="bottom"/>
          </w:tcPr>
          <w:p w:rsidR="00000000" w:rsidRDefault="00000000">
            <w:pPr>
              <w:widowControl w:val="0"/>
              <w:spacing w:before="60" w:after="60"/>
              <w:rPr>
                <w:color w:val="000000"/>
                <w:sz w:val="18"/>
                <w:szCs w:val="20"/>
              </w:rPr>
            </w:pPr>
            <w:r>
              <w:rPr>
                <w:color w:val="000000"/>
                <w:sz w:val="20"/>
                <w:szCs w:val="20"/>
                <w:lang w:val="en-US"/>
              </w:rPr>
              <w:t>Ministry of Education and Worship</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333 755</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428 461</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579 754</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712 280</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810 298</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926 371</w:t>
            </w:r>
          </w:p>
        </w:tc>
        <w:tc>
          <w:tcPr>
            <w:tcW w:w="1088" w:type="dxa"/>
            <w:noWrap/>
            <w:vAlign w:val="bottom"/>
          </w:tcPr>
          <w:p w:rsidR="00000000" w:rsidRDefault="00000000">
            <w:pPr>
              <w:widowControl w:val="0"/>
              <w:spacing w:before="60" w:after="60"/>
              <w:ind w:right="227"/>
              <w:jc w:val="right"/>
              <w:rPr>
                <w:color w:val="000000"/>
                <w:sz w:val="18"/>
                <w:szCs w:val="20"/>
              </w:rPr>
            </w:pPr>
            <w:r>
              <w:rPr>
                <w:color w:val="000000"/>
                <w:sz w:val="18"/>
                <w:szCs w:val="20"/>
              </w:rPr>
              <w:t>1 040 180</w:t>
            </w:r>
          </w:p>
        </w:tc>
      </w:tr>
      <w:tr w:rsidR="00000000">
        <w:trPr>
          <w:cantSplit/>
          <w:tblHeader/>
        </w:trPr>
        <w:tc>
          <w:tcPr>
            <w:tcW w:w="9429" w:type="dxa"/>
            <w:gridSpan w:val="8"/>
            <w:noWrap/>
            <w:vAlign w:val="center"/>
          </w:tcPr>
          <w:p w:rsidR="00000000" w:rsidRDefault="00000000">
            <w:pPr>
              <w:keepNext/>
              <w:widowControl w:val="0"/>
              <w:spacing w:before="60" w:after="60"/>
              <w:jc w:val="center"/>
              <w:rPr>
                <w:b/>
                <w:bCs/>
                <w:color w:val="000000"/>
                <w:sz w:val="18"/>
                <w:szCs w:val="20"/>
              </w:rPr>
            </w:pPr>
            <w:r>
              <w:rPr>
                <w:b/>
                <w:bCs/>
                <w:color w:val="000000"/>
                <w:sz w:val="20"/>
                <w:szCs w:val="20"/>
              </w:rPr>
              <w:t>2000 – 2005</w:t>
            </w:r>
          </w:p>
        </w:tc>
      </w:tr>
      <w:tr w:rsidR="00000000">
        <w:trPr>
          <w:tblHeader/>
        </w:trPr>
        <w:tc>
          <w:tcPr>
            <w:tcW w:w="1813" w:type="dxa"/>
            <w:tcBorders>
              <w:top w:val="single" w:sz="4" w:space="0" w:color="auto"/>
              <w:bottom w:val="single" w:sz="4" w:space="0" w:color="auto"/>
            </w:tcBorders>
            <w:noWrap/>
            <w:vAlign w:val="center"/>
          </w:tcPr>
          <w:p w:rsidR="00000000" w:rsidRDefault="00000000">
            <w:pPr>
              <w:keepNext/>
              <w:widowControl w:val="0"/>
              <w:spacing w:before="60" w:after="60"/>
              <w:jc w:val="center"/>
              <w:rPr>
                <w:b/>
                <w:bCs/>
                <w:i/>
                <w:iCs/>
                <w:color w:val="000000"/>
                <w:sz w:val="18"/>
                <w:szCs w:val="20"/>
              </w:rPr>
            </w:pPr>
            <w:r>
              <w:rPr>
                <w:b/>
                <w:bCs/>
                <w:i/>
                <w:iCs/>
                <w:color w:val="000000"/>
                <w:sz w:val="18"/>
                <w:szCs w:val="20"/>
              </w:rPr>
              <w:t>Items</w:t>
            </w:r>
          </w:p>
        </w:tc>
        <w:tc>
          <w:tcPr>
            <w:tcW w:w="1088" w:type="dxa"/>
            <w:tcBorders>
              <w:top w:val="single" w:sz="4" w:space="0" w:color="auto"/>
              <w:bottom w:val="single" w:sz="4" w:space="0" w:color="auto"/>
            </w:tcBorders>
            <w:noWrap/>
            <w:vAlign w:val="center"/>
          </w:tcPr>
          <w:p w:rsidR="00000000" w:rsidRDefault="00000000">
            <w:pPr>
              <w:keepNext/>
              <w:widowControl w:val="0"/>
              <w:spacing w:before="60" w:after="60"/>
              <w:jc w:val="center"/>
              <w:rPr>
                <w:b/>
                <w:bCs/>
                <w:i/>
                <w:iCs/>
                <w:color w:val="000000"/>
                <w:sz w:val="18"/>
                <w:szCs w:val="20"/>
              </w:rPr>
            </w:pPr>
            <w:r>
              <w:rPr>
                <w:b/>
                <w:bCs/>
                <w:i/>
                <w:iCs/>
                <w:color w:val="000000"/>
                <w:sz w:val="18"/>
                <w:szCs w:val="20"/>
              </w:rPr>
              <w:t>2000</w:t>
            </w:r>
          </w:p>
        </w:tc>
        <w:tc>
          <w:tcPr>
            <w:tcW w:w="1088" w:type="dxa"/>
            <w:tcBorders>
              <w:top w:val="single" w:sz="4" w:space="0" w:color="auto"/>
              <w:bottom w:val="single" w:sz="4" w:space="0" w:color="auto"/>
            </w:tcBorders>
            <w:noWrap/>
            <w:vAlign w:val="center"/>
          </w:tcPr>
          <w:p w:rsidR="00000000" w:rsidRDefault="00000000">
            <w:pPr>
              <w:keepNext/>
              <w:widowControl w:val="0"/>
              <w:spacing w:before="60" w:after="60"/>
              <w:jc w:val="center"/>
              <w:rPr>
                <w:b/>
                <w:bCs/>
                <w:i/>
                <w:iCs/>
                <w:color w:val="000000"/>
                <w:sz w:val="18"/>
                <w:szCs w:val="20"/>
              </w:rPr>
            </w:pPr>
            <w:r>
              <w:rPr>
                <w:b/>
                <w:bCs/>
                <w:i/>
                <w:iCs/>
                <w:color w:val="000000"/>
                <w:sz w:val="18"/>
                <w:szCs w:val="20"/>
              </w:rPr>
              <w:t>2001</w:t>
            </w:r>
          </w:p>
        </w:tc>
        <w:tc>
          <w:tcPr>
            <w:tcW w:w="1088" w:type="dxa"/>
            <w:tcBorders>
              <w:top w:val="single" w:sz="4" w:space="0" w:color="auto"/>
              <w:bottom w:val="single" w:sz="4" w:space="0" w:color="auto"/>
            </w:tcBorders>
            <w:noWrap/>
            <w:vAlign w:val="center"/>
          </w:tcPr>
          <w:p w:rsidR="00000000" w:rsidRDefault="00000000">
            <w:pPr>
              <w:keepNext/>
              <w:widowControl w:val="0"/>
              <w:spacing w:before="60" w:after="60"/>
              <w:jc w:val="center"/>
              <w:rPr>
                <w:b/>
                <w:bCs/>
                <w:i/>
                <w:iCs/>
                <w:color w:val="000000"/>
                <w:sz w:val="18"/>
                <w:szCs w:val="20"/>
              </w:rPr>
            </w:pPr>
            <w:r>
              <w:rPr>
                <w:b/>
                <w:bCs/>
                <w:i/>
                <w:iCs/>
                <w:color w:val="000000"/>
                <w:sz w:val="18"/>
                <w:szCs w:val="20"/>
              </w:rPr>
              <w:t>2002</w:t>
            </w:r>
          </w:p>
        </w:tc>
        <w:tc>
          <w:tcPr>
            <w:tcW w:w="1088" w:type="dxa"/>
            <w:tcBorders>
              <w:top w:val="single" w:sz="4" w:space="0" w:color="auto"/>
              <w:bottom w:val="single" w:sz="4" w:space="0" w:color="auto"/>
            </w:tcBorders>
            <w:noWrap/>
            <w:vAlign w:val="center"/>
          </w:tcPr>
          <w:p w:rsidR="00000000" w:rsidRDefault="00000000">
            <w:pPr>
              <w:keepNext/>
              <w:widowControl w:val="0"/>
              <w:spacing w:before="60" w:after="60"/>
              <w:jc w:val="center"/>
              <w:rPr>
                <w:b/>
                <w:bCs/>
                <w:i/>
                <w:iCs/>
                <w:color w:val="000000"/>
                <w:sz w:val="18"/>
                <w:szCs w:val="20"/>
              </w:rPr>
            </w:pPr>
            <w:r>
              <w:rPr>
                <w:b/>
                <w:bCs/>
                <w:i/>
                <w:iCs/>
                <w:color w:val="000000"/>
                <w:sz w:val="18"/>
                <w:szCs w:val="20"/>
              </w:rPr>
              <w:t>2003</w:t>
            </w:r>
          </w:p>
        </w:tc>
        <w:tc>
          <w:tcPr>
            <w:tcW w:w="1088" w:type="dxa"/>
            <w:tcBorders>
              <w:top w:val="single" w:sz="4" w:space="0" w:color="auto"/>
              <w:bottom w:val="single" w:sz="4" w:space="0" w:color="auto"/>
            </w:tcBorders>
            <w:noWrap/>
            <w:vAlign w:val="center"/>
          </w:tcPr>
          <w:p w:rsidR="00000000" w:rsidRDefault="00000000">
            <w:pPr>
              <w:keepNext/>
              <w:widowControl w:val="0"/>
              <w:spacing w:before="60" w:after="60"/>
              <w:jc w:val="center"/>
              <w:rPr>
                <w:b/>
                <w:bCs/>
                <w:i/>
                <w:iCs/>
                <w:color w:val="000000"/>
                <w:sz w:val="18"/>
                <w:szCs w:val="20"/>
              </w:rPr>
            </w:pPr>
            <w:r>
              <w:rPr>
                <w:b/>
                <w:bCs/>
                <w:i/>
                <w:iCs/>
                <w:color w:val="000000"/>
                <w:sz w:val="18"/>
                <w:szCs w:val="20"/>
              </w:rPr>
              <w:t>2004</w:t>
            </w:r>
          </w:p>
        </w:tc>
        <w:tc>
          <w:tcPr>
            <w:tcW w:w="1088" w:type="dxa"/>
            <w:tcBorders>
              <w:top w:val="single" w:sz="4" w:space="0" w:color="auto"/>
              <w:bottom w:val="single" w:sz="4" w:space="0" w:color="auto"/>
            </w:tcBorders>
            <w:noWrap/>
            <w:vAlign w:val="center"/>
          </w:tcPr>
          <w:p w:rsidR="00000000" w:rsidRDefault="00000000">
            <w:pPr>
              <w:keepNext/>
              <w:widowControl w:val="0"/>
              <w:spacing w:before="60" w:after="60"/>
              <w:jc w:val="center"/>
              <w:rPr>
                <w:b/>
                <w:bCs/>
                <w:i/>
                <w:iCs/>
                <w:color w:val="000000"/>
                <w:sz w:val="18"/>
                <w:szCs w:val="20"/>
              </w:rPr>
            </w:pPr>
            <w:r>
              <w:rPr>
                <w:b/>
                <w:bCs/>
                <w:i/>
                <w:iCs/>
                <w:color w:val="000000"/>
                <w:sz w:val="18"/>
                <w:szCs w:val="20"/>
              </w:rPr>
              <w:t>2005</w:t>
            </w:r>
          </w:p>
        </w:tc>
        <w:tc>
          <w:tcPr>
            <w:tcW w:w="1088" w:type="dxa"/>
            <w:tcBorders>
              <w:top w:val="single" w:sz="4" w:space="0" w:color="auto"/>
              <w:bottom w:val="single" w:sz="4" w:space="0" w:color="auto"/>
            </w:tcBorders>
            <w:noWrap/>
            <w:vAlign w:val="bottom"/>
          </w:tcPr>
          <w:p w:rsidR="00000000" w:rsidRDefault="00000000">
            <w:pPr>
              <w:keepNext/>
              <w:widowControl w:val="0"/>
              <w:spacing w:before="60" w:after="60"/>
              <w:jc w:val="center"/>
              <w:rPr>
                <w:i/>
                <w:iCs/>
                <w:color w:val="000000"/>
                <w:sz w:val="18"/>
                <w:szCs w:val="20"/>
              </w:rPr>
            </w:pPr>
          </w:p>
        </w:tc>
      </w:tr>
      <w:tr w:rsidR="00000000">
        <w:trPr>
          <w:tblHeader/>
        </w:trPr>
        <w:tc>
          <w:tcPr>
            <w:tcW w:w="1813" w:type="dxa"/>
            <w:tcBorders>
              <w:top w:val="single" w:sz="4" w:space="0" w:color="auto"/>
            </w:tcBorders>
            <w:noWrap/>
            <w:vAlign w:val="center"/>
          </w:tcPr>
          <w:p w:rsidR="00000000" w:rsidRDefault="00000000">
            <w:pPr>
              <w:widowControl w:val="0"/>
              <w:spacing w:before="60" w:after="60"/>
              <w:rPr>
                <w:b/>
                <w:bCs/>
                <w:color w:val="000000"/>
                <w:sz w:val="18"/>
                <w:szCs w:val="20"/>
              </w:rPr>
            </w:pPr>
            <w:r>
              <w:rPr>
                <w:b/>
                <w:bCs/>
                <w:sz w:val="20"/>
                <w:szCs w:val="20"/>
              </w:rPr>
              <w:t>Budget</w:t>
            </w:r>
          </w:p>
        </w:tc>
        <w:tc>
          <w:tcPr>
            <w:tcW w:w="1088" w:type="dxa"/>
            <w:tcBorders>
              <w:top w:val="single" w:sz="4" w:space="0" w:color="auto"/>
            </w:tcBorders>
            <w:noWrap/>
            <w:vAlign w:val="bottom"/>
          </w:tcPr>
          <w:p w:rsidR="00000000" w:rsidRDefault="00000000">
            <w:pPr>
              <w:keepNext/>
              <w:widowControl w:val="0"/>
              <w:spacing w:before="60" w:after="60"/>
              <w:jc w:val="right"/>
              <w:rPr>
                <w:color w:val="000000"/>
                <w:sz w:val="18"/>
                <w:szCs w:val="20"/>
              </w:rPr>
            </w:pPr>
            <w:r>
              <w:rPr>
                <w:color w:val="000000"/>
                <w:sz w:val="18"/>
                <w:szCs w:val="20"/>
              </w:rPr>
              <w:t> </w:t>
            </w:r>
          </w:p>
        </w:tc>
        <w:tc>
          <w:tcPr>
            <w:tcW w:w="1088" w:type="dxa"/>
            <w:tcBorders>
              <w:top w:val="single" w:sz="4" w:space="0" w:color="auto"/>
            </w:tcBorders>
            <w:noWrap/>
            <w:vAlign w:val="bottom"/>
          </w:tcPr>
          <w:p w:rsidR="00000000" w:rsidRDefault="00000000">
            <w:pPr>
              <w:keepNext/>
              <w:widowControl w:val="0"/>
              <w:spacing w:before="60" w:after="60"/>
              <w:jc w:val="right"/>
              <w:rPr>
                <w:color w:val="000000"/>
                <w:sz w:val="18"/>
                <w:szCs w:val="20"/>
              </w:rPr>
            </w:pPr>
            <w:r>
              <w:rPr>
                <w:color w:val="000000"/>
                <w:sz w:val="18"/>
                <w:szCs w:val="20"/>
              </w:rPr>
              <w:t> </w:t>
            </w:r>
          </w:p>
        </w:tc>
        <w:tc>
          <w:tcPr>
            <w:tcW w:w="1088" w:type="dxa"/>
            <w:tcBorders>
              <w:top w:val="single" w:sz="4" w:space="0" w:color="auto"/>
            </w:tcBorders>
            <w:noWrap/>
            <w:vAlign w:val="bottom"/>
          </w:tcPr>
          <w:p w:rsidR="00000000" w:rsidRDefault="00000000">
            <w:pPr>
              <w:keepNext/>
              <w:widowControl w:val="0"/>
              <w:spacing w:before="60" w:after="60"/>
              <w:jc w:val="right"/>
              <w:rPr>
                <w:color w:val="000000"/>
                <w:sz w:val="18"/>
                <w:szCs w:val="20"/>
              </w:rPr>
            </w:pPr>
            <w:r>
              <w:rPr>
                <w:color w:val="000000"/>
                <w:sz w:val="18"/>
                <w:szCs w:val="20"/>
              </w:rPr>
              <w:t> </w:t>
            </w:r>
          </w:p>
        </w:tc>
        <w:tc>
          <w:tcPr>
            <w:tcW w:w="1088" w:type="dxa"/>
            <w:tcBorders>
              <w:top w:val="single" w:sz="4" w:space="0" w:color="auto"/>
            </w:tcBorders>
            <w:noWrap/>
            <w:vAlign w:val="bottom"/>
          </w:tcPr>
          <w:p w:rsidR="00000000" w:rsidRDefault="00000000">
            <w:pPr>
              <w:keepNext/>
              <w:widowControl w:val="0"/>
              <w:spacing w:before="60" w:after="60"/>
              <w:jc w:val="right"/>
              <w:rPr>
                <w:color w:val="000000"/>
                <w:sz w:val="18"/>
                <w:szCs w:val="20"/>
              </w:rPr>
            </w:pPr>
            <w:r>
              <w:rPr>
                <w:color w:val="000000"/>
                <w:sz w:val="18"/>
                <w:szCs w:val="20"/>
              </w:rPr>
              <w:t> </w:t>
            </w:r>
          </w:p>
        </w:tc>
        <w:tc>
          <w:tcPr>
            <w:tcW w:w="1088" w:type="dxa"/>
            <w:tcBorders>
              <w:top w:val="single" w:sz="4" w:space="0" w:color="auto"/>
            </w:tcBorders>
            <w:noWrap/>
            <w:vAlign w:val="bottom"/>
          </w:tcPr>
          <w:p w:rsidR="00000000" w:rsidRDefault="00000000">
            <w:pPr>
              <w:keepNext/>
              <w:widowControl w:val="0"/>
              <w:spacing w:before="60" w:after="60"/>
              <w:jc w:val="right"/>
              <w:rPr>
                <w:color w:val="000000"/>
                <w:sz w:val="18"/>
                <w:szCs w:val="20"/>
              </w:rPr>
            </w:pPr>
            <w:r>
              <w:rPr>
                <w:color w:val="000000"/>
                <w:sz w:val="18"/>
                <w:szCs w:val="20"/>
              </w:rPr>
              <w:t> </w:t>
            </w:r>
          </w:p>
        </w:tc>
        <w:tc>
          <w:tcPr>
            <w:tcW w:w="1088" w:type="dxa"/>
            <w:tcBorders>
              <w:top w:val="single" w:sz="4" w:space="0" w:color="auto"/>
            </w:tcBorders>
            <w:noWrap/>
            <w:vAlign w:val="bottom"/>
          </w:tcPr>
          <w:p w:rsidR="00000000" w:rsidRDefault="00000000">
            <w:pPr>
              <w:keepNext/>
              <w:widowControl w:val="0"/>
              <w:spacing w:before="60" w:after="60"/>
              <w:jc w:val="right"/>
              <w:rPr>
                <w:color w:val="000000"/>
                <w:sz w:val="18"/>
                <w:szCs w:val="20"/>
              </w:rPr>
            </w:pPr>
            <w:r>
              <w:rPr>
                <w:color w:val="000000"/>
                <w:sz w:val="18"/>
                <w:szCs w:val="20"/>
              </w:rPr>
              <w:t> </w:t>
            </w:r>
          </w:p>
        </w:tc>
        <w:tc>
          <w:tcPr>
            <w:tcW w:w="1088" w:type="dxa"/>
            <w:tcBorders>
              <w:top w:val="single" w:sz="4" w:space="0" w:color="auto"/>
            </w:tcBorders>
            <w:noWrap/>
            <w:vAlign w:val="bottom"/>
          </w:tcPr>
          <w:p w:rsidR="00000000" w:rsidRDefault="00000000">
            <w:pPr>
              <w:keepNext/>
              <w:widowControl w:val="0"/>
              <w:spacing w:before="60" w:after="60"/>
              <w:jc w:val="right"/>
              <w:rPr>
                <w:color w:val="000000"/>
                <w:sz w:val="18"/>
                <w:szCs w:val="20"/>
              </w:rPr>
            </w:pPr>
          </w:p>
        </w:tc>
      </w:tr>
      <w:tr w:rsidR="00000000">
        <w:trPr>
          <w:tblHeader/>
        </w:trPr>
        <w:tc>
          <w:tcPr>
            <w:tcW w:w="1813" w:type="dxa"/>
            <w:noWrap/>
            <w:vAlign w:val="bottom"/>
          </w:tcPr>
          <w:p w:rsidR="00000000" w:rsidRDefault="00000000">
            <w:pPr>
              <w:widowControl w:val="0"/>
              <w:spacing w:before="60" w:after="60"/>
              <w:rPr>
                <w:color w:val="000000"/>
                <w:sz w:val="18"/>
                <w:szCs w:val="20"/>
              </w:rPr>
            </w:pPr>
            <w:r>
              <w:rPr>
                <w:color w:val="000000"/>
                <w:sz w:val="20"/>
                <w:szCs w:val="20"/>
              </w:rPr>
              <w:t>Central Administration</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7 604 699</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7 291 523</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7 770 138</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9 994 811</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9 568 415</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10 911 323</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p>
        </w:tc>
      </w:tr>
      <w:tr w:rsidR="00000000">
        <w:trPr>
          <w:tblHeader/>
        </w:trPr>
        <w:tc>
          <w:tcPr>
            <w:tcW w:w="1813" w:type="dxa"/>
            <w:noWrap/>
            <w:vAlign w:val="bottom"/>
          </w:tcPr>
          <w:p w:rsidR="00000000" w:rsidRDefault="00000000">
            <w:pPr>
              <w:widowControl w:val="0"/>
              <w:spacing w:before="60" w:after="60"/>
              <w:rPr>
                <w:color w:val="000000"/>
                <w:sz w:val="18"/>
                <w:szCs w:val="20"/>
              </w:rPr>
            </w:pPr>
            <w:r>
              <w:rPr>
                <w:color w:val="000000"/>
                <w:sz w:val="20"/>
                <w:szCs w:val="20"/>
                <w:lang w:val="en-US"/>
              </w:rPr>
              <w:t>Ministery of Education and Worship</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1 324 198</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1 327 772</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1 394 241</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1 477 347</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1 625 449</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1 964 120</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p>
        </w:tc>
      </w:tr>
      <w:tr w:rsidR="00000000">
        <w:trPr>
          <w:tblHeader/>
        </w:trPr>
        <w:tc>
          <w:tcPr>
            <w:tcW w:w="1813" w:type="dxa"/>
            <w:noWrap/>
            <w:vAlign w:val="bottom"/>
          </w:tcPr>
          <w:p w:rsidR="00000000" w:rsidRDefault="00000000">
            <w:pPr>
              <w:widowControl w:val="0"/>
              <w:spacing w:before="60" w:after="60"/>
              <w:rPr>
                <w:color w:val="000000"/>
                <w:sz w:val="18"/>
                <w:szCs w:val="20"/>
              </w:rPr>
            </w:pPr>
            <w:r>
              <w:rPr>
                <w:sz w:val="20"/>
                <w:szCs w:val="20"/>
              </w:rPr>
              <w:t>Nominal GDP (Current Gs.) *</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24 736 526</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26 465 663</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29 104 530</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35 666 425</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41 521 883</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46 134 612</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p>
        </w:tc>
      </w:tr>
      <w:tr w:rsidR="00000000">
        <w:trPr>
          <w:tblHeader/>
        </w:trPr>
        <w:tc>
          <w:tcPr>
            <w:tcW w:w="1813" w:type="dxa"/>
            <w:noWrap/>
            <w:vAlign w:val="bottom"/>
          </w:tcPr>
          <w:p w:rsidR="00000000" w:rsidRDefault="00000000">
            <w:pPr>
              <w:widowControl w:val="0"/>
              <w:spacing w:before="60" w:after="60"/>
              <w:rPr>
                <w:color w:val="000000"/>
                <w:sz w:val="18"/>
                <w:szCs w:val="20"/>
              </w:rPr>
            </w:pPr>
            <w:r>
              <w:rPr>
                <w:sz w:val="20"/>
                <w:szCs w:val="20"/>
              </w:rPr>
              <w:t>MEC budget/Total budget</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21.1</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21.8</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20.0</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19.7</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19.3</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19.7</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p>
        </w:tc>
      </w:tr>
      <w:tr w:rsidR="00000000">
        <w:trPr>
          <w:tblHeader/>
        </w:trPr>
        <w:tc>
          <w:tcPr>
            <w:tcW w:w="1813" w:type="dxa"/>
            <w:noWrap/>
            <w:vAlign w:val="bottom"/>
          </w:tcPr>
          <w:p w:rsidR="00000000" w:rsidRDefault="00000000">
            <w:pPr>
              <w:widowControl w:val="0"/>
              <w:spacing w:before="60" w:after="60"/>
              <w:rPr>
                <w:color w:val="000000"/>
                <w:sz w:val="18"/>
                <w:szCs w:val="20"/>
              </w:rPr>
            </w:pPr>
            <w:r>
              <w:rPr>
                <w:sz w:val="20"/>
                <w:szCs w:val="20"/>
              </w:rPr>
              <w:t>MEC executed budget/GDP</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5.2</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4.8</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4.6</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4.0</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3.7</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r>
              <w:rPr>
                <w:color w:val="000000"/>
                <w:sz w:val="18"/>
                <w:szCs w:val="20"/>
                <w:lang w:val="en-US"/>
              </w:rPr>
              <w:t>3.9</w:t>
            </w:r>
          </w:p>
        </w:tc>
        <w:tc>
          <w:tcPr>
            <w:tcW w:w="1088" w:type="dxa"/>
            <w:noWrap/>
            <w:vAlign w:val="bottom"/>
          </w:tcPr>
          <w:p w:rsidR="00000000" w:rsidRDefault="00000000">
            <w:pPr>
              <w:keepNext/>
              <w:widowControl w:val="0"/>
              <w:spacing w:before="60" w:after="60"/>
              <w:ind w:right="227"/>
              <w:jc w:val="right"/>
              <w:rPr>
                <w:color w:val="000000"/>
                <w:sz w:val="18"/>
                <w:szCs w:val="20"/>
                <w:lang w:val="en-US"/>
              </w:rPr>
            </w:pPr>
          </w:p>
        </w:tc>
      </w:tr>
      <w:tr w:rsidR="00000000">
        <w:trPr>
          <w:tblHeader/>
        </w:trPr>
        <w:tc>
          <w:tcPr>
            <w:tcW w:w="1813" w:type="dxa"/>
            <w:noWrap/>
            <w:vAlign w:val="bottom"/>
          </w:tcPr>
          <w:p w:rsidR="00000000" w:rsidRDefault="00000000">
            <w:pPr>
              <w:widowControl w:val="0"/>
              <w:spacing w:before="60" w:after="60"/>
              <w:rPr>
                <w:b/>
                <w:bCs/>
                <w:color w:val="000000"/>
                <w:sz w:val="18"/>
                <w:szCs w:val="20"/>
              </w:rPr>
            </w:pPr>
            <w:r>
              <w:rPr>
                <w:b/>
                <w:bCs/>
                <w:sz w:val="20"/>
                <w:szCs w:val="20"/>
              </w:rPr>
              <w:t>Execution</w:t>
            </w:r>
          </w:p>
        </w:tc>
        <w:tc>
          <w:tcPr>
            <w:tcW w:w="1088" w:type="dxa"/>
            <w:noWrap/>
            <w:vAlign w:val="bottom"/>
          </w:tcPr>
          <w:p w:rsidR="00000000" w:rsidRDefault="00000000">
            <w:pPr>
              <w:widowControl w:val="0"/>
              <w:spacing w:before="60" w:after="60"/>
              <w:ind w:right="227"/>
              <w:jc w:val="right"/>
              <w:rPr>
                <w:color w:val="000000"/>
                <w:sz w:val="18"/>
                <w:szCs w:val="20"/>
                <w:lang w:val="en-US"/>
              </w:rPr>
            </w:pPr>
            <w:r>
              <w:rPr>
                <w:color w:val="000000"/>
                <w:sz w:val="18"/>
                <w:szCs w:val="20"/>
                <w:lang w:val="en-US"/>
              </w:rPr>
              <w:t> </w:t>
            </w:r>
          </w:p>
        </w:tc>
        <w:tc>
          <w:tcPr>
            <w:tcW w:w="1088" w:type="dxa"/>
            <w:noWrap/>
            <w:vAlign w:val="bottom"/>
          </w:tcPr>
          <w:p w:rsidR="00000000" w:rsidRDefault="00000000">
            <w:pPr>
              <w:widowControl w:val="0"/>
              <w:spacing w:before="60" w:after="60"/>
              <w:ind w:right="227"/>
              <w:jc w:val="right"/>
              <w:rPr>
                <w:color w:val="000000"/>
                <w:sz w:val="18"/>
                <w:szCs w:val="20"/>
                <w:lang w:val="en-US"/>
              </w:rPr>
            </w:pPr>
            <w:r>
              <w:rPr>
                <w:color w:val="000000"/>
                <w:sz w:val="18"/>
                <w:szCs w:val="20"/>
                <w:lang w:val="en-US"/>
              </w:rPr>
              <w:t> </w:t>
            </w:r>
          </w:p>
        </w:tc>
        <w:tc>
          <w:tcPr>
            <w:tcW w:w="1088" w:type="dxa"/>
            <w:noWrap/>
            <w:vAlign w:val="bottom"/>
          </w:tcPr>
          <w:p w:rsidR="00000000" w:rsidRDefault="00000000">
            <w:pPr>
              <w:widowControl w:val="0"/>
              <w:spacing w:before="60" w:after="60"/>
              <w:ind w:right="227"/>
              <w:jc w:val="right"/>
              <w:rPr>
                <w:color w:val="000000"/>
                <w:sz w:val="18"/>
                <w:szCs w:val="20"/>
                <w:lang w:val="en-US"/>
              </w:rPr>
            </w:pPr>
            <w:r>
              <w:rPr>
                <w:color w:val="000000"/>
                <w:sz w:val="18"/>
                <w:szCs w:val="20"/>
                <w:lang w:val="en-US"/>
              </w:rPr>
              <w:t> </w:t>
            </w:r>
          </w:p>
        </w:tc>
        <w:tc>
          <w:tcPr>
            <w:tcW w:w="1088" w:type="dxa"/>
            <w:noWrap/>
            <w:vAlign w:val="bottom"/>
          </w:tcPr>
          <w:p w:rsidR="00000000" w:rsidRDefault="00000000">
            <w:pPr>
              <w:widowControl w:val="0"/>
              <w:spacing w:before="60" w:after="60"/>
              <w:ind w:right="227"/>
              <w:jc w:val="right"/>
              <w:rPr>
                <w:color w:val="000000"/>
                <w:sz w:val="18"/>
                <w:szCs w:val="20"/>
                <w:lang w:val="en-US"/>
              </w:rPr>
            </w:pPr>
            <w:r>
              <w:rPr>
                <w:color w:val="000000"/>
                <w:sz w:val="18"/>
                <w:szCs w:val="20"/>
                <w:lang w:val="en-US"/>
              </w:rPr>
              <w:t> </w:t>
            </w:r>
          </w:p>
        </w:tc>
        <w:tc>
          <w:tcPr>
            <w:tcW w:w="1088" w:type="dxa"/>
            <w:noWrap/>
            <w:vAlign w:val="bottom"/>
          </w:tcPr>
          <w:p w:rsidR="00000000" w:rsidRDefault="00000000">
            <w:pPr>
              <w:widowControl w:val="0"/>
              <w:spacing w:before="60" w:after="60"/>
              <w:ind w:right="227"/>
              <w:jc w:val="right"/>
              <w:rPr>
                <w:color w:val="000000"/>
                <w:sz w:val="18"/>
                <w:szCs w:val="20"/>
                <w:lang w:val="en-US"/>
              </w:rPr>
            </w:pPr>
            <w:r>
              <w:rPr>
                <w:color w:val="000000"/>
                <w:sz w:val="18"/>
                <w:szCs w:val="20"/>
                <w:lang w:val="en-US"/>
              </w:rPr>
              <w:t> </w:t>
            </w:r>
          </w:p>
        </w:tc>
        <w:tc>
          <w:tcPr>
            <w:tcW w:w="1088" w:type="dxa"/>
            <w:noWrap/>
            <w:vAlign w:val="bottom"/>
          </w:tcPr>
          <w:p w:rsidR="00000000" w:rsidRDefault="00000000">
            <w:pPr>
              <w:widowControl w:val="0"/>
              <w:spacing w:before="60" w:after="60"/>
              <w:ind w:right="227"/>
              <w:jc w:val="right"/>
              <w:rPr>
                <w:color w:val="000000"/>
                <w:sz w:val="18"/>
                <w:szCs w:val="20"/>
                <w:lang w:val="en-US"/>
              </w:rPr>
            </w:pPr>
            <w:r>
              <w:rPr>
                <w:color w:val="000000"/>
                <w:sz w:val="18"/>
                <w:szCs w:val="20"/>
                <w:lang w:val="en-US"/>
              </w:rPr>
              <w:t> </w:t>
            </w:r>
          </w:p>
        </w:tc>
        <w:tc>
          <w:tcPr>
            <w:tcW w:w="1088" w:type="dxa"/>
            <w:noWrap/>
            <w:vAlign w:val="bottom"/>
          </w:tcPr>
          <w:p w:rsidR="00000000" w:rsidRDefault="00000000">
            <w:pPr>
              <w:widowControl w:val="0"/>
              <w:spacing w:before="60" w:after="60"/>
              <w:ind w:right="227"/>
              <w:jc w:val="right"/>
              <w:rPr>
                <w:color w:val="000000"/>
                <w:sz w:val="18"/>
                <w:szCs w:val="20"/>
                <w:lang w:val="en-US"/>
              </w:rPr>
            </w:pPr>
          </w:p>
        </w:tc>
      </w:tr>
      <w:tr w:rsidR="00000000">
        <w:trPr>
          <w:tblHeader/>
        </w:trPr>
        <w:tc>
          <w:tcPr>
            <w:tcW w:w="1813" w:type="dxa"/>
            <w:noWrap/>
            <w:vAlign w:val="bottom"/>
          </w:tcPr>
          <w:p w:rsidR="00000000" w:rsidRDefault="00000000">
            <w:pPr>
              <w:widowControl w:val="0"/>
              <w:spacing w:before="60" w:after="60"/>
              <w:rPr>
                <w:color w:val="000000"/>
                <w:sz w:val="18"/>
                <w:szCs w:val="20"/>
              </w:rPr>
            </w:pPr>
            <w:r>
              <w:rPr>
                <w:sz w:val="20"/>
                <w:szCs w:val="20"/>
              </w:rPr>
              <w:t>Central Administration</w:t>
            </w:r>
          </w:p>
        </w:tc>
        <w:tc>
          <w:tcPr>
            <w:tcW w:w="1088" w:type="dxa"/>
            <w:noWrap/>
            <w:vAlign w:val="bottom"/>
          </w:tcPr>
          <w:p w:rsidR="00000000" w:rsidRDefault="00000000">
            <w:pPr>
              <w:widowControl w:val="0"/>
              <w:spacing w:before="60" w:after="60"/>
              <w:ind w:right="227"/>
              <w:jc w:val="right"/>
              <w:rPr>
                <w:color w:val="000000"/>
                <w:sz w:val="18"/>
                <w:szCs w:val="20"/>
                <w:lang w:val="en-US"/>
              </w:rPr>
            </w:pPr>
            <w:r>
              <w:rPr>
                <w:color w:val="000000"/>
                <w:sz w:val="18"/>
                <w:szCs w:val="20"/>
                <w:lang w:val="en-US"/>
              </w:rPr>
              <w:t>6 112 908</w:t>
            </w:r>
          </w:p>
        </w:tc>
        <w:tc>
          <w:tcPr>
            <w:tcW w:w="1088" w:type="dxa"/>
            <w:noWrap/>
            <w:vAlign w:val="bottom"/>
          </w:tcPr>
          <w:p w:rsidR="00000000" w:rsidRDefault="00000000">
            <w:pPr>
              <w:widowControl w:val="0"/>
              <w:spacing w:before="60" w:after="60"/>
              <w:ind w:right="227"/>
              <w:jc w:val="right"/>
              <w:rPr>
                <w:color w:val="000000"/>
                <w:sz w:val="18"/>
                <w:szCs w:val="20"/>
                <w:lang w:val="en-US"/>
              </w:rPr>
            </w:pPr>
            <w:r>
              <w:rPr>
                <w:color w:val="000000"/>
                <w:sz w:val="18"/>
                <w:szCs w:val="20"/>
                <w:lang w:val="en-US"/>
              </w:rPr>
              <w:t>5 838 915</w:t>
            </w:r>
          </w:p>
        </w:tc>
        <w:tc>
          <w:tcPr>
            <w:tcW w:w="1088" w:type="dxa"/>
            <w:noWrap/>
            <w:vAlign w:val="bottom"/>
          </w:tcPr>
          <w:p w:rsidR="00000000" w:rsidRDefault="00000000">
            <w:pPr>
              <w:widowControl w:val="0"/>
              <w:spacing w:before="60" w:after="60"/>
              <w:ind w:right="227"/>
              <w:jc w:val="right"/>
              <w:rPr>
                <w:color w:val="000000"/>
                <w:sz w:val="18"/>
                <w:szCs w:val="20"/>
                <w:lang w:val="en-US"/>
              </w:rPr>
            </w:pPr>
            <w:r>
              <w:rPr>
                <w:color w:val="000000"/>
                <w:sz w:val="18"/>
                <w:szCs w:val="20"/>
                <w:lang w:val="en-US"/>
              </w:rPr>
              <w:t>6 657 582</w:t>
            </w:r>
          </w:p>
        </w:tc>
        <w:tc>
          <w:tcPr>
            <w:tcW w:w="1088" w:type="dxa"/>
            <w:noWrap/>
            <w:vAlign w:val="bottom"/>
          </w:tcPr>
          <w:p w:rsidR="00000000" w:rsidRDefault="00000000">
            <w:pPr>
              <w:widowControl w:val="0"/>
              <w:spacing w:before="60" w:after="60"/>
              <w:ind w:right="227"/>
              <w:jc w:val="right"/>
              <w:rPr>
                <w:color w:val="000000"/>
                <w:sz w:val="18"/>
                <w:szCs w:val="20"/>
                <w:lang w:val="en-US"/>
              </w:rPr>
            </w:pPr>
            <w:r>
              <w:rPr>
                <w:color w:val="000000"/>
                <w:sz w:val="18"/>
                <w:szCs w:val="20"/>
                <w:lang w:val="en-US"/>
              </w:rPr>
              <w:t>7 209 332</w:t>
            </w:r>
          </w:p>
        </w:tc>
        <w:tc>
          <w:tcPr>
            <w:tcW w:w="1088" w:type="dxa"/>
            <w:noWrap/>
            <w:vAlign w:val="bottom"/>
          </w:tcPr>
          <w:p w:rsidR="00000000" w:rsidRDefault="00000000">
            <w:pPr>
              <w:widowControl w:val="0"/>
              <w:spacing w:before="60" w:after="60"/>
              <w:ind w:right="227"/>
              <w:jc w:val="right"/>
              <w:rPr>
                <w:color w:val="000000"/>
                <w:sz w:val="18"/>
                <w:szCs w:val="20"/>
                <w:lang w:val="en-US"/>
              </w:rPr>
            </w:pPr>
            <w:r>
              <w:rPr>
                <w:color w:val="000000"/>
                <w:sz w:val="18"/>
                <w:szCs w:val="20"/>
                <w:lang w:val="en-US"/>
              </w:rPr>
              <w:t>8 017 808</w:t>
            </w:r>
          </w:p>
        </w:tc>
        <w:tc>
          <w:tcPr>
            <w:tcW w:w="1088" w:type="dxa"/>
            <w:noWrap/>
            <w:vAlign w:val="bottom"/>
          </w:tcPr>
          <w:p w:rsidR="00000000" w:rsidRDefault="00000000">
            <w:pPr>
              <w:widowControl w:val="0"/>
              <w:spacing w:before="60" w:after="60"/>
              <w:ind w:right="227"/>
              <w:jc w:val="right"/>
              <w:rPr>
                <w:color w:val="000000"/>
                <w:sz w:val="18"/>
                <w:szCs w:val="20"/>
                <w:lang w:val="en-US"/>
              </w:rPr>
            </w:pPr>
            <w:r>
              <w:rPr>
                <w:color w:val="000000"/>
                <w:sz w:val="18"/>
                <w:szCs w:val="20"/>
                <w:lang w:val="en-US"/>
              </w:rPr>
              <w:t>9 224 171</w:t>
            </w:r>
          </w:p>
        </w:tc>
        <w:tc>
          <w:tcPr>
            <w:tcW w:w="1088" w:type="dxa"/>
            <w:noWrap/>
            <w:vAlign w:val="bottom"/>
          </w:tcPr>
          <w:p w:rsidR="00000000" w:rsidRDefault="00000000">
            <w:pPr>
              <w:widowControl w:val="0"/>
              <w:spacing w:before="60" w:after="60"/>
              <w:ind w:right="227"/>
              <w:jc w:val="right"/>
              <w:rPr>
                <w:color w:val="000000"/>
                <w:sz w:val="18"/>
                <w:szCs w:val="20"/>
                <w:lang w:val="en-US"/>
              </w:rPr>
            </w:pPr>
          </w:p>
        </w:tc>
      </w:tr>
      <w:tr w:rsidR="00000000">
        <w:trPr>
          <w:tblHeader/>
        </w:trPr>
        <w:tc>
          <w:tcPr>
            <w:tcW w:w="1813" w:type="dxa"/>
            <w:tcBorders>
              <w:bottom w:val="single" w:sz="4" w:space="0" w:color="auto"/>
            </w:tcBorders>
            <w:noWrap/>
            <w:vAlign w:val="bottom"/>
          </w:tcPr>
          <w:p w:rsidR="00000000" w:rsidRDefault="00000000">
            <w:pPr>
              <w:widowControl w:val="0"/>
              <w:spacing w:before="60" w:after="60"/>
              <w:rPr>
                <w:color w:val="000000"/>
                <w:sz w:val="18"/>
                <w:szCs w:val="20"/>
              </w:rPr>
            </w:pPr>
            <w:r>
              <w:rPr>
                <w:color w:val="000000"/>
                <w:sz w:val="20"/>
                <w:szCs w:val="20"/>
                <w:lang w:val="en-US"/>
              </w:rPr>
              <w:t>Ministry of Education and Worship</w:t>
            </w:r>
          </w:p>
        </w:tc>
        <w:tc>
          <w:tcPr>
            <w:tcW w:w="1088" w:type="dxa"/>
            <w:tcBorders>
              <w:bottom w:val="single" w:sz="4" w:space="0" w:color="auto"/>
            </w:tcBorders>
            <w:noWrap/>
            <w:vAlign w:val="bottom"/>
          </w:tcPr>
          <w:p w:rsidR="00000000" w:rsidRDefault="00000000">
            <w:pPr>
              <w:widowControl w:val="0"/>
              <w:spacing w:before="60" w:after="60"/>
              <w:ind w:right="227"/>
              <w:jc w:val="right"/>
              <w:rPr>
                <w:color w:val="000000"/>
                <w:sz w:val="18"/>
                <w:szCs w:val="20"/>
              </w:rPr>
            </w:pPr>
            <w:r>
              <w:rPr>
                <w:color w:val="000000"/>
                <w:sz w:val="18"/>
                <w:szCs w:val="20"/>
              </w:rPr>
              <w:t>1 288 579</w:t>
            </w:r>
          </w:p>
        </w:tc>
        <w:tc>
          <w:tcPr>
            <w:tcW w:w="1088" w:type="dxa"/>
            <w:tcBorders>
              <w:bottom w:val="single" w:sz="4" w:space="0" w:color="auto"/>
            </w:tcBorders>
            <w:noWrap/>
            <w:vAlign w:val="bottom"/>
          </w:tcPr>
          <w:p w:rsidR="00000000" w:rsidRDefault="00000000">
            <w:pPr>
              <w:widowControl w:val="0"/>
              <w:spacing w:before="60" w:after="60"/>
              <w:ind w:right="227"/>
              <w:jc w:val="right"/>
              <w:rPr>
                <w:color w:val="000000"/>
                <w:sz w:val="18"/>
                <w:szCs w:val="20"/>
              </w:rPr>
            </w:pPr>
            <w:r>
              <w:rPr>
                <w:color w:val="000000"/>
                <w:sz w:val="18"/>
                <w:szCs w:val="20"/>
              </w:rPr>
              <w:t>1 272 627</w:t>
            </w:r>
          </w:p>
        </w:tc>
        <w:tc>
          <w:tcPr>
            <w:tcW w:w="1088" w:type="dxa"/>
            <w:tcBorders>
              <w:bottom w:val="single" w:sz="4" w:space="0" w:color="auto"/>
            </w:tcBorders>
            <w:noWrap/>
            <w:vAlign w:val="bottom"/>
          </w:tcPr>
          <w:p w:rsidR="00000000" w:rsidRDefault="00000000">
            <w:pPr>
              <w:widowControl w:val="0"/>
              <w:spacing w:before="60" w:after="60"/>
              <w:ind w:right="227"/>
              <w:jc w:val="right"/>
              <w:rPr>
                <w:color w:val="000000"/>
                <w:sz w:val="18"/>
                <w:szCs w:val="20"/>
              </w:rPr>
            </w:pPr>
            <w:r>
              <w:rPr>
                <w:color w:val="000000"/>
                <w:sz w:val="18"/>
                <w:szCs w:val="20"/>
              </w:rPr>
              <w:t>1 332 560</w:t>
            </w:r>
          </w:p>
        </w:tc>
        <w:tc>
          <w:tcPr>
            <w:tcW w:w="1088" w:type="dxa"/>
            <w:tcBorders>
              <w:bottom w:val="single" w:sz="4" w:space="0" w:color="auto"/>
            </w:tcBorders>
            <w:noWrap/>
            <w:vAlign w:val="bottom"/>
          </w:tcPr>
          <w:p w:rsidR="00000000" w:rsidRDefault="00000000">
            <w:pPr>
              <w:widowControl w:val="0"/>
              <w:spacing w:before="60" w:after="60"/>
              <w:ind w:right="227"/>
              <w:jc w:val="right"/>
              <w:rPr>
                <w:color w:val="000000"/>
                <w:sz w:val="18"/>
                <w:szCs w:val="20"/>
              </w:rPr>
            </w:pPr>
            <w:r>
              <w:rPr>
                <w:color w:val="000000"/>
                <w:sz w:val="18"/>
                <w:szCs w:val="20"/>
              </w:rPr>
              <w:t>1 422 641</w:t>
            </w:r>
          </w:p>
        </w:tc>
        <w:tc>
          <w:tcPr>
            <w:tcW w:w="1088" w:type="dxa"/>
            <w:tcBorders>
              <w:bottom w:val="single" w:sz="4" w:space="0" w:color="auto"/>
            </w:tcBorders>
            <w:noWrap/>
            <w:vAlign w:val="bottom"/>
          </w:tcPr>
          <w:p w:rsidR="00000000" w:rsidRDefault="00000000">
            <w:pPr>
              <w:widowControl w:val="0"/>
              <w:spacing w:before="60" w:after="60"/>
              <w:ind w:right="227"/>
              <w:jc w:val="right"/>
              <w:rPr>
                <w:color w:val="000000"/>
                <w:sz w:val="18"/>
                <w:szCs w:val="20"/>
              </w:rPr>
            </w:pPr>
            <w:r>
              <w:rPr>
                <w:color w:val="000000"/>
                <w:sz w:val="18"/>
                <w:szCs w:val="20"/>
              </w:rPr>
              <w:t>1 545 407</w:t>
            </w:r>
          </w:p>
        </w:tc>
        <w:tc>
          <w:tcPr>
            <w:tcW w:w="1088" w:type="dxa"/>
            <w:tcBorders>
              <w:bottom w:val="single" w:sz="4" w:space="0" w:color="auto"/>
            </w:tcBorders>
            <w:noWrap/>
            <w:vAlign w:val="bottom"/>
          </w:tcPr>
          <w:p w:rsidR="00000000" w:rsidRDefault="00000000">
            <w:pPr>
              <w:widowControl w:val="0"/>
              <w:spacing w:before="60" w:after="60"/>
              <w:ind w:right="227"/>
              <w:jc w:val="right"/>
              <w:rPr>
                <w:color w:val="000000"/>
                <w:sz w:val="18"/>
                <w:szCs w:val="20"/>
              </w:rPr>
            </w:pPr>
            <w:r>
              <w:rPr>
                <w:color w:val="000000"/>
                <w:sz w:val="18"/>
                <w:szCs w:val="20"/>
              </w:rPr>
              <w:t>1 819 423</w:t>
            </w:r>
          </w:p>
        </w:tc>
        <w:tc>
          <w:tcPr>
            <w:tcW w:w="1088" w:type="dxa"/>
            <w:tcBorders>
              <w:bottom w:val="single" w:sz="4" w:space="0" w:color="auto"/>
            </w:tcBorders>
            <w:noWrap/>
            <w:vAlign w:val="bottom"/>
          </w:tcPr>
          <w:p w:rsidR="00000000" w:rsidRDefault="00000000">
            <w:pPr>
              <w:widowControl w:val="0"/>
              <w:spacing w:before="60" w:after="60"/>
              <w:ind w:right="227"/>
              <w:jc w:val="right"/>
              <w:rPr>
                <w:color w:val="000000"/>
                <w:sz w:val="18"/>
                <w:szCs w:val="20"/>
              </w:rPr>
            </w:pPr>
          </w:p>
        </w:tc>
      </w:tr>
    </w:tbl>
    <w:p w:rsidR="00000000" w:rsidRDefault="00000000">
      <w:pPr>
        <w:pStyle w:val="xl46"/>
        <w:spacing w:before="120" w:beforeAutospacing="0" w:after="80" w:afterAutospacing="0"/>
        <w:ind w:left="567"/>
        <w:jc w:val="left"/>
        <w:rPr>
          <w:rFonts w:ascii="Times New Roman" w:hAnsi="Times New Roman" w:cs="Times New Roman"/>
          <w:b w:val="0"/>
          <w:bCs w:val="0"/>
          <w:sz w:val="20"/>
          <w:szCs w:val="20"/>
          <w:lang w:val="en-US"/>
        </w:rPr>
      </w:pPr>
      <w:r>
        <w:rPr>
          <w:rFonts w:ascii="Times New Roman" w:hAnsi="Times New Roman" w:cs="Times New Roman"/>
          <w:b w:val="0"/>
          <w:bCs w:val="0"/>
          <w:i/>
          <w:iCs/>
          <w:sz w:val="20"/>
          <w:szCs w:val="20"/>
          <w:lang w:val="en-US"/>
        </w:rPr>
        <w:t xml:space="preserve">Source: </w:t>
      </w:r>
      <w:r>
        <w:rPr>
          <w:rFonts w:ascii="Times New Roman" w:hAnsi="Times New Roman" w:cs="Times New Roman"/>
          <w:b w:val="0"/>
          <w:bCs w:val="0"/>
          <w:sz w:val="20"/>
          <w:szCs w:val="20"/>
          <w:lang w:val="en-US"/>
        </w:rPr>
        <w:t>SICO. Ministry of Finance.</w:t>
      </w:r>
    </w:p>
    <w:p w:rsidR="00000000" w:rsidRDefault="00000000">
      <w:pPr>
        <w:pStyle w:val="xl46"/>
        <w:spacing w:before="120" w:beforeAutospacing="0" w:after="240" w:afterAutospacing="0"/>
        <w:ind w:left="567"/>
        <w:jc w:val="left"/>
        <w:rPr>
          <w:rFonts w:ascii="Times New Roman" w:eastAsia="Times New Roman" w:hAnsi="Times New Roman" w:cs="Times New Roman"/>
          <w:b w:val="0"/>
          <w:bCs w:val="0"/>
          <w:szCs w:val="20"/>
          <w:lang w:val="en-US" w:eastAsia="en-US"/>
        </w:rPr>
      </w:pPr>
      <w:r>
        <w:rPr>
          <w:rFonts w:ascii="Times New Roman" w:hAnsi="Times New Roman" w:cs="Times New Roman"/>
          <w:b w:val="0"/>
          <w:bCs w:val="0"/>
          <w:sz w:val="20"/>
          <w:szCs w:val="20"/>
          <w:lang w:val="en-US"/>
        </w:rPr>
        <w:t>* Central Bank of Paraguay.</w:t>
      </w:r>
    </w:p>
    <w:p w:rsidR="00000000" w:rsidRDefault="00000000">
      <w:pPr>
        <w:pStyle w:val="xl46"/>
        <w:spacing w:before="0" w:beforeAutospacing="0" w:after="240" w:afterAutospacing="0"/>
        <w:rPr>
          <w:rFonts w:ascii="Times New Roman" w:eastAsia="Times New Roman" w:hAnsi="Times New Roman" w:cs="Times New Roman"/>
          <w:bCs w:val="0"/>
          <w:szCs w:val="18"/>
          <w:lang w:val="en-GB" w:eastAsia="en-US"/>
        </w:rPr>
      </w:pPr>
      <w:r>
        <w:rPr>
          <w:rFonts w:ascii="Times New Roman" w:eastAsia="Times New Roman" w:hAnsi="Times New Roman" w:cs="Times New Roman"/>
          <w:bCs w:val="0"/>
          <w:szCs w:val="18"/>
          <w:lang w:val="en-GB" w:eastAsia="en-US"/>
        </w:rPr>
        <w:t>Share of the budget of the Ministry of Education and Culture (MEC) in the National General Budget of Expenditures (NGBE) and the gross domestic product (in millions of current guaraníes)</w:t>
      </w:r>
    </w:p>
    <w:tbl>
      <w:tblPr>
        <w:tblW w:w="5076" w:type="pct"/>
        <w:jc w:val="center"/>
        <w:tblLayout w:type="fixed"/>
        <w:tblCellMar>
          <w:left w:w="0" w:type="dxa"/>
          <w:right w:w="0" w:type="dxa"/>
        </w:tblCellMar>
        <w:tblLook w:val="0000" w:firstRow="0" w:lastRow="0" w:firstColumn="0" w:lastColumn="0" w:noHBand="0" w:noVBand="0"/>
      </w:tblPr>
      <w:tblGrid>
        <w:gridCol w:w="628"/>
        <w:gridCol w:w="1231"/>
        <w:gridCol w:w="1073"/>
        <w:gridCol w:w="1067"/>
        <w:gridCol w:w="1090"/>
        <w:gridCol w:w="1045"/>
        <w:gridCol w:w="1074"/>
        <w:gridCol w:w="1031"/>
        <w:gridCol w:w="1333"/>
      </w:tblGrid>
      <w:tr w:rsidR="00000000">
        <w:trPr>
          <w:jc w:val="center"/>
        </w:trPr>
        <w:tc>
          <w:tcPr>
            <w:tcW w:w="618" w:type="dxa"/>
            <w:tcBorders>
              <w:top w:val="single" w:sz="4" w:space="0" w:color="auto"/>
              <w:bottom w:val="single" w:sz="4" w:space="0" w:color="auto"/>
            </w:tcBorders>
            <w:noWrap/>
            <w:vAlign w:val="center"/>
          </w:tcPr>
          <w:p w:rsidR="00000000" w:rsidRDefault="00000000">
            <w:pPr>
              <w:widowControl w:val="0"/>
              <w:spacing w:before="60" w:after="60"/>
              <w:jc w:val="center"/>
              <w:rPr>
                <w:b/>
                <w:bCs/>
                <w:i/>
                <w:iCs/>
                <w:sz w:val="20"/>
                <w:szCs w:val="20"/>
              </w:rPr>
            </w:pPr>
          </w:p>
        </w:tc>
        <w:tc>
          <w:tcPr>
            <w:tcW w:w="1213" w:type="dxa"/>
            <w:tcBorders>
              <w:top w:val="single" w:sz="4" w:space="0" w:color="auto"/>
              <w:bottom w:val="single" w:sz="4" w:space="0" w:color="auto"/>
            </w:tcBorders>
            <w:noWrap/>
            <w:vAlign w:val="center"/>
          </w:tcPr>
          <w:p w:rsidR="00000000" w:rsidRDefault="00000000">
            <w:pPr>
              <w:pStyle w:val="Heading5"/>
              <w:spacing w:before="60" w:after="60"/>
              <w:rPr>
                <w:lang w:val="pt-BR"/>
              </w:rPr>
            </w:pPr>
            <w:r>
              <w:rPr>
                <w:b w:val="0"/>
                <w:bCs w:val="0"/>
                <w:i/>
                <w:iCs/>
                <w:lang w:val="pt-BR"/>
              </w:rPr>
              <w:t>GDP</w:t>
            </w:r>
          </w:p>
        </w:tc>
        <w:tc>
          <w:tcPr>
            <w:tcW w:w="1057" w:type="dxa"/>
            <w:tcBorders>
              <w:top w:val="single" w:sz="4" w:space="0" w:color="auto"/>
              <w:bottom w:val="single" w:sz="4" w:space="0" w:color="auto"/>
            </w:tcBorders>
            <w:noWrap/>
            <w:vAlign w:val="center"/>
          </w:tcPr>
          <w:p w:rsidR="00000000" w:rsidRDefault="00000000">
            <w:pPr>
              <w:widowControl w:val="0"/>
              <w:spacing w:before="60" w:after="60"/>
              <w:jc w:val="center"/>
              <w:rPr>
                <w:b/>
                <w:bCs/>
                <w:i/>
                <w:iCs/>
                <w:sz w:val="20"/>
                <w:szCs w:val="20"/>
                <w:lang w:val="pt-BR"/>
              </w:rPr>
            </w:pPr>
            <w:r>
              <w:rPr>
                <w:b/>
                <w:bCs/>
                <w:i/>
                <w:iCs/>
                <w:sz w:val="20"/>
                <w:szCs w:val="20"/>
                <w:lang w:val="pt-BR"/>
              </w:rPr>
              <w:t>Var. %</w:t>
            </w:r>
          </w:p>
        </w:tc>
        <w:tc>
          <w:tcPr>
            <w:tcW w:w="1051" w:type="dxa"/>
            <w:tcBorders>
              <w:top w:val="single" w:sz="4" w:space="0" w:color="auto"/>
              <w:bottom w:val="single" w:sz="4" w:space="0" w:color="auto"/>
            </w:tcBorders>
            <w:noWrap/>
            <w:vAlign w:val="center"/>
          </w:tcPr>
          <w:p w:rsidR="00000000" w:rsidRDefault="00000000">
            <w:pPr>
              <w:widowControl w:val="0"/>
              <w:spacing w:before="60" w:after="60"/>
              <w:jc w:val="center"/>
              <w:rPr>
                <w:b/>
                <w:bCs/>
                <w:i/>
                <w:iCs/>
                <w:sz w:val="20"/>
                <w:szCs w:val="20"/>
                <w:lang w:val="es-MX"/>
              </w:rPr>
            </w:pPr>
            <w:r>
              <w:rPr>
                <w:b/>
                <w:bCs/>
                <w:i/>
                <w:iCs/>
                <w:sz w:val="20"/>
                <w:szCs w:val="20"/>
                <w:lang w:val="pt-BR"/>
              </w:rPr>
              <w:t>NGBE Total</w:t>
            </w:r>
          </w:p>
        </w:tc>
        <w:tc>
          <w:tcPr>
            <w:tcW w:w="1074" w:type="dxa"/>
            <w:tcBorders>
              <w:top w:val="single" w:sz="4" w:space="0" w:color="auto"/>
              <w:bottom w:val="single" w:sz="4" w:space="0" w:color="auto"/>
            </w:tcBorders>
            <w:noWrap/>
            <w:vAlign w:val="center"/>
          </w:tcPr>
          <w:p w:rsidR="00000000" w:rsidRDefault="00000000">
            <w:pPr>
              <w:widowControl w:val="0"/>
              <w:spacing w:before="60" w:after="60"/>
              <w:jc w:val="center"/>
              <w:rPr>
                <w:b/>
                <w:bCs/>
                <w:i/>
                <w:iCs/>
                <w:sz w:val="20"/>
                <w:szCs w:val="20"/>
                <w:lang w:val="pt-BR"/>
              </w:rPr>
            </w:pPr>
            <w:r>
              <w:rPr>
                <w:b/>
                <w:bCs/>
                <w:i/>
                <w:iCs/>
                <w:sz w:val="20"/>
                <w:szCs w:val="20"/>
                <w:lang w:val="pt-BR"/>
              </w:rPr>
              <w:t>Var. %</w:t>
            </w:r>
          </w:p>
        </w:tc>
        <w:tc>
          <w:tcPr>
            <w:tcW w:w="1029" w:type="dxa"/>
            <w:tcBorders>
              <w:top w:val="single" w:sz="4" w:space="0" w:color="auto"/>
              <w:bottom w:val="single" w:sz="4" w:space="0" w:color="auto"/>
            </w:tcBorders>
            <w:noWrap/>
            <w:vAlign w:val="center"/>
          </w:tcPr>
          <w:p w:rsidR="00000000" w:rsidRDefault="00000000">
            <w:pPr>
              <w:widowControl w:val="0"/>
              <w:spacing w:before="60" w:after="60"/>
              <w:jc w:val="center"/>
              <w:rPr>
                <w:b/>
                <w:bCs/>
                <w:i/>
                <w:iCs/>
                <w:sz w:val="20"/>
                <w:szCs w:val="20"/>
                <w:lang w:val="pt-BR"/>
              </w:rPr>
            </w:pPr>
            <w:r>
              <w:rPr>
                <w:b/>
                <w:bCs/>
                <w:i/>
                <w:iCs/>
                <w:sz w:val="20"/>
                <w:szCs w:val="20"/>
                <w:lang w:val="pt-BR"/>
              </w:rPr>
              <w:t>NGBE (MEC)</w:t>
            </w:r>
          </w:p>
        </w:tc>
        <w:tc>
          <w:tcPr>
            <w:tcW w:w="1058" w:type="dxa"/>
            <w:tcBorders>
              <w:top w:val="single" w:sz="4" w:space="0" w:color="auto"/>
              <w:bottom w:val="single" w:sz="4" w:space="0" w:color="auto"/>
            </w:tcBorders>
            <w:noWrap/>
            <w:vAlign w:val="center"/>
          </w:tcPr>
          <w:p w:rsidR="00000000" w:rsidRDefault="00000000">
            <w:pPr>
              <w:widowControl w:val="0"/>
              <w:spacing w:before="60" w:after="60"/>
              <w:jc w:val="center"/>
              <w:rPr>
                <w:b/>
                <w:bCs/>
                <w:i/>
                <w:iCs/>
                <w:sz w:val="20"/>
                <w:szCs w:val="20"/>
                <w:lang w:val="pt-BR"/>
              </w:rPr>
            </w:pPr>
            <w:r>
              <w:rPr>
                <w:b/>
                <w:bCs/>
                <w:i/>
                <w:iCs/>
                <w:sz w:val="20"/>
                <w:szCs w:val="20"/>
                <w:lang w:val="pt-BR"/>
              </w:rPr>
              <w:t>Var. %</w:t>
            </w:r>
          </w:p>
        </w:tc>
        <w:tc>
          <w:tcPr>
            <w:tcW w:w="1016" w:type="dxa"/>
            <w:tcBorders>
              <w:top w:val="single" w:sz="4" w:space="0" w:color="auto"/>
              <w:bottom w:val="single" w:sz="4" w:space="0" w:color="auto"/>
            </w:tcBorders>
            <w:noWrap/>
            <w:vAlign w:val="center"/>
          </w:tcPr>
          <w:p w:rsidR="00000000" w:rsidRDefault="00000000">
            <w:pPr>
              <w:widowControl w:val="0"/>
              <w:spacing w:before="60" w:after="60"/>
              <w:jc w:val="center"/>
              <w:rPr>
                <w:b/>
                <w:bCs/>
                <w:i/>
                <w:iCs/>
                <w:sz w:val="20"/>
                <w:szCs w:val="20"/>
                <w:lang w:val="es-MX"/>
              </w:rPr>
            </w:pPr>
            <w:r>
              <w:rPr>
                <w:b/>
                <w:bCs/>
                <w:i/>
                <w:iCs/>
                <w:sz w:val="20"/>
                <w:szCs w:val="20"/>
                <w:lang w:val="es-MX"/>
              </w:rPr>
              <w:t>MEC/GDP</w:t>
            </w:r>
          </w:p>
        </w:tc>
        <w:tc>
          <w:tcPr>
            <w:tcW w:w="1313" w:type="dxa"/>
            <w:tcBorders>
              <w:top w:val="single" w:sz="4" w:space="0" w:color="auto"/>
              <w:bottom w:val="single" w:sz="4" w:space="0" w:color="auto"/>
            </w:tcBorders>
            <w:noWrap/>
            <w:vAlign w:val="center"/>
          </w:tcPr>
          <w:p w:rsidR="00000000" w:rsidRDefault="00000000">
            <w:pPr>
              <w:widowControl w:val="0"/>
              <w:spacing w:before="60" w:after="60"/>
              <w:jc w:val="center"/>
              <w:rPr>
                <w:b/>
                <w:bCs/>
                <w:i/>
                <w:iCs/>
                <w:sz w:val="20"/>
                <w:szCs w:val="20"/>
                <w:lang w:val="es-MX"/>
              </w:rPr>
            </w:pPr>
            <w:r>
              <w:rPr>
                <w:b/>
                <w:bCs/>
                <w:i/>
                <w:iCs/>
                <w:sz w:val="20"/>
                <w:szCs w:val="20"/>
                <w:lang w:val="es-MX"/>
              </w:rPr>
              <w:t>MEC/NGBE</w:t>
            </w:r>
          </w:p>
        </w:tc>
      </w:tr>
      <w:tr w:rsidR="00000000">
        <w:trPr>
          <w:jc w:val="center"/>
        </w:trPr>
        <w:tc>
          <w:tcPr>
            <w:tcW w:w="618" w:type="dxa"/>
            <w:tcBorders>
              <w:top w:val="single" w:sz="4" w:space="0" w:color="auto"/>
            </w:tcBorders>
            <w:noWrap/>
            <w:vAlign w:val="bottom"/>
          </w:tcPr>
          <w:p w:rsidR="00000000" w:rsidRDefault="00000000">
            <w:pPr>
              <w:widowControl w:val="0"/>
              <w:spacing w:before="60" w:after="60"/>
              <w:rPr>
                <w:sz w:val="20"/>
                <w:szCs w:val="20"/>
              </w:rPr>
            </w:pPr>
            <w:r>
              <w:rPr>
                <w:sz w:val="20"/>
                <w:szCs w:val="20"/>
              </w:rPr>
              <w:t>1993</w:t>
            </w:r>
          </w:p>
        </w:tc>
        <w:tc>
          <w:tcPr>
            <w:tcW w:w="1213" w:type="dxa"/>
            <w:tcBorders>
              <w:top w:val="single" w:sz="4" w:space="0" w:color="auto"/>
            </w:tcBorders>
            <w:noWrap/>
            <w:vAlign w:val="bottom"/>
          </w:tcPr>
          <w:p w:rsidR="00000000" w:rsidRDefault="00000000">
            <w:pPr>
              <w:widowControl w:val="0"/>
              <w:spacing w:before="60" w:after="60"/>
              <w:jc w:val="center"/>
              <w:rPr>
                <w:sz w:val="20"/>
                <w:szCs w:val="20"/>
              </w:rPr>
            </w:pPr>
            <w:r>
              <w:rPr>
                <w:sz w:val="20"/>
                <w:szCs w:val="20"/>
              </w:rPr>
              <w:t>10 963 527</w:t>
            </w:r>
          </w:p>
        </w:tc>
        <w:tc>
          <w:tcPr>
            <w:tcW w:w="1057" w:type="dxa"/>
            <w:tcBorders>
              <w:top w:val="single" w:sz="4" w:space="0" w:color="auto"/>
            </w:tcBorders>
            <w:noWrap/>
            <w:vAlign w:val="bottom"/>
          </w:tcPr>
          <w:p w:rsidR="00000000" w:rsidRDefault="00000000">
            <w:pPr>
              <w:widowControl w:val="0"/>
              <w:spacing w:before="60" w:after="60"/>
              <w:jc w:val="center"/>
              <w:rPr>
                <w:sz w:val="20"/>
                <w:szCs w:val="20"/>
              </w:rPr>
            </w:pPr>
          </w:p>
        </w:tc>
        <w:tc>
          <w:tcPr>
            <w:tcW w:w="1051" w:type="dxa"/>
            <w:tcBorders>
              <w:top w:val="single" w:sz="4" w:space="0" w:color="auto"/>
            </w:tcBorders>
            <w:noWrap/>
            <w:vAlign w:val="bottom"/>
          </w:tcPr>
          <w:p w:rsidR="00000000" w:rsidRDefault="00000000">
            <w:pPr>
              <w:widowControl w:val="0"/>
              <w:spacing w:before="60" w:after="60"/>
              <w:jc w:val="center"/>
              <w:rPr>
                <w:sz w:val="20"/>
                <w:szCs w:val="20"/>
              </w:rPr>
            </w:pPr>
            <w:r>
              <w:rPr>
                <w:sz w:val="20"/>
                <w:szCs w:val="20"/>
              </w:rPr>
              <w:t>2 068 868</w:t>
            </w:r>
          </w:p>
        </w:tc>
        <w:tc>
          <w:tcPr>
            <w:tcW w:w="1074" w:type="dxa"/>
            <w:tcBorders>
              <w:top w:val="single" w:sz="4" w:space="0" w:color="auto"/>
            </w:tcBorders>
            <w:noWrap/>
            <w:vAlign w:val="bottom"/>
          </w:tcPr>
          <w:p w:rsidR="00000000" w:rsidRDefault="00000000">
            <w:pPr>
              <w:widowControl w:val="0"/>
              <w:spacing w:before="60" w:after="60"/>
              <w:jc w:val="center"/>
              <w:rPr>
                <w:sz w:val="20"/>
                <w:szCs w:val="20"/>
              </w:rPr>
            </w:pPr>
          </w:p>
        </w:tc>
        <w:tc>
          <w:tcPr>
            <w:tcW w:w="1029" w:type="dxa"/>
            <w:tcBorders>
              <w:top w:val="single" w:sz="4" w:space="0" w:color="auto"/>
            </w:tcBorders>
            <w:noWrap/>
            <w:vAlign w:val="bottom"/>
          </w:tcPr>
          <w:p w:rsidR="00000000" w:rsidRDefault="00000000">
            <w:pPr>
              <w:widowControl w:val="0"/>
              <w:spacing w:before="60" w:after="60"/>
              <w:jc w:val="center"/>
              <w:rPr>
                <w:sz w:val="20"/>
                <w:szCs w:val="20"/>
              </w:rPr>
            </w:pPr>
            <w:r>
              <w:rPr>
                <w:sz w:val="20"/>
                <w:szCs w:val="20"/>
              </w:rPr>
              <w:t>349 981</w:t>
            </w:r>
          </w:p>
        </w:tc>
        <w:tc>
          <w:tcPr>
            <w:tcW w:w="1058" w:type="dxa"/>
            <w:tcBorders>
              <w:top w:val="single" w:sz="4" w:space="0" w:color="auto"/>
            </w:tcBorders>
            <w:noWrap/>
            <w:vAlign w:val="bottom"/>
          </w:tcPr>
          <w:p w:rsidR="00000000" w:rsidRDefault="00000000">
            <w:pPr>
              <w:widowControl w:val="0"/>
              <w:spacing w:before="60" w:after="60"/>
              <w:jc w:val="center"/>
              <w:rPr>
                <w:sz w:val="20"/>
                <w:szCs w:val="20"/>
              </w:rPr>
            </w:pPr>
          </w:p>
        </w:tc>
        <w:tc>
          <w:tcPr>
            <w:tcW w:w="1016" w:type="dxa"/>
            <w:tcBorders>
              <w:top w:val="single" w:sz="4" w:space="0" w:color="auto"/>
            </w:tcBorders>
            <w:noWrap/>
            <w:vAlign w:val="bottom"/>
          </w:tcPr>
          <w:p w:rsidR="00000000" w:rsidRDefault="00000000">
            <w:pPr>
              <w:widowControl w:val="0"/>
              <w:spacing w:before="60" w:after="60"/>
              <w:jc w:val="center"/>
              <w:rPr>
                <w:sz w:val="20"/>
                <w:szCs w:val="20"/>
              </w:rPr>
            </w:pPr>
            <w:r>
              <w:rPr>
                <w:sz w:val="20"/>
                <w:szCs w:val="20"/>
              </w:rPr>
              <w:t>3.2</w:t>
            </w:r>
          </w:p>
        </w:tc>
        <w:tc>
          <w:tcPr>
            <w:tcW w:w="1313" w:type="dxa"/>
            <w:tcBorders>
              <w:top w:val="single" w:sz="4" w:space="0" w:color="auto"/>
            </w:tcBorders>
            <w:noWrap/>
            <w:vAlign w:val="bottom"/>
          </w:tcPr>
          <w:p w:rsidR="00000000" w:rsidRDefault="00000000">
            <w:pPr>
              <w:widowControl w:val="0"/>
              <w:spacing w:before="60" w:after="60"/>
              <w:jc w:val="center"/>
              <w:rPr>
                <w:sz w:val="20"/>
                <w:szCs w:val="20"/>
              </w:rPr>
            </w:pPr>
            <w:r>
              <w:rPr>
                <w:sz w:val="20"/>
                <w:szCs w:val="20"/>
              </w:rPr>
              <w:t>16.9</w:t>
            </w:r>
          </w:p>
        </w:tc>
      </w:tr>
      <w:tr w:rsidR="00000000">
        <w:trPr>
          <w:jc w:val="center"/>
        </w:trPr>
        <w:tc>
          <w:tcPr>
            <w:tcW w:w="618" w:type="dxa"/>
            <w:noWrap/>
            <w:vAlign w:val="bottom"/>
          </w:tcPr>
          <w:p w:rsidR="00000000" w:rsidRDefault="00000000">
            <w:pPr>
              <w:widowControl w:val="0"/>
              <w:spacing w:before="60" w:after="60"/>
              <w:rPr>
                <w:sz w:val="20"/>
                <w:szCs w:val="20"/>
              </w:rPr>
            </w:pPr>
            <w:r>
              <w:rPr>
                <w:sz w:val="20"/>
                <w:szCs w:val="20"/>
              </w:rPr>
              <w:t>1994</w:t>
            </w:r>
          </w:p>
        </w:tc>
        <w:tc>
          <w:tcPr>
            <w:tcW w:w="1213" w:type="dxa"/>
            <w:noWrap/>
            <w:vAlign w:val="bottom"/>
          </w:tcPr>
          <w:p w:rsidR="00000000" w:rsidRDefault="00000000">
            <w:pPr>
              <w:widowControl w:val="0"/>
              <w:spacing w:before="60" w:after="60"/>
              <w:jc w:val="center"/>
              <w:rPr>
                <w:sz w:val="20"/>
                <w:szCs w:val="20"/>
              </w:rPr>
            </w:pPr>
            <w:r>
              <w:rPr>
                <w:sz w:val="20"/>
                <w:szCs w:val="20"/>
              </w:rPr>
              <w:t>13 220 624</w:t>
            </w:r>
          </w:p>
        </w:tc>
        <w:tc>
          <w:tcPr>
            <w:tcW w:w="1057" w:type="dxa"/>
            <w:noWrap/>
            <w:vAlign w:val="bottom"/>
          </w:tcPr>
          <w:p w:rsidR="00000000" w:rsidRDefault="00000000">
            <w:pPr>
              <w:widowControl w:val="0"/>
              <w:tabs>
                <w:tab w:val="decimal" w:pos="519"/>
              </w:tabs>
              <w:spacing w:before="60" w:after="60"/>
              <w:jc w:val="center"/>
              <w:rPr>
                <w:sz w:val="20"/>
                <w:szCs w:val="20"/>
              </w:rPr>
            </w:pPr>
            <w:r>
              <w:rPr>
                <w:sz w:val="20"/>
                <w:szCs w:val="20"/>
              </w:rPr>
              <w:t>20.6</w:t>
            </w:r>
          </w:p>
        </w:tc>
        <w:tc>
          <w:tcPr>
            <w:tcW w:w="1051" w:type="dxa"/>
            <w:noWrap/>
            <w:vAlign w:val="bottom"/>
          </w:tcPr>
          <w:p w:rsidR="00000000" w:rsidRDefault="00000000">
            <w:pPr>
              <w:widowControl w:val="0"/>
              <w:spacing w:before="60" w:after="60"/>
              <w:jc w:val="center"/>
              <w:rPr>
                <w:sz w:val="20"/>
                <w:szCs w:val="20"/>
              </w:rPr>
            </w:pPr>
            <w:r>
              <w:rPr>
                <w:sz w:val="20"/>
                <w:szCs w:val="20"/>
              </w:rPr>
              <w:t>2 568 389</w:t>
            </w:r>
          </w:p>
        </w:tc>
        <w:tc>
          <w:tcPr>
            <w:tcW w:w="1074" w:type="dxa"/>
            <w:noWrap/>
            <w:vAlign w:val="bottom"/>
          </w:tcPr>
          <w:p w:rsidR="00000000" w:rsidRDefault="00000000">
            <w:pPr>
              <w:widowControl w:val="0"/>
              <w:tabs>
                <w:tab w:val="decimal" w:pos="593"/>
              </w:tabs>
              <w:spacing w:before="60" w:after="60"/>
              <w:jc w:val="center"/>
              <w:rPr>
                <w:sz w:val="20"/>
                <w:szCs w:val="20"/>
              </w:rPr>
            </w:pPr>
            <w:r>
              <w:rPr>
                <w:sz w:val="20"/>
                <w:szCs w:val="20"/>
              </w:rPr>
              <w:t>24.1</w:t>
            </w:r>
          </w:p>
        </w:tc>
        <w:tc>
          <w:tcPr>
            <w:tcW w:w="1029" w:type="dxa"/>
            <w:noWrap/>
            <w:vAlign w:val="bottom"/>
          </w:tcPr>
          <w:p w:rsidR="00000000" w:rsidRDefault="00000000">
            <w:pPr>
              <w:widowControl w:val="0"/>
              <w:spacing w:before="60" w:after="60"/>
              <w:jc w:val="center"/>
              <w:rPr>
                <w:sz w:val="20"/>
                <w:szCs w:val="20"/>
              </w:rPr>
            </w:pPr>
            <w:r>
              <w:rPr>
                <w:sz w:val="20"/>
                <w:szCs w:val="20"/>
              </w:rPr>
              <w:t>439 233</w:t>
            </w:r>
          </w:p>
        </w:tc>
        <w:tc>
          <w:tcPr>
            <w:tcW w:w="1058" w:type="dxa"/>
            <w:noWrap/>
            <w:vAlign w:val="bottom"/>
          </w:tcPr>
          <w:p w:rsidR="00000000" w:rsidRDefault="00000000">
            <w:pPr>
              <w:widowControl w:val="0"/>
              <w:tabs>
                <w:tab w:val="decimal" w:pos="519"/>
              </w:tabs>
              <w:spacing w:before="60" w:after="60"/>
              <w:jc w:val="center"/>
              <w:rPr>
                <w:sz w:val="20"/>
                <w:szCs w:val="20"/>
              </w:rPr>
            </w:pPr>
            <w:r>
              <w:rPr>
                <w:sz w:val="20"/>
                <w:szCs w:val="20"/>
              </w:rPr>
              <w:t>25.5</w:t>
            </w:r>
          </w:p>
        </w:tc>
        <w:tc>
          <w:tcPr>
            <w:tcW w:w="1016" w:type="dxa"/>
            <w:noWrap/>
            <w:vAlign w:val="bottom"/>
          </w:tcPr>
          <w:p w:rsidR="00000000" w:rsidRDefault="00000000">
            <w:pPr>
              <w:widowControl w:val="0"/>
              <w:spacing w:before="60" w:after="60"/>
              <w:jc w:val="center"/>
              <w:rPr>
                <w:sz w:val="20"/>
                <w:szCs w:val="20"/>
              </w:rPr>
            </w:pPr>
            <w:r>
              <w:rPr>
                <w:sz w:val="20"/>
                <w:szCs w:val="20"/>
              </w:rPr>
              <w:t>3.3</w:t>
            </w:r>
          </w:p>
        </w:tc>
        <w:tc>
          <w:tcPr>
            <w:tcW w:w="1313" w:type="dxa"/>
            <w:noWrap/>
            <w:vAlign w:val="bottom"/>
          </w:tcPr>
          <w:p w:rsidR="00000000" w:rsidRDefault="00000000">
            <w:pPr>
              <w:widowControl w:val="0"/>
              <w:spacing w:before="60" w:after="60"/>
              <w:jc w:val="center"/>
              <w:rPr>
                <w:sz w:val="20"/>
                <w:szCs w:val="20"/>
              </w:rPr>
            </w:pPr>
            <w:r>
              <w:rPr>
                <w:sz w:val="20"/>
                <w:szCs w:val="20"/>
              </w:rPr>
              <w:t>17.1</w:t>
            </w:r>
          </w:p>
        </w:tc>
      </w:tr>
      <w:tr w:rsidR="00000000">
        <w:trPr>
          <w:jc w:val="center"/>
        </w:trPr>
        <w:tc>
          <w:tcPr>
            <w:tcW w:w="618" w:type="dxa"/>
            <w:noWrap/>
            <w:vAlign w:val="bottom"/>
          </w:tcPr>
          <w:p w:rsidR="00000000" w:rsidRDefault="00000000">
            <w:pPr>
              <w:widowControl w:val="0"/>
              <w:spacing w:before="60" w:after="60"/>
              <w:rPr>
                <w:sz w:val="20"/>
                <w:szCs w:val="20"/>
              </w:rPr>
            </w:pPr>
            <w:r>
              <w:rPr>
                <w:sz w:val="20"/>
                <w:szCs w:val="20"/>
              </w:rPr>
              <w:t>1995</w:t>
            </w:r>
          </w:p>
        </w:tc>
        <w:tc>
          <w:tcPr>
            <w:tcW w:w="1213" w:type="dxa"/>
            <w:noWrap/>
            <w:vAlign w:val="bottom"/>
          </w:tcPr>
          <w:p w:rsidR="00000000" w:rsidRDefault="00000000">
            <w:pPr>
              <w:widowControl w:val="0"/>
              <w:spacing w:before="60" w:after="60"/>
              <w:jc w:val="center"/>
              <w:rPr>
                <w:sz w:val="20"/>
                <w:szCs w:val="20"/>
              </w:rPr>
            </w:pPr>
            <w:r>
              <w:rPr>
                <w:sz w:val="20"/>
                <w:szCs w:val="20"/>
              </w:rPr>
              <w:t>15 833 186</w:t>
            </w:r>
          </w:p>
        </w:tc>
        <w:tc>
          <w:tcPr>
            <w:tcW w:w="1057" w:type="dxa"/>
            <w:noWrap/>
            <w:vAlign w:val="bottom"/>
          </w:tcPr>
          <w:p w:rsidR="00000000" w:rsidRDefault="00000000">
            <w:pPr>
              <w:widowControl w:val="0"/>
              <w:tabs>
                <w:tab w:val="decimal" w:pos="519"/>
              </w:tabs>
              <w:spacing w:before="60" w:after="60"/>
              <w:jc w:val="center"/>
              <w:rPr>
                <w:sz w:val="20"/>
                <w:szCs w:val="20"/>
              </w:rPr>
            </w:pPr>
            <w:r>
              <w:rPr>
                <w:sz w:val="20"/>
                <w:szCs w:val="20"/>
              </w:rPr>
              <w:t>19.8</w:t>
            </w:r>
          </w:p>
        </w:tc>
        <w:tc>
          <w:tcPr>
            <w:tcW w:w="1051" w:type="dxa"/>
            <w:noWrap/>
            <w:vAlign w:val="bottom"/>
          </w:tcPr>
          <w:p w:rsidR="00000000" w:rsidRDefault="00000000">
            <w:pPr>
              <w:widowControl w:val="0"/>
              <w:spacing w:before="60" w:after="60"/>
              <w:jc w:val="center"/>
              <w:rPr>
                <w:sz w:val="20"/>
                <w:szCs w:val="20"/>
              </w:rPr>
            </w:pPr>
            <w:r>
              <w:rPr>
                <w:sz w:val="20"/>
                <w:szCs w:val="20"/>
              </w:rPr>
              <w:t>3 490 367</w:t>
            </w:r>
          </w:p>
        </w:tc>
        <w:tc>
          <w:tcPr>
            <w:tcW w:w="1074" w:type="dxa"/>
            <w:noWrap/>
            <w:vAlign w:val="bottom"/>
          </w:tcPr>
          <w:p w:rsidR="00000000" w:rsidRDefault="00000000">
            <w:pPr>
              <w:widowControl w:val="0"/>
              <w:tabs>
                <w:tab w:val="decimal" w:pos="593"/>
              </w:tabs>
              <w:spacing w:before="60" w:after="60"/>
              <w:jc w:val="center"/>
              <w:rPr>
                <w:sz w:val="20"/>
                <w:szCs w:val="20"/>
              </w:rPr>
            </w:pPr>
            <w:r>
              <w:rPr>
                <w:sz w:val="20"/>
                <w:szCs w:val="20"/>
              </w:rPr>
              <w:t>35.9</w:t>
            </w:r>
          </w:p>
        </w:tc>
        <w:tc>
          <w:tcPr>
            <w:tcW w:w="1029" w:type="dxa"/>
            <w:noWrap/>
            <w:vAlign w:val="bottom"/>
          </w:tcPr>
          <w:p w:rsidR="00000000" w:rsidRDefault="00000000">
            <w:pPr>
              <w:widowControl w:val="0"/>
              <w:spacing w:before="60" w:after="60"/>
              <w:jc w:val="center"/>
              <w:rPr>
                <w:sz w:val="20"/>
                <w:szCs w:val="20"/>
              </w:rPr>
            </w:pPr>
            <w:r>
              <w:rPr>
                <w:sz w:val="20"/>
                <w:szCs w:val="20"/>
              </w:rPr>
              <w:t>610 698</w:t>
            </w:r>
          </w:p>
        </w:tc>
        <w:tc>
          <w:tcPr>
            <w:tcW w:w="1058" w:type="dxa"/>
            <w:noWrap/>
            <w:vAlign w:val="bottom"/>
          </w:tcPr>
          <w:p w:rsidR="00000000" w:rsidRDefault="00000000">
            <w:pPr>
              <w:widowControl w:val="0"/>
              <w:tabs>
                <w:tab w:val="decimal" w:pos="519"/>
              </w:tabs>
              <w:spacing w:before="60" w:after="60"/>
              <w:jc w:val="center"/>
              <w:rPr>
                <w:sz w:val="20"/>
                <w:szCs w:val="20"/>
              </w:rPr>
            </w:pPr>
            <w:r>
              <w:rPr>
                <w:sz w:val="20"/>
                <w:szCs w:val="20"/>
              </w:rPr>
              <w:t>39.0</w:t>
            </w:r>
          </w:p>
        </w:tc>
        <w:tc>
          <w:tcPr>
            <w:tcW w:w="1016" w:type="dxa"/>
            <w:noWrap/>
            <w:vAlign w:val="bottom"/>
          </w:tcPr>
          <w:p w:rsidR="00000000" w:rsidRDefault="00000000">
            <w:pPr>
              <w:widowControl w:val="0"/>
              <w:spacing w:before="60" w:after="60"/>
              <w:jc w:val="center"/>
              <w:rPr>
                <w:sz w:val="20"/>
                <w:szCs w:val="20"/>
              </w:rPr>
            </w:pPr>
            <w:r>
              <w:rPr>
                <w:sz w:val="20"/>
                <w:szCs w:val="20"/>
              </w:rPr>
              <w:t>3.9</w:t>
            </w:r>
          </w:p>
        </w:tc>
        <w:tc>
          <w:tcPr>
            <w:tcW w:w="1313" w:type="dxa"/>
            <w:noWrap/>
            <w:vAlign w:val="bottom"/>
          </w:tcPr>
          <w:p w:rsidR="00000000" w:rsidRDefault="00000000">
            <w:pPr>
              <w:widowControl w:val="0"/>
              <w:spacing w:before="60" w:after="60"/>
              <w:jc w:val="center"/>
              <w:rPr>
                <w:sz w:val="20"/>
                <w:szCs w:val="20"/>
              </w:rPr>
            </w:pPr>
            <w:r>
              <w:rPr>
                <w:sz w:val="20"/>
                <w:szCs w:val="20"/>
              </w:rPr>
              <w:t>17.5</w:t>
            </w:r>
          </w:p>
        </w:tc>
      </w:tr>
      <w:tr w:rsidR="00000000">
        <w:trPr>
          <w:jc w:val="center"/>
        </w:trPr>
        <w:tc>
          <w:tcPr>
            <w:tcW w:w="618" w:type="dxa"/>
            <w:noWrap/>
            <w:vAlign w:val="bottom"/>
          </w:tcPr>
          <w:p w:rsidR="00000000" w:rsidRDefault="00000000">
            <w:pPr>
              <w:widowControl w:val="0"/>
              <w:spacing w:before="60" w:after="60"/>
              <w:rPr>
                <w:sz w:val="20"/>
                <w:szCs w:val="20"/>
              </w:rPr>
            </w:pPr>
            <w:r>
              <w:rPr>
                <w:sz w:val="20"/>
                <w:szCs w:val="20"/>
              </w:rPr>
              <w:t>1996</w:t>
            </w:r>
          </w:p>
        </w:tc>
        <w:tc>
          <w:tcPr>
            <w:tcW w:w="1213" w:type="dxa"/>
            <w:noWrap/>
            <w:vAlign w:val="bottom"/>
          </w:tcPr>
          <w:p w:rsidR="00000000" w:rsidRDefault="00000000">
            <w:pPr>
              <w:widowControl w:val="0"/>
              <w:spacing w:before="60" w:after="60"/>
              <w:jc w:val="center"/>
              <w:rPr>
                <w:sz w:val="20"/>
                <w:szCs w:val="20"/>
              </w:rPr>
            </w:pPr>
            <w:r>
              <w:rPr>
                <w:sz w:val="20"/>
                <w:szCs w:val="20"/>
              </w:rPr>
              <w:t>18 004 375</w:t>
            </w:r>
          </w:p>
        </w:tc>
        <w:tc>
          <w:tcPr>
            <w:tcW w:w="1057" w:type="dxa"/>
            <w:noWrap/>
            <w:vAlign w:val="bottom"/>
          </w:tcPr>
          <w:p w:rsidR="00000000" w:rsidRDefault="00000000">
            <w:pPr>
              <w:widowControl w:val="0"/>
              <w:tabs>
                <w:tab w:val="decimal" w:pos="519"/>
              </w:tabs>
              <w:spacing w:before="60" w:after="60"/>
              <w:jc w:val="center"/>
              <w:rPr>
                <w:sz w:val="20"/>
                <w:szCs w:val="20"/>
              </w:rPr>
            </w:pPr>
            <w:r>
              <w:rPr>
                <w:sz w:val="20"/>
                <w:szCs w:val="20"/>
              </w:rPr>
              <w:t>13.7</w:t>
            </w:r>
          </w:p>
        </w:tc>
        <w:tc>
          <w:tcPr>
            <w:tcW w:w="1051" w:type="dxa"/>
            <w:noWrap/>
            <w:vAlign w:val="bottom"/>
          </w:tcPr>
          <w:p w:rsidR="00000000" w:rsidRDefault="00000000">
            <w:pPr>
              <w:widowControl w:val="0"/>
              <w:spacing w:before="60" w:after="60"/>
              <w:jc w:val="center"/>
              <w:rPr>
                <w:sz w:val="20"/>
                <w:szCs w:val="20"/>
              </w:rPr>
            </w:pPr>
            <w:r>
              <w:rPr>
                <w:sz w:val="20"/>
                <w:szCs w:val="20"/>
              </w:rPr>
              <w:t>4 303 706</w:t>
            </w:r>
          </w:p>
        </w:tc>
        <w:tc>
          <w:tcPr>
            <w:tcW w:w="1074" w:type="dxa"/>
            <w:noWrap/>
            <w:vAlign w:val="bottom"/>
          </w:tcPr>
          <w:p w:rsidR="00000000" w:rsidRDefault="00000000">
            <w:pPr>
              <w:widowControl w:val="0"/>
              <w:tabs>
                <w:tab w:val="decimal" w:pos="593"/>
              </w:tabs>
              <w:spacing w:before="60" w:after="60"/>
              <w:jc w:val="center"/>
              <w:rPr>
                <w:sz w:val="20"/>
                <w:szCs w:val="20"/>
              </w:rPr>
            </w:pPr>
            <w:r>
              <w:rPr>
                <w:sz w:val="20"/>
                <w:szCs w:val="20"/>
              </w:rPr>
              <w:t>23.3</w:t>
            </w:r>
          </w:p>
        </w:tc>
        <w:tc>
          <w:tcPr>
            <w:tcW w:w="1029" w:type="dxa"/>
            <w:noWrap/>
            <w:vAlign w:val="bottom"/>
          </w:tcPr>
          <w:p w:rsidR="00000000" w:rsidRDefault="00000000">
            <w:pPr>
              <w:widowControl w:val="0"/>
              <w:spacing w:before="60" w:after="60"/>
              <w:jc w:val="center"/>
              <w:rPr>
                <w:sz w:val="20"/>
                <w:szCs w:val="20"/>
              </w:rPr>
            </w:pPr>
            <w:r>
              <w:rPr>
                <w:sz w:val="20"/>
                <w:szCs w:val="20"/>
              </w:rPr>
              <w:t>788 674</w:t>
            </w:r>
          </w:p>
        </w:tc>
        <w:tc>
          <w:tcPr>
            <w:tcW w:w="1058" w:type="dxa"/>
            <w:noWrap/>
            <w:vAlign w:val="bottom"/>
          </w:tcPr>
          <w:p w:rsidR="00000000" w:rsidRDefault="00000000">
            <w:pPr>
              <w:widowControl w:val="0"/>
              <w:tabs>
                <w:tab w:val="decimal" w:pos="519"/>
              </w:tabs>
              <w:spacing w:before="60" w:after="60"/>
              <w:jc w:val="center"/>
              <w:rPr>
                <w:sz w:val="20"/>
                <w:szCs w:val="20"/>
              </w:rPr>
            </w:pPr>
            <w:r>
              <w:rPr>
                <w:sz w:val="20"/>
                <w:szCs w:val="20"/>
              </w:rPr>
              <w:t>29.1</w:t>
            </w:r>
          </w:p>
        </w:tc>
        <w:tc>
          <w:tcPr>
            <w:tcW w:w="1016" w:type="dxa"/>
            <w:noWrap/>
            <w:vAlign w:val="bottom"/>
          </w:tcPr>
          <w:p w:rsidR="00000000" w:rsidRDefault="00000000">
            <w:pPr>
              <w:widowControl w:val="0"/>
              <w:spacing w:before="60" w:after="60"/>
              <w:jc w:val="center"/>
              <w:rPr>
                <w:sz w:val="20"/>
                <w:szCs w:val="20"/>
              </w:rPr>
            </w:pPr>
            <w:r>
              <w:rPr>
                <w:sz w:val="20"/>
                <w:szCs w:val="20"/>
              </w:rPr>
              <w:t>4.4</w:t>
            </w:r>
          </w:p>
        </w:tc>
        <w:tc>
          <w:tcPr>
            <w:tcW w:w="1313" w:type="dxa"/>
            <w:noWrap/>
            <w:vAlign w:val="bottom"/>
          </w:tcPr>
          <w:p w:rsidR="00000000" w:rsidRDefault="00000000">
            <w:pPr>
              <w:widowControl w:val="0"/>
              <w:spacing w:before="60" w:after="60"/>
              <w:jc w:val="center"/>
              <w:rPr>
                <w:sz w:val="20"/>
                <w:szCs w:val="20"/>
              </w:rPr>
            </w:pPr>
            <w:r>
              <w:rPr>
                <w:sz w:val="20"/>
                <w:szCs w:val="20"/>
              </w:rPr>
              <w:t>18.3</w:t>
            </w:r>
          </w:p>
        </w:tc>
      </w:tr>
      <w:tr w:rsidR="00000000">
        <w:trPr>
          <w:jc w:val="center"/>
        </w:trPr>
        <w:tc>
          <w:tcPr>
            <w:tcW w:w="618" w:type="dxa"/>
            <w:noWrap/>
            <w:vAlign w:val="bottom"/>
          </w:tcPr>
          <w:p w:rsidR="00000000" w:rsidRDefault="00000000">
            <w:pPr>
              <w:widowControl w:val="0"/>
              <w:spacing w:before="60" w:after="60"/>
              <w:rPr>
                <w:sz w:val="20"/>
                <w:szCs w:val="20"/>
              </w:rPr>
            </w:pPr>
            <w:r>
              <w:rPr>
                <w:sz w:val="20"/>
                <w:szCs w:val="20"/>
              </w:rPr>
              <w:t>1997</w:t>
            </w:r>
          </w:p>
        </w:tc>
        <w:tc>
          <w:tcPr>
            <w:tcW w:w="1213" w:type="dxa"/>
            <w:noWrap/>
            <w:vAlign w:val="bottom"/>
          </w:tcPr>
          <w:p w:rsidR="00000000" w:rsidRDefault="00000000">
            <w:pPr>
              <w:widowControl w:val="0"/>
              <w:spacing w:before="60" w:after="60"/>
              <w:jc w:val="center"/>
              <w:rPr>
                <w:sz w:val="20"/>
                <w:szCs w:val="20"/>
              </w:rPr>
            </w:pPr>
            <w:r>
              <w:rPr>
                <w:sz w:val="20"/>
                <w:szCs w:val="20"/>
              </w:rPr>
              <w:t>19 322 537</w:t>
            </w:r>
          </w:p>
        </w:tc>
        <w:tc>
          <w:tcPr>
            <w:tcW w:w="1057" w:type="dxa"/>
            <w:noWrap/>
            <w:vAlign w:val="bottom"/>
          </w:tcPr>
          <w:p w:rsidR="00000000" w:rsidRDefault="00000000">
            <w:pPr>
              <w:widowControl w:val="0"/>
              <w:tabs>
                <w:tab w:val="decimal" w:pos="519"/>
              </w:tabs>
              <w:spacing w:before="60" w:after="60"/>
              <w:jc w:val="center"/>
              <w:rPr>
                <w:sz w:val="20"/>
                <w:szCs w:val="20"/>
              </w:rPr>
            </w:pPr>
            <w:r>
              <w:rPr>
                <w:sz w:val="20"/>
                <w:szCs w:val="20"/>
              </w:rPr>
              <w:t>7.3</w:t>
            </w:r>
          </w:p>
        </w:tc>
        <w:tc>
          <w:tcPr>
            <w:tcW w:w="1051" w:type="dxa"/>
            <w:noWrap/>
            <w:vAlign w:val="bottom"/>
          </w:tcPr>
          <w:p w:rsidR="00000000" w:rsidRDefault="00000000">
            <w:pPr>
              <w:widowControl w:val="0"/>
              <w:spacing w:before="60" w:after="60"/>
              <w:jc w:val="center"/>
              <w:rPr>
                <w:sz w:val="20"/>
                <w:szCs w:val="20"/>
              </w:rPr>
            </w:pPr>
            <w:r>
              <w:rPr>
                <w:sz w:val="20"/>
                <w:szCs w:val="20"/>
              </w:rPr>
              <w:t>4 528 874</w:t>
            </w:r>
          </w:p>
        </w:tc>
        <w:tc>
          <w:tcPr>
            <w:tcW w:w="1074" w:type="dxa"/>
            <w:noWrap/>
            <w:vAlign w:val="bottom"/>
          </w:tcPr>
          <w:p w:rsidR="00000000" w:rsidRDefault="00000000">
            <w:pPr>
              <w:widowControl w:val="0"/>
              <w:tabs>
                <w:tab w:val="decimal" w:pos="593"/>
              </w:tabs>
              <w:spacing w:before="60" w:after="60"/>
              <w:jc w:val="center"/>
              <w:rPr>
                <w:sz w:val="20"/>
                <w:szCs w:val="20"/>
              </w:rPr>
            </w:pPr>
            <w:r>
              <w:rPr>
                <w:sz w:val="20"/>
                <w:szCs w:val="20"/>
              </w:rPr>
              <w:t>5.2</w:t>
            </w:r>
          </w:p>
        </w:tc>
        <w:tc>
          <w:tcPr>
            <w:tcW w:w="1029" w:type="dxa"/>
            <w:noWrap/>
            <w:vAlign w:val="bottom"/>
          </w:tcPr>
          <w:p w:rsidR="00000000" w:rsidRDefault="00000000">
            <w:pPr>
              <w:widowControl w:val="0"/>
              <w:spacing w:before="60" w:after="60"/>
              <w:jc w:val="center"/>
              <w:rPr>
                <w:sz w:val="20"/>
                <w:szCs w:val="20"/>
              </w:rPr>
            </w:pPr>
            <w:r>
              <w:rPr>
                <w:sz w:val="20"/>
                <w:szCs w:val="20"/>
              </w:rPr>
              <w:t>949 009</w:t>
            </w:r>
          </w:p>
        </w:tc>
        <w:tc>
          <w:tcPr>
            <w:tcW w:w="1058" w:type="dxa"/>
            <w:noWrap/>
            <w:vAlign w:val="bottom"/>
          </w:tcPr>
          <w:p w:rsidR="00000000" w:rsidRDefault="00000000">
            <w:pPr>
              <w:widowControl w:val="0"/>
              <w:tabs>
                <w:tab w:val="decimal" w:pos="519"/>
              </w:tabs>
              <w:spacing w:before="60" w:after="60"/>
              <w:jc w:val="center"/>
              <w:rPr>
                <w:sz w:val="20"/>
                <w:szCs w:val="20"/>
              </w:rPr>
            </w:pPr>
            <w:r>
              <w:rPr>
                <w:sz w:val="20"/>
                <w:szCs w:val="20"/>
              </w:rPr>
              <w:t>20.3</w:t>
            </w:r>
          </w:p>
        </w:tc>
        <w:tc>
          <w:tcPr>
            <w:tcW w:w="1016" w:type="dxa"/>
            <w:noWrap/>
            <w:vAlign w:val="bottom"/>
          </w:tcPr>
          <w:p w:rsidR="00000000" w:rsidRDefault="00000000">
            <w:pPr>
              <w:widowControl w:val="0"/>
              <w:spacing w:before="60" w:after="60"/>
              <w:jc w:val="center"/>
              <w:rPr>
                <w:sz w:val="20"/>
                <w:szCs w:val="20"/>
              </w:rPr>
            </w:pPr>
            <w:r>
              <w:rPr>
                <w:sz w:val="20"/>
                <w:szCs w:val="20"/>
              </w:rPr>
              <w:t>4.9</w:t>
            </w:r>
          </w:p>
        </w:tc>
        <w:tc>
          <w:tcPr>
            <w:tcW w:w="1313" w:type="dxa"/>
            <w:noWrap/>
            <w:vAlign w:val="bottom"/>
          </w:tcPr>
          <w:p w:rsidR="00000000" w:rsidRDefault="00000000">
            <w:pPr>
              <w:widowControl w:val="0"/>
              <w:spacing w:before="60" w:after="60"/>
              <w:jc w:val="center"/>
              <w:rPr>
                <w:sz w:val="20"/>
                <w:szCs w:val="20"/>
              </w:rPr>
            </w:pPr>
            <w:r>
              <w:rPr>
                <w:sz w:val="20"/>
                <w:szCs w:val="20"/>
              </w:rPr>
              <w:t>21.0</w:t>
            </w:r>
          </w:p>
        </w:tc>
      </w:tr>
      <w:tr w:rsidR="00000000">
        <w:trPr>
          <w:jc w:val="center"/>
        </w:trPr>
        <w:tc>
          <w:tcPr>
            <w:tcW w:w="618" w:type="dxa"/>
            <w:noWrap/>
            <w:vAlign w:val="bottom"/>
          </w:tcPr>
          <w:p w:rsidR="00000000" w:rsidRDefault="00000000">
            <w:pPr>
              <w:widowControl w:val="0"/>
              <w:spacing w:before="60" w:after="60"/>
              <w:rPr>
                <w:sz w:val="20"/>
                <w:szCs w:val="20"/>
              </w:rPr>
            </w:pPr>
            <w:r>
              <w:rPr>
                <w:sz w:val="20"/>
                <w:szCs w:val="20"/>
              </w:rPr>
              <w:t>1998</w:t>
            </w:r>
          </w:p>
        </w:tc>
        <w:tc>
          <w:tcPr>
            <w:tcW w:w="1213" w:type="dxa"/>
            <w:noWrap/>
            <w:vAlign w:val="bottom"/>
          </w:tcPr>
          <w:p w:rsidR="00000000" w:rsidRDefault="00000000">
            <w:pPr>
              <w:widowControl w:val="0"/>
              <w:spacing w:before="60" w:after="60"/>
              <w:jc w:val="center"/>
              <w:rPr>
                <w:sz w:val="20"/>
                <w:szCs w:val="20"/>
              </w:rPr>
            </w:pPr>
            <w:r>
              <w:rPr>
                <w:sz w:val="20"/>
                <w:szCs w:val="20"/>
              </w:rPr>
              <w:t>21 580 612</w:t>
            </w:r>
          </w:p>
        </w:tc>
        <w:tc>
          <w:tcPr>
            <w:tcW w:w="1057" w:type="dxa"/>
            <w:noWrap/>
            <w:vAlign w:val="bottom"/>
          </w:tcPr>
          <w:p w:rsidR="00000000" w:rsidRDefault="00000000">
            <w:pPr>
              <w:widowControl w:val="0"/>
              <w:tabs>
                <w:tab w:val="decimal" w:pos="519"/>
              </w:tabs>
              <w:spacing w:before="60" w:after="60"/>
              <w:jc w:val="center"/>
              <w:rPr>
                <w:sz w:val="20"/>
                <w:szCs w:val="20"/>
              </w:rPr>
            </w:pPr>
            <w:r>
              <w:rPr>
                <w:sz w:val="20"/>
                <w:szCs w:val="20"/>
              </w:rPr>
              <w:t>11.7</w:t>
            </w:r>
          </w:p>
        </w:tc>
        <w:tc>
          <w:tcPr>
            <w:tcW w:w="1051" w:type="dxa"/>
            <w:noWrap/>
            <w:vAlign w:val="bottom"/>
          </w:tcPr>
          <w:p w:rsidR="00000000" w:rsidRDefault="00000000">
            <w:pPr>
              <w:widowControl w:val="0"/>
              <w:spacing w:before="60" w:after="60"/>
              <w:jc w:val="center"/>
              <w:rPr>
                <w:sz w:val="20"/>
                <w:szCs w:val="20"/>
              </w:rPr>
            </w:pPr>
            <w:r>
              <w:rPr>
                <w:sz w:val="20"/>
                <w:szCs w:val="20"/>
              </w:rPr>
              <w:t>5 419 007</w:t>
            </w:r>
          </w:p>
        </w:tc>
        <w:tc>
          <w:tcPr>
            <w:tcW w:w="1074" w:type="dxa"/>
            <w:noWrap/>
            <w:vAlign w:val="bottom"/>
          </w:tcPr>
          <w:p w:rsidR="00000000" w:rsidRDefault="00000000">
            <w:pPr>
              <w:widowControl w:val="0"/>
              <w:tabs>
                <w:tab w:val="decimal" w:pos="593"/>
              </w:tabs>
              <w:spacing w:before="60" w:after="60"/>
              <w:jc w:val="center"/>
              <w:rPr>
                <w:sz w:val="20"/>
                <w:szCs w:val="20"/>
              </w:rPr>
            </w:pPr>
            <w:r>
              <w:rPr>
                <w:sz w:val="20"/>
                <w:szCs w:val="20"/>
              </w:rPr>
              <w:t>19.7</w:t>
            </w:r>
          </w:p>
        </w:tc>
        <w:tc>
          <w:tcPr>
            <w:tcW w:w="1029" w:type="dxa"/>
            <w:noWrap/>
            <w:vAlign w:val="bottom"/>
          </w:tcPr>
          <w:p w:rsidR="00000000" w:rsidRDefault="00000000">
            <w:pPr>
              <w:widowControl w:val="0"/>
              <w:spacing w:before="60" w:after="60"/>
              <w:jc w:val="center"/>
              <w:rPr>
                <w:sz w:val="20"/>
                <w:szCs w:val="20"/>
              </w:rPr>
            </w:pPr>
            <w:r>
              <w:rPr>
                <w:sz w:val="20"/>
                <w:szCs w:val="20"/>
              </w:rPr>
              <w:t>1 071 373</w:t>
            </w:r>
          </w:p>
        </w:tc>
        <w:tc>
          <w:tcPr>
            <w:tcW w:w="1058" w:type="dxa"/>
            <w:noWrap/>
            <w:vAlign w:val="bottom"/>
          </w:tcPr>
          <w:p w:rsidR="00000000" w:rsidRDefault="00000000">
            <w:pPr>
              <w:widowControl w:val="0"/>
              <w:tabs>
                <w:tab w:val="decimal" w:pos="519"/>
              </w:tabs>
              <w:spacing w:before="60" w:after="60"/>
              <w:jc w:val="center"/>
              <w:rPr>
                <w:sz w:val="20"/>
                <w:szCs w:val="20"/>
              </w:rPr>
            </w:pPr>
            <w:r>
              <w:rPr>
                <w:sz w:val="20"/>
                <w:szCs w:val="20"/>
              </w:rPr>
              <w:t>12.9</w:t>
            </w:r>
          </w:p>
        </w:tc>
        <w:tc>
          <w:tcPr>
            <w:tcW w:w="1016" w:type="dxa"/>
            <w:noWrap/>
            <w:vAlign w:val="bottom"/>
          </w:tcPr>
          <w:p w:rsidR="00000000" w:rsidRDefault="00000000">
            <w:pPr>
              <w:widowControl w:val="0"/>
              <w:spacing w:before="60" w:after="60"/>
              <w:jc w:val="center"/>
              <w:rPr>
                <w:sz w:val="20"/>
                <w:szCs w:val="20"/>
              </w:rPr>
            </w:pPr>
            <w:r>
              <w:rPr>
                <w:sz w:val="20"/>
                <w:szCs w:val="20"/>
              </w:rPr>
              <w:t>5.0</w:t>
            </w:r>
          </w:p>
        </w:tc>
        <w:tc>
          <w:tcPr>
            <w:tcW w:w="1313" w:type="dxa"/>
            <w:noWrap/>
            <w:vAlign w:val="bottom"/>
          </w:tcPr>
          <w:p w:rsidR="00000000" w:rsidRDefault="00000000">
            <w:pPr>
              <w:widowControl w:val="0"/>
              <w:spacing w:before="60" w:after="60"/>
              <w:jc w:val="center"/>
              <w:rPr>
                <w:sz w:val="20"/>
                <w:szCs w:val="20"/>
              </w:rPr>
            </w:pPr>
            <w:r>
              <w:rPr>
                <w:sz w:val="20"/>
                <w:szCs w:val="20"/>
              </w:rPr>
              <w:t>19.8</w:t>
            </w:r>
          </w:p>
        </w:tc>
      </w:tr>
      <w:tr w:rsidR="00000000">
        <w:trPr>
          <w:jc w:val="center"/>
        </w:trPr>
        <w:tc>
          <w:tcPr>
            <w:tcW w:w="618" w:type="dxa"/>
            <w:noWrap/>
            <w:vAlign w:val="bottom"/>
          </w:tcPr>
          <w:p w:rsidR="00000000" w:rsidRDefault="00000000">
            <w:pPr>
              <w:widowControl w:val="0"/>
              <w:spacing w:before="60" w:after="60"/>
              <w:rPr>
                <w:sz w:val="20"/>
                <w:szCs w:val="20"/>
              </w:rPr>
            </w:pPr>
            <w:r>
              <w:rPr>
                <w:sz w:val="20"/>
                <w:szCs w:val="20"/>
              </w:rPr>
              <w:t>1999</w:t>
            </w:r>
          </w:p>
        </w:tc>
        <w:tc>
          <w:tcPr>
            <w:tcW w:w="1213" w:type="dxa"/>
            <w:noWrap/>
            <w:vAlign w:val="bottom"/>
          </w:tcPr>
          <w:p w:rsidR="00000000" w:rsidRDefault="00000000">
            <w:pPr>
              <w:widowControl w:val="0"/>
              <w:spacing w:before="60" w:after="60"/>
              <w:jc w:val="center"/>
              <w:rPr>
                <w:sz w:val="20"/>
                <w:szCs w:val="20"/>
              </w:rPr>
            </w:pPr>
            <w:r>
              <w:rPr>
                <w:sz w:val="20"/>
                <w:szCs w:val="20"/>
              </w:rPr>
              <w:t>22 771 596</w:t>
            </w:r>
          </w:p>
        </w:tc>
        <w:tc>
          <w:tcPr>
            <w:tcW w:w="1057" w:type="dxa"/>
            <w:noWrap/>
            <w:vAlign w:val="bottom"/>
          </w:tcPr>
          <w:p w:rsidR="00000000" w:rsidRDefault="00000000">
            <w:pPr>
              <w:widowControl w:val="0"/>
              <w:tabs>
                <w:tab w:val="decimal" w:pos="519"/>
              </w:tabs>
              <w:spacing w:before="60" w:after="60"/>
              <w:jc w:val="center"/>
              <w:rPr>
                <w:sz w:val="20"/>
                <w:szCs w:val="20"/>
              </w:rPr>
            </w:pPr>
            <w:r>
              <w:rPr>
                <w:sz w:val="20"/>
                <w:szCs w:val="20"/>
              </w:rPr>
              <w:t>5.5</w:t>
            </w:r>
          </w:p>
        </w:tc>
        <w:tc>
          <w:tcPr>
            <w:tcW w:w="1051" w:type="dxa"/>
            <w:noWrap/>
            <w:vAlign w:val="bottom"/>
          </w:tcPr>
          <w:p w:rsidR="00000000" w:rsidRDefault="00000000">
            <w:pPr>
              <w:widowControl w:val="0"/>
              <w:spacing w:before="60" w:after="60"/>
              <w:jc w:val="center"/>
              <w:rPr>
                <w:sz w:val="20"/>
                <w:szCs w:val="20"/>
              </w:rPr>
            </w:pPr>
            <w:r>
              <w:rPr>
                <w:sz w:val="20"/>
                <w:szCs w:val="20"/>
              </w:rPr>
              <w:t>7 278 673</w:t>
            </w:r>
          </w:p>
        </w:tc>
        <w:tc>
          <w:tcPr>
            <w:tcW w:w="1074" w:type="dxa"/>
            <w:noWrap/>
            <w:vAlign w:val="bottom"/>
          </w:tcPr>
          <w:p w:rsidR="00000000" w:rsidRDefault="00000000">
            <w:pPr>
              <w:widowControl w:val="0"/>
              <w:tabs>
                <w:tab w:val="decimal" w:pos="593"/>
              </w:tabs>
              <w:spacing w:before="60" w:after="60"/>
              <w:jc w:val="center"/>
              <w:rPr>
                <w:sz w:val="20"/>
                <w:szCs w:val="20"/>
              </w:rPr>
            </w:pPr>
            <w:r>
              <w:rPr>
                <w:sz w:val="20"/>
                <w:szCs w:val="20"/>
              </w:rPr>
              <w:t>34.3</w:t>
            </w:r>
          </w:p>
        </w:tc>
        <w:tc>
          <w:tcPr>
            <w:tcW w:w="1029" w:type="dxa"/>
            <w:noWrap/>
            <w:vAlign w:val="bottom"/>
          </w:tcPr>
          <w:p w:rsidR="00000000" w:rsidRDefault="00000000">
            <w:pPr>
              <w:widowControl w:val="0"/>
              <w:spacing w:before="60" w:after="60"/>
              <w:jc w:val="center"/>
              <w:rPr>
                <w:sz w:val="20"/>
                <w:szCs w:val="20"/>
              </w:rPr>
            </w:pPr>
            <w:r>
              <w:rPr>
                <w:sz w:val="20"/>
                <w:szCs w:val="20"/>
              </w:rPr>
              <w:t>1 122 042</w:t>
            </w:r>
          </w:p>
        </w:tc>
        <w:tc>
          <w:tcPr>
            <w:tcW w:w="1058" w:type="dxa"/>
            <w:noWrap/>
            <w:vAlign w:val="bottom"/>
          </w:tcPr>
          <w:p w:rsidR="00000000" w:rsidRDefault="00000000">
            <w:pPr>
              <w:widowControl w:val="0"/>
              <w:tabs>
                <w:tab w:val="decimal" w:pos="519"/>
              </w:tabs>
              <w:spacing w:before="60" w:after="60"/>
              <w:jc w:val="center"/>
              <w:rPr>
                <w:sz w:val="20"/>
                <w:szCs w:val="20"/>
              </w:rPr>
            </w:pPr>
            <w:r>
              <w:rPr>
                <w:sz w:val="20"/>
                <w:szCs w:val="20"/>
              </w:rPr>
              <w:t>4.7</w:t>
            </w:r>
          </w:p>
        </w:tc>
        <w:tc>
          <w:tcPr>
            <w:tcW w:w="1016" w:type="dxa"/>
            <w:noWrap/>
            <w:vAlign w:val="bottom"/>
          </w:tcPr>
          <w:p w:rsidR="00000000" w:rsidRDefault="00000000">
            <w:pPr>
              <w:widowControl w:val="0"/>
              <w:spacing w:before="60" w:after="60"/>
              <w:jc w:val="center"/>
              <w:rPr>
                <w:sz w:val="20"/>
                <w:szCs w:val="20"/>
              </w:rPr>
            </w:pPr>
            <w:r>
              <w:rPr>
                <w:sz w:val="20"/>
                <w:szCs w:val="20"/>
              </w:rPr>
              <w:t>4.9</w:t>
            </w:r>
          </w:p>
        </w:tc>
        <w:tc>
          <w:tcPr>
            <w:tcW w:w="1313" w:type="dxa"/>
            <w:noWrap/>
            <w:vAlign w:val="bottom"/>
          </w:tcPr>
          <w:p w:rsidR="00000000" w:rsidRDefault="00000000">
            <w:pPr>
              <w:widowControl w:val="0"/>
              <w:spacing w:before="60" w:after="60"/>
              <w:jc w:val="center"/>
              <w:rPr>
                <w:sz w:val="20"/>
                <w:szCs w:val="20"/>
              </w:rPr>
            </w:pPr>
            <w:r>
              <w:rPr>
                <w:sz w:val="20"/>
                <w:szCs w:val="20"/>
              </w:rPr>
              <w:t>15.4</w:t>
            </w:r>
          </w:p>
        </w:tc>
      </w:tr>
      <w:tr w:rsidR="00000000">
        <w:trPr>
          <w:jc w:val="center"/>
        </w:trPr>
        <w:tc>
          <w:tcPr>
            <w:tcW w:w="618" w:type="dxa"/>
            <w:noWrap/>
            <w:vAlign w:val="bottom"/>
          </w:tcPr>
          <w:p w:rsidR="00000000" w:rsidRDefault="00000000">
            <w:pPr>
              <w:widowControl w:val="0"/>
              <w:spacing w:before="60" w:after="60"/>
              <w:rPr>
                <w:sz w:val="20"/>
                <w:szCs w:val="20"/>
              </w:rPr>
            </w:pPr>
            <w:r>
              <w:rPr>
                <w:sz w:val="20"/>
                <w:szCs w:val="20"/>
              </w:rPr>
              <w:t>2000</w:t>
            </w:r>
          </w:p>
        </w:tc>
        <w:tc>
          <w:tcPr>
            <w:tcW w:w="1213" w:type="dxa"/>
            <w:noWrap/>
            <w:vAlign w:val="bottom"/>
          </w:tcPr>
          <w:p w:rsidR="00000000" w:rsidRDefault="00000000">
            <w:pPr>
              <w:widowControl w:val="0"/>
              <w:spacing w:before="60" w:after="60"/>
              <w:jc w:val="center"/>
              <w:rPr>
                <w:sz w:val="20"/>
                <w:szCs w:val="20"/>
              </w:rPr>
            </w:pPr>
            <w:r>
              <w:rPr>
                <w:sz w:val="20"/>
                <w:szCs w:val="20"/>
              </w:rPr>
              <w:t>24 736 526</w:t>
            </w:r>
          </w:p>
        </w:tc>
        <w:tc>
          <w:tcPr>
            <w:tcW w:w="1057" w:type="dxa"/>
            <w:noWrap/>
            <w:vAlign w:val="bottom"/>
          </w:tcPr>
          <w:p w:rsidR="00000000" w:rsidRDefault="00000000">
            <w:pPr>
              <w:widowControl w:val="0"/>
              <w:tabs>
                <w:tab w:val="decimal" w:pos="519"/>
              </w:tabs>
              <w:spacing w:before="60" w:after="60"/>
              <w:jc w:val="center"/>
              <w:rPr>
                <w:sz w:val="20"/>
                <w:szCs w:val="20"/>
              </w:rPr>
            </w:pPr>
            <w:r>
              <w:rPr>
                <w:sz w:val="20"/>
                <w:szCs w:val="20"/>
              </w:rPr>
              <w:t>8.6</w:t>
            </w:r>
          </w:p>
        </w:tc>
        <w:tc>
          <w:tcPr>
            <w:tcW w:w="1051" w:type="dxa"/>
            <w:noWrap/>
            <w:vAlign w:val="bottom"/>
          </w:tcPr>
          <w:p w:rsidR="00000000" w:rsidRDefault="00000000">
            <w:pPr>
              <w:widowControl w:val="0"/>
              <w:spacing w:before="60" w:after="60"/>
              <w:jc w:val="center"/>
              <w:rPr>
                <w:sz w:val="20"/>
                <w:szCs w:val="20"/>
              </w:rPr>
            </w:pPr>
            <w:r>
              <w:rPr>
                <w:sz w:val="20"/>
                <w:szCs w:val="20"/>
              </w:rPr>
              <w:t>7 604 699</w:t>
            </w:r>
          </w:p>
        </w:tc>
        <w:tc>
          <w:tcPr>
            <w:tcW w:w="1074" w:type="dxa"/>
            <w:noWrap/>
            <w:vAlign w:val="bottom"/>
          </w:tcPr>
          <w:p w:rsidR="00000000" w:rsidRDefault="00000000">
            <w:pPr>
              <w:widowControl w:val="0"/>
              <w:tabs>
                <w:tab w:val="decimal" w:pos="593"/>
              </w:tabs>
              <w:spacing w:before="60" w:after="60"/>
              <w:jc w:val="center"/>
              <w:rPr>
                <w:sz w:val="20"/>
                <w:szCs w:val="20"/>
              </w:rPr>
            </w:pPr>
            <w:r>
              <w:rPr>
                <w:sz w:val="20"/>
                <w:szCs w:val="20"/>
              </w:rPr>
              <w:t>4.5</w:t>
            </w:r>
          </w:p>
        </w:tc>
        <w:tc>
          <w:tcPr>
            <w:tcW w:w="1029" w:type="dxa"/>
            <w:noWrap/>
            <w:vAlign w:val="bottom"/>
          </w:tcPr>
          <w:p w:rsidR="00000000" w:rsidRDefault="00000000">
            <w:pPr>
              <w:widowControl w:val="0"/>
              <w:spacing w:before="60" w:after="60"/>
              <w:jc w:val="center"/>
              <w:rPr>
                <w:sz w:val="20"/>
                <w:szCs w:val="20"/>
              </w:rPr>
            </w:pPr>
            <w:r>
              <w:rPr>
                <w:sz w:val="20"/>
                <w:szCs w:val="20"/>
              </w:rPr>
              <w:t>1 324 198</w:t>
            </w:r>
          </w:p>
        </w:tc>
        <w:tc>
          <w:tcPr>
            <w:tcW w:w="1058" w:type="dxa"/>
            <w:noWrap/>
            <w:vAlign w:val="bottom"/>
          </w:tcPr>
          <w:p w:rsidR="00000000" w:rsidRDefault="00000000">
            <w:pPr>
              <w:widowControl w:val="0"/>
              <w:tabs>
                <w:tab w:val="decimal" w:pos="519"/>
              </w:tabs>
              <w:spacing w:before="60" w:after="60"/>
              <w:jc w:val="center"/>
              <w:rPr>
                <w:sz w:val="20"/>
                <w:szCs w:val="20"/>
              </w:rPr>
            </w:pPr>
            <w:r>
              <w:rPr>
                <w:sz w:val="20"/>
                <w:szCs w:val="20"/>
              </w:rPr>
              <w:t>18.0</w:t>
            </w:r>
          </w:p>
        </w:tc>
        <w:tc>
          <w:tcPr>
            <w:tcW w:w="1016" w:type="dxa"/>
            <w:noWrap/>
            <w:vAlign w:val="bottom"/>
          </w:tcPr>
          <w:p w:rsidR="00000000" w:rsidRDefault="00000000">
            <w:pPr>
              <w:widowControl w:val="0"/>
              <w:spacing w:before="60" w:after="60"/>
              <w:jc w:val="center"/>
              <w:rPr>
                <w:sz w:val="20"/>
                <w:szCs w:val="20"/>
              </w:rPr>
            </w:pPr>
            <w:r>
              <w:rPr>
                <w:sz w:val="20"/>
                <w:szCs w:val="20"/>
              </w:rPr>
              <w:t>5.4</w:t>
            </w:r>
          </w:p>
        </w:tc>
        <w:tc>
          <w:tcPr>
            <w:tcW w:w="1313" w:type="dxa"/>
            <w:noWrap/>
            <w:vAlign w:val="bottom"/>
          </w:tcPr>
          <w:p w:rsidR="00000000" w:rsidRDefault="00000000">
            <w:pPr>
              <w:widowControl w:val="0"/>
              <w:spacing w:before="60" w:after="60"/>
              <w:jc w:val="center"/>
              <w:rPr>
                <w:sz w:val="20"/>
                <w:szCs w:val="20"/>
              </w:rPr>
            </w:pPr>
            <w:r>
              <w:rPr>
                <w:sz w:val="20"/>
                <w:szCs w:val="20"/>
              </w:rPr>
              <w:t>17.4</w:t>
            </w:r>
          </w:p>
        </w:tc>
      </w:tr>
      <w:tr w:rsidR="00000000">
        <w:trPr>
          <w:jc w:val="center"/>
        </w:trPr>
        <w:tc>
          <w:tcPr>
            <w:tcW w:w="618" w:type="dxa"/>
            <w:noWrap/>
            <w:vAlign w:val="bottom"/>
          </w:tcPr>
          <w:p w:rsidR="00000000" w:rsidRDefault="00000000">
            <w:pPr>
              <w:widowControl w:val="0"/>
              <w:spacing w:before="60" w:after="60"/>
              <w:rPr>
                <w:sz w:val="20"/>
                <w:szCs w:val="20"/>
              </w:rPr>
            </w:pPr>
            <w:r>
              <w:rPr>
                <w:sz w:val="20"/>
                <w:szCs w:val="20"/>
              </w:rPr>
              <w:t>2001</w:t>
            </w:r>
          </w:p>
        </w:tc>
        <w:tc>
          <w:tcPr>
            <w:tcW w:w="1213" w:type="dxa"/>
            <w:noWrap/>
            <w:vAlign w:val="bottom"/>
          </w:tcPr>
          <w:p w:rsidR="00000000" w:rsidRDefault="00000000">
            <w:pPr>
              <w:widowControl w:val="0"/>
              <w:spacing w:before="60" w:after="60"/>
              <w:jc w:val="center"/>
              <w:rPr>
                <w:sz w:val="20"/>
                <w:szCs w:val="20"/>
              </w:rPr>
            </w:pPr>
            <w:r>
              <w:rPr>
                <w:sz w:val="20"/>
                <w:szCs w:val="20"/>
              </w:rPr>
              <w:t>26 465 663</w:t>
            </w:r>
          </w:p>
        </w:tc>
        <w:tc>
          <w:tcPr>
            <w:tcW w:w="1057" w:type="dxa"/>
            <w:noWrap/>
            <w:vAlign w:val="bottom"/>
          </w:tcPr>
          <w:p w:rsidR="00000000" w:rsidRDefault="00000000">
            <w:pPr>
              <w:widowControl w:val="0"/>
              <w:tabs>
                <w:tab w:val="decimal" w:pos="519"/>
              </w:tabs>
              <w:spacing w:before="60" w:after="60"/>
              <w:jc w:val="center"/>
              <w:rPr>
                <w:sz w:val="20"/>
                <w:szCs w:val="20"/>
              </w:rPr>
            </w:pPr>
            <w:r>
              <w:rPr>
                <w:sz w:val="20"/>
                <w:szCs w:val="20"/>
              </w:rPr>
              <w:t>7.0</w:t>
            </w:r>
          </w:p>
        </w:tc>
        <w:tc>
          <w:tcPr>
            <w:tcW w:w="1051" w:type="dxa"/>
            <w:noWrap/>
            <w:vAlign w:val="bottom"/>
          </w:tcPr>
          <w:p w:rsidR="00000000" w:rsidRDefault="00000000">
            <w:pPr>
              <w:widowControl w:val="0"/>
              <w:spacing w:before="60" w:after="60"/>
              <w:jc w:val="center"/>
              <w:rPr>
                <w:sz w:val="20"/>
                <w:szCs w:val="20"/>
              </w:rPr>
            </w:pPr>
            <w:r>
              <w:rPr>
                <w:sz w:val="20"/>
                <w:szCs w:val="20"/>
              </w:rPr>
              <w:t>7 291 523</w:t>
            </w:r>
          </w:p>
        </w:tc>
        <w:tc>
          <w:tcPr>
            <w:tcW w:w="1074" w:type="dxa"/>
            <w:noWrap/>
            <w:vAlign w:val="bottom"/>
          </w:tcPr>
          <w:p w:rsidR="00000000" w:rsidRDefault="00000000">
            <w:pPr>
              <w:widowControl w:val="0"/>
              <w:tabs>
                <w:tab w:val="decimal" w:pos="593"/>
              </w:tabs>
              <w:spacing w:before="60" w:after="60"/>
              <w:jc w:val="center"/>
              <w:rPr>
                <w:sz w:val="20"/>
                <w:szCs w:val="20"/>
              </w:rPr>
            </w:pPr>
            <w:r>
              <w:rPr>
                <w:sz w:val="20"/>
                <w:szCs w:val="20"/>
              </w:rPr>
              <w:t>-4.1</w:t>
            </w:r>
          </w:p>
        </w:tc>
        <w:tc>
          <w:tcPr>
            <w:tcW w:w="1029" w:type="dxa"/>
            <w:noWrap/>
            <w:vAlign w:val="bottom"/>
          </w:tcPr>
          <w:p w:rsidR="00000000" w:rsidRDefault="00000000">
            <w:pPr>
              <w:widowControl w:val="0"/>
              <w:spacing w:before="60" w:after="60"/>
              <w:jc w:val="center"/>
              <w:rPr>
                <w:sz w:val="20"/>
                <w:szCs w:val="20"/>
              </w:rPr>
            </w:pPr>
            <w:r>
              <w:rPr>
                <w:sz w:val="20"/>
                <w:szCs w:val="20"/>
              </w:rPr>
              <w:t>1 327 772</w:t>
            </w:r>
          </w:p>
        </w:tc>
        <w:tc>
          <w:tcPr>
            <w:tcW w:w="1058" w:type="dxa"/>
            <w:noWrap/>
            <w:vAlign w:val="bottom"/>
          </w:tcPr>
          <w:p w:rsidR="00000000" w:rsidRDefault="00000000">
            <w:pPr>
              <w:widowControl w:val="0"/>
              <w:tabs>
                <w:tab w:val="decimal" w:pos="519"/>
              </w:tabs>
              <w:spacing w:before="60" w:after="60"/>
              <w:jc w:val="center"/>
              <w:rPr>
                <w:sz w:val="20"/>
                <w:szCs w:val="20"/>
              </w:rPr>
            </w:pPr>
            <w:r>
              <w:rPr>
                <w:sz w:val="20"/>
                <w:szCs w:val="20"/>
              </w:rPr>
              <w:t>0.3</w:t>
            </w:r>
          </w:p>
        </w:tc>
        <w:tc>
          <w:tcPr>
            <w:tcW w:w="1016" w:type="dxa"/>
            <w:noWrap/>
            <w:vAlign w:val="bottom"/>
          </w:tcPr>
          <w:p w:rsidR="00000000" w:rsidRDefault="00000000">
            <w:pPr>
              <w:widowControl w:val="0"/>
              <w:spacing w:before="60" w:after="60"/>
              <w:jc w:val="center"/>
              <w:rPr>
                <w:sz w:val="20"/>
                <w:szCs w:val="20"/>
              </w:rPr>
            </w:pPr>
            <w:r>
              <w:rPr>
                <w:sz w:val="20"/>
                <w:szCs w:val="20"/>
              </w:rPr>
              <w:t>5.0</w:t>
            </w:r>
          </w:p>
        </w:tc>
        <w:tc>
          <w:tcPr>
            <w:tcW w:w="1313" w:type="dxa"/>
            <w:noWrap/>
            <w:vAlign w:val="bottom"/>
          </w:tcPr>
          <w:p w:rsidR="00000000" w:rsidRDefault="00000000">
            <w:pPr>
              <w:widowControl w:val="0"/>
              <w:spacing w:before="60" w:after="60"/>
              <w:jc w:val="center"/>
              <w:rPr>
                <w:sz w:val="20"/>
                <w:szCs w:val="20"/>
              </w:rPr>
            </w:pPr>
            <w:r>
              <w:rPr>
                <w:sz w:val="20"/>
                <w:szCs w:val="20"/>
              </w:rPr>
              <w:t>18.2</w:t>
            </w:r>
          </w:p>
        </w:tc>
      </w:tr>
      <w:tr w:rsidR="00000000">
        <w:trPr>
          <w:jc w:val="center"/>
        </w:trPr>
        <w:tc>
          <w:tcPr>
            <w:tcW w:w="618" w:type="dxa"/>
            <w:noWrap/>
            <w:vAlign w:val="bottom"/>
          </w:tcPr>
          <w:p w:rsidR="00000000" w:rsidRDefault="00000000">
            <w:pPr>
              <w:widowControl w:val="0"/>
              <w:spacing w:before="60" w:after="60"/>
              <w:rPr>
                <w:sz w:val="20"/>
                <w:szCs w:val="20"/>
              </w:rPr>
            </w:pPr>
            <w:r>
              <w:rPr>
                <w:sz w:val="20"/>
                <w:szCs w:val="20"/>
              </w:rPr>
              <w:t>2002</w:t>
            </w:r>
          </w:p>
        </w:tc>
        <w:tc>
          <w:tcPr>
            <w:tcW w:w="1213" w:type="dxa"/>
            <w:noWrap/>
            <w:vAlign w:val="bottom"/>
          </w:tcPr>
          <w:p w:rsidR="00000000" w:rsidRDefault="00000000">
            <w:pPr>
              <w:widowControl w:val="0"/>
              <w:spacing w:before="60" w:after="60"/>
              <w:jc w:val="center"/>
              <w:rPr>
                <w:sz w:val="20"/>
                <w:szCs w:val="20"/>
              </w:rPr>
            </w:pPr>
            <w:r>
              <w:rPr>
                <w:sz w:val="20"/>
                <w:szCs w:val="20"/>
              </w:rPr>
              <w:t>29 104 530</w:t>
            </w:r>
          </w:p>
        </w:tc>
        <w:tc>
          <w:tcPr>
            <w:tcW w:w="1057" w:type="dxa"/>
            <w:noWrap/>
            <w:vAlign w:val="bottom"/>
          </w:tcPr>
          <w:p w:rsidR="00000000" w:rsidRDefault="00000000">
            <w:pPr>
              <w:widowControl w:val="0"/>
              <w:tabs>
                <w:tab w:val="decimal" w:pos="519"/>
              </w:tabs>
              <w:spacing w:before="60" w:after="60"/>
              <w:jc w:val="center"/>
              <w:rPr>
                <w:sz w:val="20"/>
                <w:szCs w:val="20"/>
              </w:rPr>
            </w:pPr>
            <w:r>
              <w:rPr>
                <w:sz w:val="20"/>
                <w:szCs w:val="20"/>
              </w:rPr>
              <w:t>10.0</w:t>
            </w:r>
          </w:p>
        </w:tc>
        <w:tc>
          <w:tcPr>
            <w:tcW w:w="1051" w:type="dxa"/>
            <w:noWrap/>
            <w:vAlign w:val="bottom"/>
          </w:tcPr>
          <w:p w:rsidR="00000000" w:rsidRDefault="00000000">
            <w:pPr>
              <w:widowControl w:val="0"/>
              <w:spacing w:before="60" w:after="60"/>
              <w:jc w:val="center"/>
              <w:rPr>
                <w:sz w:val="20"/>
                <w:szCs w:val="20"/>
              </w:rPr>
            </w:pPr>
            <w:r>
              <w:rPr>
                <w:sz w:val="20"/>
                <w:szCs w:val="20"/>
              </w:rPr>
              <w:t>7 770 138</w:t>
            </w:r>
          </w:p>
        </w:tc>
        <w:tc>
          <w:tcPr>
            <w:tcW w:w="1074" w:type="dxa"/>
            <w:noWrap/>
            <w:vAlign w:val="bottom"/>
          </w:tcPr>
          <w:p w:rsidR="00000000" w:rsidRDefault="00000000">
            <w:pPr>
              <w:widowControl w:val="0"/>
              <w:tabs>
                <w:tab w:val="decimal" w:pos="593"/>
              </w:tabs>
              <w:spacing w:before="60" w:after="60"/>
              <w:jc w:val="center"/>
              <w:rPr>
                <w:sz w:val="20"/>
                <w:szCs w:val="20"/>
              </w:rPr>
            </w:pPr>
            <w:r>
              <w:rPr>
                <w:sz w:val="20"/>
                <w:szCs w:val="20"/>
              </w:rPr>
              <w:t>6.6</w:t>
            </w:r>
          </w:p>
        </w:tc>
        <w:tc>
          <w:tcPr>
            <w:tcW w:w="1029" w:type="dxa"/>
            <w:noWrap/>
            <w:vAlign w:val="bottom"/>
          </w:tcPr>
          <w:p w:rsidR="00000000" w:rsidRDefault="00000000">
            <w:pPr>
              <w:widowControl w:val="0"/>
              <w:spacing w:before="60" w:after="60"/>
              <w:jc w:val="center"/>
              <w:rPr>
                <w:sz w:val="20"/>
                <w:szCs w:val="20"/>
              </w:rPr>
            </w:pPr>
            <w:r>
              <w:rPr>
                <w:sz w:val="20"/>
                <w:szCs w:val="20"/>
              </w:rPr>
              <w:t>1 394 241</w:t>
            </w:r>
          </w:p>
        </w:tc>
        <w:tc>
          <w:tcPr>
            <w:tcW w:w="1058" w:type="dxa"/>
            <w:noWrap/>
            <w:vAlign w:val="bottom"/>
          </w:tcPr>
          <w:p w:rsidR="00000000" w:rsidRDefault="00000000">
            <w:pPr>
              <w:widowControl w:val="0"/>
              <w:tabs>
                <w:tab w:val="decimal" w:pos="519"/>
              </w:tabs>
              <w:spacing w:before="60" w:after="60"/>
              <w:jc w:val="center"/>
              <w:rPr>
                <w:sz w:val="20"/>
                <w:szCs w:val="20"/>
              </w:rPr>
            </w:pPr>
            <w:r>
              <w:rPr>
                <w:sz w:val="20"/>
                <w:szCs w:val="20"/>
              </w:rPr>
              <w:t>5.0</w:t>
            </w:r>
          </w:p>
        </w:tc>
        <w:tc>
          <w:tcPr>
            <w:tcW w:w="1016" w:type="dxa"/>
            <w:noWrap/>
            <w:vAlign w:val="bottom"/>
          </w:tcPr>
          <w:p w:rsidR="00000000" w:rsidRDefault="00000000">
            <w:pPr>
              <w:widowControl w:val="0"/>
              <w:spacing w:before="60" w:after="60"/>
              <w:jc w:val="center"/>
              <w:rPr>
                <w:sz w:val="20"/>
                <w:szCs w:val="20"/>
              </w:rPr>
            </w:pPr>
            <w:r>
              <w:rPr>
                <w:sz w:val="20"/>
                <w:szCs w:val="20"/>
              </w:rPr>
              <w:t>4.8</w:t>
            </w:r>
          </w:p>
        </w:tc>
        <w:tc>
          <w:tcPr>
            <w:tcW w:w="1313" w:type="dxa"/>
            <w:noWrap/>
            <w:vAlign w:val="bottom"/>
          </w:tcPr>
          <w:p w:rsidR="00000000" w:rsidRDefault="00000000">
            <w:pPr>
              <w:widowControl w:val="0"/>
              <w:spacing w:before="60" w:after="60"/>
              <w:jc w:val="center"/>
              <w:rPr>
                <w:sz w:val="20"/>
                <w:szCs w:val="20"/>
              </w:rPr>
            </w:pPr>
            <w:r>
              <w:rPr>
                <w:sz w:val="20"/>
                <w:szCs w:val="20"/>
              </w:rPr>
              <w:t>17.9</w:t>
            </w:r>
          </w:p>
        </w:tc>
      </w:tr>
      <w:tr w:rsidR="00000000">
        <w:trPr>
          <w:jc w:val="center"/>
        </w:trPr>
        <w:tc>
          <w:tcPr>
            <w:tcW w:w="618" w:type="dxa"/>
            <w:noWrap/>
            <w:vAlign w:val="bottom"/>
          </w:tcPr>
          <w:p w:rsidR="00000000" w:rsidRDefault="00000000">
            <w:pPr>
              <w:widowControl w:val="0"/>
              <w:spacing w:before="60" w:after="60"/>
              <w:rPr>
                <w:sz w:val="20"/>
                <w:szCs w:val="20"/>
              </w:rPr>
            </w:pPr>
            <w:r>
              <w:rPr>
                <w:sz w:val="20"/>
                <w:szCs w:val="20"/>
              </w:rPr>
              <w:t>2003</w:t>
            </w:r>
          </w:p>
        </w:tc>
        <w:tc>
          <w:tcPr>
            <w:tcW w:w="1213" w:type="dxa"/>
            <w:noWrap/>
            <w:vAlign w:val="bottom"/>
          </w:tcPr>
          <w:p w:rsidR="00000000" w:rsidRDefault="00000000">
            <w:pPr>
              <w:widowControl w:val="0"/>
              <w:spacing w:before="60" w:after="60"/>
              <w:jc w:val="center"/>
              <w:rPr>
                <w:sz w:val="20"/>
                <w:szCs w:val="20"/>
              </w:rPr>
            </w:pPr>
            <w:r>
              <w:rPr>
                <w:sz w:val="20"/>
                <w:szCs w:val="20"/>
              </w:rPr>
              <w:t>35 666 425</w:t>
            </w:r>
          </w:p>
        </w:tc>
        <w:tc>
          <w:tcPr>
            <w:tcW w:w="1057" w:type="dxa"/>
            <w:noWrap/>
            <w:vAlign w:val="bottom"/>
          </w:tcPr>
          <w:p w:rsidR="00000000" w:rsidRDefault="00000000">
            <w:pPr>
              <w:widowControl w:val="0"/>
              <w:tabs>
                <w:tab w:val="decimal" w:pos="519"/>
              </w:tabs>
              <w:spacing w:before="60" w:after="60"/>
              <w:jc w:val="center"/>
              <w:rPr>
                <w:sz w:val="20"/>
                <w:szCs w:val="20"/>
              </w:rPr>
            </w:pPr>
            <w:r>
              <w:rPr>
                <w:sz w:val="20"/>
                <w:szCs w:val="20"/>
              </w:rPr>
              <w:t>22.5</w:t>
            </w:r>
          </w:p>
        </w:tc>
        <w:tc>
          <w:tcPr>
            <w:tcW w:w="1051" w:type="dxa"/>
            <w:noWrap/>
            <w:vAlign w:val="bottom"/>
          </w:tcPr>
          <w:p w:rsidR="00000000" w:rsidRDefault="00000000">
            <w:pPr>
              <w:widowControl w:val="0"/>
              <w:spacing w:before="60" w:after="60"/>
              <w:jc w:val="center"/>
              <w:rPr>
                <w:sz w:val="20"/>
                <w:szCs w:val="20"/>
              </w:rPr>
            </w:pPr>
            <w:r>
              <w:rPr>
                <w:sz w:val="20"/>
                <w:szCs w:val="20"/>
              </w:rPr>
              <w:t>9 994 811</w:t>
            </w:r>
          </w:p>
        </w:tc>
        <w:tc>
          <w:tcPr>
            <w:tcW w:w="1074" w:type="dxa"/>
            <w:noWrap/>
            <w:vAlign w:val="bottom"/>
          </w:tcPr>
          <w:p w:rsidR="00000000" w:rsidRDefault="00000000">
            <w:pPr>
              <w:widowControl w:val="0"/>
              <w:tabs>
                <w:tab w:val="decimal" w:pos="593"/>
              </w:tabs>
              <w:spacing w:before="60" w:after="60"/>
              <w:jc w:val="center"/>
              <w:rPr>
                <w:sz w:val="20"/>
                <w:szCs w:val="20"/>
              </w:rPr>
            </w:pPr>
            <w:r>
              <w:rPr>
                <w:sz w:val="20"/>
                <w:szCs w:val="20"/>
              </w:rPr>
              <w:t>28.6</w:t>
            </w:r>
          </w:p>
        </w:tc>
        <w:tc>
          <w:tcPr>
            <w:tcW w:w="1029" w:type="dxa"/>
            <w:noWrap/>
            <w:vAlign w:val="bottom"/>
          </w:tcPr>
          <w:p w:rsidR="00000000" w:rsidRDefault="00000000">
            <w:pPr>
              <w:widowControl w:val="0"/>
              <w:spacing w:before="60" w:after="60"/>
              <w:jc w:val="center"/>
              <w:rPr>
                <w:sz w:val="20"/>
                <w:szCs w:val="20"/>
              </w:rPr>
            </w:pPr>
            <w:r>
              <w:rPr>
                <w:sz w:val="20"/>
                <w:szCs w:val="20"/>
              </w:rPr>
              <w:t>1 477 347</w:t>
            </w:r>
          </w:p>
        </w:tc>
        <w:tc>
          <w:tcPr>
            <w:tcW w:w="1058" w:type="dxa"/>
            <w:noWrap/>
            <w:vAlign w:val="bottom"/>
          </w:tcPr>
          <w:p w:rsidR="00000000" w:rsidRDefault="00000000">
            <w:pPr>
              <w:widowControl w:val="0"/>
              <w:tabs>
                <w:tab w:val="decimal" w:pos="519"/>
              </w:tabs>
              <w:spacing w:before="60" w:after="60"/>
              <w:jc w:val="center"/>
              <w:rPr>
                <w:sz w:val="20"/>
                <w:szCs w:val="20"/>
              </w:rPr>
            </w:pPr>
            <w:r>
              <w:rPr>
                <w:sz w:val="20"/>
                <w:szCs w:val="20"/>
              </w:rPr>
              <w:t>6.0</w:t>
            </w:r>
          </w:p>
        </w:tc>
        <w:tc>
          <w:tcPr>
            <w:tcW w:w="1016" w:type="dxa"/>
            <w:noWrap/>
            <w:vAlign w:val="bottom"/>
          </w:tcPr>
          <w:p w:rsidR="00000000" w:rsidRDefault="00000000">
            <w:pPr>
              <w:widowControl w:val="0"/>
              <w:spacing w:before="60" w:after="60"/>
              <w:jc w:val="center"/>
              <w:rPr>
                <w:sz w:val="20"/>
                <w:szCs w:val="20"/>
              </w:rPr>
            </w:pPr>
            <w:r>
              <w:rPr>
                <w:sz w:val="20"/>
                <w:szCs w:val="20"/>
              </w:rPr>
              <w:t>4.1</w:t>
            </w:r>
          </w:p>
        </w:tc>
        <w:tc>
          <w:tcPr>
            <w:tcW w:w="1313" w:type="dxa"/>
            <w:noWrap/>
            <w:vAlign w:val="bottom"/>
          </w:tcPr>
          <w:p w:rsidR="00000000" w:rsidRDefault="00000000">
            <w:pPr>
              <w:widowControl w:val="0"/>
              <w:spacing w:before="60" w:after="60"/>
              <w:jc w:val="center"/>
              <w:rPr>
                <w:sz w:val="20"/>
                <w:szCs w:val="20"/>
              </w:rPr>
            </w:pPr>
            <w:r>
              <w:rPr>
                <w:sz w:val="20"/>
                <w:szCs w:val="20"/>
              </w:rPr>
              <w:t>14.8</w:t>
            </w:r>
          </w:p>
        </w:tc>
      </w:tr>
      <w:tr w:rsidR="00000000">
        <w:trPr>
          <w:jc w:val="center"/>
        </w:trPr>
        <w:tc>
          <w:tcPr>
            <w:tcW w:w="618" w:type="dxa"/>
            <w:noWrap/>
            <w:vAlign w:val="bottom"/>
          </w:tcPr>
          <w:p w:rsidR="00000000" w:rsidRDefault="00000000">
            <w:pPr>
              <w:widowControl w:val="0"/>
              <w:spacing w:before="60" w:after="60"/>
              <w:rPr>
                <w:sz w:val="20"/>
                <w:szCs w:val="20"/>
              </w:rPr>
            </w:pPr>
            <w:r>
              <w:rPr>
                <w:sz w:val="20"/>
                <w:szCs w:val="20"/>
              </w:rPr>
              <w:t>2004</w:t>
            </w:r>
          </w:p>
        </w:tc>
        <w:tc>
          <w:tcPr>
            <w:tcW w:w="1213" w:type="dxa"/>
            <w:noWrap/>
            <w:vAlign w:val="bottom"/>
          </w:tcPr>
          <w:p w:rsidR="00000000" w:rsidRDefault="00000000">
            <w:pPr>
              <w:widowControl w:val="0"/>
              <w:spacing w:before="60" w:after="60"/>
              <w:jc w:val="center"/>
              <w:rPr>
                <w:sz w:val="20"/>
                <w:szCs w:val="20"/>
              </w:rPr>
            </w:pPr>
            <w:r>
              <w:rPr>
                <w:sz w:val="20"/>
                <w:szCs w:val="20"/>
              </w:rPr>
              <w:t>41 521 883</w:t>
            </w:r>
          </w:p>
        </w:tc>
        <w:tc>
          <w:tcPr>
            <w:tcW w:w="1057" w:type="dxa"/>
            <w:noWrap/>
            <w:vAlign w:val="bottom"/>
          </w:tcPr>
          <w:p w:rsidR="00000000" w:rsidRDefault="00000000">
            <w:pPr>
              <w:widowControl w:val="0"/>
              <w:tabs>
                <w:tab w:val="decimal" w:pos="519"/>
              </w:tabs>
              <w:spacing w:before="60" w:after="60"/>
              <w:jc w:val="center"/>
              <w:rPr>
                <w:sz w:val="20"/>
                <w:szCs w:val="20"/>
              </w:rPr>
            </w:pPr>
            <w:r>
              <w:rPr>
                <w:sz w:val="20"/>
                <w:szCs w:val="20"/>
              </w:rPr>
              <w:t>16.4</w:t>
            </w:r>
          </w:p>
        </w:tc>
        <w:tc>
          <w:tcPr>
            <w:tcW w:w="1051" w:type="dxa"/>
            <w:noWrap/>
            <w:vAlign w:val="bottom"/>
          </w:tcPr>
          <w:p w:rsidR="00000000" w:rsidRDefault="00000000">
            <w:pPr>
              <w:widowControl w:val="0"/>
              <w:spacing w:before="60" w:after="60"/>
              <w:jc w:val="center"/>
              <w:rPr>
                <w:sz w:val="20"/>
                <w:szCs w:val="20"/>
              </w:rPr>
            </w:pPr>
            <w:r>
              <w:rPr>
                <w:sz w:val="20"/>
                <w:szCs w:val="20"/>
              </w:rPr>
              <w:t>9 568 415</w:t>
            </w:r>
          </w:p>
        </w:tc>
        <w:tc>
          <w:tcPr>
            <w:tcW w:w="1074" w:type="dxa"/>
            <w:noWrap/>
            <w:vAlign w:val="bottom"/>
          </w:tcPr>
          <w:p w:rsidR="00000000" w:rsidRDefault="00000000">
            <w:pPr>
              <w:widowControl w:val="0"/>
              <w:tabs>
                <w:tab w:val="decimal" w:pos="593"/>
              </w:tabs>
              <w:spacing w:before="60" w:after="60"/>
              <w:jc w:val="center"/>
              <w:rPr>
                <w:sz w:val="20"/>
                <w:szCs w:val="20"/>
              </w:rPr>
            </w:pPr>
            <w:r>
              <w:rPr>
                <w:sz w:val="20"/>
                <w:szCs w:val="20"/>
              </w:rPr>
              <w:t>-4.3</w:t>
            </w:r>
          </w:p>
        </w:tc>
        <w:tc>
          <w:tcPr>
            <w:tcW w:w="1029" w:type="dxa"/>
            <w:noWrap/>
            <w:vAlign w:val="bottom"/>
          </w:tcPr>
          <w:p w:rsidR="00000000" w:rsidRDefault="00000000">
            <w:pPr>
              <w:widowControl w:val="0"/>
              <w:spacing w:before="60" w:after="60"/>
              <w:jc w:val="center"/>
              <w:rPr>
                <w:sz w:val="20"/>
                <w:szCs w:val="20"/>
              </w:rPr>
            </w:pPr>
            <w:r>
              <w:rPr>
                <w:sz w:val="20"/>
                <w:szCs w:val="20"/>
              </w:rPr>
              <w:t>1 625 449</w:t>
            </w:r>
          </w:p>
        </w:tc>
        <w:tc>
          <w:tcPr>
            <w:tcW w:w="1058" w:type="dxa"/>
            <w:noWrap/>
            <w:vAlign w:val="bottom"/>
          </w:tcPr>
          <w:p w:rsidR="00000000" w:rsidRDefault="00000000">
            <w:pPr>
              <w:widowControl w:val="0"/>
              <w:tabs>
                <w:tab w:val="decimal" w:pos="519"/>
              </w:tabs>
              <w:spacing w:before="60" w:after="60"/>
              <w:jc w:val="center"/>
              <w:rPr>
                <w:sz w:val="20"/>
                <w:szCs w:val="20"/>
              </w:rPr>
            </w:pPr>
            <w:r>
              <w:rPr>
                <w:sz w:val="20"/>
                <w:szCs w:val="20"/>
              </w:rPr>
              <w:t>10.0</w:t>
            </w:r>
          </w:p>
        </w:tc>
        <w:tc>
          <w:tcPr>
            <w:tcW w:w="1016" w:type="dxa"/>
            <w:noWrap/>
            <w:vAlign w:val="bottom"/>
          </w:tcPr>
          <w:p w:rsidR="00000000" w:rsidRDefault="00000000">
            <w:pPr>
              <w:widowControl w:val="0"/>
              <w:spacing w:before="60" w:after="60"/>
              <w:jc w:val="center"/>
              <w:rPr>
                <w:sz w:val="20"/>
                <w:szCs w:val="20"/>
              </w:rPr>
            </w:pPr>
            <w:r>
              <w:rPr>
                <w:sz w:val="20"/>
                <w:szCs w:val="20"/>
              </w:rPr>
              <w:t>3.9</w:t>
            </w:r>
          </w:p>
        </w:tc>
        <w:tc>
          <w:tcPr>
            <w:tcW w:w="1313" w:type="dxa"/>
            <w:noWrap/>
            <w:vAlign w:val="bottom"/>
          </w:tcPr>
          <w:p w:rsidR="00000000" w:rsidRDefault="00000000">
            <w:pPr>
              <w:widowControl w:val="0"/>
              <w:spacing w:before="60" w:after="60"/>
              <w:jc w:val="center"/>
              <w:rPr>
                <w:sz w:val="20"/>
                <w:szCs w:val="20"/>
              </w:rPr>
            </w:pPr>
            <w:r>
              <w:rPr>
                <w:sz w:val="20"/>
                <w:szCs w:val="20"/>
              </w:rPr>
              <w:t>17.0</w:t>
            </w:r>
          </w:p>
        </w:tc>
      </w:tr>
      <w:tr w:rsidR="00000000">
        <w:trPr>
          <w:jc w:val="center"/>
        </w:trPr>
        <w:tc>
          <w:tcPr>
            <w:tcW w:w="618" w:type="dxa"/>
            <w:tcBorders>
              <w:bottom w:val="single" w:sz="4" w:space="0" w:color="auto"/>
            </w:tcBorders>
            <w:noWrap/>
            <w:vAlign w:val="bottom"/>
          </w:tcPr>
          <w:p w:rsidR="00000000" w:rsidRDefault="00000000">
            <w:pPr>
              <w:pStyle w:val="FootnoteText"/>
              <w:widowControl w:val="0"/>
              <w:spacing w:before="60" w:after="60"/>
            </w:pPr>
            <w:r>
              <w:t>2005</w:t>
            </w:r>
          </w:p>
        </w:tc>
        <w:tc>
          <w:tcPr>
            <w:tcW w:w="1213" w:type="dxa"/>
            <w:tcBorders>
              <w:bottom w:val="single" w:sz="4" w:space="0" w:color="auto"/>
            </w:tcBorders>
            <w:noWrap/>
            <w:vAlign w:val="bottom"/>
          </w:tcPr>
          <w:p w:rsidR="00000000" w:rsidRDefault="00000000">
            <w:pPr>
              <w:widowControl w:val="0"/>
              <w:spacing w:before="60" w:after="60"/>
              <w:jc w:val="center"/>
              <w:rPr>
                <w:sz w:val="20"/>
                <w:szCs w:val="20"/>
              </w:rPr>
            </w:pPr>
            <w:r>
              <w:rPr>
                <w:sz w:val="20"/>
                <w:szCs w:val="20"/>
              </w:rPr>
              <w:t>46 134 612</w:t>
            </w:r>
          </w:p>
        </w:tc>
        <w:tc>
          <w:tcPr>
            <w:tcW w:w="1057" w:type="dxa"/>
            <w:tcBorders>
              <w:bottom w:val="single" w:sz="4" w:space="0" w:color="auto"/>
            </w:tcBorders>
            <w:noWrap/>
            <w:vAlign w:val="bottom"/>
          </w:tcPr>
          <w:p w:rsidR="00000000" w:rsidRDefault="00000000">
            <w:pPr>
              <w:widowControl w:val="0"/>
              <w:tabs>
                <w:tab w:val="decimal" w:pos="519"/>
              </w:tabs>
              <w:spacing w:before="60" w:after="60"/>
              <w:jc w:val="center"/>
              <w:rPr>
                <w:sz w:val="20"/>
                <w:szCs w:val="20"/>
              </w:rPr>
            </w:pPr>
            <w:r>
              <w:rPr>
                <w:sz w:val="20"/>
                <w:szCs w:val="20"/>
              </w:rPr>
              <w:t>11.1</w:t>
            </w:r>
          </w:p>
        </w:tc>
        <w:tc>
          <w:tcPr>
            <w:tcW w:w="1051" w:type="dxa"/>
            <w:tcBorders>
              <w:bottom w:val="single" w:sz="4" w:space="0" w:color="auto"/>
            </w:tcBorders>
            <w:noWrap/>
            <w:vAlign w:val="bottom"/>
          </w:tcPr>
          <w:p w:rsidR="00000000" w:rsidRDefault="00000000">
            <w:pPr>
              <w:widowControl w:val="0"/>
              <w:spacing w:before="60" w:after="60"/>
              <w:jc w:val="center"/>
              <w:rPr>
                <w:sz w:val="20"/>
                <w:szCs w:val="20"/>
              </w:rPr>
            </w:pPr>
            <w:r>
              <w:rPr>
                <w:sz w:val="20"/>
                <w:szCs w:val="20"/>
              </w:rPr>
              <w:t>10 911 323</w:t>
            </w:r>
          </w:p>
        </w:tc>
        <w:tc>
          <w:tcPr>
            <w:tcW w:w="1074" w:type="dxa"/>
            <w:tcBorders>
              <w:bottom w:val="single" w:sz="4" w:space="0" w:color="auto"/>
            </w:tcBorders>
            <w:noWrap/>
            <w:vAlign w:val="bottom"/>
          </w:tcPr>
          <w:p w:rsidR="00000000" w:rsidRDefault="00000000">
            <w:pPr>
              <w:widowControl w:val="0"/>
              <w:tabs>
                <w:tab w:val="decimal" w:pos="593"/>
              </w:tabs>
              <w:spacing w:before="60" w:after="60"/>
              <w:jc w:val="center"/>
              <w:rPr>
                <w:sz w:val="20"/>
                <w:szCs w:val="20"/>
              </w:rPr>
            </w:pPr>
            <w:r>
              <w:rPr>
                <w:sz w:val="20"/>
                <w:szCs w:val="20"/>
              </w:rPr>
              <w:t>14.0</w:t>
            </w:r>
          </w:p>
        </w:tc>
        <w:tc>
          <w:tcPr>
            <w:tcW w:w="1029" w:type="dxa"/>
            <w:tcBorders>
              <w:bottom w:val="single" w:sz="4" w:space="0" w:color="auto"/>
            </w:tcBorders>
            <w:noWrap/>
            <w:vAlign w:val="bottom"/>
          </w:tcPr>
          <w:p w:rsidR="00000000" w:rsidRDefault="00000000">
            <w:pPr>
              <w:widowControl w:val="0"/>
              <w:spacing w:before="60" w:after="60"/>
              <w:jc w:val="center"/>
              <w:rPr>
                <w:sz w:val="20"/>
                <w:szCs w:val="20"/>
              </w:rPr>
            </w:pPr>
            <w:r>
              <w:rPr>
                <w:sz w:val="20"/>
                <w:szCs w:val="20"/>
              </w:rPr>
              <w:t>1 964 120</w:t>
            </w:r>
          </w:p>
        </w:tc>
        <w:tc>
          <w:tcPr>
            <w:tcW w:w="1058" w:type="dxa"/>
            <w:tcBorders>
              <w:bottom w:val="single" w:sz="4" w:space="0" w:color="auto"/>
            </w:tcBorders>
            <w:noWrap/>
            <w:vAlign w:val="bottom"/>
          </w:tcPr>
          <w:p w:rsidR="00000000" w:rsidRDefault="00000000">
            <w:pPr>
              <w:widowControl w:val="0"/>
              <w:tabs>
                <w:tab w:val="decimal" w:pos="519"/>
              </w:tabs>
              <w:spacing w:before="60" w:after="60"/>
              <w:jc w:val="center"/>
              <w:rPr>
                <w:sz w:val="20"/>
                <w:szCs w:val="20"/>
              </w:rPr>
            </w:pPr>
            <w:r>
              <w:rPr>
                <w:sz w:val="20"/>
                <w:szCs w:val="20"/>
              </w:rPr>
              <w:t>20.8</w:t>
            </w:r>
          </w:p>
        </w:tc>
        <w:tc>
          <w:tcPr>
            <w:tcW w:w="1016" w:type="dxa"/>
            <w:tcBorders>
              <w:bottom w:val="single" w:sz="4" w:space="0" w:color="auto"/>
            </w:tcBorders>
            <w:noWrap/>
            <w:vAlign w:val="bottom"/>
          </w:tcPr>
          <w:p w:rsidR="00000000" w:rsidRDefault="00000000">
            <w:pPr>
              <w:widowControl w:val="0"/>
              <w:spacing w:before="60" w:after="60"/>
              <w:jc w:val="center"/>
              <w:rPr>
                <w:sz w:val="20"/>
                <w:szCs w:val="20"/>
              </w:rPr>
            </w:pPr>
            <w:r>
              <w:rPr>
                <w:sz w:val="20"/>
                <w:szCs w:val="20"/>
              </w:rPr>
              <w:t>4.3</w:t>
            </w:r>
          </w:p>
        </w:tc>
        <w:tc>
          <w:tcPr>
            <w:tcW w:w="1313" w:type="dxa"/>
            <w:tcBorders>
              <w:bottom w:val="single" w:sz="4" w:space="0" w:color="auto"/>
            </w:tcBorders>
            <w:noWrap/>
            <w:vAlign w:val="bottom"/>
          </w:tcPr>
          <w:p w:rsidR="00000000" w:rsidRDefault="00000000">
            <w:pPr>
              <w:widowControl w:val="0"/>
              <w:spacing w:before="60" w:after="60"/>
              <w:jc w:val="center"/>
              <w:rPr>
                <w:sz w:val="20"/>
                <w:szCs w:val="20"/>
              </w:rPr>
            </w:pPr>
            <w:r>
              <w:rPr>
                <w:sz w:val="20"/>
                <w:szCs w:val="20"/>
              </w:rPr>
              <w:t>18.0</w:t>
            </w:r>
          </w:p>
        </w:tc>
      </w:tr>
    </w:tbl>
    <w:p w:rsidR="00000000" w:rsidRDefault="00000000">
      <w:pPr>
        <w:spacing w:before="80" w:after="60"/>
        <w:ind w:firstLine="567"/>
        <w:rPr>
          <w:color w:val="000000"/>
          <w:sz w:val="20"/>
          <w:szCs w:val="20"/>
        </w:rPr>
      </w:pPr>
      <w:r>
        <w:rPr>
          <w:bCs/>
          <w:i/>
          <w:iCs/>
          <w:color w:val="000000"/>
          <w:sz w:val="20"/>
          <w:szCs w:val="20"/>
        </w:rPr>
        <w:t xml:space="preserve">Comment: </w:t>
      </w:r>
      <w:r>
        <w:rPr>
          <w:color w:val="000000"/>
          <w:sz w:val="20"/>
          <w:szCs w:val="20"/>
        </w:rPr>
        <w:t>The percentages shown in the columns next to amounts in millions of guaraníes correspond to the budget growth percentage compared with the previous year.</w:t>
      </w:r>
    </w:p>
    <w:p w:rsidR="00000000" w:rsidRDefault="00000000">
      <w:pPr>
        <w:pStyle w:val="xl46"/>
        <w:spacing w:before="0" w:beforeAutospacing="0" w:after="0" w:afterAutospacing="0"/>
        <w:ind w:firstLine="567"/>
        <w:jc w:val="left"/>
        <w:rPr>
          <w:rFonts w:ascii="Times New Roman" w:eastAsia="Times New Roman" w:hAnsi="Times New Roman" w:cs="Times New Roman"/>
          <w:b w:val="0"/>
          <w:bCs w:val="0"/>
          <w:sz w:val="20"/>
          <w:szCs w:val="20"/>
          <w:lang w:val="en-GB" w:eastAsia="en-US"/>
        </w:rPr>
      </w:pPr>
      <w:r>
        <w:rPr>
          <w:rFonts w:ascii="Times New Roman" w:hAnsi="Times New Roman" w:cs="Times New Roman"/>
          <w:b w:val="0"/>
          <w:bCs w:val="0"/>
          <w:i/>
          <w:iCs/>
          <w:sz w:val="20"/>
          <w:szCs w:val="16"/>
        </w:rPr>
        <w:t xml:space="preserve">Source: </w:t>
      </w:r>
      <w:r>
        <w:rPr>
          <w:rFonts w:ascii="Times New Roman" w:hAnsi="Times New Roman" w:cs="Times New Roman"/>
          <w:b w:val="0"/>
          <w:bCs w:val="0"/>
          <w:sz w:val="20"/>
          <w:szCs w:val="16"/>
        </w:rPr>
        <w:t>SICO. Ministry of Finance; *Central Bank of Paraguay.</w:t>
      </w:r>
    </w:p>
    <w:p w:rsidR="00000000" w:rsidRDefault="00000000">
      <w:pPr>
        <w:keepNext/>
        <w:spacing w:after="240"/>
      </w:pPr>
      <w:r>
        <w:rPr>
          <w:b/>
        </w:rPr>
        <w:t>3.</w:t>
      </w:r>
      <w:r>
        <w:rPr>
          <w:b/>
        </w:rPr>
        <w:tab/>
        <w:t>Religion</w:t>
      </w:r>
    </w:p>
    <w:p w:rsidR="00000000" w:rsidRDefault="00000000">
      <w:pPr>
        <w:spacing w:after="240"/>
      </w:pPr>
      <w:r>
        <w:t>46.</w:t>
      </w:r>
      <w:r>
        <w:tab/>
        <w:t>The Constitution of Paraguay establishes in its Article 24 that “relations between the State and the Catholic Church are based on independence, cooperation and autonomy.” Likewise, protection of freedom of thought, religion and worship are enshrined at the highest level of national legislation . Paraguay has not recorded any serious offences denoting hatred or violence among the various religious denominations that coexist in the country.</w:t>
      </w:r>
    </w:p>
    <w:p w:rsidR="00000000" w:rsidRDefault="00000000">
      <w:pPr>
        <w:spacing w:after="240"/>
      </w:pPr>
      <w:r>
        <w:t>47.</w:t>
      </w:r>
      <w:r>
        <w:tab/>
        <w:t>According to the 2002 national census, 89.6 per cent of the population is Roman Catholic, 6.2 per cent Evangelical Christian, 1.1 per cent of other Christian religions, 0.6 per cent indigenous religions, 0.3 per cent other non-Christian religions; 1.1 per cent of the respondents claimed to have no religious preference and 1 per cent released no information regarding their religious preference.</w:t>
      </w:r>
    </w:p>
    <w:p w:rsidR="00000000" w:rsidRDefault="00000000">
      <w:pPr>
        <w:spacing w:after="240"/>
      </w:pPr>
      <w:r>
        <w:t>48.</w:t>
      </w:r>
      <w:r>
        <w:tab/>
        <w:t>The various religious denominations include active Roman Catholic communities, Evangelical Christians, Protestants, Jews (Orthodox, Conservative and Reformist), Church of Jesus Christ of Latter Day Saints (Mormons) and Baha’i communities. There is also an Islamic community concentrated in the Alto Paraná department, an area that is host to a large number of Middle-Eastern immigrants, particularly from Lebanon. There is also a large Mennonite community, concentrated mainly in the western department of Boquerón.</w:t>
      </w:r>
    </w:p>
    <w:p w:rsidR="00000000" w:rsidRDefault="00000000">
      <w:pPr>
        <w:spacing w:after="240"/>
      </w:pPr>
      <w:r>
        <w:rPr>
          <w:b/>
        </w:rPr>
        <w:t>4.</w:t>
      </w:r>
      <w:r>
        <w:rPr>
          <w:b/>
        </w:rPr>
        <w:tab/>
        <w:t>Mother tongue</w:t>
      </w:r>
    </w:p>
    <w:p w:rsidR="00000000" w:rsidRDefault="00000000">
      <w:pPr>
        <w:spacing w:after="240"/>
      </w:pPr>
      <w:r>
        <w:t>49.</w:t>
      </w:r>
      <w:r>
        <w:tab/>
        <w:t>Paraguay’s official languages are Spanish and Guaraní, with broad dissemination of both languages throughout the national territory, to such an extent that the proportion of people in urban areas speaking only Guaraní is 31.6 per cent, while 36.8 per cent speak Spanish and Guaraní, and 29.4 per cent speak only Spanish, and 2 per cent speak another language. In rural areas 78.6 per cent speak only Guaraní, 11.4 per cent Spanish and Guaraní, and 4.5 per cent only Spanish, while 5.3 per cent speak another language. However, generally speaking, most of the national population think of themselves as bilingual. As can be seen, there is a marked difference in preference for one or the other language between urban and rural areas, Guaraní being the language most spoken in the latter. Also, Spanish continues to be the main language of instruction and officialdom, although considerable progress has been made in the preservation, dissemination and use of Guaraní.</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GB" w:eastAsia="en-US"/>
        </w:rPr>
      </w:pPr>
      <w:r>
        <w:rPr>
          <w:rFonts w:ascii="Times New Roman" w:eastAsia="Times New Roman" w:hAnsi="Times New Roman" w:cs="Times New Roman"/>
          <w:lang w:val="en-GB" w:eastAsia="en-US"/>
        </w:rPr>
        <w:t>II.  SYNOPSIS OF POLITICAL AND SOCIAL DEVELOPMENTS</w:t>
      </w:r>
      <w:r>
        <w:rPr>
          <w:rFonts w:ascii="Times New Roman" w:eastAsia="Times New Roman" w:hAnsi="Times New Roman" w:cs="Times New Roman"/>
          <w:lang w:val="en-GB" w:eastAsia="en-US"/>
        </w:rPr>
        <w:br/>
        <w:t>IN PARAGUAY</w:t>
      </w:r>
    </w:p>
    <w:p w:rsidR="00000000" w:rsidRDefault="00000000">
      <w:pPr>
        <w:spacing w:after="240"/>
        <w:jc w:val="center"/>
        <w:rPr>
          <w:b/>
          <w:bCs/>
        </w:rPr>
      </w:pPr>
      <w:r>
        <w:rPr>
          <w:b/>
          <w:bCs/>
        </w:rPr>
        <w:t>A.  Developments in the political situation</w:t>
      </w:r>
      <w:r>
        <w:rPr>
          <w:rStyle w:val="FootnoteReference"/>
          <w:b/>
          <w:bCs/>
        </w:rPr>
        <w:footnoteReference w:id="6"/>
      </w:r>
    </w:p>
    <w:p w:rsidR="00000000" w:rsidRDefault="00000000">
      <w:pPr>
        <w:spacing w:after="240"/>
      </w:pPr>
      <w:r>
        <w:t>50.</w:t>
      </w:r>
      <w:r>
        <w:tab/>
        <w:t xml:space="preserve">Following a number of years of political instability, during which the Vice-President was assassinated in 1999, the resignation of the then current President and a four-year interim presidency, a new administration came to power in August 2003 with a firmly-based legitimacy from the outset; it has maintained a majority up to the present time. </w:t>
      </w:r>
    </w:p>
    <w:p w:rsidR="00000000" w:rsidRDefault="00000000">
      <w:pPr>
        <w:spacing w:after="240"/>
      </w:pPr>
      <w:r>
        <w:t>51.</w:t>
      </w:r>
      <w:r>
        <w:tab/>
        <w:t xml:space="preserve">Nicanor Duarte Frutos is the first President to have been elected without any question arising as to his legitimacy. Likewise, for the first time the President was able to choose his Vice-President instead of having to accept a domestic rival from within the Colorado party, which has been in power for a long time. This combination has resulted in an Executive with better relations, especially with Congress; this context is making for improved efficiency in the public administration. </w:t>
      </w:r>
    </w:p>
    <w:p w:rsidR="00000000" w:rsidRDefault="00000000">
      <w:pPr>
        <w:spacing w:after="240"/>
      </w:pPr>
      <w:r>
        <w:t>52.</w:t>
      </w:r>
      <w:r>
        <w:tab/>
        <w:t xml:space="preserve">These patterns of conduct have been well received by the population and also by the opposition parties. In addition, the 2003 elections changed the distribution of power. For the first time the opposition obtained a clear majority in the Senate, and the Colorado party no longer has an absolute majority. </w:t>
      </w:r>
    </w:p>
    <w:p w:rsidR="00000000" w:rsidRDefault="00000000">
      <w:pPr>
        <w:spacing w:after="240"/>
      </w:pPr>
      <w:r>
        <w:t>53.</w:t>
      </w:r>
      <w:r>
        <w:tab/>
        <w:t xml:space="preserve">President Duarte Frutos also formed a working alliance with the opposition which led to the signature, at the beginning of October 2003, of a Political Agreement in which all the parties represented in Parliament agreed to approve six important laws concerning a fiscally responsible budget, reform of the Tax Code and the public pensions system, a modern Customs Code, reforms in the financial sector (including the public banks) and a possible restructuring of public enterprises and the central administration. The opposition committed itself to cooperate in the adoption of those laws, which were widely agreed to be necessary to restore fiscal viability and revive the economy. </w:t>
      </w:r>
    </w:p>
    <w:p w:rsidR="00000000" w:rsidRDefault="00000000">
      <w:pPr>
        <w:spacing w:after="240"/>
      </w:pPr>
      <w:r>
        <w:t>54.</w:t>
      </w:r>
      <w:r>
        <w:tab/>
        <w:t xml:space="preserve">By mid-November 2003 three of the nine members of the Court had resigned, and all the parties with parliamentary representation made submissions calling for the political trial of three others. The outcome of that proceeding was the replacement of six of the nine members of the highest body in the judicial system. The changes effected in the Supreme Court of Justice enjoyed widespread approval among the population; they were considered a necessary precondition for the restoration of legal safety and a prerequisite for the resumption of investment and the stamping out of corruption. </w:t>
      </w:r>
    </w:p>
    <w:p w:rsidR="00000000" w:rsidRDefault="00000000">
      <w:pPr>
        <w:spacing w:after="240"/>
      </w:pPr>
      <w:r>
        <w:t>55.</w:t>
      </w:r>
      <w:r>
        <w:tab/>
        <w:t xml:space="preserve">During the last five years civil society has become increasingly active, pressing for a better public administration and governance. The Press in particular has been highly critical, exposing corruption in the government and the judiciary. </w:t>
      </w:r>
    </w:p>
    <w:p w:rsidR="00000000" w:rsidRDefault="00000000">
      <w:pPr>
        <w:spacing w:after="240"/>
      </w:pPr>
      <w:r>
        <w:t>56.</w:t>
      </w:r>
      <w:r>
        <w:tab/>
        <w:t xml:space="preserve">The economic results of the last decade have been highly discouraging and have affected the credibility of the government and the political institutions generally. As a result there is a growing desire among certain sectors of the population for a return to an authoritarian government, in which corruption was seen as less widespread and poverty less visible, since the great majority of the population were still living in rural areas. However, during the last five years Paraguay has been emerging from a long period of economic stagnation which left its population impoverished. </w:t>
      </w:r>
    </w:p>
    <w:p w:rsidR="00000000" w:rsidRDefault="00000000">
      <w:pPr>
        <w:spacing w:after="240"/>
      </w:pPr>
      <w:r>
        <w:t>57.</w:t>
      </w:r>
      <w:r>
        <w:tab/>
        <w:t xml:space="preserve">In 2001, the poverty level was 34 per cent; according to the data for 2005 the proportion is estimated at 39.2 per cent. The fall in income per head is due to a considerable degree to the economic difficulties of the Southern Cone, which gave rise to significant devaluations in all the countries of the region. However, the increase in poverty in Paraguay is also a consequence of political instability and the inefficiencies of a highly informal system. With these considerations in mind it can be appreciated that during the present period of government there has been a major decline in the strength of the public finances, and since the assumption of power of the new economic team, the government has managed to keep up to date with the payment of wages and pensions and debt service. With a platform of struggle against corruption, and with better economic management laying emphasis on social and fiscal responsibility, it has been possible significantly to stabilize the political situation. </w:t>
      </w:r>
    </w:p>
    <w:p w:rsidR="00000000" w:rsidRDefault="00000000">
      <w:pPr>
        <w:spacing w:after="240"/>
      </w:pPr>
      <w:r>
        <w:t>58.</w:t>
      </w:r>
      <w:r>
        <w:tab/>
        <w:t xml:space="preserve">The development strategy of the new Administration is directed to the following ends:  (i) to restore trust in public institutions by an unremitting campaign against corruption and by the modernization of the public administration; (ii) sustained growth, moving from an economic model based on “triangular” trade and public employment to one focussed on agro-industry and the diversification of exports; and (iii) an increase in human capital through greater investment in health and education and policies which increase equity and access to those services. </w:t>
      </w:r>
    </w:p>
    <w:p w:rsidR="00000000" w:rsidRDefault="00000000">
      <w:pPr>
        <w:spacing w:after="240"/>
      </w:pPr>
      <w:r>
        <w:t>59.</w:t>
      </w:r>
      <w:r>
        <w:tab/>
        <w:t xml:space="preserve">Furthermore, although the Opposition controls one of the Chambers of Congress, all the parties agree that the economy has reached a critical point and that fundamental changes are necessary. The President of the Republic has taken advantage of this situation to establish an agreement with all the political parties in order to approve, as a matter of priority, a package of basic economic reforms. </w:t>
      </w:r>
    </w:p>
    <w:p w:rsidR="00000000" w:rsidRDefault="00000000">
      <w:pPr>
        <w:spacing w:after="240"/>
      </w:pPr>
      <w:r>
        <w:t>60.</w:t>
      </w:r>
      <w:r>
        <w:tab/>
        <w:t xml:space="preserve">The reforms include a fundamental reform of the taxation system, rationalization of the government pension scheme and reform of the financial sector to strengthen the banking system. </w:t>
      </w:r>
    </w:p>
    <w:p w:rsidR="00000000" w:rsidRDefault="00000000">
      <w:pPr>
        <w:spacing w:after="240"/>
      </w:pPr>
      <w:r>
        <w:t>61.</w:t>
      </w:r>
      <w:r>
        <w:tab/>
        <w:t xml:space="preserve">On the basis of these reforms the Administration approached domestic and multilateral creditors seeking support. Historic agreements were reached with the domestic bondholders for the reprogramming of the stock of Treasury bonds and with the International Monetary Fund concerning a standby agreement – the first in 46 years – which the Executive Board of the Fund has considered. </w:t>
      </w:r>
    </w:p>
    <w:p w:rsidR="00000000" w:rsidRDefault="00000000">
      <w:pPr>
        <w:spacing w:after="240"/>
        <w:jc w:val="center"/>
        <w:rPr>
          <w:b/>
          <w:bCs/>
        </w:rPr>
      </w:pPr>
      <w:r>
        <w:rPr>
          <w:b/>
          <w:bCs/>
        </w:rPr>
        <w:t>B.  Governance and institutional weaknesses</w:t>
      </w:r>
      <w:r>
        <w:rPr>
          <w:rStyle w:val="FootnoteReference"/>
          <w:b/>
          <w:bCs/>
        </w:rPr>
        <w:footnoteReference w:id="7"/>
      </w:r>
    </w:p>
    <w:p w:rsidR="00000000" w:rsidRDefault="00000000">
      <w:pPr>
        <w:spacing w:after="240"/>
      </w:pPr>
      <w:r>
        <w:t>62.</w:t>
      </w:r>
      <w:r>
        <w:tab/>
        <w:t xml:space="preserve">The first steps have been taken to attack the extensive culture of corruption in the public administration, smuggling, tax evasion and the formalization of the economy. In 1999 an Anti-corruption Commission was established with the technical support of the World Bank Institute (WBI). The Commission is made up of representatives of government and civil society in equal numbers. On the basis of a public opinion survey conducted by the WBI, the Commission decided to concentrate on three areas: Customs, the judiciary and public procurement, and during 2000 formulated a programme of institutional reform for each of those sectors. Following a period of public consultation it has since been actively promoting the adoption of these reforms. The principal achievement of the Commission so far has been the promotion of the approval of a new Procurement Act in the National Congress and the development of awareness within the government and the population of the feasibility of concrete steps to reduce institutional opportunities for corruption. Thus the Commission, which is now known as the National Integrity Council, has developed into an important agent for change, monitoring and pressing for improved public practices and policies to reduce corruption. </w:t>
      </w:r>
    </w:p>
    <w:p w:rsidR="00000000" w:rsidRDefault="00000000">
      <w:pPr>
        <w:spacing w:after="240"/>
      </w:pPr>
      <w:r>
        <w:t>63.</w:t>
      </w:r>
      <w:r>
        <w:tab/>
        <w:t xml:space="preserve">Within the central administration the personnel management system is at an initial stage and recently acquired an organizational chart showing all public employees. A task of much greater magnitude is that of professionalizing the civil service, which will include the establishment of competitive entrance examinations, career development and training. </w:t>
      </w:r>
    </w:p>
    <w:p w:rsidR="00000000" w:rsidRDefault="00000000">
      <w:pPr>
        <w:spacing w:after="240"/>
      </w:pPr>
      <w:r>
        <w:t>64.</w:t>
      </w:r>
      <w:r>
        <w:tab/>
        <w:t xml:space="preserve">Another obstacle to governance is the emergence of a horde of special interest groups which have successfully exerted pressure on the government and have in many cases contributed to the breakdown of law and order. One example consists of groups of “landless peasants” who invade rural estates demanding land. The government responds by purchasing the land, but the peasants often abandon it after felling the trees. Similarly, groups of peasants block the roads demanding free seeds or the remission of debts – a long-standing practice which has created a poor climate for credit and is partly responsible for the lack of private credit for small-scale farmers. </w:t>
      </w:r>
    </w:p>
    <w:p w:rsidR="00000000" w:rsidRDefault="00000000">
      <w:pPr>
        <w:spacing w:after="240"/>
      </w:pPr>
      <w:r>
        <w:t>65.</w:t>
      </w:r>
      <w:r>
        <w:tab/>
        <w:t xml:space="preserve">Above all, the decline of the rule of law is perceived by many observers, and by the general public, as the greatest obstacle to the economic development of Paraguay. Civil procedures for the enforcement of contracts and private property rights are slow. According to a recent report by the United Nations Development Programme (UNDP 2003) one-third of the National Police is made up of untrained conscripts; subaltern officials must purchase their own weapons, and the police services have an orientation more along the lines of military command and control than on the duty of providing physical security to the community. As a result, and together with the economic stagnation of the last five years, violent crime and lawlessness have increased. In the public eye the government is becoming steadily less capable of providing its citizens with the most basic of public services – physical and legal security. </w:t>
      </w:r>
    </w:p>
    <w:p w:rsidR="00000000" w:rsidRDefault="00000000">
      <w:pPr>
        <w:spacing w:after="240"/>
        <w:jc w:val="center"/>
        <w:rPr>
          <w:b/>
          <w:bCs/>
        </w:rPr>
      </w:pPr>
      <w:r>
        <w:rPr>
          <w:b/>
          <w:bCs/>
        </w:rPr>
        <w:t>C.  Economic performance</w:t>
      </w:r>
      <w:r>
        <w:rPr>
          <w:rStyle w:val="FootnoteReference"/>
          <w:b/>
          <w:bCs/>
        </w:rPr>
        <w:footnoteReference w:id="8"/>
      </w:r>
    </w:p>
    <w:p w:rsidR="00000000" w:rsidRDefault="00000000">
      <w:pPr>
        <w:spacing w:after="240"/>
      </w:pPr>
      <w:r>
        <w:t>66.</w:t>
      </w:r>
      <w:r>
        <w:tab/>
        <w:t xml:space="preserve">Paraguay is a small, open economy, heavily dependent on basic agricultural commodities and conditions in the region, particular those prevailing in her two big neighbour countries, Argentina and Brazil. As a result the Paraguayan economy is vulnerable to factors over which it has little control, such as international prices of agricultural commodities and political and economic events in neighbouring countries. Thus during the years following the end of the military dictatorship in 1989 economic management was gradualist and fairly prudent, with balanced fiscal accounts, low deficits on current account and falling inflation, but as regards growth the task was a daunting one. </w:t>
      </w:r>
    </w:p>
    <w:p w:rsidR="00000000" w:rsidRDefault="00000000">
      <w:pPr>
        <w:spacing w:after="240"/>
      </w:pPr>
      <w:r>
        <w:t>67.</w:t>
      </w:r>
      <w:r>
        <w:tab/>
        <w:t xml:space="preserve">The slow rate of growth during the mid-1990s reflected the slow progress of structural reform, widespread corruption and the decline in over-all factor productivity associated with a falling investment ratio. </w:t>
      </w:r>
    </w:p>
    <w:p w:rsidR="00000000" w:rsidRDefault="00000000">
      <w:pPr>
        <w:spacing w:after="240"/>
      </w:pPr>
      <w:r>
        <w:t>68.</w:t>
      </w:r>
      <w:r>
        <w:tab/>
        <w:t xml:space="preserve">Instead of proceeding with reforms which could help the economy to weather external shocks, successive governments generally showed little inclination to adopt the measures required to give the economy the necessary resistance to handle shocks, modernize the production structure or tackle the major problems of governance which were discouraging investment and private initiative. In recent years this combination of factors has been exacerbated by a series of internal and external shocks. In 1995 and 1997-98 major banking crises occurred which led to the closure of a number of local banks, a reduction of credit to the private sector and a sharp drop in private investment. </w:t>
      </w:r>
    </w:p>
    <w:p w:rsidR="00000000" w:rsidRDefault="00000000">
      <w:pPr>
        <w:spacing w:after="240"/>
        <w:rPr>
          <w:szCs w:val="20"/>
          <w:lang w:val="en-US"/>
        </w:rPr>
      </w:pPr>
      <w:r>
        <w:t>69.</w:t>
      </w:r>
      <w:r>
        <w:tab/>
      </w:r>
      <w:r>
        <w:rPr>
          <w:szCs w:val="20"/>
          <w:lang w:val="en-US"/>
        </w:rPr>
        <w:t>More fundamentally, structural weaknesses suggest an exhaustion of Paraguay’s prevailing economic model, which was based on import-export trade with  neighbouring countries (so-called "triangular trade"), cotton monoculture</w:t>
      </w:r>
      <w:r>
        <w:rPr>
          <w:spacing w:val="14"/>
          <w:szCs w:val="20"/>
          <w:lang w:val="en-US"/>
        </w:rPr>
        <w:t xml:space="preserve"> </w:t>
      </w:r>
      <w:r>
        <w:rPr>
          <w:szCs w:val="20"/>
          <w:lang w:val="en-US"/>
        </w:rPr>
        <w:t xml:space="preserve">for small farmers and public-sector employment. Triangular trade, which used to represent up to 20 percent of GDP, has fallen significantly as a result of the reduction and/or abolition of tariffs between MERCOSUR countries and of greater border controls on smuggling. </w:t>
      </w:r>
    </w:p>
    <w:p w:rsidR="00000000" w:rsidRDefault="00000000">
      <w:pPr>
        <w:spacing w:after="240"/>
        <w:rPr>
          <w:szCs w:val="20"/>
          <w:lang w:val="en-US"/>
        </w:rPr>
      </w:pPr>
      <w:r>
        <w:t>70.</w:t>
      </w:r>
      <w:r>
        <w:tab/>
      </w:r>
      <w:r>
        <w:rPr>
          <w:szCs w:val="20"/>
          <w:lang w:val="en-US"/>
        </w:rPr>
        <w:t>Other parts of the exhausted economic model include the continued use of government to provide patronage jobs, continued government support for low-return cotton production, and in general the small margin available for productive expenditure in the Government budget (which is now mostly made up of salaries and pensions, with little over for operations and investment). Privatization of the telephone and water companies was attempted in 2001-02, but was stopped by Congress following accusations of corruption and protests by the peasants, who objected to the sale of the national patrimony.</w:t>
      </w:r>
    </w:p>
    <w:p w:rsidR="00000000" w:rsidRDefault="00000000">
      <w:pPr>
        <w:spacing w:after="240"/>
        <w:rPr>
          <w:szCs w:val="20"/>
          <w:lang w:val="en-US"/>
        </w:rPr>
      </w:pPr>
      <w:r>
        <w:t>71.</w:t>
      </w:r>
      <w:r>
        <w:tab/>
        <w:t xml:space="preserve">Despite the general weakness of the economy, there are sectors which have experienced vigorous growth during recent years, namely sectors in </w:t>
      </w:r>
      <w:r>
        <w:rPr>
          <w:szCs w:val="20"/>
          <w:lang w:val="en-US"/>
        </w:rPr>
        <w:t xml:space="preserve">agriculture which are still internationally competitive (in particular, soybeans and meat exports) as well as cellular telecommunications, in which foreign investment has been significant. Agro-industry for export has also grown substantially, but transport costs for Paraguay are the highest in the region (cif/fob ratio of 13 percent vs. 7 percent for the rest of the region) and a deterrent on growth. Due to the vibrancy of these sectors, Paraguay’s economic situation appeared to be improving somewhat in 2003. The recent increase in soy and cotton prices is leading to considerably higher export revenues and an expected current account surplus. </w:t>
      </w:r>
    </w:p>
    <w:p w:rsidR="00000000" w:rsidRDefault="00000000">
      <w:pPr>
        <w:spacing w:after="240"/>
        <w:rPr>
          <w:lang w:val="en-US"/>
        </w:rPr>
      </w:pPr>
      <w:r>
        <w:rPr>
          <w:lang w:val="en-US"/>
        </w:rPr>
        <w:t>72.</w:t>
      </w:r>
      <w:r>
        <w:rPr>
          <w:lang w:val="en-US"/>
        </w:rPr>
        <w:tab/>
      </w:r>
      <w:r>
        <w:rPr>
          <w:szCs w:val="20"/>
          <w:lang w:val="en-US"/>
        </w:rPr>
        <w:t>The combination of external vulnerability and an unsettled policy and institutional environment has resulted in an exceptionally poor growth performance since the mid-1990s, with GDP growth averaging 1 percent per year, while annual population growth rates stand at 2.6 percent</w:t>
      </w:r>
    </w:p>
    <w:p w:rsidR="00000000" w:rsidRDefault="00000000">
      <w:pPr>
        <w:spacing w:after="240"/>
        <w:rPr>
          <w:lang w:val="en-US"/>
        </w:rPr>
      </w:pPr>
      <w:r>
        <w:rPr>
          <w:lang w:val="en-US"/>
        </w:rPr>
        <w:t>73.</w:t>
      </w:r>
      <w:r>
        <w:rPr>
          <w:lang w:val="en-US"/>
        </w:rPr>
        <w:tab/>
        <w:t>As a result, there has been a secular decline in GDP per head to pre-1990s levels, with increasing poverty, exacerbated by polarization of income and land distribution.</w:t>
      </w:r>
      <w:r>
        <w:rPr>
          <w:rStyle w:val="FootnoteReference"/>
          <w:b/>
          <w:bCs/>
          <w:lang w:val="en-US"/>
        </w:rPr>
        <w:footnoteReference w:id="9"/>
      </w:r>
    </w:p>
    <w:p w:rsidR="00000000" w:rsidRDefault="00000000">
      <w:pPr>
        <w:spacing w:after="240"/>
        <w:rPr>
          <w:lang w:val="en-US"/>
        </w:rPr>
      </w:pPr>
      <w:r>
        <w:rPr>
          <w:lang w:val="en-US"/>
        </w:rPr>
        <w:t>74.</w:t>
      </w:r>
      <w:r>
        <w:rPr>
          <w:lang w:val="en-US"/>
        </w:rPr>
        <w:tab/>
        <w:t xml:space="preserve">Economic growth is the best general strategy for a reduction in the numbers of poor people, since it is they who benefit most from the increases in basic public services which follow in the wake of the increased government expenditure made possible by more dynamic economic growth and higher revenue collected. </w:t>
      </w:r>
    </w:p>
    <w:p w:rsidR="00000000" w:rsidRDefault="00000000">
      <w:pPr>
        <w:spacing w:after="240"/>
        <w:rPr>
          <w:lang w:val="en-US"/>
        </w:rPr>
      </w:pPr>
      <w:r>
        <w:rPr>
          <w:lang w:val="en-US"/>
        </w:rPr>
        <w:t>75.</w:t>
      </w:r>
      <w:r>
        <w:rPr>
          <w:lang w:val="en-US"/>
        </w:rPr>
        <w:tab/>
        <w:t xml:space="preserve">This assumes that the relative increase in social expenditure which has taken place in recent years will continue. </w:t>
      </w:r>
    </w:p>
    <w:p w:rsidR="00000000" w:rsidRDefault="00000000">
      <w:pPr>
        <w:spacing w:after="240"/>
        <w:rPr>
          <w:lang w:val="en-US"/>
        </w:rPr>
      </w:pPr>
      <w:r>
        <w:t>76.</w:t>
      </w:r>
      <w:r>
        <w:tab/>
        <w:t xml:space="preserve">Efforts to reduce poverty should be principally focussed on rural areas. They should include appropriate land tax policies to bring unused land on to the market, concentrated settlement patterns (as opposed to “ribbon” settlements alongside roads) with a view to improving the provision of public services to rural communities and focussed technical assistance in agriculture. The expansion of services should continue to the extent that the fiscal situation permits.  </w:t>
      </w:r>
    </w:p>
    <w:p w:rsidR="00000000" w:rsidRDefault="00000000">
      <w:pPr>
        <w:spacing w:after="240"/>
      </w:pPr>
      <w:r>
        <w:t>77.</w:t>
      </w:r>
      <w:r>
        <w:tab/>
        <w:t>Paraguay is a small, open economy, heavily dependent on basic agricultural commodities and conditions in the region, particular those prevailing in her two big neighbour countries, Argentina and Brazil. As a result, the Paraguayan economy is vulnerable to factors over which it has little control, such as international prices of agricultural commodities and political and economic events in neighbouring countries.</w:t>
      </w:r>
    </w:p>
    <w:p w:rsidR="00000000" w:rsidRDefault="00000000">
      <w:pPr>
        <w:spacing w:after="240"/>
      </w:pPr>
      <w:r>
        <w:t>78.</w:t>
      </w:r>
      <w:r>
        <w:tab/>
        <w:t>In 1995 and 1997-98 major banking crises occurred which led to the closure of a number of local banks, a reduction of credit to the private sector and a sharp drop in private investment.</w:t>
      </w:r>
    </w:p>
    <w:p w:rsidR="00000000" w:rsidRDefault="00000000">
      <w:pPr>
        <w:spacing w:after="240"/>
      </w:pPr>
      <w:r>
        <w:t>79.</w:t>
      </w:r>
      <w:r>
        <w:tab/>
        <w:t xml:space="preserve">Nevertheless, there are sectors which have experienced vigorous growth during recent years, namely sectors in </w:t>
      </w:r>
      <w:r>
        <w:rPr>
          <w:szCs w:val="20"/>
          <w:lang w:val="en-US"/>
        </w:rPr>
        <w:t>agriculture which are still internationally competitive (in particular, soybeans and meat exports) as well as cellular telecommunications, in which foreign investment has been significant. Agro-industry for export has also grown substantially, but transport costs for Paraguay are the highest in the region (cif/fob ratio of 13 percent vs. 7 percent for the rest of the region) and a deterrent on growth. Due to the vibrancy of these sectors, Paraguay’s economic situation appeared to be improving somewhat in 2003. The recent increase in soy and cotton prices is leading to considerably higher export revenues and an expected current account surplus.</w:t>
      </w:r>
    </w:p>
    <w:p w:rsidR="00000000" w:rsidRDefault="00000000">
      <w:pPr>
        <w:spacing w:after="240"/>
        <w:rPr>
          <w:lang w:val="en-US"/>
        </w:rPr>
      </w:pPr>
      <w:r>
        <w:t>80.</w:t>
      </w:r>
      <w:r>
        <w:tab/>
      </w:r>
      <w:r>
        <w:rPr>
          <w:szCs w:val="20"/>
          <w:lang w:val="en-US"/>
        </w:rPr>
        <w:t>The combination of external vulnerability and a poor policy and institutional environment has resulted in poor growth performance since the mid-1990s, with GDP growth averaging 1 per cent per year, while annual population growth rates stand at 2.6 percent.</w:t>
      </w:r>
    </w:p>
    <w:p w:rsidR="00000000" w:rsidRDefault="00000000">
      <w:pPr>
        <w:spacing w:after="240"/>
        <w:rPr>
          <w:lang w:val="en-US"/>
        </w:rPr>
      </w:pPr>
      <w:r>
        <w:rPr>
          <w:lang w:val="en-US"/>
        </w:rPr>
        <w:t>81.</w:t>
      </w:r>
      <w:r>
        <w:rPr>
          <w:lang w:val="en-US"/>
        </w:rPr>
        <w:tab/>
        <w:t>As a result, there has been a secular decline in GDP per head to pre-1990s levels, with increasing poverty, exacerbated by polarization of income and land distribution.</w:t>
      </w:r>
      <w:r>
        <w:rPr>
          <w:rStyle w:val="FootnoteReference"/>
          <w:b/>
          <w:bCs/>
          <w:lang w:val="en-US"/>
        </w:rPr>
        <w:footnoteReference w:id="10"/>
      </w:r>
    </w:p>
    <w:p w:rsidR="00000000" w:rsidRDefault="00000000">
      <w:pPr>
        <w:spacing w:after="240"/>
        <w:rPr>
          <w:lang w:val="en-US"/>
        </w:rPr>
      </w:pPr>
      <w:r>
        <w:rPr>
          <w:lang w:val="en-US"/>
        </w:rPr>
        <w:t>82.</w:t>
      </w:r>
      <w:r>
        <w:rPr>
          <w:lang w:val="en-US"/>
        </w:rPr>
        <w:tab/>
        <w:t>Economic growth is the best general strategy for a reduction in the numbers of poor people, since it is they who benefit most from the increases in basic public services which follow in the wake of the increased government expenditure made possible by more dynamic economic growth and higher revenue collected.</w:t>
      </w:r>
    </w:p>
    <w:p w:rsidR="00000000" w:rsidRDefault="00000000">
      <w:pPr>
        <w:spacing w:after="240"/>
        <w:rPr>
          <w:lang w:val="en-US"/>
        </w:rPr>
      </w:pPr>
      <w:r>
        <w:rPr>
          <w:lang w:val="en-US"/>
        </w:rPr>
        <w:t>83.</w:t>
      </w:r>
      <w:r>
        <w:rPr>
          <w:lang w:val="en-US"/>
        </w:rPr>
        <w:tab/>
        <w:t xml:space="preserve">This assumes that the relative increase in social expenditure which has taken place in recent years will continue. </w:t>
      </w:r>
    </w:p>
    <w:p w:rsidR="00000000" w:rsidRDefault="00000000">
      <w:pPr>
        <w:spacing w:after="240"/>
        <w:rPr>
          <w:lang w:val="en-US"/>
        </w:rPr>
      </w:pPr>
      <w:r>
        <w:rPr>
          <w:lang w:val="en-US"/>
        </w:rPr>
        <w:t>84.</w:t>
      </w:r>
      <w:r>
        <w:rPr>
          <w:lang w:val="en-US"/>
        </w:rPr>
        <w:tab/>
      </w:r>
      <w:r>
        <w:t xml:space="preserve">Efforts to reduce poverty are being principally focussed on rural areas. They include appropriate land tax policies to bring unused land on to the market, concentrated settlement patterns (as opposed to settlements alongside roads) with a view to improving the provision of public services to rural communities and focussed technical assistance in agriculture. The expansion of services should continue to the extent that the fiscal situation permits.  </w:t>
      </w:r>
    </w:p>
    <w:p w:rsidR="00000000" w:rsidRDefault="00000000">
      <w:pPr>
        <w:spacing w:after="240"/>
        <w:jc w:val="center"/>
        <w:rPr>
          <w:b/>
          <w:bCs/>
          <w:i/>
          <w:iCs/>
          <w:lang w:val="en-US"/>
        </w:rPr>
      </w:pPr>
      <w:r>
        <w:rPr>
          <w:b/>
          <w:bCs/>
          <w:lang w:val="en-US"/>
        </w:rPr>
        <w:t>D.  Paraguay’s development challenges</w:t>
      </w:r>
      <w:r>
        <w:rPr>
          <w:rStyle w:val="FootnoteReference"/>
          <w:b/>
          <w:bCs/>
          <w:lang w:val="en-US"/>
        </w:rPr>
        <w:footnoteReference w:id="11"/>
      </w:r>
    </w:p>
    <w:p w:rsidR="00000000" w:rsidRDefault="00000000">
      <w:pPr>
        <w:spacing w:after="240"/>
        <w:rPr>
          <w:lang w:val="en-US"/>
        </w:rPr>
      </w:pPr>
      <w:r>
        <w:rPr>
          <w:lang w:val="en-US"/>
        </w:rPr>
        <w:t>85.</w:t>
      </w:r>
      <w:r>
        <w:rPr>
          <w:lang w:val="en-US"/>
        </w:rPr>
        <w:tab/>
        <w:t xml:space="preserve">The poverty indicators for Paraguay and the uncertain outlook regarding attainment of the Millennium Development Goals are a reflection of the many challenges facing long-term development, to overcome which sustained effort will be required. </w:t>
      </w:r>
    </w:p>
    <w:p w:rsidR="00000000" w:rsidRDefault="00000000">
      <w:pPr>
        <w:spacing w:after="240"/>
        <w:rPr>
          <w:lang w:val="en-US"/>
        </w:rPr>
      </w:pPr>
      <w:r>
        <w:rPr>
          <w:lang w:val="en-US"/>
        </w:rPr>
        <w:t>86.</w:t>
      </w:r>
      <w:r>
        <w:rPr>
          <w:lang w:val="en-US"/>
        </w:rPr>
        <w:tab/>
        <w:t xml:space="preserve">One of the principal challenges is that of a labour force the majority of whose members are functionally illiterate. Even if other constraints are eased, it will take time for the current generation of schoolchildren to enter the labour force and for national productivity generally to rise to higher levels. In addition, the limited effectiveness of expenditure on social services restricts coverage and accessibility by the population. During the 1990s social expenditure increased considerably; even so, it represented only 6 per cent of GDP (not including pensions). In particular, the health and social assistance programmes were underfinanced by comparison with other countries at similar levels of development. The basic public health services are concentrated in urban areas and tend to provide relatively complex services only to the 20 per cent of the population with some form of medical cover. The reorientation of these services towards basic health provision and preventive health care will require additional resources or a substantial increase in the efficiency of delivery. It will therefore be necessary to continue with the process of reform of the delivery of health services within the social security system currently in operation. </w:t>
      </w:r>
    </w:p>
    <w:p w:rsidR="00000000" w:rsidRDefault="00000000">
      <w:pPr>
        <w:spacing w:after="240"/>
        <w:rPr>
          <w:lang w:val="en-US"/>
        </w:rPr>
      </w:pPr>
      <w:r>
        <w:rPr>
          <w:lang w:val="en-US"/>
        </w:rPr>
        <w:t>87.</w:t>
      </w:r>
      <w:r>
        <w:rPr>
          <w:lang w:val="en-US"/>
        </w:rPr>
        <w:tab/>
        <w:t xml:space="preserve">A similar pattern can be observed in education, where enrolment rates are high in primary education and extremely low (31%) in secondary education and there are striking differences between enrolment levels among the urban and rural populations (83% and 17% respectively). There are many small social assistance programmes which, taken all together, have difficulty in providing an effective social security network for the poorest and most vulnerable, although their contribution is significant. Lastly, the poor are lacking in pension coverage, even though pension expenditure is today considerable (3.5% of GDP), but only 10 per cent of the population working in the formal sector are covered. The provision of basic social services for the growing indigenous population is another challenge requiring special attention. </w:t>
      </w:r>
      <w:r>
        <w:rPr>
          <w:spacing w:val="12"/>
          <w:szCs w:val="20"/>
          <w:lang w:val="en-US"/>
        </w:rPr>
        <w:t xml:space="preserve">In terms of infrastructure, the population’s </w:t>
      </w:r>
      <w:r>
        <w:rPr>
          <w:szCs w:val="20"/>
          <w:lang w:val="en-US"/>
        </w:rPr>
        <w:t>access to basic infrastructure services is probably the worst in the region. Only 23 percent of all roads are paved, and less than 43 percent of the paved roads are in good condition.</w:t>
      </w:r>
    </w:p>
    <w:p w:rsidR="00000000" w:rsidRDefault="00000000">
      <w:pPr>
        <w:spacing w:after="240"/>
        <w:rPr>
          <w:lang w:val="en-US"/>
        </w:rPr>
      </w:pPr>
      <w:r>
        <w:rPr>
          <w:lang w:val="en-US"/>
        </w:rPr>
        <w:t>88.</w:t>
      </w:r>
      <w:r>
        <w:rPr>
          <w:lang w:val="en-US"/>
        </w:rPr>
        <w:tab/>
      </w:r>
      <w:r>
        <w:rPr>
          <w:szCs w:val="20"/>
          <w:lang w:val="en-US"/>
        </w:rPr>
        <w:t>The yearly financing requirements of a modest infrastructure programme for roads, water, sanitation and basic telephone services would require some US$150-200 million (compared to yearly investments of US$40 million at present).</w:t>
      </w:r>
    </w:p>
    <w:p w:rsidR="00000000" w:rsidRDefault="00000000">
      <w:pPr>
        <w:spacing w:after="240"/>
        <w:rPr>
          <w:szCs w:val="20"/>
          <w:lang w:val="en-US"/>
        </w:rPr>
      </w:pPr>
      <w:r>
        <w:rPr>
          <w:lang w:val="en-US"/>
        </w:rPr>
        <w:t>89.</w:t>
      </w:r>
      <w:r>
        <w:rPr>
          <w:lang w:val="en-US"/>
        </w:rPr>
        <w:tab/>
      </w:r>
      <w:r>
        <w:rPr>
          <w:szCs w:val="20"/>
          <w:lang w:val="en-US"/>
        </w:rPr>
        <w:t>In the agricultural sector the forest frontier has practically vanished in the eastern region, since the drive to expand soy production has resulted in almost total destruction of the native forests (less than 5% remain). Yet the expansion of modern agriculture has left the 300,000 small (and mostly poor) farmers behind, who continue with subsistence farming based principally on cotton. The challenge here is to increase their productivity as well. Also, as a result of deforestation, Paraguay has reached the unthinkable point of becoming a net importer of wood, creating an unneeded drain on the balance of payments, not to mention the loss of employment in what used to be a thriving forestry sector.</w:t>
      </w:r>
    </w:p>
    <w:p w:rsidR="00000000" w:rsidRDefault="00000000">
      <w:pPr>
        <w:spacing w:after="240"/>
        <w:rPr>
          <w:szCs w:val="20"/>
          <w:lang w:val="en-US"/>
        </w:rPr>
      </w:pPr>
      <w:r>
        <w:rPr>
          <w:lang w:val="en-US"/>
        </w:rPr>
        <w:t>90.</w:t>
      </w:r>
      <w:r>
        <w:rPr>
          <w:lang w:val="en-US"/>
        </w:rPr>
        <w:tab/>
        <w:t xml:space="preserve">Paraguay’s capacity for domestic savings </w:t>
      </w:r>
      <w:r>
        <w:rPr>
          <w:spacing w:val="10"/>
          <w:szCs w:val="20"/>
          <w:lang w:val="en-US"/>
        </w:rPr>
        <w:t>mobilization is severely limited by lack of confidence in</w:t>
      </w:r>
      <w:r>
        <w:rPr>
          <w:spacing w:val="12"/>
          <w:szCs w:val="20"/>
          <w:lang w:val="en-US"/>
        </w:rPr>
        <w:t xml:space="preserve"> </w:t>
      </w:r>
      <w:r>
        <w:rPr>
          <w:spacing w:val="6"/>
          <w:szCs w:val="20"/>
          <w:lang w:val="en-US"/>
        </w:rPr>
        <w:t>the financial system following eight years of successive</w:t>
      </w:r>
      <w:r>
        <w:rPr>
          <w:spacing w:val="12"/>
          <w:szCs w:val="20"/>
          <w:lang w:val="en-US"/>
        </w:rPr>
        <w:t xml:space="preserve"> </w:t>
      </w:r>
      <w:r>
        <w:rPr>
          <w:spacing w:val="9"/>
          <w:szCs w:val="20"/>
          <w:lang w:val="en-US"/>
        </w:rPr>
        <w:t xml:space="preserve">bank failures that, to date, </w:t>
      </w:r>
      <w:r>
        <w:rPr>
          <w:szCs w:val="20"/>
          <w:lang w:val="en-US"/>
        </w:rPr>
        <w:t xml:space="preserve">have cost about 11 percent of GDP. Banking regulations and supervision are weak, and, as a result, financial intermediation is low and interest costs and spreads are very high. The lack of sound long-term savings mechanisms also limits the population’s ability to save for old age and provide some self-insurance against poverty in old age. The major remaining public bank (the National Development Bank) is unviable in its current structure and insolvent, since about 50 percent of its portfolio consists of bad loans. </w:t>
      </w:r>
    </w:p>
    <w:p w:rsidR="00000000" w:rsidRDefault="00000000">
      <w:pPr>
        <w:spacing w:after="240"/>
        <w:rPr>
          <w:lang w:val="en-US"/>
        </w:rPr>
      </w:pPr>
      <w:r>
        <w:rPr>
          <w:lang w:val="en-US"/>
        </w:rPr>
        <w:t>91.</w:t>
      </w:r>
      <w:r>
        <w:rPr>
          <w:lang w:val="en-US"/>
        </w:rPr>
        <w:tab/>
      </w:r>
      <w:r>
        <w:rPr>
          <w:szCs w:val="20"/>
          <w:lang w:val="en-US"/>
        </w:rPr>
        <w:t xml:space="preserve">Within the public sector the most entrenched feature of public finances is the structural deficit of the Government pension system </w:t>
      </w:r>
      <w:r>
        <w:rPr>
          <w:i/>
          <w:iCs/>
          <w:szCs w:val="18"/>
          <w:lang w:val="en-US"/>
        </w:rPr>
        <w:t xml:space="preserve">(Caja Fiscal) , </w:t>
      </w:r>
      <w:r>
        <w:rPr>
          <w:szCs w:val="20"/>
          <w:lang w:val="en-US"/>
        </w:rPr>
        <w:t>which has been the most striking feature of State finance for most of the past decade. However, the fiscal year 2005 ended with a surplus of 0.5 per cent of GDP – an amount of some 250 million guaraníes. Thus for the first time in 10 years there have been two consecutive years with fiscal surpluses; this is due to an increase in revenue collected, which implies that the economy is becoming formalized and that economic growth is taking place</w:t>
      </w:r>
    </w:p>
    <w:p w:rsidR="00000000" w:rsidRDefault="00000000">
      <w:pPr>
        <w:spacing w:after="240"/>
        <w:rPr>
          <w:lang w:val="en-US"/>
        </w:rPr>
      </w:pPr>
      <w:r>
        <w:rPr>
          <w:lang w:val="en-US"/>
        </w:rPr>
        <w:t>92.</w:t>
      </w:r>
      <w:r>
        <w:rPr>
          <w:lang w:val="en-US"/>
        </w:rPr>
        <w:tab/>
        <w:t xml:space="preserve">In 2004 the surplus amounted to 1.61 per cent of GDP, or a little more than 650 million guaraníes. Initially the general budget envisaged a deficit of 0.5 per cent, which was agreed with the IMF as part of the standby agreement. The commitment in that agreement is one of not exceeding that figure. However, there was a successful return to implementation of the financial plan which restricted implementation of the budget. </w:t>
      </w:r>
    </w:p>
    <w:p w:rsidR="00000000" w:rsidRDefault="00000000">
      <w:pPr>
        <w:spacing w:after="240"/>
        <w:rPr>
          <w:lang w:val="en-US"/>
        </w:rPr>
      </w:pPr>
      <w:r>
        <w:rPr>
          <w:b/>
          <w:bCs/>
          <w:lang w:val="en-US"/>
        </w:rPr>
        <w:t>1.</w:t>
      </w:r>
      <w:r>
        <w:rPr>
          <w:b/>
          <w:bCs/>
          <w:lang w:val="en-US"/>
        </w:rPr>
        <w:tab/>
        <w:t>Growth</w:t>
      </w:r>
    </w:p>
    <w:p w:rsidR="00000000" w:rsidRDefault="00000000">
      <w:pPr>
        <w:spacing w:after="240"/>
        <w:rPr>
          <w:lang w:val="en-US"/>
        </w:rPr>
      </w:pPr>
      <w:r>
        <w:rPr>
          <w:lang w:val="en-US"/>
        </w:rPr>
        <w:t>93.</w:t>
      </w:r>
      <w:r>
        <w:rPr>
          <w:lang w:val="en-US"/>
        </w:rPr>
        <w:tab/>
        <w:t xml:space="preserve">The country must achieve a higher growth rate; a rate of less then 5 per cent is insufficient. The year 2005 ended with an increase in GDP of 2.7 per cent – a rate equivalent to that of population growth – following growth of 4.1 per cent in the previous year. The growth estimate for 2006, calculated for the present financial year which is coming to an end, is 3.5 per cent. The Act concerning the public banks, through which it will be sought to direct long-term credits into the production sector, has been adopted, as has the Act concerning fiscal adjustment, the regulations concerning which are being distributed. The international financial organizations are of the opinion that the country should achieve a growth rate of between 7 and 8 per cent if it does not wish to remain marginalized from the rest of the world. </w:t>
      </w:r>
    </w:p>
    <w:p w:rsidR="00000000" w:rsidRDefault="00000000">
      <w:pPr>
        <w:pStyle w:val="xl46"/>
        <w:spacing w:before="0" w:beforeAutospacing="0" w:after="200" w:afterAutospacing="0"/>
        <w:rPr>
          <w:rFonts w:ascii="Times New Roman" w:eastAsia="Times New Roman" w:hAnsi="Times New Roman" w:cs="Times New Roman"/>
          <w:szCs w:val="24"/>
          <w:lang w:val="en-GB" w:eastAsia="en-US"/>
        </w:rPr>
      </w:pPr>
      <w:r>
        <w:rPr>
          <w:rFonts w:ascii="Times New Roman" w:eastAsia="Times New Roman" w:hAnsi="Times New Roman" w:cs="Times New Roman"/>
          <w:szCs w:val="24"/>
          <w:lang w:val="en-GB" w:eastAsia="en-US"/>
        </w:rPr>
        <w:t>Fiscal deficits and surpluses</w:t>
      </w:r>
    </w:p>
    <w:p w:rsidR="00000000" w:rsidRDefault="00000000">
      <w:pPr>
        <w:spacing w:beforeLines="40" w:before="96" w:afterLines="40" w:after="96"/>
        <w:jc w:val="center"/>
        <w:rPr>
          <w:i/>
          <w:iCs/>
          <w:sz w:val="22"/>
        </w:rPr>
      </w:pPr>
      <w:r>
        <w:rPr>
          <w:i/>
          <w:iCs/>
          <w:sz w:val="22"/>
        </w:rPr>
        <w:t>(as percentages of GDP)</w:t>
      </w:r>
    </w:p>
    <w:tbl>
      <w:tblPr>
        <w:tblW w:w="2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48"/>
        <w:gridCol w:w="1921"/>
      </w:tblGrid>
      <w:tr w:rsidR="00000000">
        <w:trPr>
          <w:jc w:val="center"/>
        </w:trPr>
        <w:tc>
          <w:tcPr>
            <w:tcW w:w="1848" w:type="dxa"/>
          </w:tcPr>
          <w:p w:rsidR="00000000" w:rsidRDefault="00000000">
            <w:pPr>
              <w:widowControl w:val="0"/>
              <w:spacing w:before="80" w:after="80"/>
              <w:jc w:val="center"/>
              <w:rPr>
                <w:sz w:val="20"/>
              </w:rPr>
            </w:pPr>
            <w:r>
              <w:rPr>
                <w:sz w:val="20"/>
              </w:rPr>
              <w:t>2000</w:t>
            </w:r>
          </w:p>
        </w:tc>
        <w:tc>
          <w:tcPr>
            <w:tcW w:w="1921" w:type="dxa"/>
          </w:tcPr>
          <w:p w:rsidR="00000000" w:rsidRDefault="00000000">
            <w:pPr>
              <w:widowControl w:val="0"/>
              <w:spacing w:before="80" w:after="80"/>
              <w:jc w:val="center"/>
              <w:rPr>
                <w:sz w:val="20"/>
              </w:rPr>
            </w:pPr>
            <w:r>
              <w:rPr>
                <w:sz w:val="20"/>
              </w:rPr>
              <w:t>-4.64</w:t>
            </w:r>
          </w:p>
        </w:tc>
      </w:tr>
      <w:tr w:rsidR="00000000">
        <w:trPr>
          <w:jc w:val="center"/>
        </w:trPr>
        <w:tc>
          <w:tcPr>
            <w:tcW w:w="1848" w:type="dxa"/>
          </w:tcPr>
          <w:p w:rsidR="00000000" w:rsidRDefault="00000000">
            <w:pPr>
              <w:widowControl w:val="0"/>
              <w:spacing w:before="80" w:after="80"/>
              <w:jc w:val="center"/>
              <w:rPr>
                <w:sz w:val="20"/>
              </w:rPr>
            </w:pPr>
            <w:r>
              <w:rPr>
                <w:sz w:val="20"/>
              </w:rPr>
              <w:t>2001</w:t>
            </w:r>
          </w:p>
        </w:tc>
        <w:tc>
          <w:tcPr>
            <w:tcW w:w="1921" w:type="dxa"/>
          </w:tcPr>
          <w:p w:rsidR="00000000" w:rsidRDefault="00000000">
            <w:pPr>
              <w:widowControl w:val="0"/>
              <w:spacing w:before="80" w:after="80"/>
              <w:jc w:val="center"/>
              <w:rPr>
                <w:sz w:val="20"/>
              </w:rPr>
            </w:pPr>
            <w:r>
              <w:rPr>
                <w:sz w:val="20"/>
              </w:rPr>
              <w:t>-1.20</w:t>
            </w:r>
          </w:p>
        </w:tc>
      </w:tr>
      <w:tr w:rsidR="00000000">
        <w:trPr>
          <w:jc w:val="center"/>
        </w:trPr>
        <w:tc>
          <w:tcPr>
            <w:tcW w:w="1848" w:type="dxa"/>
          </w:tcPr>
          <w:p w:rsidR="00000000" w:rsidRDefault="00000000">
            <w:pPr>
              <w:widowControl w:val="0"/>
              <w:spacing w:before="80" w:after="80"/>
              <w:jc w:val="center"/>
              <w:rPr>
                <w:sz w:val="20"/>
              </w:rPr>
            </w:pPr>
            <w:r>
              <w:rPr>
                <w:sz w:val="20"/>
              </w:rPr>
              <w:t>2002</w:t>
            </w:r>
          </w:p>
        </w:tc>
        <w:tc>
          <w:tcPr>
            <w:tcW w:w="1921" w:type="dxa"/>
          </w:tcPr>
          <w:p w:rsidR="00000000" w:rsidRDefault="00000000">
            <w:pPr>
              <w:widowControl w:val="0"/>
              <w:spacing w:before="80" w:after="80"/>
              <w:jc w:val="center"/>
              <w:rPr>
                <w:sz w:val="20"/>
              </w:rPr>
            </w:pPr>
            <w:r>
              <w:rPr>
                <w:sz w:val="20"/>
              </w:rPr>
              <w:t>-3.24</w:t>
            </w:r>
          </w:p>
        </w:tc>
      </w:tr>
      <w:tr w:rsidR="00000000">
        <w:trPr>
          <w:jc w:val="center"/>
        </w:trPr>
        <w:tc>
          <w:tcPr>
            <w:tcW w:w="1848" w:type="dxa"/>
          </w:tcPr>
          <w:p w:rsidR="00000000" w:rsidRDefault="00000000">
            <w:pPr>
              <w:widowControl w:val="0"/>
              <w:spacing w:before="80" w:after="80"/>
              <w:jc w:val="center"/>
              <w:rPr>
                <w:sz w:val="20"/>
              </w:rPr>
            </w:pPr>
            <w:r>
              <w:rPr>
                <w:sz w:val="20"/>
              </w:rPr>
              <w:t>2003</w:t>
            </w:r>
          </w:p>
        </w:tc>
        <w:tc>
          <w:tcPr>
            <w:tcW w:w="1921" w:type="dxa"/>
          </w:tcPr>
          <w:p w:rsidR="00000000" w:rsidRDefault="00000000">
            <w:pPr>
              <w:widowControl w:val="0"/>
              <w:spacing w:before="80" w:after="80"/>
              <w:jc w:val="center"/>
              <w:rPr>
                <w:sz w:val="20"/>
              </w:rPr>
            </w:pPr>
            <w:r>
              <w:rPr>
                <w:sz w:val="20"/>
              </w:rPr>
              <w:t>-0.40</w:t>
            </w:r>
          </w:p>
        </w:tc>
      </w:tr>
      <w:tr w:rsidR="00000000">
        <w:trPr>
          <w:jc w:val="center"/>
        </w:trPr>
        <w:tc>
          <w:tcPr>
            <w:tcW w:w="1848" w:type="dxa"/>
          </w:tcPr>
          <w:p w:rsidR="00000000" w:rsidRDefault="00000000">
            <w:pPr>
              <w:widowControl w:val="0"/>
              <w:spacing w:before="80" w:after="80"/>
              <w:jc w:val="center"/>
              <w:rPr>
                <w:sz w:val="20"/>
              </w:rPr>
            </w:pPr>
            <w:r>
              <w:rPr>
                <w:sz w:val="20"/>
              </w:rPr>
              <w:t>2004</w:t>
            </w:r>
          </w:p>
        </w:tc>
        <w:tc>
          <w:tcPr>
            <w:tcW w:w="1921" w:type="dxa"/>
          </w:tcPr>
          <w:p w:rsidR="00000000" w:rsidRDefault="00000000">
            <w:pPr>
              <w:widowControl w:val="0"/>
              <w:spacing w:before="80" w:after="80"/>
              <w:jc w:val="center"/>
              <w:rPr>
                <w:sz w:val="20"/>
              </w:rPr>
            </w:pPr>
            <w:r>
              <w:rPr>
                <w:sz w:val="20"/>
              </w:rPr>
              <w:t>1.61</w:t>
            </w:r>
          </w:p>
        </w:tc>
      </w:tr>
      <w:tr w:rsidR="00000000">
        <w:trPr>
          <w:jc w:val="center"/>
        </w:trPr>
        <w:tc>
          <w:tcPr>
            <w:tcW w:w="1848" w:type="dxa"/>
          </w:tcPr>
          <w:p w:rsidR="00000000" w:rsidRDefault="00000000">
            <w:pPr>
              <w:widowControl w:val="0"/>
              <w:spacing w:before="80" w:after="80"/>
              <w:jc w:val="center"/>
              <w:rPr>
                <w:sz w:val="20"/>
              </w:rPr>
            </w:pPr>
            <w:r>
              <w:rPr>
                <w:sz w:val="20"/>
              </w:rPr>
              <w:t>2005</w:t>
            </w:r>
          </w:p>
        </w:tc>
        <w:tc>
          <w:tcPr>
            <w:tcW w:w="1921" w:type="dxa"/>
          </w:tcPr>
          <w:p w:rsidR="00000000" w:rsidRDefault="00000000">
            <w:pPr>
              <w:widowControl w:val="0"/>
              <w:spacing w:before="80" w:after="80"/>
              <w:jc w:val="center"/>
              <w:rPr>
                <w:sz w:val="20"/>
              </w:rPr>
            </w:pPr>
            <w:r>
              <w:rPr>
                <w:sz w:val="20"/>
              </w:rPr>
              <w:t>0.5</w:t>
            </w:r>
          </w:p>
        </w:tc>
      </w:tr>
    </w:tbl>
    <w:p w:rsidR="00000000" w:rsidRDefault="00000000">
      <w:pPr>
        <w:spacing w:beforeLines="40" w:before="96" w:afterLines="40" w:after="96"/>
      </w:pPr>
    </w:p>
    <w:p w:rsidR="00000000" w:rsidRDefault="00000000">
      <w:pPr>
        <w:spacing w:after="240"/>
        <w:rPr>
          <w:lang w:val="en-US"/>
        </w:rPr>
      </w:pPr>
      <w:r>
        <w:rPr>
          <w:lang w:val="en-US"/>
        </w:rPr>
        <w:t>94.</w:t>
      </w:r>
      <w:r>
        <w:rPr>
          <w:lang w:val="en-US"/>
        </w:rPr>
        <w:tab/>
        <w:t xml:space="preserve">The cost of servicing this debt currently absorbs 20 per cent of government revenue and to some degree restricts the ability of the government to increase public investment by taking out loans. In addition, several public enterprises have problems of insolvency or excessive indebtedness and cannot mobilize the investments needed to improve the coverage and the quality of service. </w:t>
      </w:r>
    </w:p>
    <w:p w:rsidR="00000000" w:rsidRDefault="00000000">
      <w:pPr>
        <w:spacing w:after="240"/>
        <w:rPr>
          <w:lang w:val="en-US"/>
        </w:rPr>
      </w:pPr>
      <w:r>
        <w:rPr>
          <w:lang w:val="en-US"/>
        </w:rPr>
        <w:t>95.</w:t>
      </w:r>
      <w:r>
        <w:rPr>
          <w:lang w:val="en-US"/>
        </w:rPr>
        <w:tab/>
      </w:r>
      <w:r>
        <w:rPr>
          <w:szCs w:val="20"/>
          <w:lang w:val="en-US"/>
        </w:rPr>
        <w:t>A large informal economy, which is partly contraband trade but also a significant share of normal business activity, continues to operate outside the registered framework, mainly to avoid taxes and high contributions to an inadequate social security system, but also to avoid a complex and bureaucratic tangle of administrative regulations.</w:t>
      </w:r>
    </w:p>
    <w:p w:rsidR="00000000" w:rsidRDefault="00000000">
      <w:pPr>
        <w:spacing w:after="240"/>
        <w:rPr>
          <w:szCs w:val="20"/>
          <w:lang w:val="en-US"/>
        </w:rPr>
      </w:pPr>
      <w:r>
        <w:rPr>
          <w:lang w:val="en-US"/>
        </w:rPr>
        <w:t>96.</w:t>
      </w:r>
      <w:r>
        <w:rPr>
          <w:lang w:val="en-US"/>
        </w:rPr>
        <w:tab/>
      </w:r>
      <w:r>
        <w:rPr>
          <w:szCs w:val="20"/>
          <w:lang w:val="en-US"/>
        </w:rPr>
        <w:t>On the positive side, it should be noted that Paraguay possesses a number of development assets which can be used in its favour, including a relatively young population which would enable growth to break the logjam in the social security system if new entrants can be enticed to join the formal economy. Second, Paraguay’s membership in MERCOSUR gives it access to a large regional market. Third, the vibrant commercial farming and livestock sectors are oriented to export and have remained viable notwithstanding the difficult recent years. And, fourth, abundant electricity supply is available, although transmission and distribution costs are high due to a monopolistic state energy system.</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US" w:eastAsia="en-US"/>
        </w:rPr>
      </w:pPr>
      <w:r>
        <w:rPr>
          <w:rFonts w:ascii="Times New Roman" w:eastAsia="Times New Roman" w:hAnsi="Times New Roman" w:cs="Times New Roman"/>
          <w:lang w:val="en-US" w:eastAsia="en-US"/>
        </w:rPr>
        <w:t>E.  Government development strategy</w:t>
      </w:r>
    </w:p>
    <w:p w:rsidR="00000000" w:rsidRDefault="00000000">
      <w:pPr>
        <w:spacing w:after="240"/>
        <w:rPr>
          <w:lang w:val="en-US"/>
        </w:rPr>
      </w:pPr>
      <w:r>
        <w:rPr>
          <w:lang w:val="en-US"/>
        </w:rPr>
        <w:t>97.</w:t>
      </w:r>
      <w:r>
        <w:rPr>
          <w:lang w:val="en-US"/>
        </w:rPr>
        <w:tab/>
        <w:t xml:space="preserve">The objectives of the current development strategy are directed along the following lines: </w:t>
      </w:r>
    </w:p>
    <w:p w:rsidR="00000000" w:rsidRDefault="00000000">
      <w:pPr>
        <w:numPr>
          <w:ilvl w:val="0"/>
          <w:numId w:val="12"/>
        </w:numPr>
        <w:tabs>
          <w:tab w:val="clear" w:pos="1080"/>
        </w:tabs>
        <w:spacing w:after="240"/>
        <w:ind w:left="1134" w:hanging="567"/>
        <w:rPr>
          <w:szCs w:val="20"/>
          <w:lang w:val="en-US"/>
        </w:rPr>
      </w:pPr>
      <w:r>
        <w:rPr>
          <w:lang w:val="en-US"/>
        </w:rPr>
        <w:t xml:space="preserve">Restoration </w:t>
      </w:r>
      <w:r>
        <w:rPr>
          <w:i/>
          <w:iCs/>
          <w:szCs w:val="20"/>
          <w:lang w:val="en-US"/>
        </w:rPr>
        <w:t xml:space="preserve">of confidence in state institutions </w:t>
      </w:r>
      <w:r>
        <w:rPr>
          <w:szCs w:val="20"/>
          <w:lang w:val="en-US"/>
        </w:rPr>
        <w:t xml:space="preserve">through a sustained fight against corruption and the modernization of public administration. By putting emphasis on improved governance the Administration hopes to achieve greater formality in the economy and to increase the international legitimacy of Paraguay. </w:t>
      </w:r>
    </w:p>
    <w:p w:rsidR="00000000" w:rsidRDefault="00000000">
      <w:pPr>
        <w:numPr>
          <w:ilvl w:val="0"/>
          <w:numId w:val="12"/>
        </w:numPr>
        <w:tabs>
          <w:tab w:val="clear" w:pos="1080"/>
        </w:tabs>
        <w:spacing w:after="240"/>
        <w:ind w:left="1134" w:hanging="567"/>
        <w:rPr>
          <w:szCs w:val="20"/>
          <w:lang w:val="en-US"/>
        </w:rPr>
      </w:pPr>
      <w:r>
        <w:rPr>
          <w:szCs w:val="20"/>
          <w:lang w:val="en-US"/>
        </w:rPr>
        <w:t>Equally, it aims to facilitate greater participation of civil society in the formulation of public policies and the control of public expenditure.</w:t>
      </w:r>
    </w:p>
    <w:p w:rsidR="00000000" w:rsidRDefault="00000000">
      <w:pPr>
        <w:numPr>
          <w:ilvl w:val="0"/>
          <w:numId w:val="12"/>
        </w:numPr>
        <w:tabs>
          <w:tab w:val="clear" w:pos="1080"/>
        </w:tabs>
        <w:spacing w:after="240"/>
        <w:ind w:left="1134" w:hanging="567"/>
        <w:rPr>
          <w:szCs w:val="20"/>
          <w:lang w:val="en-US"/>
        </w:rPr>
      </w:pPr>
      <w:r>
        <w:rPr>
          <w:i/>
          <w:iCs/>
          <w:szCs w:val="20"/>
          <w:lang w:val="en-US"/>
        </w:rPr>
        <w:t xml:space="preserve">Sustainable growth </w:t>
      </w:r>
      <w:r>
        <w:rPr>
          <w:szCs w:val="20"/>
          <w:lang w:val="en-US"/>
        </w:rPr>
        <w:t>through a change in the economic model from triangular trade and public employment towards agro-industry and export diversification. While improved efficiency of public-sector services and public investment can contribute to the achievement of this objective, the National Government recognizes that clear and predictable rules, judicial security and equality of opportunities are essential for increasing private-sector competitiveness.</w:t>
      </w:r>
    </w:p>
    <w:p w:rsidR="00000000" w:rsidRDefault="00000000">
      <w:pPr>
        <w:numPr>
          <w:ilvl w:val="0"/>
          <w:numId w:val="12"/>
        </w:numPr>
        <w:tabs>
          <w:tab w:val="clear" w:pos="1080"/>
        </w:tabs>
        <w:spacing w:after="240"/>
        <w:ind w:left="1134" w:hanging="567"/>
        <w:rPr>
          <w:lang w:val="en-US"/>
        </w:rPr>
      </w:pPr>
      <w:r>
        <w:rPr>
          <w:szCs w:val="20"/>
          <w:lang w:val="en-US"/>
        </w:rPr>
        <w:t xml:space="preserve">An </w:t>
      </w:r>
      <w:r>
        <w:rPr>
          <w:i/>
          <w:iCs/>
          <w:szCs w:val="20"/>
          <w:lang w:val="en-US"/>
        </w:rPr>
        <w:t xml:space="preserve">increase in human capital </w:t>
      </w:r>
      <w:r>
        <w:rPr>
          <w:szCs w:val="20"/>
          <w:lang w:val="en-US"/>
        </w:rPr>
        <w:t>through higher investment in health and education, policies that enhance equity and increased access to these services, and well-targeted poverty reduction programmes directed at the most vulnerable groups.</w:t>
      </w:r>
    </w:p>
    <w:p w:rsidR="00000000" w:rsidRDefault="00000000">
      <w:pPr>
        <w:spacing w:after="240"/>
        <w:rPr>
          <w:lang w:val="en-US"/>
        </w:rPr>
      </w:pPr>
      <w:r>
        <w:rPr>
          <w:lang w:val="en-US"/>
        </w:rPr>
        <w:t>98.</w:t>
      </w:r>
      <w:r>
        <w:rPr>
          <w:lang w:val="en-US"/>
        </w:rPr>
        <w:tab/>
        <w:t xml:space="preserve">While keeping the above objectives in view, the </w:t>
      </w:r>
      <w:r>
        <w:rPr>
          <w:szCs w:val="20"/>
          <w:lang w:val="en-US"/>
        </w:rPr>
        <w:t xml:space="preserve">Administration is also facing up to the primordial need to regain control of public finances and to put them on a long-term sustainable basis. This immediate priority is based on the recognition that expenditure has been rising faster than revenues, that there is an abnormally high share of incompressible expenses (salaries and pensions, which represent 90 per cent of recurrent expenditure), that the deficit in government pensions (2 per cent of GDP) is absorbing resources needed for development investments, that debt service is consuming an unsustainable share of total expenditure (20 per cent), and that the tax system suffers from  major deficiencies  in the form of multiple tax exemptions (42 separate laws) which are not only a cause of revenue loss but also create innumerable opportunities for tax evasion and corruption. The short-term seriousness of the situation was brought home when the new Administration, on taking office, found itself facing a short-term financing gap of US$175 million (3.5 percent of GDP) in the form of arrears and end-of-financial-year debt service. Of this amount, US$65 million represented arrears on existing debt service and US$115 million of debt service obligations falling due in the fourth quarter. About US$90 million of these amounts were domestic bonds in arrears or with bunched maturities in December 2003. </w:t>
      </w:r>
    </w:p>
    <w:p w:rsidR="00000000" w:rsidRDefault="00000000">
      <w:pPr>
        <w:spacing w:after="240"/>
        <w:rPr>
          <w:lang w:val="en-US"/>
        </w:rPr>
      </w:pPr>
      <w:r>
        <w:rPr>
          <w:szCs w:val="20"/>
          <w:lang w:val="en-US"/>
        </w:rPr>
        <w:t>99.</w:t>
      </w:r>
      <w:r>
        <w:rPr>
          <w:szCs w:val="20"/>
          <w:lang w:val="en-US"/>
        </w:rPr>
        <w:tab/>
        <w:t>To address this situation the Administration took a number of measures to control expenditure and increase revenues. On the expenditure side it reduced by US$30 million requests for budget increases that the previous government had sent to Congress and put on hold any discussion of an increase in public-sector salaries. It also started a census of public employees and pensioners, in part to collect relevant data on personnel capacity, but also to identify persons receiving two salaries, of whom 1,650 were identified and eliminated from the dual payroll.</w:t>
      </w:r>
    </w:p>
    <w:p w:rsidR="00000000" w:rsidRDefault="00000000">
      <w:pPr>
        <w:widowControl w:val="0"/>
        <w:autoSpaceDE w:val="0"/>
        <w:autoSpaceDN w:val="0"/>
        <w:spacing w:after="240"/>
        <w:rPr>
          <w:szCs w:val="20"/>
          <w:lang w:val="en-US"/>
        </w:rPr>
      </w:pPr>
      <w:r>
        <w:rPr>
          <w:szCs w:val="20"/>
          <w:lang w:val="en-US"/>
        </w:rPr>
        <w:t>100.</w:t>
      </w:r>
      <w:r>
        <w:rPr>
          <w:szCs w:val="20"/>
          <w:lang w:val="en-US"/>
        </w:rPr>
        <w:tab/>
        <w:t>On the revenue side the Administration took a series of measures such as verification of tax registration and the proper use of tax accounting books, encouraging taxpayers in arrears to bring their payments up to date through the waiver of fines, eliminating 300 inspectors for large taxpayers (a major source of corruption), and removal of all non-customs employees from Customs entry points (another source of corruption). These simple moves to improve tax administration yielded significant benefits, with tax revenues rising substantially. As regards the budget for 2004, the Administration sent a proposal to Congress that was recast in programmatic terms with identifiable objectives and results for each programme. Expenditure allocations were increased only for education and health, and somewhat for agriculture. Overall, the budget aims for an "equilibrated" outcome of 1 percent deficit with zero financing gap.</w:t>
      </w:r>
    </w:p>
    <w:p w:rsidR="00000000" w:rsidRDefault="00000000">
      <w:pPr>
        <w:widowControl w:val="0"/>
        <w:autoSpaceDE w:val="0"/>
        <w:autoSpaceDN w:val="0"/>
        <w:spacing w:after="240"/>
        <w:rPr>
          <w:szCs w:val="20"/>
          <w:lang w:val="en-US"/>
        </w:rPr>
      </w:pPr>
      <w:r>
        <w:rPr>
          <w:szCs w:val="20"/>
          <w:lang w:val="en-US"/>
        </w:rPr>
        <w:t>101.</w:t>
      </w:r>
      <w:r>
        <w:rPr>
          <w:szCs w:val="20"/>
          <w:lang w:val="en-US"/>
        </w:rPr>
        <w:tab/>
        <w:t>The Administration also undertook some internal restructuring to integrate the personnel and planning functions into the Ministry of Finance (they were previously separate secretariats reporting directly to the Office of the President), which should improve control over the largest element of expenditure. Finance also created a central unit to manage external assistance, and the Economic Cabinet was streamlined from nine ministers to five (finance, central bank, agriculture, public works and industry).</w:t>
      </w:r>
    </w:p>
    <w:p w:rsidR="00000000" w:rsidRDefault="00000000">
      <w:pPr>
        <w:widowControl w:val="0"/>
        <w:autoSpaceDE w:val="0"/>
        <w:autoSpaceDN w:val="0"/>
        <w:spacing w:after="240"/>
        <w:rPr>
          <w:szCs w:val="20"/>
          <w:lang w:val="en-US"/>
        </w:rPr>
      </w:pPr>
      <w:r>
        <w:rPr>
          <w:szCs w:val="20"/>
          <w:lang w:val="en-US"/>
        </w:rPr>
        <w:t>102.</w:t>
      </w:r>
      <w:r>
        <w:rPr>
          <w:szCs w:val="20"/>
          <w:lang w:val="en-US"/>
        </w:rPr>
        <w:tab/>
        <w:t xml:space="preserve">In addition, the Minister of Finance requested the assistance of the Bank in the “ministry of excellence" project to finance the reengineering of the ministry in order to improve internal controls and audit and to professionalize the civil service. Regarding the long-term sustainability of public finances, the government reached a political agreement with all the political parties on the need for specific key economic reforms. This </w:t>
      </w:r>
      <w:r>
        <w:rPr>
          <w:i/>
          <w:iCs/>
          <w:szCs w:val="18"/>
          <w:lang w:val="en-US"/>
        </w:rPr>
        <w:t xml:space="preserve">"Acuerdo Político" </w:t>
      </w:r>
      <w:r>
        <w:rPr>
          <w:szCs w:val="20"/>
          <w:lang w:val="en-US"/>
        </w:rPr>
        <w:t>was signed on October 6, 2003 with all political leaders in the legislature and committed them to pass the following laws on a priority basis:</w:t>
      </w:r>
      <w:r>
        <w:rPr>
          <w:szCs w:val="20"/>
          <w:lang w:val="en-US"/>
        </w:rPr>
        <w:tab/>
      </w:r>
    </w:p>
    <w:p w:rsidR="00000000" w:rsidRDefault="00000000">
      <w:pPr>
        <w:widowControl w:val="0"/>
        <w:autoSpaceDE w:val="0"/>
        <w:autoSpaceDN w:val="0"/>
        <w:spacing w:after="240"/>
        <w:ind w:left="1134" w:hanging="567"/>
        <w:rPr>
          <w:szCs w:val="20"/>
          <w:lang w:val="en-US"/>
        </w:rPr>
      </w:pPr>
      <w:r>
        <w:rPr>
          <w:szCs w:val="20"/>
          <w:lang w:val="en-US"/>
        </w:rPr>
        <w:t>–</w:t>
      </w:r>
      <w:r>
        <w:rPr>
          <w:szCs w:val="20"/>
          <w:lang w:val="en-US"/>
        </w:rPr>
        <w:tab/>
        <w:t>A fiscally responsible budget for 2004 (as described above);</w:t>
      </w:r>
    </w:p>
    <w:p w:rsidR="00000000" w:rsidRDefault="00000000">
      <w:pPr>
        <w:widowControl w:val="0"/>
        <w:autoSpaceDE w:val="0"/>
        <w:autoSpaceDN w:val="0"/>
        <w:spacing w:after="240"/>
        <w:ind w:left="1134" w:hanging="567"/>
        <w:rPr>
          <w:szCs w:val="20"/>
          <w:lang w:val="en-US"/>
        </w:rPr>
      </w:pPr>
      <w:r>
        <w:rPr>
          <w:szCs w:val="20"/>
          <w:lang w:val="en-US"/>
        </w:rPr>
        <w:t>–</w:t>
      </w:r>
      <w:r>
        <w:rPr>
          <w:szCs w:val="20"/>
          <w:lang w:val="en-US"/>
        </w:rPr>
        <w:tab/>
        <w:t xml:space="preserve">A </w:t>
      </w:r>
      <w:r>
        <w:rPr>
          <w:i/>
          <w:iCs/>
          <w:szCs w:val="22"/>
          <w:lang w:val="en-US"/>
        </w:rPr>
        <w:t xml:space="preserve">tax reform </w:t>
      </w:r>
      <w:r>
        <w:rPr>
          <w:szCs w:val="20"/>
          <w:lang w:val="en-US"/>
        </w:rPr>
        <w:t>that would eliminate exemptions, extend the VAT to sectors that to date remained untaxed (e.g., agriculture and professional services), and introduce a personal income tax;</w:t>
      </w:r>
    </w:p>
    <w:p w:rsidR="00000000" w:rsidRDefault="00000000">
      <w:pPr>
        <w:spacing w:after="240"/>
        <w:ind w:left="1134" w:hanging="567"/>
        <w:rPr>
          <w:szCs w:val="20"/>
          <w:lang w:val="en-US"/>
        </w:rPr>
      </w:pPr>
      <w:r>
        <w:rPr>
          <w:szCs w:val="20"/>
          <w:lang w:val="en-US"/>
        </w:rPr>
        <w:t>–</w:t>
      </w:r>
      <w:r>
        <w:rPr>
          <w:szCs w:val="20"/>
          <w:lang w:val="en-US"/>
        </w:rPr>
        <w:tab/>
        <w:t xml:space="preserve">Reforms in </w:t>
      </w:r>
      <w:r>
        <w:rPr>
          <w:i/>
          <w:iCs/>
          <w:szCs w:val="22"/>
          <w:lang w:val="en-US"/>
        </w:rPr>
        <w:t xml:space="preserve">Government pensions </w:t>
      </w:r>
      <w:r>
        <w:rPr>
          <w:szCs w:val="20"/>
          <w:lang w:val="en-US"/>
        </w:rPr>
        <w:t>that would reduce the benefit calculation formulas for new retirees, equalize the conditions for different types of state employees (teachers, military, civil servants, etc.), and abolish the extra year-end pension payment for retirees;</w:t>
      </w:r>
    </w:p>
    <w:p w:rsidR="00000000" w:rsidRDefault="00000000">
      <w:pPr>
        <w:widowControl w:val="0"/>
        <w:autoSpaceDE w:val="0"/>
        <w:autoSpaceDN w:val="0"/>
        <w:spacing w:after="240"/>
        <w:ind w:left="1134" w:hanging="567"/>
        <w:rPr>
          <w:szCs w:val="20"/>
          <w:lang w:val="en-US"/>
        </w:rPr>
      </w:pPr>
      <w:r>
        <w:rPr>
          <w:szCs w:val="20"/>
          <w:lang w:val="en-US"/>
        </w:rPr>
        <w:t>–</w:t>
      </w:r>
      <w:r>
        <w:rPr>
          <w:szCs w:val="20"/>
          <w:lang w:val="en-US"/>
        </w:rPr>
        <w:tab/>
        <w:t xml:space="preserve">A modern </w:t>
      </w:r>
      <w:r>
        <w:rPr>
          <w:i/>
          <w:iCs/>
          <w:szCs w:val="22"/>
          <w:lang w:val="en-US"/>
        </w:rPr>
        <w:t xml:space="preserve">Customs Code </w:t>
      </w:r>
      <w:r>
        <w:rPr>
          <w:szCs w:val="20"/>
          <w:lang w:val="en-US"/>
        </w:rPr>
        <w:t>that would provide financial autonomy to the Customs Service, rationalize procedures and assign responsibilities more clearly;</w:t>
      </w:r>
    </w:p>
    <w:p w:rsidR="00000000" w:rsidRDefault="00000000">
      <w:pPr>
        <w:widowControl w:val="0"/>
        <w:autoSpaceDE w:val="0"/>
        <w:autoSpaceDN w:val="0"/>
        <w:spacing w:after="240"/>
        <w:ind w:left="1134" w:hanging="567"/>
        <w:rPr>
          <w:szCs w:val="20"/>
          <w:lang w:val="en-US"/>
        </w:rPr>
      </w:pPr>
      <w:r>
        <w:rPr>
          <w:szCs w:val="20"/>
          <w:lang w:val="en-US"/>
        </w:rPr>
        <w:t>–</w:t>
      </w:r>
      <w:r>
        <w:rPr>
          <w:szCs w:val="20"/>
          <w:lang w:val="en-US"/>
        </w:rPr>
        <w:tab/>
        <w:t xml:space="preserve">Renegotiation of </w:t>
      </w:r>
      <w:r>
        <w:rPr>
          <w:i/>
          <w:iCs/>
          <w:szCs w:val="22"/>
          <w:lang w:val="en-US"/>
        </w:rPr>
        <w:t>public debt</w:t>
      </w:r>
      <w:r>
        <w:rPr>
          <w:b/>
          <w:bCs/>
          <w:szCs w:val="22"/>
          <w:lang w:val="en-US"/>
        </w:rPr>
        <w:t xml:space="preserve">, </w:t>
      </w:r>
      <w:r>
        <w:rPr>
          <w:szCs w:val="20"/>
          <w:lang w:val="en-US"/>
        </w:rPr>
        <w:t>in particular, rollover of local Treasury bills whose maturities are bunched towards the end of 2003 (as described above);</w:t>
      </w:r>
    </w:p>
    <w:p w:rsidR="00000000" w:rsidRDefault="00000000">
      <w:pPr>
        <w:widowControl w:val="0"/>
        <w:autoSpaceDE w:val="0"/>
        <w:autoSpaceDN w:val="0"/>
        <w:spacing w:after="240"/>
        <w:ind w:left="1134" w:hanging="567"/>
        <w:rPr>
          <w:szCs w:val="20"/>
          <w:lang w:val="en-US"/>
        </w:rPr>
      </w:pPr>
      <w:r>
        <w:rPr>
          <w:szCs w:val="20"/>
          <w:lang w:val="en-US"/>
        </w:rPr>
        <w:t>–</w:t>
      </w:r>
      <w:r>
        <w:rPr>
          <w:szCs w:val="20"/>
          <w:lang w:val="en-US"/>
        </w:rPr>
        <w:tab/>
        <w:t xml:space="preserve">Reorganization of the </w:t>
      </w:r>
      <w:r>
        <w:rPr>
          <w:i/>
          <w:iCs/>
          <w:szCs w:val="22"/>
          <w:lang w:val="en-US"/>
        </w:rPr>
        <w:t>public banks</w:t>
      </w:r>
      <w:r>
        <w:rPr>
          <w:szCs w:val="22"/>
          <w:lang w:val="en-US"/>
        </w:rPr>
        <w:t>,</w:t>
      </w:r>
      <w:r>
        <w:rPr>
          <w:b/>
          <w:bCs/>
          <w:szCs w:val="22"/>
          <w:lang w:val="en-US"/>
        </w:rPr>
        <w:t xml:space="preserve"> </w:t>
      </w:r>
      <w:r>
        <w:rPr>
          <w:szCs w:val="20"/>
          <w:lang w:val="en-US"/>
        </w:rPr>
        <w:t>to create a single first-tier retail window aimed at small farmers and a single second-tier window to channel external resources through the commercial banking system for long-term development loans; and</w:t>
      </w:r>
    </w:p>
    <w:p w:rsidR="00000000" w:rsidRDefault="00000000">
      <w:pPr>
        <w:widowControl w:val="0"/>
        <w:autoSpaceDE w:val="0"/>
        <w:autoSpaceDN w:val="0"/>
        <w:spacing w:after="240"/>
        <w:ind w:left="1134" w:hanging="567"/>
        <w:rPr>
          <w:szCs w:val="20"/>
          <w:lang w:val="en-US"/>
        </w:rPr>
      </w:pPr>
      <w:r>
        <w:rPr>
          <w:szCs w:val="20"/>
          <w:lang w:val="en-US"/>
        </w:rPr>
        <w:t>–</w:t>
      </w:r>
      <w:r>
        <w:rPr>
          <w:szCs w:val="20"/>
          <w:lang w:val="en-US"/>
        </w:rPr>
        <w:tab/>
        <w:t xml:space="preserve">Reorganization of the </w:t>
      </w:r>
      <w:r>
        <w:rPr>
          <w:i/>
          <w:iCs/>
          <w:szCs w:val="22"/>
          <w:lang w:val="en-US"/>
        </w:rPr>
        <w:t xml:space="preserve">public administration </w:t>
      </w:r>
      <w:r>
        <w:rPr>
          <w:szCs w:val="20"/>
          <w:lang w:val="en-US"/>
        </w:rPr>
        <w:t xml:space="preserve">and of the </w:t>
      </w:r>
      <w:r>
        <w:rPr>
          <w:i/>
          <w:iCs/>
          <w:szCs w:val="22"/>
          <w:lang w:val="en-US"/>
        </w:rPr>
        <w:t xml:space="preserve">public enterprises </w:t>
      </w:r>
      <w:r>
        <w:rPr>
          <w:szCs w:val="20"/>
          <w:lang w:val="en-US"/>
        </w:rPr>
        <w:t>to improve their efficiency, introduce financial discipline and incorporate private capital to help finance infrastructure investment.</w:t>
      </w:r>
    </w:p>
    <w:p w:rsidR="00000000" w:rsidRDefault="00000000">
      <w:pPr>
        <w:widowControl w:val="0"/>
        <w:autoSpaceDE w:val="0"/>
        <w:autoSpaceDN w:val="0"/>
        <w:spacing w:after="240"/>
        <w:rPr>
          <w:szCs w:val="20"/>
          <w:lang w:val="en-US"/>
        </w:rPr>
      </w:pPr>
      <w:r>
        <w:rPr>
          <w:szCs w:val="20"/>
          <w:lang w:val="en-US"/>
        </w:rPr>
        <w:t>103.</w:t>
      </w:r>
      <w:r>
        <w:rPr>
          <w:szCs w:val="20"/>
          <w:lang w:val="en-US"/>
        </w:rPr>
        <w:tab/>
        <w:t xml:space="preserve">Five of the above laws have already been sent to Congress (budget, tax, pensions, Customs and public debt) and those relating to the New Customs Code, the Tax Adjustment Act applying the personal income tax system and the Reorganization of Public Banks Act have already been promulgated. </w:t>
      </w:r>
    </w:p>
    <w:p w:rsidR="00000000" w:rsidRDefault="00000000">
      <w:pPr>
        <w:pStyle w:val="Header"/>
        <w:tabs>
          <w:tab w:val="clear" w:pos="4320"/>
          <w:tab w:val="clear" w:pos="8640"/>
        </w:tabs>
        <w:spacing w:after="120"/>
      </w:pP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bCs w:val="0"/>
          <w:lang w:val="en-GB" w:eastAsia="en-US"/>
        </w:rPr>
      </w:pPr>
      <w:r>
        <w:rPr>
          <w:rFonts w:ascii="Times New Roman" w:eastAsia="Times New Roman" w:hAnsi="Times New Roman" w:cs="Times New Roman"/>
          <w:bCs w:val="0"/>
          <w:lang w:val="en-GB" w:eastAsia="en-US"/>
        </w:rPr>
        <w:t>III.  REPORT OF THE OFFICE OF THE OMBUDSMAN</w:t>
      </w:r>
    </w:p>
    <w:p w:rsidR="00000000" w:rsidRDefault="00000000">
      <w:pPr>
        <w:spacing w:after="240"/>
      </w:pPr>
      <w:r>
        <w:t>104.</w:t>
      </w:r>
      <w:r>
        <w:tab/>
        <w:t xml:space="preserve"> The Office of the Ombudsman, as a member of the Inter-agency Commission for Prison Visits, frequently visits the prisons where various anomalies are observed, the most worrying being the situation of prison overcrowding. At the Tacumbú National Prison, with a normal capacity of approximately 600-700 inmates, the current population is 1,810. While some progress has been made in this area, with the inauguration of the Nueva Esperanza Prison, the continuing seriousness of the situation reflects the economic situation of the country and the region, which precludes genuine exercise of most economic, social and cultural rights. However, thanks to the collaboration of the National Vocational Advancement Service, vocational training courses have been provided Meanwhile, the capacity of the Buen Pastor Women’s Prison is over 200, whereas it houses 308 women; the facilities are well organized and show signs of order and cleanliness; it is divided into zones, one of them exclusively for women who have given birth or with children under one year old; they have access to medical staff and to craft workshops  and vocational training activities. This establishment has one of the lowest levels of reported violence compared to the country’s other prisons. The Itauguá Educational Centre for delinquent minors houses boys aged 14-20. With a capacity for 250, it contains some 170 inmates and has a school for  basic education, gardening, bakery and farming.</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GB" w:eastAsia="en-US"/>
        </w:rPr>
      </w:pPr>
      <w:r>
        <w:rPr>
          <w:rFonts w:ascii="Times New Roman" w:eastAsia="Times New Roman" w:hAnsi="Times New Roman" w:cs="Times New Roman"/>
          <w:lang w:val="en-GB" w:eastAsia="en-US"/>
        </w:rPr>
        <w:t>A.  Strengthening of public gender policies</w:t>
      </w:r>
    </w:p>
    <w:p w:rsidR="00000000" w:rsidRDefault="00000000">
      <w:pPr>
        <w:autoSpaceDE w:val="0"/>
        <w:autoSpaceDN w:val="0"/>
        <w:adjustRightInd w:val="0"/>
        <w:spacing w:beforeLines="40" w:before="96" w:afterLines="40" w:after="96"/>
      </w:pPr>
      <w:r>
        <w:rPr>
          <w:lang w:val="en-US"/>
        </w:rPr>
        <w:t>105.</w:t>
      </w:r>
      <w:r>
        <w:rPr>
          <w:lang w:val="en-US"/>
        </w:rPr>
        <w:tab/>
        <w:t xml:space="preserve">The Government programme, with its commitment to strengthen public gender policies through the Secretariat for Women within </w:t>
      </w:r>
      <w:r>
        <w:t>the Office of the President of the Republic, in conjunction with the public and private sectors, has pressed for the adoption of a firm commitment to implement the National Plan on Equal Opportunities for Women 1997-2001 and the mechanisms for inter-agency linkage, decentralization and participation with civil society to that end.</w:t>
      </w:r>
    </w:p>
    <w:p w:rsidR="00000000" w:rsidRDefault="00000000">
      <w:pPr>
        <w:spacing w:after="240"/>
      </w:pPr>
      <w:r>
        <w:t>106.</w:t>
      </w:r>
      <w:r>
        <w:tab/>
        <w:t>The initiatives taken by the Secretariat for Women within the Office of the President of the Republic, with support from women’s organizations, networks and international and cooperation organizations, started in 1993, the year in which the Secretariat was formed. The period since then has been used for cross-cutting gender mainstreaming in public policies and the implementation of programmes and projects designed to attain its objectives as established by Act No. 34/92. A variety of plans have been implemented since 1994, including national plans for the elimination of violence against women and plans to establish equality. This period has witnessed legislative amendments in favour of equality between men and women and non-discrimination against women, including amendments to the Penal, Electoral, and Domestic Violence Codes; ratifications of international conventions, including the Convention of Belém do Pará, the CEDAW Optional Protocol, the Convention against Transnational Organized Crime, the Rome Statute, and commitments under the Beijing and Cairo  Platforms and the Millennium Development Goals, regarding which special reference to gender and the advancement of women is made in this section of the report.</w:t>
      </w:r>
    </w:p>
    <w:p w:rsidR="00000000" w:rsidRDefault="00000000">
      <w:pPr>
        <w:spacing w:after="240"/>
      </w:pPr>
      <w:r>
        <w:t>107.</w:t>
      </w:r>
      <w:r>
        <w:rPr>
          <w:b/>
        </w:rPr>
        <w:tab/>
      </w:r>
      <w:r>
        <w:t>In addition, the establishment of bodies to work in favour of gender policies during this period has resulted in progress and in consolidation of some cases in parliamentary committees of both Chambers, in the Human Rights Unit of the Supreme Court of Justice, in the Office of the Ombudsman and in the Public Prosecutor’s Office. Joint networks have been established in the sectoral ministries, such as Education, Health, Justice and Labour, Agriculture and Livestock, and in the departmental and municipal governments, and there has also been considerable interaction among international external cooperation organizations, such as the United Nations system, OAS, the Inter-American Development Bank, GTZ (the German cooperation agency), the Canadian International Development Agency, the Swedish International Development Cooperation Agency</w:t>
      </w:r>
      <w:r>
        <w:rPr>
          <w:b/>
        </w:rPr>
        <w:t xml:space="preserve"> </w:t>
      </w:r>
      <w:r>
        <w:t>and many others. Women also now enjoy access to positions of power within the current Administration, the national Foreign Ministry, various sectoral ministries and secretariats, the Office of the President of the Central Bank, the National Directorate of Customs and the Supreme Court or Justice.</w:t>
      </w:r>
    </w:p>
    <w:p w:rsidR="00000000" w:rsidRDefault="00000000">
      <w:pPr>
        <w:spacing w:after="240"/>
        <w:rPr>
          <w:b/>
        </w:rPr>
      </w:pPr>
      <w:r>
        <w:t>108.</w:t>
      </w:r>
      <w:r>
        <w:tab/>
        <w:t>Although there have been positive signs of awareness of equality, there is acknowledgement of the persistence of discrimination which is still cultivated and fostered by cultural factors, customs and attitudes. This is why the Secretariat for Women has undertaken activities in nine areas: equal rights for women and men; a culture of equality; access to economic resources and jobs; equity in education; comprehensive healthcare; a life free from violence; a healthy and sustainable environment; social and political participation with equal opportunities; effective decentralization; and establishment of inter-agency measures and civic participation.</w:t>
      </w:r>
    </w:p>
    <w:p w:rsidR="00000000" w:rsidRDefault="00000000">
      <w:pPr>
        <w:spacing w:after="240"/>
      </w:pPr>
      <w:r>
        <w:t>109.</w:t>
      </w:r>
      <w:r>
        <w:tab/>
        <w:t>The main activities concern still require amendments to the law, such as the Penal Code and the Electoral Code in connection with women’s participation, filiation and the necessary food requirements for children and, more directly, women. It also involves cultural changes in society’s view of women, to which end awareness, consciousness-raising and information and other activities for motivating discussion and reflection have been organized. There is also the strengthening of programmes affording women access to economic resources and to employment and education, programmes on health, the fight against violence against women and the fight against human trafficking. Mechanisms for the country’s interior have also been established and guarantee decentralization of gender policies and civic participation in management and decision-making, sustainable development with cross-cutting gender and environmental action policies, and promotion of social participation and gender policies.</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GB" w:eastAsia="en-US"/>
        </w:rPr>
      </w:pPr>
      <w:r>
        <w:rPr>
          <w:rFonts w:ascii="Times New Roman" w:eastAsia="Times New Roman" w:hAnsi="Times New Roman" w:cs="Times New Roman"/>
          <w:lang w:val="en-GB" w:eastAsia="en-US"/>
        </w:rPr>
        <w:t>B.  Establishment of generational public policies: children,</w:t>
      </w:r>
      <w:r>
        <w:rPr>
          <w:rFonts w:ascii="Times New Roman" w:eastAsia="Times New Roman" w:hAnsi="Times New Roman" w:cs="Times New Roman"/>
          <w:lang w:val="en-GB" w:eastAsia="en-US"/>
        </w:rPr>
        <w:br/>
        <w:t>young people and the elderly</w:t>
      </w:r>
    </w:p>
    <w:p w:rsidR="00000000" w:rsidRDefault="00000000">
      <w:pPr>
        <w:spacing w:after="240"/>
      </w:pPr>
      <w:r>
        <w:t>110.</w:t>
      </w:r>
      <w:r>
        <w:tab/>
        <w:t>Among the serious defects in Paraguay’s public policies, one that causes concern is the problem of effective implementation of a comprehensive and cross-cutting approach that caters to the needs, interests and specific potential of children, young people and the elderly, together with the incorporation of a gender perspective. Measures and programmes geared to these groups usually view them as problem groups, and they are even commonly catered for exclusively as risk groups and objects of charity, without due consideration of their rights and potential for full and equal civic participation or their actual contribution to the tasks of society.</w:t>
      </w:r>
    </w:p>
    <w:p w:rsidR="00000000" w:rsidRDefault="00000000">
      <w:pPr>
        <w:keepNext/>
        <w:spacing w:after="240"/>
        <w:jc w:val="center"/>
        <w:rPr>
          <w:b/>
          <w:bCs/>
        </w:rPr>
      </w:pPr>
      <w:r>
        <w:rPr>
          <w:b/>
          <w:bCs/>
        </w:rPr>
        <w:t>C.  Egalitarian labour and employment policies</w:t>
      </w:r>
    </w:p>
    <w:p w:rsidR="00000000" w:rsidRDefault="00000000">
      <w:pPr>
        <w:keepNext/>
        <w:spacing w:after="240"/>
      </w:pPr>
      <w:r>
        <w:t>111.</w:t>
      </w:r>
      <w:r>
        <w:tab/>
        <w:t>Women’s economic participation has increased considerably, as reflected in the increased number of women among the economically active population (EAP). It is currently vital for women to engage in paid work in order to lift their families out of poverty. However, they continue to be solely responsible for domestic tasks. While their participation in productive labour in rural areas is indisputable, recognition of such work is not reflected in national statistics, public policies, etc.</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GB" w:eastAsia="en-US"/>
        </w:rPr>
      </w:pPr>
      <w:r>
        <w:rPr>
          <w:rFonts w:ascii="Times New Roman" w:eastAsia="Times New Roman" w:hAnsi="Times New Roman" w:cs="Times New Roman"/>
          <w:lang w:val="en-GB" w:eastAsia="en-US"/>
        </w:rPr>
        <w:t>D.  Economic reorientation and recovery, uprooting of poverty, integration</w:t>
      </w:r>
      <w:r>
        <w:rPr>
          <w:rFonts w:ascii="Times New Roman" w:eastAsia="Times New Roman" w:hAnsi="Times New Roman" w:cs="Times New Roman"/>
          <w:lang w:val="en-GB" w:eastAsia="en-US"/>
        </w:rPr>
        <w:br/>
        <w:t>and sustainable human development with full inclusion of women</w:t>
      </w:r>
    </w:p>
    <w:p w:rsidR="00000000" w:rsidRDefault="00000000">
      <w:pPr>
        <w:spacing w:after="240"/>
      </w:pPr>
      <w:r>
        <w:t>112.</w:t>
      </w:r>
      <w:r>
        <w:tab/>
        <w:t>For their part, the Ministry of Justice and Labour and the Secretariat for Women signed a joint cooperation agreement to implement a programme of action comprising various components that will help improve public policies designed to give Paraguayan women better access to economic resources and employment. Provided for under the second National Plan on Equal Opportunities for Women and Men (2003 -2007), the cooperation agreement will provide training activities for women workers. Experts claim that it also ensures the full observance of the human rights of women prisoners throughout the country. Its implementation will include the formation of a technical team charged with devising the plan of operations for bodies of both entities, insofar as budgetary resources allow. The Minister for Women’s Affairs, María José Argaña, is of the view that “Paraguayan women, when compared with men, live in unequal conditions in all spheres, especially the economic sphere”.</w:t>
      </w:r>
    </w:p>
    <w:p w:rsidR="00000000" w:rsidRDefault="00000000">
      <w:pPr>
        <w:spacing w:after="240"/>
      </w:pPr>
      <w:r>
        <w:t>113.</w:t>
      </w:r>
      <w:r>
        <w:tab/>
        <w:t>Figures show that female unemployment stands at 18 per cent while male unemployment is only half that amount; where salaries are concerned, women earn 73.1 per cent of men’s monthly earnings, according to the Minister. In earlier meetings with leaders of business and industry Ms. Argaña pointed out that in order to overcome poverty it was essential that women should be integrated into the labour market. The signing of this new agreement - which will enter into force immediately, is of three years’ duration and may be extended - is an initiative of the Secretariat for Women to support the demands of the female sex. Earlier this month this department of State launched a campaign against sexual harassment. At its inauguration it was claimed that men were also victims of this offence, but statistics show a greater incidence among women.</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GB" w:eastAsia="en-US"/>
        </w:rPr>
      </w:pPr>
      <w:r>
        <w:rPr>
          <w:rFonts w:ascii="Times New Roman" w:eastAsia="Times New Roman" w:hAnsi="Times New Roman" w:cs="Times New Roman"/>
          <w:lang w:val="en-GB" w:eastAsia="en-US"/>
        </w:rPr>
        <w:t>E.  Promotion of women’s access to power in order to achieve</w:t>
      </w:r>
      <w:r>
        <w:rPr>
          <w:rFonts w:ascii="Times New Roman" w:eastAsia="Times New Roman" w:hAnsi="Times New Roman" w:cs="Times New Roman"/>
          <w:lang w:val="en-GB" w:eastAsia="en-US"/>
        </w:rPr>
        <w:br/>
        <w:t>labour equality</w:t>
      </w:r>
    </w:p>
    <w:p w:rsidR="00000000" w:rsidRDefault="00000000">
      <w:pPr>
        <w:spacing w:after="240"/>
      </w:pPr>
      <w:r>
        <w:t>114.</w:t>
      </w:r>
      <w:r>
        <w:tab/>
        <w:t>In 2005 the Paraguayan Secretariat for Women established a Women’s Leadership Centre, a scheme supported by the Superior Court of Electoral Justice (TSJE). The Centre is a body that promotes women’s access to the country’s power structures. It is intended to provide differentiated training for young and adult women and guide them towards positions of power and so break down the barriers that impede their access to decision-making, and fostering in them attitudes and skills conducive to building a more equitable society. The proposed goal is to train 1,000 women during the first year and 100,000 by 2008. The Centre was inaugurated at a highly significant period for Paraguay, because “we are in transition towards the incorporation of more opportunities for women in elected posts on the eve of new elections of parties and administrations and three years away from the next general elections. This is why the goal must be to improve women’s access to power structures.” The opening of the Centre is in line with the guidelines of the second Plan on Equal Opportunities and the eighth Plan on Social and Political Participation and fulfils the recommendations contained in the Convention on the Elimination of All Forms of Discrimination against Women. It should also be pointed out that in January 2005 Paraguay defended its report before the CEDAW Committee, whose observations were not only disseminated, but also incorporated into action plans; they also served as a guide for the drafting of this report in order to indicate the progress made and the main concerns at the national level.</w:t>
      </w:r>
    </w:p>
    <w:p w:rsidR="00000000" w:rsidRDefault="00000000">
      <w:pPr>
        <w:spacing w:after="240"/>
        <w:jc w:val="center"/>
        <w:rPr>
          <w:b/>
        </w:rPr>
      </w:pPr>
      <w:r>
        <w:rPr>
          <w:b/>
        </w:rPr>
        <w:t>IV.</w:t>
      </w:r>
      <w:r>
        <w:rPr>
          <w:b/>
        </w:rPr>
        <w:tab/>
        <w:t>NORMATIVE FRAMEWORK FOR THE PROTECTION</w:t>
      </w:r>
      <w:r>
        <w:rPr>
          <w:b/>
        </w:rPr>
        <w:br/>
        <w:t>OF HUMAN RIGHTS</w:t>
      </w:r>
      <w:r>
        <w:rPr>
          <w:rStyle w:val="FootnoteReference"/>
          <w:b/>
          <w:bCs/>
        </w:rPr>
        <w:footnoteReference w:id="12"/>
      </w:r>
    </w:p>
    <w:p w:rsidR="00000000" w:rsidRDefault="00000000">
      <w:pPr>
        <w:spacing w:after="240"/>
      </w:pPr>
      <w:r>
        <w:t>115.</w:t>
      </w:r>
      <w:r>
        <w:tab/>
        <w:t>On 12 July 2004 the Republic of Paraguay submitted its periodic report to the Committee on Civil and Political Rights, which considered it on 19 and 20 October 2005. That report contained up-to-date information on the human rights situation in Paraguay, as well all date relating to the normative framework for the protection of such rights. In this connection, that report contains a detailed list of the mechanisms of Paraguay’s legal framework for the promotion and protection of human rights, since which time there have been no changes in the protection system, with the exception of the new draft Statute of Indigenous Communities, intended to abrogate Act No. 904 and introduce changes in the existing legislation. However, to date, since the promulgation by the Legislature, the draft law is being considered by the Executive for subsequent promulgation or, failing that, the veto and return to the committees of the National Congress, a process that is currently at a standstill owing to disagreement expressed by certain sectors of the indigenous communities.</w:t>
      </w:r>
    </w:p>
    <w:p w:rsidR="00000000" w:rsidRDefault="00000000">
      <w:pPr>
        <w:spacing w:after="240"/>
        <w:jc w:val="center"/>
        <w:rPr>
          <w:b/>
        </w:rPr>
      </w:pPr>
      <w:r>
        <w:rPr>
          <w:b/>
        </w:rPr>
        <w:t>V.  SECOND PART: REPLY TO THE LIST OF ISSUES ON ECONOMIC,</w:t>
      </w:r>
      <w:r>
        <w:rPr>
          <w:b/>
        </w:rPr>
        <w:br/>
        <w:t>SOCIAL AND CULTURAL RIGHTS</w:t>
      </w:r>
      <w:r>
        <w:rPr>
          <w:rStyle w:val="FootnoteReference"/>
          <w:b/>
          <w:bCs/>
        </w:rPr>
        <w:footnoteReference w:id="13"/>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bCs w:val="0"/>
          <w:smallCaps/>
          <w:lang w:val="en-GB" w:eastAsia="en-US"/>
        </w:rPr>
      </w:pPr>
      <w:r>
        <w:rPr>
          <w:rFonts w:ascii="Times New Roman" w:eastAsia="Times New Roman" w:hAnsi="Times New Roman" w:cs="Times New Roman"/>
          <w:bCs w:val="0"/>
          <w:smallCaps/>
          <w:lang w:val="en-GB" w:eastAsia="en-US"/>
        </w:rPr>
        <w:t>Article 1</w:t>
      </w:r>
    </w:p>
    <w:p w:rsidR="00000000" w:rsidRDefault="00000000">
      <w:pPr>
        <w:spacing w:after="240"/>
      </w:pPr>
      <w:r>
        <w:t>116.</w:t>
      </w:r>
      <w:r>
        <w:tab/>
        <w:t>The exercise of the right of self-determination, and in particular regarding self-determination of indigenous peoples, is unequivocally established in Paraguay in the 1992 Constitution. Chapter V, “Concerning Indigenous Peoples”, article 62 of which, “ Concerning Indigenous Peoples and Ethnic Groups”, states that “the Constitution recognizes the existence of indigenous peoples, defined as cultural groups that existed prior to the establishment of the Paraguayan State”. article 63, “Concerning Ethnic Identity”, is even clearer, stipulating that: “t</w:t>
      </w:r>
      <w:r>
        <w:rPr>
          <w:spacing w:val="14"/>
          <w:lang w:val="en-US"/>
        </w:rPr>
        <w:t xml:space="preserve">he </w:t>
      </w:r>
      <w:r>
        <w:rPr>
          <w:lang w:val="en-US"/>
        </w:rPr>
        <w:t xml:space="preserve">right of indigenous peoples to preserve and develop their own ethnic identity in their own habitats is recognized and guaranteed. They also have the right freely to apply their systems of political, social, economic, cultural and religious organization and voluntarily to observe customary practices for the regulation of their domestic coexistence, provided that none of them runs counter to the fundamental rights established in this Constitution. In conflicts of jurisdiction, account shall be taken of indigenous customary law.” article 64, “Concerning communal property”, stipulates </w:t>
      </w:r>
      <w:r>
        <w:rPr>
          <w:i/>
          <w:lang w:val="en-US"/>
        </w:rPr>
        <w:t>in fine</w:t>
      </w:r>
      <w:r>
        <w:rPr>
          <w:lang w:val="en-US"/>
        </w:rPr>
        <w:t>: “Any removal or resettlement from their habitat is prohibited without their express consent</w:t>
      </w:r>
      <w:r>
        <w:rPr>
          <w:spacing w:val="12"/>
          <w:lang w:val="en-US"/>
        </w:rPr>
        <w:t>”.</w:t>
      </w:r>
    </w:p>
    <w:p w:rsidR="00000000" w:rsidRDefault="00000000">
      <w:pPr>
        <w:spacing w:after="240"/>
      </w:pPr>
      <w:r>
        <w:t>117.</w:t>
      </w:r>
      <w:r>
        <w:tab/>
        <w:t>These rights are also recognized in the same spirit in the basic Act (the Statute of Indigenous Communities Act, No. 904/81), and in Act No. 234/93 approving ILO Convention No. 169 concerning Indigenous and Tribal Peoples in Independent Countries.</w:t>
      </w:r>
    </w:p>
    <w:p w:rsidR="00000000" w:rsidRDefault="00000000">
      <w:pPr>
        <w:pStyle w:val="NormalWeb"/>
        <w:spacing w:before="0" w:beforeAutospacing="0" w:after="240" w:afterAutospacing="0"/>
      </w:pPr>
      <w:r>
        <w:t>118.</w:t>
      </w:r>
      <w:r>
        <w:tab/>
        <w:t>With regard to the legislative and other measures taken by the State for the full enjoyment of their cultural heritage by national ethnic groups, minorities and indigenous peoples, mention may be made of article 65 of the Constitution, “Concerning the right to participation”, which "guarantees the indigenous peoples the right to participate in the economic, social, political and cultural life of the country in accordance with their practices and customs, the Constitution and national laws"; article 66, “Concerning Education and Assistance”, stipulates: “The State shall respect the cultural heritage of Indian peoples, especially regarding their formal education. At their request, the State will also defend them against demographic decline, the degradation of their habitat, environmental contamination, economical exploitation and cultural alienation", while article77, “Concerning mother-tongue instruction”, stipulates: "Teaching in the early school career will be in the official language of which the student is a native speaker. Students will be taught to understand and to use both official languages of the Republic likewise […]. Ethnic minorities whose native language is not Guaraní may choose one of the two official languages."</w:t>
      </w:r>
    </w:p>
    <w:p w:rsidR="00000000" w:rsidRDefault="00000000">
      <w:pPr>
        <w:spacing w:after="240"/>
      </w:pPr>
      <w:r>
        <w:rPr>
          <w:lang w:val="en-US"/>
        </w:rPr>
        <w:t>119.</w:t>
      </w:r>
      <w:r>
        <w:rPr>
          <w:lang w:val="en-US"/>
        </w:rPr>
        <w:tab/>
      </w:r>
      <w:r>
        <w:t>Regarding positive aspects, there are laws that especially protect indigenous communities and other more vulnerable groups previously mentioned, in addition to the Code of Criminal Procedure in force which provides for differentiated treatment of an implicated indigenous person. At the same time, land has been acquired for the indigenous people, and the Paraguayan Institute for Indigenous Peoples (INDI) provides them, as far as possible, with legal protection through its legal department, especially under civil law in cases of claims, eviction and so forth. That Institute also comes up against negative aspects such as judges’ and even the National Parliament’s lack of understanding of indigenous issues, especially in the area of expropriation, and particularly regarding the shortage of economic and financial resources for appropriate compensation to owners of expropriated land.</w:t>
      </w:r>
    </w:p>
    <w:p w:rsidR="00000000" w:rsidRDefault="00000000">
      <w:pPr>
        <w:spacing w:after="240"/>
      </w:pPr>
      <w:r>
        <w:t>120.</w:t>
      </w:r>
      <w:r>
        <w:tab/>
        <w:t>According to data produced by the 2002 Indigenous National Population and Housing Census, the country’s indigenous inhabitants are located mainly in rural areas (91.5 per cent). The remainder (8.5 per cent) are located in urban areas with a significant presence of five ethnic groups: Maka (77.4 per cent); Maskoy (32.7 per cent); western Guaraní (29.4 per cent); Nivacle (25.2 per cent); and Exnet (24.4 per cent).</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bCs w:val="0"/>
          <w:lang w:val="en-GB" w:eastAsia="en-US"/>
        </w:rPr>
      </w:pPr>
      <w:r>
        <w:rPr>
          <w:rFonts w:ascii="Times New Roman" w:eastAsia="Times New Roman" w:hAnsi="Times New Roman" w:cs="Times New Roman"/>
          <w:bCs w:val="0"/>
          <w:lang w:val="en-GB" w:eastAsia="en-US"/>
        </w:rPr>
        <w:t>A.  Overall report on the indigenous situation</w:t>
      </w:r>
    </w:p>
    <w:p w:rsidR="00000000" w:rsidRDefault="00000000">
      <w:pPr>
        <w:spacing w:after="240"/>
      </w:pPr>
      <w:r>
        <w:t>121.</w:t>
      </w:r>
      <w:r>
        <w:tab/>
        <w:t>In its zeal to deal with issues relating to the urban indigenous population, INDI launched a process of inter-agency linkage with the Ministry of Public Health and Social Welfare, the Secretariat for Social Action, the National Emergencies Secretariat and the National Secretariat for Child and Adolescent Affairs. Together with this last body, a start was made on tackling the issue of indigenous street children, one of the most problematic aspects of indigenous urban daily life, making it possible to rescue indigenous children at risk or abandoned. As a result, most of them today live in their communities far from the risk of addiction.</w:t>
      </w:r>
    </w:p>
    <w:p w:rsidR="00000000" w:rsidRDefault="00000000">
      <w:pPr>
        <w:spacing w:after="240"/>
      </w:pPr>
      <w:r>
        <w:t>122.</w:t>
      </w:r>
      <w:r>
        <w:tab/>
        <w:t>At the same time, and in parallel with containment and emergency activities in favour of these indigenous families, INDI initiated action to address the underlying problem: abandonment and uprooting from their communities. To that end a new approach to their social management was adopted, with provision of assistance to indigenous people in their own communities so as to respond more effectively to existing needs and promote their development at the same time.</w:t>
      </w:r>
    </w:p>
    <w:p w:rsidR="00000000" w:rsidRDefault="00000000">
      <w:pPr>
        <w:spacing w:after="240"/>
      </w:pPr>
      <w:r>
        <w:t>123.</w:t>
      </w:r>
      <w:r>
        <w:tab/>
        <w:t>A sizeable part of the responses to these needs comprises regular delivery of food (rice, noodles, kidney beans, white corn, sugar, tea, biscuits, oil and preserved meat). By delivering these foodstuffs to the communities the Institute ensures that the provisions actually reach the families, since they do not fall under the leadership’s discretionary authority. This approach was adopted in response to the observation that in some cases leaders were enriching themselves with the provisions received, with the result that the provisions never reached genuinely needy families. The provisions are generally distributed for day-to-day consumption as food support during production periods or to strengthen nutritional content in the presence of illness. In addition to food, families receive tools and seed in order to launch the growing of food for personal consumption.</w:t>
      </w:r>
    </w:p>
    <w:p w:rsidR="00000000" w:rsidRDefault="00000000">
      <w:pPr>
        <w:spacing w:after="240"/>
      </w:pPr>
      <w:r>
        <w:t>124.</w:t>
      </w:r>
      <w:r>
        <w:tab/>
        <w:t>Special mention should be made of the provision of foodstuffs, tents and medical care to the indigenous inhabitants who lived in Plaza Italia for one month awaiting approval of the new Indigenous Statute. This task was supported by the National Directorate of Charity and Social Assistance (DIBEN) and the National Emergencies Secretariat (SEN). A parallel activity was developed with the indigenous persons who camped at the Metropolitan Seminary to protest against the Act approved by Congress. This draft Act is currently under partial veto by the Executive.</w:t>
      </w:r>
    </w:p>
    <w:p w:rsidR="00000000" w:rsidRDefault="00000000">
      <w:pPr>
        <w:spacing w:after="240"/>
      </w:pPr>
      <w:r>
        <w:t>125.</w:t>
      </w:r>
      <w:r>
        <w:tab/>
        <w:t>With regard to health care, the institution coordinates its work with the Ministry of Public Health and Social Welfare through the various clinics, hospitals, the Juan Max Boettner Institute, the Mother and Child Institute, the Medical Emergencies, the Clinics Hospital, the Military Hospital and others, which constitute receptacles for these communities’ care needs. An overall evaluation of the health status of the indigenous people normally assisted by INDI shows that the main problems include acute respiratory infection, acute diarrhoea, parisitosis, anaemia, deficient nutrition and tuberculosis.</w:t>
      </w:r>
    </w:p>
    <w:p w:rsidR="00000000" w:rsidRDefault="00000000">
      <w:pPr>
        <w:spacing w:after="240"/>
      </w:pPr>
      <w:r>
        <w:t>126.</w:t>
      </w:r>
      <w:r>
        <w:tab/>
        <w:t>The Institute’s budget is 6 billion guaraníes, enabling it to reach 22 of the existing 412 communities. However, thanks to efforts to optimize resources, INDI currently reaches 60 communities comprising some 1,200 families. It should be noted that indigenous people temporarily located in the capital regularly approach INDI, which, given its very limited space for the number of persons it receives, is in not equipped to provide temporary shelter, although it quite often does so.</w:t>
      </w:r>
    </w:p>
    <w:p w:rsidR="00000000" w:rsidRDefault="00000000">
      <w:pPr>
        <w:spacing w:after="240"/>
      </w:pPr>
      <w:r>
        <w:t>127.</w:t>
      </w:r>
      <w:r>
        <w:tab/>
        <w:t>Part of the provisional care offered to indigenous people who approach the Institute, either to seek medical care or to initiate action with INDI or with other bodies, as well as those who come to demonstrate and occupy various squares, is to provide them with three meals a day. The latter (demonstrators) are usually brought by leaders of their communities or other individuals or organizations in order to file claims, although they are often also unscrupulously manipulated by private interests. This is one more consequence of their vulnerability.</w:t>
      </w:r>
      <w:r>
        <w:rPr>
          <w:rStyle w:val="FootnoteReference"/>
          <w:b/>
          <w:bCs/>
        </w:rPr>
        <w:footnoteReference w:id="14"/>
      </w:r>
    </w:p>
    <w:p w:rsidR="00000000" w:rsidRDefault="00000000">
      <w:pPr>
        <w:pStyle w:val="xl27"/>
        <w:keepNext/>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bCs w:val="0"/>
          <w:lang w:val="en-GB" w:eastAsia="en-US"/>
        </w:rPr>
      </w:pPr>
      <w:r>
        <w:rPr>
          <w:rFonts w:ascii="Times New Roman" w:eastAsia="Times New Roman" w:hAnsi="Times New Roman" w:cs="Times New Roman"/>
          <w:bCs w:val="0"/>
          <w:lang w:val="en-GB" w:eastAsia="en-US"/>
        </w:rPr>
        <w:t>B.  Programmes and projects in operation</w:t>
      </w:r>
    </w:p>
    <w:p w:rsidR="00000000" w:rsidRDefault="00000000">
      <w:pPr>
        <w:keepNext/>
        <w:spacing w:after="240"/>
        <w:ind w:left="1134" w:hanging="567"/>
      </w:pPr>
      <w:r>
        <w:t>–</w:t>
      </w:r>
      <w:r>
        <w:tab/>
        <w:t>Project for institutional strengthening of Paraguay’s indigenous organizations, with support from the Inter-American Development Bank (IDB).</w:t>
      </w:r>
    </w:p>
    <w:p w:rsidR="00000000" w:rsidRDefault="00000000">
      <w:pPr>
        <w:keepNext/>
        <w:spacing w:after="240"/>
        <w:ind w:left="1134" w:hanging="567"/>
      </w:pPr>
      <w:r>
        <w:t>–</w:t>
      </w:r>
      <w:r>
        <w:tab/>
        <w:t>Project for improving the health care and food security system for indigenous communities in the Departments of Caaguazú, Presidente Hayes and Boquerón, with help from the Korean International Cooperation Agency (KOICA).</w:t>
      </w:r>
    </w:p>
    <w:p w:rsidR="00000000" w:rsidRDefault="00000000">
      <w:pPr>
        <w:keepNext/>
        <w:spacing w:after="240"/>
        <w:ind w:left="1134" w:hanging="567"/>
      </w:pPr>
      <w:r>
        <w:t>–</w:t>
      </w:r>
      <w:r>
        <w:tab/>
        <w:t>Programme for social reintegration of indigenous street families: organizational strengthening and enhancement of production of their original communities, in coordination with the National Secretariat for Child and Adolescent Affairs (SNNA).</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bCs w:val="0"/>
          <w:smallCaps/>
          <w:lang w:val="en-GB" w:eastAsia="en-US"/>
        </w:rPr>
      </w:pPr>
      <w:r>
        <w:rPr>
          <w:rFonts w:ascii="Times New Roman" w:eastAsia="Times New Roman" w:hAnsi="Times New Roman" w:cs="Times New Roman"/>
          <w:bCs w:val="0"/>
          <w:smallCaps/>
          <w:lang w:val="en-GB" w:eastAsia="en-US"/>
        </w:rPr>
        <w:t>Article 2</w:t>
      </w:r>
    </w:p>
    <w:p w:rsidR="00000000" w:rsidRDefault="00000000">
      <w:pPr>
        <w:spacing w:after="240"/>
      </w:pPr>
      <w:r>
        <w:t>128.</w:t>
      </w:r>
      <w:r>
        <w:tab/>
        <w:t>Article 46 of the National Constitution establishes the framework for equality among individuals, stipulating that: “</w:t>
      </w:r>
      <w:r>
        <w:rPr>
          <w:lang w:val="en-US"/>
        </w:rPr>
        <w:t>All residents of the Republic are equal as far as dignity and rights are concerned. No discrimination is permitted. The State shall remove those obstacles and prevent those factors that maintain or promote discrimination.” It goes on to state that: “Guarantees aimed at preventing unjust inequalities shall be considered as not discriminatory but egalitarian factors.”</w:t>
      </w:r>
    </w:p>
    <w:p w:rsidR="00000000" w:rsidRDefault="00000000">
      <w:pPr>
        <w:spacing w:after="240"/>
      </w:pPr>
      <w:r>
        <w:t>129.</w:t>
      </w:r>
      <w:r>
        <w:tab/>
        <w:t>In this connection, while the Paraguayan legal framework contains no discriminatory obstacles to enjoyment of the rights enshrined in the Covenant, especially against any vulnerable group, Act No. 2352 has as its main aim the establishment of a border security zone so as to protect the border strip against privatization of Paraguayan territory for the use of aliens. In this way:</w:t>
      </w:r>
    </w:p>
    <w:p w:rsidR="00000000" w:rsidRDefault="00000000">
      <w:pPr>
        <w:spacing w:after="240"/>
      </w:pPr>
      <w:r>
        <w:t>130.</w:t>
      </w:r>
      <w:r>
        <w:tab/>
        <w:t>Act No. 2532,article 1, establishes as “</w:t>
      </w:r>
      <w:r>
        <w:rPr>
          <w:i/>
        </w:rPr>
        <w:t>a border security zone</w:t>
      </w:r>
      <w:r>
        <w:t>” the 50-kilometre strip adjacent to the land and river borders within the national territory. Article 2 : In the absence of authorization by decree of the Executive branch based on reasons of public interest, such as activities that generate jobs for the workforce in the border security zone, aliens originating in any of the countries bordering the Republic, or corporate bodies comprising a majority of aliens originating in any of the countries bordering the Republic, are not entitled to ownership, joint ownership, or usufruct of rural landed property.</w:t>
      </w:r>
    </w:p>
    <w:p w:rsidR="00000000" w:rsidRDefault="00000000">
      <w:pPr>
        <w:spacing w:after="240"/>
      </w:pPr>
      <w:r>
        <w:t>131.</w:t>
      </w:r>
      <w:r>
        <w:tab/>
        <w:t>Act No. 1863, article 45, “</w:t>
      </w:r>
      <w:r>
        <w:rPr>
          <w:i/>
        </w:rPr>
        <w:t>Limited borderland allocation</w:t>
      </w:r>
      <w:r>
        <w:t>”, establishes that in official settlements land shall be awarded exclusively to Paraguayan citizens, with the exception established in the Act itself. In private settlements established on the basis of the promulgation of this borderland Act, considered as the strip of the national territory extending 50 kilometres inwards from its border, the resulting lots shall be awarded in a proportion of not less than 50 per cent (fifty per cent) to Paraguayan citizens.</w:t>
      </w:r>
    </w:p>
    <w:p w:rsidR="00000000" w:rsidRDefault="00000000">
      <w:pPr>
        <w:spacing w:after="240"/>
      </w:pPr>
      <w:r>
        <w:t>132.</w:t>
      </w:r>
      <w:r>
        <w:tab/>
        <w:t>Regarding legislation on foreign labour, especially in respect of permits to work or reside in the country, the Migration Act establishes:</w:t>
      </w:r>
    </w:p>
    <w:p w:rsidR="00000000" w:rsidRDefault="00000000">
      <w:pPr>
        <w:spacing w:after="240"/>
        <w:ind w:left="1134" w:hanging="567"/>
      </w:pPr>
      <w:r>
        <w:t>–</w:t>
      </w:r>
      <w:r>
        <w:tab/>
      </w:r>
      <w:r>
        <w:rPr>
          <w:bCs/>
          <w:i/>
          <w:iCs/>
        </w:rPr>
        <w:t xml:space="preserve">Article 62: </w:t>
      </w:r>
      <w:r>
        <w:t>Prohibits aliens residing illegally in the country from working for pay or remuneration, whether self-employed or for an employer, and with or without a relationship of dependency.</w:t>
      </w:r>
    </w:p>
    <w:p w:rsidR="00000000" w:rsidRDefault="00000000">
      <w:pPr>
        <w:spacing w:after="240"/>
        <w:ind w:left="1134" w:hanging="567"/>
      </w:pPr>
      <w:r>
        <w:t>–</w:t>
      </w:r>
      <w:r>
        <w:tab/>
      </w:r>
      <w:r>
        <w:rPr>
          <w:bCs/>
          <w:i/>
          <w:iCs/>
        </w:rPr>
        <w:t xml:space="preserve">Article 63: </w:t>
      </w:r>
      <w:r>
        <w:t>No physical or legal person, public or private, may provide work or paid occupation to aliens residing in the country illegally or who, residing there legally,  are not entitled to perform such tasks.</w:t>
      </w:r>
    </w:p>
    <w:p w:rsidR="00000000" w:rsidRDefault="00000000">
      <w:pPr>
        <w:spacing w:after="240"/>
        <w:ind w:left="1134" w:hanging="567"/>
      </w:pPr>
      <w:r>
        <w:t>–</w:t>
      </w:r>
      <w:r>
        <w:tab/>
      </w:r>
      <w:r>
        <w:rPr>
          <w:bCs/>
          <w:i/>
          <w:iCs/>
        </w:rPr>
        <w:t xml:space="preserve">Article 68: </w:t>
      </w:r>
      <w:r>
        <w:t>Any employer, in providing work or employment to or hiring aliens, whether to perform tasks on their own account or in a relationship of dependency, shall require him or her without exception to present the Paraguayan identification document stating that the alien is a permanent or temporary resident; and in the latter case that the period of his or her stay is valid that he or she is authorized to work.</w:t>
      </w:r>
    </w:p>
    <w:p w:rsidR="00000000" w:rsidRDefault="00000000">
      <w:pPr>
        <w:spacing w:after="240"/>
        <w:ind w:left="1134" w:hanging="567"/>
      </w:pPr>
      <w:r>
        <w:t>–</w:t>
      </w:r>
      <w:r>
        <w:tab/>
      </w:r>
      <w:r>
        <w:rPr>
          <w:bCs/>
          <w:i/>
          <w:iCs/>
        </w:rPr>
        <w:t xml:space="preserve">Article 69: </w:t>
      </w:r>
      <w:r>
        <w:t>Owners, managers or supervisors of hotels, boarding-houses or similar businesses may not provide lodgings to aliens who are in the country illegally.</w:t>
      </w:r>
    </w:p>
    <w:p w:rsidR="00000000" w:rsidRDefault="00000000">
      <w:pPr>
        <w:spacing w:after="240"/>
        <w:ind w:left="1134" w:hanging="567"/>
      </w:pPr>
      <w:r>
        <w:t>–</w:t>
      </w:r>
      <w:r>
        <w:tab/>
      </w:r>
      <w:r>
        <w:rPr>
          <w:bCs/>
          <w:i/>
          <w:iCs/>
        </w:rPr>
        <w:t xml:space="preserve">Article 70: </w:t>
      </w:r>
      <w:r>
        <w:t>Any irregularity regarding stays of migrants detected by persons offering work or lodging to an alien must be reported to the immigration authority within 48 hours so that the latter may exercise the powers set forth in this Act.</w:t>
      </w:r>
    </w:p>
    <w:p w:rsidR="00000000" w:rsidRDefault="00000000">
      <w:pPr>
        <w:spacing w:after="240"/>
        <w:ind w:left="567"/>
      </w:pPr>
      <w:r>
        <w:t>–</w:t>
      </w:r>
      <w:r>
        <w:tab/>
      </w:r>
      <w:r>
        <w:rPr>
          <w:bCs/>
          <w:i/>
          <w:iCs/>
        </w:rPr>
        <w:t xml:space="preserve">Article 71: </w:t>
      </w:r>
      <w:r>
        <w:t xml:space="preserve">For purposes of verifying enforcement of the aforementioned provision, </w:t>
      </w:r>
      <w:r>
        <w:tab/>
        <w:t xml:space="preserve">the Directorate- General of Migration may undertake inspections of workplaces and </w:t>
      </w:r>
      <w:r>
        <w:tab/>
        <w:t>lodgings and duly report any infringement of the relevant provisions.</w:t>
      </w:r>
    </w:p>
    <w:p w:rsidR="00000000" w:rsidRDefault="00000000">
      <w:pPr>
        <w:spacing w:after="240"/>
        <w:ind w:left="567"/>
      </w:pPr>
      <w:r>
        <w:t>–</w:t>
      </w:r>
      <w:r>
        <w:tab/>
      </w:r>
      <w:r>
        <w:rPr>
          <w:bCs/>
          <w:i/>
          <w:iCs/>
        </w:rPr>
        <w:t xml:space="preserve">Article 72: </w:t>
      </w:r>
      <w:r>
        <w:t xml:space="preserve">Corroboration of the infringement does not exempt employers from the </w:t>
      </w:r>
      <w:r>
        <w:tab/>
        <w:t xml:space="preserve">payment of wages, salaries or other remuneration to the person to whom work or </w:t>
      </w:r>
      <w:r>
        <w:tab/>
        <w:t>lodgings were given in violation of the provisions of this Act.</w:t>
      </w:r>
    </w:p>
    <w:p w:rsidR="00000000" w:rsidRDefault="00000000">
      <w:pPr>
        <w:spacing w:after="240"/>
      </w:pPr>
      <w:r>
        <w:t>133.</w:t>
      </w:r>
      <w:r>
        <w:tab/>
        <w:t>At the same time Paraguay is almost exclusively a recipient of international cooperation; however, in the past decade the national army has formed part of peace missions organized by the United Nations and the Organization of American States. Accordingly, while the missions are military in character, every effort is made to ensure that the Paraguayan contingent is properly instructed in the matter of human rights and that the relevant regulations are translated into strict respect for human dignity. In this way it also contributes to the enforceability of human rights in those peacekeeping missions.</w:t>
      </w:r>
      <w:r>
        <w:rPr>
          <w:rStyle w:val="FootnoteReference"/>
          <w:b/>
          <w:bCs/>
        </w:rPr>
        <w:footnoteReference w:id="15"/>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bCs w:val="0"/>
          <w:smallCaps/>
          <w:lang w:val="en-GB" w:eastAsia="en-US"/>
        </w:rPr>
      </w:pPr>
      <w:r>
        <w:rPr>
          <w:rFonts w:ascii="Times New Roman" w:eastAsia="Times New Roman" w:hAnsi="Times New Roman" w:cs="Times New Roman"/>
          <w:bCs w:val="0"/>
          <w:smallCaps/>
          <w:lang w:val="en-GB" w:eastAsia="en-US"/>
        </w:rPr>
        <w:t>Article 3</w:t>
      </w:r>
    </w:p>
    <w:p w:rsidR="00000000" w:rsidRDefault="00000000">
      <w:pPr>
        <w:spacing w:after="240"/>
      </w:pPr>
      <w:r>
        <w:t>134.</w:t>
      </w:r>
      <w:r>
        <w:tab/>
        <w:t xml:space="preserve"> With a view to promoting gender equity and eradicating discrimination and violence against women, Act No. 34/92 established the Secretariat for Women within the Office of the President of the Republic. Its main task is to incorporate a gender perspective in the public agenda, through plans, programmes, projects and standards. Since 1994 the Secretariat for Women has launched, in an inter-agency context, the National Plan for the Prevention and Punishment of Violence against Women, the First National Plan on Equal Opportunities for Women 1997-2001, the second National Plan on Equal Opportunities for Women 2003-2007, approved by Executive Decree No. 1958/04, which integrates the first and second National Plans on Sexual and Reproductive Health within the framework of CEDAW, the Beijing Platform and the seven main international human rights instruments ratified by Paraguay between 1994 and 2005.</w:t>
      </w:r>
    </w:p>
    <w:p w:rsidR="00000000" w:rsidRDefault="00000000">
      <w:pPr>
        <w:spacing w:after="240"/>
      </w:pPr>
      <w:r>
        <w:t>135.</w:t>
      </w:r>
      <w:r>
        <w:tab/>
        <w:t>Since 1995 the Secretariat has been implementing the National Programme on Equal Opportunities for Women in Education (PRIOME) jointly with the Ministry of Education and Culture (MEC), the aim of which is to incorporate a gender perspective in education. Its main activities are:</w:t>
      </w:r>
    </w:p>
    <w:p w:rsidR="00000000" w:rsidRDefault="00000000">
      <w:pPr>
        <w:spacing w:after="240"/>
        <w:ind w:left="1134" w:hanging="567"/>
      </w:pPr>
      <w:r>
        <w:t>1.</w:t>
      </w:r>
      <w:r>
        <w:tab/>
        <w:t>Training and awareness-raising for directors, instructors, trainers, and extension trainers and leaders - that is, a large section of the educational community - through the Ñanduti Plan for Education (2004-2005) and by implementing these policies through the departmental education plans.</w:t>
      </w:r>
    </w:p>
    <w:p w:rsidR="00000000" w:rsidRDefault="00000000">
      <w:pPr>
        <w:spacing w:after="240"/>
        <w:ind w:left="1134" w:hanging="567"/>
      </w:pPr>
      <w:r>
        <w:t>2.</w:t>
      </w:r>
      <w:r>
        <w:tab/>
        <w:t>Dissemination and promotion of awareness of the importance of the gender approach through the mass media.</w:t>
      </w:r>
    </w:p>
    <w:p w:rsidR="00000000" w:rsidRDefault="00000000">
      <w:pPr>
        <w:spacing w:after="240"/>
        <w:ind w:left="1134" w:hanging="567"/>
      </w:pPr>
      <w:r>
        <w:t>3.</w:t>
      </w:r>
      <w:r>
        <w:tab/>
        <w:t>Design of educational spots, posters, wall maps and brochures involving the entire educational community as protagonists.</w:t>
      </w:r>
    </w:p>
    <w:p w:rsidR="00000000" w:rsidRDefault="00000000">
      <w:pPr>
        <w:spacing w:after="240"/>
        <w:ind w:left="1134" w:hanging="567"/>
      </w:pPr>
      <w:r>
        <w:t>4.</w:t>
      </w:r>
      <w:r>
        <w:tab/>
        <w:t>Promotion of initiative: the programme establishes cooperation alliances with civil society and State and international organizations with a view to supporting strategies for installing capacities in the sphere of formal education.</w:t>
      </w:r>
    </w:p>
    <w:p w:rsidR="00000000" w:rsidRDefault="00000000">
      <w:pPr>
        <w:spacing w:after="240"/>
        <w:ind w:left="1134" w:hanging="567"/>
      </w:pPr>
      <w:r>
        <w:t>5.</w:t>
      </w:r>
      <w:r>
        <w:tab/>
        <w:t>Establishment of permanent discourse and reflection among the educational community through the organization of forums, debates on the topic, and participative workshops based on personal experiences, starting with children at the initial level and going on to adolescents and adults.</w:t>
      </w:r>
    </w:p>
    <w:p w:rsidR="00000000" w:rsidRDefault="00000000">
      <w:pPr>
        <w:spacing w:after="240"/>
        <w:ind w:left="1134" w:hanging="567"/>
      </w:pPr>
      <w:r>
        <w:t>6.</w:t>
      </w:r>
      <w:r>
        <w:tab/>
        <w:t>Use of different methods to achieve inter-agency awareness with regard to the gender approach in the MEC.</w:t>
      </w:r>
    </w:p>
    <w:p w:rsidR="00000000" w:rsidRDefault="00000000">
      <w:pPr>
        <w:spacing w:after="240"/>
        <w:ind w:left="1134" w:hanging="567"/>
      </w:pPr>
      <w:r>
        <w:t>7.</w:t>
      </w:r>
      <w:r>
        <w:tab/>
        <w:t>Analysis and review of textbooks and educational materials in order to make an impact on curricula.</w:t>
      </w:r>
    </w:p>
    <w:p w:rsidR="00000000" w:rsidRDefault="00000000">
      <w:pPr>
        <w:spacing w:after="240"/>
      </w:pPr>
      <w:r>
        <w:t>136.</w:t>
      </w:r>
      <w:r>
        <w:tab/>
        <w:t xml:space="preserve">Other activities include publication of the research work </w:t>
      </w:r>
      <w:r>
        <w:rPr>
          <w:i/>
        </w:rPr>
        <w:t>Sexist Practices in the Classroom</w:t>
      </w:r>
      <w:r>
        <w:t>, as part of UNICEF activities and based on the results that emerged from the research on “Improving girls’ education in Paraguay”; and confirmation of the agreement between the Secretariat for Women within the Office of the President of the Republic, the Ministry of Education and Culture and the United Nations Children’s Fund (UNICEF), signed in connection with the Millennium Development Goals. It is implemented through the Programme for Equal Opportunities for Women in Education (PRIOME).</w:t>
      </w:r>
    </w:p>
    <w:p w:rsidR="00000000" w:rsidRDefault="00000000">
      <w:pPr>
        <w:spacing w:after="240"/>
      </w:pPr>
      <w:r>
        <w:t>137.</w:t>
      </w:r>
      <w:r>
        <w:rPr>
          <w:b/>
        </w:rPr>
        <w:tab/>
      </w:r>
      <w:r>
        <w:t>There is also support and advice to the Guaraní-Spanish Bilingual Literacy Programme on Gender and Community Organization for Production, Health and Education, coordinated by the Ministry of Education and Culture. The education section of the Secretariat for Women and the PRIOME Coordination Office are the gender component facilitators. The programme is being conducted in six of the country’s departments: Guairá, Caaguazú, Itapúa, San Pedro, Parguari and Caazapá.</w:t>
      </w:r>
    </w:p>
    <w:p w:rsidR="00000000" w:rsidRDefault="00000000">
      <w:pPr>
        <w:spacing w:after="240"/>
      </w:pPr>
      <w:r>
        <w:t>138.</w:t>
      </w:r>
      <w:r>
        <w:tab/>
        <w:t>The Secretariat for Women is represented on the “Tripartite National Commission to analyse and promote equal participation of women in employment”, created by Executive Decree in 1998. It has served to foster tripartite social dialogue among Government, trade union and business sectors. The Commission, with ILO assistance, has generated research on subjects such as gender analysis, poverty and employment, and the situation of domestic work in Paraguay, and has acted as the advisory counsel to the Gender, Poverty and Employment Programme in Paraguay. In the same year it carried out a six-month National Campaign against Sexual Harassment at Work , developed in the metropolitan area. This National Tripartite Commission has a plan of action entitled “Decent work agenda for Paraguayan women, 2005-2006”, with the following lines of action:</w:t>
      </w:r>
    </w:p>
    <w:p w:rsidR="00000000" w:rsidRDefault="00000000">
      <w:pPr>
        <w:spacing w:after="240"/>
        <w:ind w:left="1134" w:hanging="567"/>
      </w:pPr>
      <w:r>
        <w:rPr>
          <w:b/>
        </w:rPr>
        <w:t>–</w:t>
      </w:r>
      <w:r>
        <w:rPr>
          <w:b/>
        </w:rPr>
        <w:tab/>
      </w:r>
      <w:r>
        <w:t>To promote respect for fundamental labour rights, in order to encourage and promote approval of ILO Convention No. 156 (Workers with family responsibilities).</w:t>
      </w:r>
    </w:p>
    <w:p w:rsidR="00000000" w:rsidRDefault="00000000">
      <w:pPr>
        <w:spacing w:after="240"/>
        <w:ind w:left="1134" w:hanging="567"/>
      </w:pPr>
      <w:r>
        <w:rPr>
          <w:b/>
        </w:rPr>
        <w:t>–</w:t>
      </w:r>
      <w:r>
        <w:rPr>
          <w:b/>
        </w:rPr>
        <w:tab/>
      </w:r>
      <w:r>
        <w:t>To promote opportunities for employment and income: this line of action will be implemented through business associations represented on the Tripartite Commission.</w:t>
      </w:r>
    </w:p>
    <w:p w:rsidR="00000000" w:rsidRDefault="00000000">
      <w:pPr>
        <w:spacing w:after="240"/>
        <w:ind w:left="567"/>
      </w:pPr>
      <w:r>
        <w:rPr>
          <w:b/>
        </w:rPr>
        <w:t>–</w:t>
      </w:r>
      <w:r>
        <w:rPr>
          <w:b/>
        </w:rPr>
        <w:tab/>
      </w:r>
      <w:r>
        <w:t xml:space="preserve">To expand men and women workers’ social protection through amendments to the </w:t>
      </w:r>
      <w:r>
        <w:tab/>
        <w:t>organizational chart of the Social Security Institute.</w:t>
      </w:r>
    </w:p>
    <w:p w:rsidR="00000000" w:rsidRDefault="00000000">
      <w:pPr>
        <w:spacing w:after="240"/>
        <w:ind w:left="1134" w:hanging="567"/>
      </w:pPr>
      <w:r>
        <w:rPr>
          <w:b/>
        </w:rPr>
        <w:t>–</w:t>
      </w:r>
      <w:r>
        <w:rPr>
          <w:b/>
        </w:rPr>
        <w:tab/>
      </w:r>
      <w:r>
        <w:t>To promote social dialogue with a view to training public officials and men and women workers and entrepreneurs in labour-relations issues with a gender perspective.</w:t>
      </w:r>
    </w:p>
    <w:p w:rsidR="00000000" w:rsidRDefault="00000000">
      <w:pPr>
        <w:spacing w:after="240"/>
      </w:pPr>
      <w:r>
        <w:t>139.</w:t>
      </w:r>
      <w:r>
        <w:tab/>
        <w:t>In 2000 the Secretariat for Women set up the YES Youth Employability and Entrepreneurship Network (mixed network), which has promoted national and international youth events. The YES Network’s actions are coordinated through local, regional and international inter-institutional efforts, strengthening the partnership of public and private youth assistance organizations cooperating at the national level in order to generate consensus and harmonize activities, proposing specific thrusts for policies and strategies on employability, entrepreneurship and youth labour enterprises with a gender approach.</w:t>
      </w:r>
    </w:p>
    <w:p w:rsidR="00000000" w:rsidRDefault="00000000">
      <w:pPr>
        <w:spacing w:after="240"/>
      </w:pPr>
      <w:r>
        <w:t>140.</w:t>
      </w:r>
      <w:r>
        <w:tab/>
        <w:t>In 2002 activities were carried out to evaluate progress on the Plans being implemented by the Secretariat for Women and their interaction with focal points in favour of the Paraguayan State’s gender agenda. As of 2003, on the basis of internal and external operation evaluations, an institutional updating process was launched to boost the action strategies of the Secretariat for Women with State institutions, which set in train joint participation processes with civil society organizations, especially those that promote women’s human rights. In this context, the Decentralization Directorate was created in order to support the decentralization process, ensuring incorporation of the gender approach at all territorial levels.</w:t>
      </w:r>
    </w:p>
    <w:p w:rsidR="00000000" w:rsidRDefault="00000000">
      <w:pPr>
        <w:spacing w:after="240"/>
      </w:pPr>
      <w:r>
        <w:t>141.</w:t>
      </w:r>
      <w:r>
        <w:tab/>
        <w:t>Section III of the Plan establishes as a general objective: “Achievement of equality for men and women regarding tenure, working conditions, access to and control of economic resources and employment.” Within this framework a series of activities for inter-institutional linkage have been carried out in favour of women’s access to land, credit and employment in the form of productive projects and through the installation of operational programmes and plans. In this connection, there is a mutual cooperation agreement for the period 2001-2006 between the Ministry of Agriculture and Livestock and the Secretariat for Women in the Office of the President of the Republic.</w:t>
      </w:r>
    </w:p>
    <w:p w:rsidR="00000000" w:rsidRDefault="00000000">
      <w:pPr>
        <w:spacing w:after="240"/>
      </w:pPr>
      <w:r>
        <w:t>142.</w:t>
      </w:r>
      <w:r>
        <w:tab/>
        <w:t xml:space="preserve">The purpose of this agreement is to coordinate and implement joint activities in the agrarian sphere, incorporating the gender perspective into the policies, plans, programmes and projects of the institutions that make up the agriculture and livestock sector, consistent with public sectoral policies and with the Plan on Equal Opportunities for Women, coordinated and implemented by the Gender and Rural Youth Directorate created by the Ministry of Agriculture and Livestock for the purpose. At the same time, the agreement with DEVNET for implementing the WINNER Programme, April 2005-April 2006, consists of a virtual space devoted to women at the head of formalized micro, small and medium-sized businesses, giving them access to new information, communication and training technologies for their products’ entry into the supply and demand circuit. Its website is </w:t>
      </w:r>
      <w:hyperlink r:id="rId19" w:history="1">
        <w:r>
          <w:rPr>
            <w:rStyle w:val="Hyperlink"/>
          </w:rPr>
          <w:t>www.winnernet.org</w:t>
        </w:r>
      </w:hyperlink>
      <w:r>
        <w:t>. There is also an agreement between the Secretariat for Women and the Paraguayan Industrial Union for facilitating and making more flexible women’s access to credit. The Secretariat for Women and the</w:t>
      </w:r>
      <w:r>
        <w:rPr>
          <w:i/>
        </w:rPr>
        <w:t xml:space="preserve"> </w:t>
      </w:r>
      <w:r>
        <w:t>National Development Ban) also undertake activities to facilitate and smooth women’s access to credit. A joint agenda of the National Cooperative Women’s Committee of the Paraguayan Confederation of Cooperatives is being pursued; it has trained over 170 female members of cooperatives and has fostered national and international events, including national encounters and various day courses on “The gender dimension of lending policy, the microenterprise sector and the fight against poverty”, and “Designing a framework of action for gender mainstreaming in employment policies and the labour market in Paraguay”, “Cooperatives and local public policies and international integration” and “The gender dimension in credit policy and the microenterprise sector in the fight against poverty”. A pilot project, “Eradicating sexist paradigms”, the initial stage of which is a “Diagnostic workshop with female heads of household” originating in the poverty belt around Asunción city. There are also production initiatives with women heads of households, with support from B’nai B’rith in the form of the supply of work tools for equipping sewing workshops in the country’s 17 departments. Seventy-six production projects with CONAMURI, including dairy and pig farming, egg and farmed hen production, and others currently at the training and monitoring stage.</w:t>
      </w:r>
    </w:p>
    <w:p w:rsidR="00000000" w:rsidRDefault="00000000">
      <w:pPr>
        <w:spacing w:after="240"/>
      </w:pPr>
      <w:r>
        <w:t>143.</w:t>
      </w:r>
      <w:r>
        <w:tab/>
        <w:t>Mention should be made of the United Nations WINNER programme implemented under the agreement signed with DEVNET, with financing from the Italian Ministry of Foreign Affairs. The Secretariat for Women has assumed the role of National Office and has established five support offices. To date it has trained 306 women entrepreneurs, and the same number of women are registered in the system, surpassing the project’s target and with time left over for project completion. The virtual space affords access to new information, communication and training technologies, as well as the possibility of exchanges, business sessions, and supply and demand of products and services.</w:t>
      </w:r>
    </w:p>
    <w:p w:rsidR="00000000" w:rsidRDefault="00000000">
      <w:pPr>
        <w:spacing w:after="240"/>
      </w:pPr>
      <w:r>
        <w:t>144.</w:t>
      </w:r>
      <w:r>
        <w:tab/>
        <w:t>The Secretariat for Women supported the Latin American meeting on youth employment, progressing towards the Millennium Development Goals, “Youth: strategic capital in the fight against poverty and the strengthening of democratic governance”, with the participation of 300 young people from 17 Latin American and Caribbean countries plus Japan and Taiwan.</w:t>
      </w:r>
    </w:p>
    <w:p w:rsidR="00000000" w:rsidRDefault="00000000">
      <w:pPr>
        <w:spacing w:after="240"/>
      </w:pPr>
      <w:r>
        <w:t>145.</w:t>
      </w:r>
      <w:r>
        <w:tab/>
        <w:t>Other topics placed on the agenda  are decent work for Paraguayan women, based on ILO Convention No. 156 concerning Workers with Family Responsibilities, and social security. This Convention was presented with the support of ILO and the Tripartite Commission for the public and private sectors in order to raise the awareness of the actors involved.</w:t>
      </w:r>
    </w:p>
    <w:p w:rsidR="00000000" w:rsidRDefault="00000000">
      <w:pPr>
        <w:spacing w:after="240"/>
      </w:pPr>
      <w:r>
        <w:t>146.</w:t>
      </w:r>
      <w:r>
        <w:tab/>
        <w:t>The Secretariat has signed an agreement with the Ministry of Justice and Labour to coordinate institutional skills with a view to guaranteeing the fundamental principles and rights of women in the workplace, and protect the human rights of women deprived of their liberty in order to stamp out discrimination against them, and afford effective de jure and de facto equality. A process is under way, with assistance from ILO and UNFPA and coordinated by both organizations, to formulate the programme and budget for achieving these objectives.</w:t>
      </w:r>
    </w:p>
    <w:p w:rsidR="00000000" w:rsidRDefault="00000000">
      <w:pPr>
        <w:spacing w:after="240"/>
      </w:pPr>
      <w:r>
        <w:t>147.</w:t>
      </w:r>
      <w:r>
        <w:tab/>
        <w:t>The Secretariat for Women operates the Children’s Centre for the children of officials not only of the institution, but also of the National Congress and the Ministry of Public Works and Communications, in order to give effect to the Labour Code and make working and family life more compatible. It also supports the initiatives of the Centre for Documentation and Studies (CDE) and advocates the inclusion in the public agenda of analysis of regulations and public policies on paid domestic work in Paraguay.</w:t>
      </w:r>
    </w:p>
    <w:p w:rsidR="00000000" w:rsidRDefault="00000000">
      <w:pPr>
        <w:spacing w:after="240"/>
      </w:pPr>
      <w:r>
        <w:t>148.</w:t>
      </w:r>
      <w:r>
        <w:tab/>
        <w:t>The Secretariat for Women is represented on the Bicameral Commission entitled National Natural Resources Defence Commission (CONADERNA), whose aim is to develop efficient and effective activities for protection of the ecosystem. In this area the Secretariat for Women has submitted a number of comments on proposals for laws, which have been studied by the aforesaid Commission. The proposals include:</w:t>
      </w:r>
    </w:p>
    <w:p w:rsidR="00000000" w:rsidRDefault="00000000">
      <w:pPr>
        <w:spacing w:after="240"/>
        <w:ind w:left="1134" w:hanging="567"/>
      </w:pPr>
      <w:r>
        <w:rPr>
          <w:b/>
        </w:rPr>
        <w:t>–</w:t>
      </w:r>
      <w:r>
        <w:rPr>
          <w:b/>
        </w:rPr>
        <w:tab/>
      </w:r>
      <w:r>
        <w:t>An awareness-raising workshop for senators and parliamentarians on national environmental legislation in Paraguay (2003).</w:t>
      </w:r>
    </w:p>
    <w:p w:rsidR="00000000" w:rsidRDefault="00000000">
      <w:pPr>
        <w:spacing w:after="240"/>
        <w:ind w:left="567"/>
      </w:pPr>
      <w:r>
        <w:t>–</w:t>
      </w:r>
      <w:r>
        <w:tab/>
        <w:t>A forum on the use of agrochemicals and their effects on human health.</w:t>
      </w:r>
    </w:p>
    <w:p w:rsidR="00000000" w:rsidRDefault="00000000">
      <w:pPr>
        <w:spacing w:after="240"/>
        <w:ind w:firstLine="567"/>
      </w:pPr>
      <w:r>
        <w:rPr>
          <w:b/>
        </w:rPr>
        <w:t>–</w:t>
      </w:r>
      <w:r>
        <w:rPr>
          <w:b/>
        </w:rPr>
        <w:tab/>
      </w:r>
      <w:r>
        <w:t>A public hearing on the proposed water law.</w:t>
      </w:r>
    </w:p>
    <w:p w:rsidR="00000000" w:rsidRDefault="00000000">
      <w:pPr>
        <w:spacing w:after="240"/>
        <w:ind w:left="1134" w:hanging="567"/>
      </w:pPr>
      <w:r>
        <w:t>–</w:t>
      </w:r>
      <w:r>
        <w:tab/>
        <w:t>Support for supplementing Paraguay’s document for the national Rio + 10 report submitted at the United Nations World Summit on Sustainable Development, held in South Africa in August 2002.</w:t>
      </w:r>
    </w:p>
    <w:p w:rsidR="00000000" w:rsidRDefault="00000000">
      <w:pPr>
        <w:spacing w:after="240"/>
        <w:ind w:left="1134" w:hanging="567"/>
      </w:pPr>
      <w:r>
        <w:rPr>
          <w:b/>
        </w:rPr>
        <w:t>–</w:t>
      </w:r>
      <w:r>
        <w:rPr>
          <w:b/>
        </w:rPr>
        <w:tab/>
      </w:r>
      <w:r>
        <w:t>The mutual cooperation agreement between the Ministry of Agriculture and Livestock and the Secretariat for Women is currently in process of renewal; the new agreement provides for the mainstreaming of gender and the environment.</w:t>
      </w:r>
    </w:p>
    <w:p w:rsidR="00000000" w:rsidRDefault="00000000">
      <w:pPr>
        <w:spacing w:after="240"/>
        <w:ind w:left="1134" w:hanging="567"/>
      </w:pPr>
      <w:r>
        <w:t>–</w:t>
      </w:r>
      <w:r>
        <w:tab/>
        <w:t>Representation of the Secretariat for Women to the National Environmental Council (CONAM) between 2001 and 2004.</w:t>
      </w:r>
    </w:p>
    <w:p w:rsidR="00000000" w:rsidRDefault="00000000">
      <w:pPr>
        <w:spacing w:after="240"/>
        <w:ind w:left="1134" w:hanging="567"/>
      </w:pPr>
      <w:r>
        <w:t>–</w:t>
      </w:r>
      <w:r>
        <w:tab/>
        <w:t>Participation in and support of the Secretariat for Women for the Guidelines for the elaboration of a national environment policy, which is currently the National Eolithic of the Paraguayan Environment.</w:t>
      </w:r>
    </w:p>
    <w:p w:rsidR="00000000" w:rsidRDefault="00000000">
      <w:pPr>
        <w:spacing w:after="240"/>
        <w:ind w:left="1134" w:hanging="567"/>
      </w:pPr>
      <w:r>
        <w:t>–</w:t>
      </w:r>
      <w:r>
        <w:tab/>
        <w:t>In 2003 an agreement was signed by the Environment Secretariat and the Secretariat for Women for coordinating and implementing joint environmental activities incorporating the gender perspective in the policies, plans, programmes and projects of the institutions that make up the environment sector, in line with sectoral public policies and in the Second National Plan for Equal Opportunities for Women and Men.</w:t>
      </w:r>
    </w:p>
    <w:p w:rsidR="00000000" w:rsidRDefault="00000000">
      <w:pPr>
        <w:spacing w:after="240"/>
      </w:pPr>
      <w:r>
        <w:t>149.</w:t>
      </w:r>
      <w:r>
        <w:tab/>
        <w:t>MERCOSUR Working Subgroup No. 6, responsible for following up environmental matters, stated in its report No. 02/2002 that “account will be taken in its agenda of work of Common Market Group Resolution 84/00, which makes reference to the need to work on the basis of gender perspective in this area. The Secretariat for Women formed part of the advisory committee for the National Biodiversity Strategy and Action Plan (ENPAB), for which work is shared by 12 sectoral groups for the inclusion of a gender perspective (2002-2004). Gender issues were included in the final report on the Strategy.</w:t>
      </w:r>
    </w:p>
    <w:p w:rsidR="00000000" w:rsidRDefault="00000000">
      <w:pPr>
        <w:spacing w:after="240"/>
      </w:pPr>
      <w:r>
        <w:t>150.</w:t>
      </w:r>
      <w:r>
        <w:tab/>
        <w:t>In 2005 Paraguay updated the submission of reports to the CEDAW Committee and, as one of the main measures taken under the commitment to monitor implementation, the Secretariat for Women circulated the Convention, the Committee’s Concluding Observations and Recommendations, international platforms and the Millennium Development Goals to over 140 offices of public institutions and over 60 non-governmental organizations. An inter-agency board to monitor implementation of CEDAW was also set up, sharing space with civil society organizations as part of the overall inter-agency plan of operations. There are currently thematic boards dealing with the CEDAW Committee’s Observations and Recommendations.</w:t>
      </w:r>
    </w:p>
    <w:p w:rsidR="00000000" w:rsidRDefault="00000000">
      <w:pPr>
        <w:spacing w:after="240"/>
      </w:pPr>
      <w:r>
        <w:t>151.</w:t>
      </w:r>
      <w:r>
        <w:tab/>
        <w:t>In 1999 and 2000 the Regional Pilot Project for Prevention of and Attention to Domestic Violence against Women was implemented at the regional level by the Secretariat for Women with support from the Ministry of Public Health and Social Welfare and technical cooperation of the Inter-American Development Bank (IDB). In that same year (2000) the women’s support centres (CENAM) were created; they have now become SEDAMUR, under the Secretariat for Women; they provide legal, psychological and social counselling for women and refer their cases to other bodies and competent institutions. Also established was the Care Centre for Victims of Violence in the Medical Emergencies Centre and the national network of care for victims of domestic violence, and the Code 1600 service from the National Police 911 system.</w:t>
      </w:r>
    </w:p>
    <w:p w:rsidR="00000000" w:rsidRDefault="00000000">
      <w:pPr>
        <w:spacing w:after="240"/>
      </w:pPr>
      <w:r>
        <w:t>152.</w:t>
      </w:r>
      <w:r>
        <w:tab/>
        <w:t>Between 1994 and 2005 the main achievements in the fight against the scourge of violence against women were reflected in the inclusion of domestic violence in the Penal Code; the enactment of Act No. 1600/00, a civil recourse that affords precautionary measures in favour of victims; the skills training series for men and women public officials of the National Police, health centres, police academies, the military academy, associations of persons with special skills, and older women; and awareness-raising and information campaigns on the basic rights of women in a context of violence. Since domestic and other types of violence have not been satisfactorily defined in the Penal Code, the National Parliament’s National Commission on the Reform of the Penal and Penitentiary System has received proposals for the amendment of article 129 concerning domestic violence and other punishable acts against sexual integrity and autonomy, punishable acts against minors, and so forth.</w:t>
      </w:r>
    </w:p>
    <w:p w:rsidR="00000000" w:rsidRDefault="00000000">
      <w:pPr>
        <w:spacing w:after="240"/>
      </w:pPr>
      <w:r>
        <w:t>153.</w:t>
      </w:r>
      <w:r>
        <w:tab/>
        <w:t>To date, the Secretariat for Women has received support through international cooperation for equipping a reception centre for women victims of violence. The purpose of the centre is to provide full and comprehensive care, including safety, attention and treatment, and reintegration into the workforce.</w:t>
      </w:r>
    </w:p>
    <w:p w:rsidR="00000000" w:rsidRDefault="00000000">
      <w:pPr>
        <w:spacing w:after="240"/>
      </w:pPr>
      <w:r>
        <w:t>154.</w:t>
      </w:r>
      <w:r>
        <w:tab/>
        <w:t>A national campaign against sexual harassment under the name of “You harass, I accuse” (</w:t>
      </w:r>
      <w:r>
        <w:rPr>
          <w:i/>
        </w:rPr>
        <w:t xml:space="preserve">Tu acosas, yo </w:t>
      </w:r>
      <w:r>
        <w:t>acuso) was launched in November 2005. The first part of the campaign consisted of training workshops for public officials, secondary-school pupils and members of trade unions. The second part envisages working with the same groups, as well as university students and Military Academy cadets.</w:t>
      </w:r>
    </w:p>
    <w:p w:rsidR="00000000" w:rsidRDefault="00000000">
      <w:pPr>
        <w:spacing w:after="240"/>
      </w:pPr>
      <w:r>
        <w:t>155.</w:t>
      </w:r>
      <w:r>
        <w:tab/>
        <w:t>Since the same year, with support from the State Department of the United States of America, No. 2210 on Trafficking in Persons has been in operation. It is designed to consolidate the Paraguayan Government’s overall efforts to eradicate trafficking in persons, establishing procedures for its prevention and for the protection of victims (especially women, adolescents and children) in Paraguay. With the establishment of the Referral Centre on Trafficking in Persons - which provides comprehensive care for victims, assistance and monitoring of cases – a total of nine cases involving 37 women (30 adults and 7 minors) in all, have been taken up. There is also a telephone helpline and electronic mail site for receiving complaints. In parallel with those activities, an “awareness-raising and education” campaign on trafficking in persons and sexual exploitation was launched with the dissemination of educational materials (posters/fold-outs, radio spots in Guaraní and Spanish in the capital and the country’s interior, and printed materials). Three workshops were also held for government and non-governmental institutions with a view to obtaining inputs for the subsequent preparation, starting in April 2006, of a manual on general intervention procedures.</w:t>
      </w:r>
    </w:p>
    <w:p w:rsidR="00000000" w:rsidRDefault="00000000">
      <w:pPr>
        <w:spacing w:after="240"/>
      </w:pPr>
      <w:r>
        <w:t>156.</w:t>
      </w:r>
      <w:r>
        <w:tab/>
        <w:t xml:space="preserve">On the basis of internal and external operation evaluations, in 2003 the central Government initiated an institutional modernization process to boost the strategies for action by the Secretariat for Women with State institutions and embarked on processes of joint participation with civil society organizations, especially those promoting women’s human rights. This gave rise to the creation of the Decentralization Directorate of the Secretariat for Women, whose aim is to support the decentralization process and ensure gender mainstreaming at all territorial levels. </w:t>
      </w:r>
    </w:p>
    <w:p w:rsidR="00000000" w:rsidRDefault="00000000">
      <w:pPr>
        <w:spacing w:after="240"/>
      </w:pPr>
      <w:r>
        <w:t>157.</w:t>
      </w:r>
      <w:r>
        <w:tab/>
        <w:t>Communication strategies have served to raise awareness of the need for equal opportunities. In 2004 the Equal in Everything (</w:t>
      </w:r>
      <w:r>
        <w:rPr>
          <w:i/>
        </w:rPr>
        <w:t>Campaña Iguales en Todo</w:t>
      </w:r>
      <w:r>
        <w:t xml:space="preserve">) campaign covered the following main lines: equal remuneration for work of equal value, participation, health, prevention of domestic violence, equal access to education for girls, and sharing of domestic roles in the home. </w:t>
      </w:r>
    </w:p>
    <w:p w:rsidR="00000000" w:rsidRDefault="00000000">
      <w:pPr>
        <w:spacing w:after="240"/>
        <w:rPr>
          <w:b/>
        </w:rPr>
      </w:pPr>
      <w:r>
        <w:t>158.</w:t>
      </w:r>
      <w:r>
        <w:tab/>
        <w:t>The Equal in Everything Campaign in 2005 focused on the need to eradicate violence against women, promote equal opportunities for political participation by women, and the promotion of sexual and reproductive rights, as well as raising consciousness of the existing gender inequalities in various spheres of society. The campaign used television spots, advertisements in the printed Press, radio microprogrammes and fold-outs containing information on sociological violence, sexual violence, sexual and reproductive health, mothers’ health and social and political participation. Other campaigns took the form of street theatre performances on those topics on public thoroughfares in communities in Asunción, Central, Ciudad del Este and Ca’acupé.</w:t>
      </w:r>
    </w:p>
    <w:p w:rsidR="00000000" w:rsidRDefault="00000000">
      <w:pPr>
        <w:spacing w:after="240"/>
      </w:pPr>
      <w:r>
        <w:t>159.</w:t>
      </w:r>
      <w:r>
        <w:tab/>
        <w:t>With regard to health, there have been campaigns to raise women’s awareness of their vulnerability to HIV/AIDS. The Secretariat for Women lobbied the top national authorities of the three branches of State. A public campaign to obtain a commitment was also undertaken with the assistance of UNAIDS, and Thematic Groups met to review fulfilment of commitments with the assistance of the Pan American Health Organization. These Thematic Groups’ achievements include the decision to provide VSRL analysis and ELISA testing free of charge, as well as antiretroviral treatment for pregnant women. Twenty men and women decision-makers were trained in programmes on transmissible diseases in Central Department level and in the Departments of Paraguari and Presidente Hayes.</w:t>
      </w:r>
    </w:p>
    <w:p w:rsidR="00000000" w:rsidRDefault="00000000">
      <w:pPr>
        <w:spacing w:after="240"/>
        <w:jc w:val="center"/>
        <w:rPr>
          <w:b/>
        </w:rPr>
      </w:pPr>
      <w:r>
        <w:rPr>
          <w:b/>
          <w:smallCaps/>
        </w:rPr>
        <w:t xml:space="preserve">Article 4 </w:t>
      </w:r>
      <w:r>
        <w:rPr>
          <w:b/>
        </w:rPr>
        <w:t>(operative paragraph)</w:t>
      </w:r>
    </w:p>
    <w:p w:rsidR="00000000" w:rsidRDefault="00000000">
      <w:pPr>
        <w:spacing w:after="240"/>
        <w:jc w:val="center"/>
        <w:rPr>
          <w:b/>
        </w:rPr>
      </w:pPr>
      <w:r>
        <w:rPr>
          <w:b/>
          <w:smallCaps/>
        </w:rPr>
        <w:t>Article 5</w:t>
      </w:r>
      <w:r>
        <w:rPr>
          <w:b/>
        </w:rPr>
        <w:t xml:space="preserve"> (operative paragraph)</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bCs w:val="0"/>
          <w:smallCaps/>
          <w:lang w:val="en-GB" w:eastAsia="en-US"/>
        </w:rPr>
      </w:pPr>
      <w:r>
        <w:rPr>
          <w:rFonts w:ascii="Times New Roman" w:eastAsia="Times New Roman" w:hAnsi="Times New Roman" w:cs="Times New Roman"/>
          <w:bCs w:val="0"/>
          <w:smallCaps/>
          <w:lang w:val="en-GB" w:eastAsia="en-US"/>
        </w:rPr>
        <w:t>Article 6</w:t>
      </w:r>
    </w:p>
    <w:p w:rsidR="00000000" w:rsidRDefault="00000000">
      <w:pPr>
        <w:spacing w:after="240"/>
      </w:pPr>
      <w:r>
        <w:t>160.</w:t>
      </w:r>
      <w:r>
        <w:tab/>
        <w:t>First and foremost, Paraguay is a party to the following international human and labour rights instruments:</w:t>
      </w:r>
    </w:p>
    <w:p w:rsidR="00000000" w:rsidRDefault="00000000">
      <w:pPr>
        <w:spacing w:after="240"/>
        <w:ind w:left="567"/>
        <w:rPr>
          <w:bCs/>
          <w:i/>
          <w:iCs/>
        </w:rPr>
      </w:pPr>
      <w:r>
        <w:rPr>
          <w:bCs/>
          <w:i/>
          <w:iCs/>
        </w:rPr>
        <w:t>International Convention on the Elimination of All Forms of Racial Discrimination</w:t>
      </w:r>
    </w:p>
    <w:p w:rsidR="00000000" w:rsidRDefault="00000000">
      <w:pPr>
        <w:ind w:left="567"/>
      </w:pPr>
      <w:r>
        <w:t>Adopted: New York, 21 December 1965</w:t>
      </w:r>
    </w:p>
    <w:p w:rsidR="00000000" w:rsidRDefault="00000000">
      <w:pPr>
        <w:ind w:left="567"/>
      </w:pPr>
      <w:r>
        <w:t>Signed by Paraguay: 13 September 2000</w:t>
      </w:r>
    </w:p>
    <w:p w:rsidR="00000000" w:rsidRDefault="00000000">
      <w:pPr>
        <w:ind w:left="567"/>
      </w:pPr>
      <w:r>
        <w:t>Act No. 2128 of 7 July 2003</w:t>
      </w:r>
    </w:p>
    <w:p w:rsidR="00000000" w:rsidRDefault="00000000">
      <w:pPr>
        <w:ind w:left="567"/>
      </w:pPr>
      <w:r>
        <w:t>Deposit: 18 August 2003</w:t>
      </w:r>
    </w:p>
    <w:p w:rsidR="00000000" w:rsidRDefault="00000000">
      <w:pPr>
        <w:spacing w:after="240"/>
        <w:ind w:left="567"/>
      </w:pPr>
      <w:r>
        <w:t>Entry into force for Paraguay: 17 September 2003</w:t>
      </w:r>
    </w:p>
    <w:p w:rsidR="00000000" w:rsidRDefault="00000000">
      <w:pPr>
        <w:pStyle w:val="BodyTextIndent3"/>
        <w:rPr>
          <w:b w:val="0"/>
          <w:bCs/>
          <w:i/>
          <w:iCs/>
        </w:rPr>
      </w:pPr>
      <w:r>
        <w:rPr>
          <w:b w:val="0"/>
          <w:bCs/>
          <w:i/>
          <w:iCs/>
        </w:rPr>
        <w:t>ILO Convention No. 111 concerning Discrimination in Respect of Employment and Occupation</w:t>
      </w:r>
    </w:p>
    <w:p w:rsidR="00000000" w:rsidRDefault="00000000">
      <w:pPr>
        <w:ind w:left="567"/>
      </w:pPr>
      <w:r>
        <w:t>Adopted: Geneva, 25 June 1958</w:t>
      </w:r>
    </w:p>
    <w:p w:rsidR="00000000" w:rsidRDefault="00000000">
      <w:pPr>
        <w:ind w:left="567"/>
      </w:pPr>
      <w:r>
        <w:t>Act No. 1154 of 29 July 1966</w:t>
      </w:r>
    </w:p>
    <w:p w:rsidR="00000000" w:rsidRDefault="00000000">
      <w:pPr>
        <w:ind w:left="567"/>
      </w:pPr>
      <w:r>
        <w:t>Deposit: Geneva, 10 July 1967</w:t>
      </w:r>
    </w:p>
    <w:p w:rsidR="00000000" w:rsidRDefault="00000000">
      <w:pPr>
        <w:spacing w:after="240"/>
        <w:ind w:left="567"/>
      </w:pPr>
      <w:r>
        <w:t>Entry into force for Paraguay: 10 July 1968</w:t>
      </w:r>
    </w:p>
    <w:p w:rsidR="00000000" w:rsidRDefault="00000000">
      <w:pPr>
        <w:spacing w:after="240"/>
        <w:ind w:firstLine="567"/>
        <w:rPr>
          <w:bCs/>
          <w:i/>
          <w:iCs/>
        </w:rPr>
      </w:pPr>
      <w:r>
        <w:rPr>
          <w:bCs/>
          <w:i/>
          <w:iCs/>
        </w:rPr>
        <w:t>ILO Convention No. 122 concerning Employment Policy</w:t>
      </w:r>
    </w:p>
    <w:p w:rsidR="00000000" w:rsidRDefault="00000000">
      <w:pPr>
        <w:ind w:left="567"/>
      </w:pPr>
      <w:r>
        <w:t>Adopted: Geneva, 9 July 1964</w:t>
      </w:r>
    </w:p>
    <w:p w:rsidR="00000000" w:rsidRDefault="00000000">
      <w:pPr>
        <w:ind w:left="567"/>
      </w:pPr>
      <w:r>
        <w:t>Act No. 67 of 26 December 1968</w:t>
      </w:r>
    </w:p>
    <w:p w:rsidR="00000000" w:rsidRDefault="00000000">
      <w:pPr>
        <w:ind w:left="567"/>
      </w:pPr>
      <w:r>
        <w:t>Deposit: Geneva, 20 February 1969</w:t>
      </w:r>
    </w:p>
    <w:p w:rsidR="00000000" w:rsidRDefault="00000000">
      <w:pPr>
        <w:spacing w:after="240"/>
        <w:ind w:left="567"/>
      </w:pPr>
      <w:r>
        <w:t>Entry into force for Paraguay: 20 February 1970</w:t>
      </w:r>
    </w:p>
    <w:p w:rsidR="00000000" w:rsidRDefault="00000000">
      <w:pPr>
        <w:spacing w:after="240"/>
      </w:pPr>
      <w:r>
        <w:t>Paraguay has submitted reports to the ILO supervisory committees on its fulfilment of the provisions of the Conventions ratified by the country.</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GB" w:eastAsia="en-US"/>
        </w:rPr>
      </w:pPr>
      <w:r>
        <w:rPr>
          <w:rFonts w:ascii="Times New Roman" w:eastAsia="Times New Roman" w:hAnsi="Times New Roman" w:cs="Times New Roman"/>
          <w:lang w:val="en-GB" w:eastAsia="en-US"/>
        </w:rPr>
        <w:t>A.  Situation, indices and trends in employment and unemployment</w:t>
      </w:r>
    </w:p>
    <w:p w:rsidR="00000000" w:rsidRDefault="00000000">
      <w:pPr>
        <w:spacing w:after="240"/>
      </w:pPr>
      <w:r>
        <w:t>161.</w:t>
      </w:r>
      <w:r>
        <w:tab/>
        <w:t xml:space="preserve">According to the Permanent Household Survey (EPH) 2004, the labour force participation rate (population employed or unemployed in relation to the total population of working age) was 63%. The percentage was higher in rural areas (64.9%) than in urban areas (62.4%) and higher among men than among women (76.6% and 50.4% respectively). </w:t>
      </w:r>
    </w:p>
    <w:p w:rsidR="00000000" w:rsidRDefault="00000000">
      <w:pPr>
        <w:spacing w:after="240"/>
      </w:pPr>
      <w:r>
        <w:t>162.</w:t>
      </w:r>
      <w:r>
        <w:tab/>
        <w:t xml:space="preserve">The Paraguayan economy is based on independent labour. The dominant group in the labour force is that of self-employed workers (39.8%), followed by unpaid family workers (13.1%) and employers (4.2%). The total of these figures shows that some 6 out of every 10 persons working generate income through the direct sale of their products or services. </w:t>
      </w:r>
    </w:p>
    <w:p w:rsidR="00000000" w:rsidRDefault="00000000">
      <w:pPr>
        <w:spacing w:after="240"/>
      </w:pPr>
      <w:r>
        <w:t>163.</w:t>
      </w:r>
      <w:r>
        <w:tab/>
        <w:t xml:space="preserve">The primary, or extractive, sector employs 33.3% of the workforce and the secondary (manufacturing, construction) 16%. Some 65% of working women are employed in the tertiary sector, while men are fundamentally distributed between the tertiary and the primary sectors (42% and 39% respectively). </w:t>
      </w:r>
    </w:p>
    <w:p w:rsidR="00000000" w:rsidRDefault="00000000">
      <w:pPr>
        <w:spacing w:after="240"/>
      </w:pPr>
      <w:r>
        <w:rPr>
          <w:b/>
          <w:bCs/>
        </w:rPr>
        <w:t>1.</w:t>
      </w:r>
      <w:r>
        <w:rPr>
          <w:b/>
          <w:bCs/>
        </w:rPr>
        <w:tab/>
        <w:t>Unemployment</w:t>
      </w:r>
    </w:p>
    <w:p w:rsidR="00000000" w:rsidRDefault="00000000">
      <w:pPr>
        <w:spacing w:after="240"/>
      </w:pPr>
      <w:r>
        <w:t>164.</w:t>
      </w:r>
      <w:r>
        <w:tab/>
        <w:t xml:space="preserve">According to the EPH for 2004 the rate of overt unemployment in the population was 7.3% –one percentage point less than the level recorded for 2003 (8.1%). Underemployment countrywide remained at a level similar to that for 2003 (24.1% as against 24.2%) in both rural and urban areas. </w:t>
      </w:r>
    </w:p>
    <w:p w:rsidR="00000000" w:rsidRDefault="00000000">
      <w:pPr>
        <w:spacing w:after="240"/>
        <w:jc w:val="center"/>
      </w:pPr>
      <w:r>
        <w:rPr>
          <w:noProof/>
          <w:sz w:val="20"/>
          <w:lang w:val="fr-FR" w:eastAsia="fr-FR"/>
        </w:rPr>
        <w:pict>
          <v:shape id="_x0000_s2803" type="#_x0000_t202" style="position:absolute;left:0;text-align:left;margin-left:81pt;margin-top:10.55pt;width:306pt;height:27pt;z-index:7" stroked="f">
            <v:textbox inset="0,0,0,0">
              <w:txbxContent>
                <w:p w:rsidR="00000000" w:rsidRDefault="00000000">
                  <w:pPr>
                    <w:pStyle w:val="Heading8"/>
                    <w:rPr>
                      <w:szCs w:val="24"/>
                    </w:rPr>
                  </w:pPr>
                  <w:r>
                    <w:rPr>
                      <w:szCs w:val="24"/>
                    </w:rPr>
                    <w:t>Paraguay: trends in overt unemployment, 1997-2004</w:t>
                  </w:r>
                </w:p>
              </w:txbxContent>
            </v:textbox>
          </v:shape>
        </w:pict>
      </w:r>
      <w:bookmarkStart w:id="14" w:name="_MON_1234617024"/>
      <w:bookmarkStart w:id="15" w:name="_MON_1236149730"/>
      <w:bookmarkStart w:id="16" w:name="_MON_1236149782"/>
      <w:bookmarkStart w:id="17" w:name="_MON_1252022266"/>
      <w:bookmarkEnd w:id="14"/>
      <w:bookmarkEnd w:id="15"/>
      <w:bookmarkEnd w:id="16"/>
      <w:bookmarkEnd w:id="17"/>
      <w:r>
        <w:object w:dxaOrig="7335" w:dyaOrig="4086">
          <v:shape id="_x0000_i1028" type="#_x0000_t75" style="width:368.25pt;height:189.75pt" o:ole="">
            <v:imagedata r:id="rId20" o:title="" grayscale="t"/>
            <w10:bordertop type="single" width="4"/>
            <w10:borderleft type="single" width="4"/>
            <w10:borderbottom type="single" width="4"/>
            <w10:borderright type="single" width="4"/>
          </v:shape>
          <o:OLEObject Type="Embed" ProgID="Word.Picture.8" ShapeID="_x0000_i1028" DrawAspect="Content" ObjectID="_1394904850" r:id="rId21"/>
        </w:object>
      </w:r>
    </w:p>
    <w:p w:rsidR="00000000" w:rsidRDefault="00000000">
      <w:pPr>
        <w:spacing w:after="240"/>
      </w:pPr>
      <w:r>
        <w:t>165.</w:t>
      </w:r>
      <w:r>
        <w:tab/>
        <w:t xml:space="preserve">The following diagram shows that overt unemployment principally affects the population group aged 15-19, and particularly women in that age group, since, while approximately 14% of the juvenile population is actively seeking employment, the corresponding figure for women is 22.1%. The proportions remain high up to age 29; at that age 8 out of every 100 persons report overt unemployment.  </w:t>
      </w:r>
    </w:p>
    <w:p w:rsidR="00000000" w:rsidRDefault="00000000">
      <w:pPr>
        <w:spacing w:after="240"/>
      </w:pPr>
      <w:r>
        <w:rPr>
          <w:noProof/>
          <w:sz w:val="20"/>
          <w:lang w:val="fr-FR" w:eastAsia="fr-FR"/>
        </w:rPr>
        <w:pict>
          <v:shape id="_x0000_s2805" type="#_x0000_t202" style="position:absolute;margin-left:76.2pt;margin-top:209.05pt;width:286.25pt;height:19.25pt;z-index:9" stroked="f">
            <v:textbox inset="0,0,0,0">
              <w:txbxContent>
                <w:p w:rsidR="00000000" w:rsidRDefault="00000000"/>
              </w:txbxContent>
            </v:textbox>
          </v:shape>
        </w:pict>
      </w:r>
      <w:r>
        <w:rPr>
          <w:noProof/>
          <w:sz w:val="20"/>
          <w:lang w:val="fr-FR" w:eastAsia="fr-FR"/>
        </w:rPr>
        <w:pict>
          <v:shape id="_x0000_s2806" type="#_x0000_t202" style="position:absolute;margin-left:69.6pt;margin-top:12.25pt;width:310.85pt;height:19.25pt;z-index:10" stroked="f">
            <v:textbox inset="0,0,0,0">
              <w:txbxContent>
                <w:p w:rsidR="00000000" w:rsidRDefault="00000000">
                  <w:pPr>
                    <w:pStyle w:val="Heading8"/>
                    <w:rPr>
                      <w:szCs w:val="24"/>
                    </w:rPr>
                  </w:pPr>
                  <w:r>
                    <w:rPr>
                      <w:szCs w:val="24"/>
                    </w:rPr>
                    <w:t>Overt unemployment rates by age group and sex</w:t>
                  </w:r>
                </w:p>
              </w:txbxContent>
            </v:textbox>
          </v:shape>
        </w:pict>
      </w:r>
      <w:r>
        <w:rPr>
          <w:noProof/>
          <w:sz w:val="20"/>
          <w:lang w:val="fr-FR" w:eastAsia="fr-FR"/>
        </w:rPr>
        <w:pict>
          <v:shape id="_x0000_s2807" type="#_x0000_t202" style="position:absolute;margin-left:147.6pt;margin-top:107.1pt;width:1in;height:18pt;z-index:11" stroked="f">
            <v:textbox inset="0,0,0,0">
              <w:txbxContent>
                <w:p w:rsidR="00000000" w:rsidRDefault="00000000">
                  <w:pPr>
                    <w:jc w:val="center"/>
                    <w:rPr>
                      <w:b/>
                      <w:bCs/>
                      <w:sz w:val="22"/>
                    </w:rPr>
                  </w:pPr>
                  <w:r>
                    <w:rPr>
                      <w:b/>
                      <w:bCs/>
                      <w:sz w:val="18"/>
                    </w:rPr>
                    <w:t>Total</w:t>
                  </w:r>
                </w:p>
              </w:txbxContent>
            </v:textbox>
          </v:shape>
        </w:pict>
      </w:r>
      <w:r>
        <w:rPr>
          <w:noProof/>
          <w:sz w:val="20"/>
          <w:lang w:val="fr-FR" w:eastAsia="fr-FR"/>
        </w:rPr>
        <w:pict>
          <v:line id="_x0000_s2812" style="position:absolute;flip:x;z-index:16" from="117pt,112.5pt" to="171pt,112.5pt">
            <v:stroke endarrow="block"/>
          </v:line>
        </w:pict>
      </w:r>
      <w:r>
        <w:rPr>
          <w:noProof/>
          <w:sz w:val="20"/>
          <w:lang w:val="fr-FR" w:eastAsia="fr-FR"/>
        </w:rPr>
        <w:pict>
          <v:line id="_x0000_s2811" style="position:absolute;flip:x;z-index:15" from="108pt,67.5pt" to="153pt,76.5pt">
            <v:stroke endarrow="block"/>
          </v:line>
        </w:pict>
      </w:r>
      <w:r>
        <w:rPr>
          <w:noProof/>
          <w:sz w:val="20"/>
          <w:lang w:val="fr-FR" w:eastAsia="fr-FR"/>
        </w:rPr>
        <w:pict>
          <v:shape id="_x0000_s2808" type="#_x0000_t202" style="position:absolute;margin-left:135pt;margin-top:58.5pt;width:1in;height:18pt;z-index:12" stroked="f">
            <v:textbox inset="0,0,0,0">
              <w:txbxContent>
                <w:p w:rsidR="00000000" w:rsidRDefault="00000000">
                  <w:pPr>
                    <w:jc w:val="center"/>
                    <w:rPr>
                      <w:sz w:val="22"/>
                    </w:rPr>
                  </w:pPr>
                  <w:r>
                    <w:rPr>
                      <w:b/>
                      <w:bCs/>
                      <w:sz w:val="20"/>
                    </w:rPr>
                    <w:t>Women</w:t>
                  </w:r>
                </w:p>
              </w:txbxContent>
            </v:textbox>
          </v:shape>
        </w:pict>
      </w:r>
      <w:r>
        <w:rPr>
          <w:noProof/>
          <w:sz w:val="20"/>
          <w:lang w:val="fr-FR" w:eastAsia="fr-FR"/>
        </w:rPr>
        <w:pict>
          <v:line id="_x0000_s2810" style="position:absolute;flip:y;z-index:14" from="99pt,131.1pt" to="99pt,167.1pt">
            <v:stroke endarrow="block"/>
          </v:line>
        </w:pict>
      </w:r>
      <w:r>
        <w:rPr>
          <w:noProof/>
          <w:sz w:val="20"/>
          <w:lang w:val="fr-FR" w:eastAsia="fr-FR"/>
        </w:rPr>
        <w:pict>
          <v:shape id="_x0000_s2809" type="#_x0000_t202" style="position:absolute;margin-left:84pt;margin-top:162.95pt;width:1in;height:13.15pt;z-index:13" stroked="f">
            <v:textbox inset="0,0,0,0">
              <w:txbxContent>
                <w:p w:rsidR="00000000" w:rsidRDefault="00000000">
                  <w:pPr>
                    <w:pStyle w:val="Heading8"/>
                    <w:rPr>
                      <w:szCs w:val="24"/>
                    </w:rPr>
                  </w:pPr>
                  <w:r>
                    <w:rPr>
                      <w:szCs w:val="24"/>
                    </w:rPr>
                    <w:t>Men</w:t>
                  </w:r>
                </w:p>
              </w:txbxContent>
            </v:textbox>
          </v:shape>
        </w:pict>
      </w:r>
      <w:r>
        <w:rPr>
          <w:noProof/>
          <w:sz w:val="20"/>
          <w:lang w:eastAsia="es-ES"/>
        </w:rPr>
        <w:pict>
          <v:shape id="_x0000_s2804" type="#_x0000_t75" style="position:absolute;margin-left:45pt;margin-top:4.2pt;width:369pt;height:227.2pt;z-index:8;visibility:visible;mso-wrap-edited:f" stroked="t">
            <v:imagedata r:id="rId22" o:title="" grayscale="t"/>
          </v:shape>
          <o:OLEObject Type="Embed" ProgID="Word.Picture.8" ShapeID="_x0000_s2804" DrawAspect="Content" ObjectID="_1394904873" r:id="rId23"/>
        </w:pict>
      </w:r>
      <w:fldSimple w:instr=" SHAPE  \* MERGEFORMAT " w:fldLock="1">
        <w:r>
          <w:pict>
            <v:shape id="_x0000_i1029" type="#_x0000_t75" style="width:5in;height:210pt">
              <v:imagedata croptop="-65520f" cropbottom="65520f"/>
            </v:shape>
          </w:pict>
        </w:r>
      </w:fldSimple>
      <w:r>
        <w:t xml:space="preserve"> </w:t>
      </w:r>
    </w:p>
    <w:p w:rsidR="00000000" w:rsidRDefault="00000000">
      <w:pPr>
        <w:pStyle w:val="xl23"/>
        <w:spacing w:before="0" w:beforeAutospacing="0" w:after="240" w:afterAutospacing="0"/>
        <w:rPr>
          <w:rFonts w:ascii="Times New Roman" w:hAnsi="Times New Roman" w:cs="Times New Roman"/>
          <w:lang w:eastAsia="en-US"/>
        </w:rPr>
      </w:pPr>
    </w:p>
    <w:p w:rsidR="00000000" w:rsidRDefault="00000000">
      <w:pPr>
        <w:pStyle w:val="xl23"/>
        <w:spacing w:before="0" w:beforeAutospacing="0" w:after="240" w:afterAutospacing="0"/>
        <w:rPr>
          <w:rFonts w:ascii="Times New Roman" w:hAnsi="Times New Roman" w:cs="Times New Roman"/>
          <w:lang w:val="en-GB" w:eastAsia="en-US"/>
        </w:rPr>
      </w:pPr>
    </w:p>
    <w:p w:rsidR="00000000" w:rsidRDefault="00000000">
      <w:pPr>
        <w:spacing w:after="240"/>
        <w:rPr>
          <w:b/>
          <w:bCs/>
        </w:rPr>
      </w:pPr>
      <w:r>
        <w:rPr>
          <w:b/>
          <w:bCs/>
        </w:rPr>
        <w:t>2.</w:t>
      </w:r>
      <w:r>
        <w:rPr>
          <w:b/>
          <w:bCs/>
        </w:rPr>
        <w:tab/>
        <w:t>Underemployment</w:t>
      </w:r>
    </w:p>
    <w:p w:rsidR="00000000" w:rsidRDefault="00000000">
      <w:pPr>
        <w:spacing w:after="240"/>
      </w:pPr>
      <w:r>
        <w:t>166</w:t>
      </w:r>
      <w:r>
        <w:rPr>
          <w:b/>
          <w:bCs/>
        </w:rPr>
        <w:t>.</w:t>
      </w:r>
      <w:r>
        <w:rPr>
          <w:b/>
          <w:bCs/>
        </w:rPr>
        <w:tab/>
      </w:r>
      <w:r>
        <w:t xml:space="preserve">According to information in the Household Surveys, underemployment remained stable between 2003 and 2004 (24.1%; 24.2% respectively) in both rural and urban areas. </w:t>
      </w:r>
    </w:p>
    <w:p w:rsidR="00000000" w:rsidRDefault="00000000">
      <w:pPr>
        <w:autoSpaceDE w:val="0"/>
        <w:autoSpaceDN w:val="0"/>
        <w:adjustRightInd w:val="0"/>
        <w:spacing w:after="480"/>
        <w:jc w:val="center"/>
      </w:pPr>
      <w:r>
        <w:rPr>
          <w:bCs/>
        </w:rPr>
        <w:br w:type="page"/>
      </w:r>
      <w:r>
        <w:rPr>
          <w:noProof/>
          <w:sz w:val="20"/>
          <w:lang w:val="fr-FR" w:eastAsia="fr-FR"/>
        </w:rPr>
        <w:pict>
          <v:line id="_x0000_s2814" style="position:absolute;left:0;text-align:left;z-index:18" from="45pt,1.95pt" to="423pt,1.95pt"/>
        </w:pict>
      </w:r>
      <w:r>
        <w:rPr>
          <w:noProof/>
          <w:sz w:val="20"/>
          <w:lang w:val="fr-FR" w:eastAsia="fr-FR"/>
        </w:rPr>
        <w:pict>
          <v:shape id="_x0000_s2813" type="#_x0000_t202" style="position:absolute;left:0;text-align:left;margin-left:81.05pt;margin-top:10.3pt;width:296.95pt;height:17.45pt;z-index:17" stroked="f">
            <v:textbox inset="0,0,0,0">
              <w:txbxContent>
                <w:p w:rsidR="00000000" w:rsidRDefault="00000000">
                  <w:pPr>
                    <w:pStyle w:val="Heading8"/>
                    <w:rPr>
                      <w:szCs w:val="24"/>
                    </w:rPr>
                  </w:pPr>
                  <w:r>
                    <w:rPr>
                      <w:szCs w:val="24"/>
                    </w:rPr>
                    <w:t>Paraguay: trends in the underemployment rate (%), 1999-2004</w:t>
                  </w:r>
                </w:p>
              </w:txbxContent>
            </v:textbox>
          </v:shape>
        </w:pict>
      </w:r>
      <w:bookmarkStart w:id="18" w:name="_MON_1234617157"/>
      <w:bookmarkStart w:id="19" w:name="_MON_1236150016"/>
      <w:bookmarkStart w:id="20" w:name="_MON_1252021609"/>
      <w:bookmarkEnd w:id="18"/>
      <w:bookmarkEnd w:id="19"/>
      <w:bookmarkEnd w:id="20"/>
      <w:r>
        <w:object w:dxaOrig="7553" w:dyaOrig="4522">
          <v:shape id="_x0000_i1030" type="#_x0000_t75" style="width:377.25pt;height:225.75pt" o:ole="">
            <v:imagedata r:id="rId24" o:title="" gain="6.25" grayscale="t"/>
            <w10:bordertop type="single" width="4"/>
            <w10:borderleft type="single" width="4"/>
            <w10:borderbottom type="single" width="4"/>
            <w10:borderright type="single" width="4"/>
          </v:shape>
          <o:OLEObject Type="Embed" ProgID="Word.Picture.8" ShapeID="_x0000_i1030" DrawAspect="Content" ObjectID="_1394904851" r:id="rId25"/>
        </w:objec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GB" w:eastAsia="en-US"/>
        </w:rPr>
      </w:pPr>
      <w:r>
        <w:rPr>
          <w:rFonts w:ascii="Times New Roman" w:eastAsia="Times New Roman" w:hAnsi="Times New Roman" w:cs="Times New Roman"/>
          <w:lang w:val="en-GB" w:eastAsia="en-US"/>
        </w:rPr>
        <w:t>B.  Principal features of national employment policy</w:t>
      </w:r>
    </w:p>
    <w:p w:rsidR="00000000" w:rsidRDefault="00000000">
      <w:pPr>
        <w:spacing w:after="240"/>
      </w:pPr>
      <w:r>
        <w:t>167.</w:t>
      </w:r>
      <w:r>
        <w:tab/>
        <w:t xml:space="preserve">In line with the characteristics of the labour market in Paraguay, employment policy is focussed on the following elements: </w:t>
      </w:r>
    </w:p>
    <w:p w:rsidR="00000000" w:rsidRDefault="00000000">
      <w:pPr>
        <w:spacing w:after="240"/>
        <w:ind w:left="1134" w:hanging="567"/>
      </w:pPr>
      <w:r>
        <w:t xml:space="preserve"> –</w:t>
      </w:r>
      <w:r>
        <w:tab/>
        <w:t>Sustainability of macroeconomic and social conditions favouring the promotion of private investment generating sources of employment;</w:t>
      </w:r>
    </w:p>
    <w:p w:rsidR="00000000" w:rsidRDefault="00000000">
      <w:pPr>
        <w:spacing w:after="240"/>
        <w:ind w:left="1134" w:hanging="567"/>
      </w:pPr>
      <w:r>
        <w:t>–</w:t>
      </w:r>
      <w:r>
        <w:tab/>
        <w:t>Incorporation of the employment objective in trade, production, education, migration, vocational training and social security policies;</w:t>
      </w:r>
    </w:p>
    <w:p w:rsidR="00000000" w:rsidRDefault="00000000">
      <w:pPr>
        <w:spacing w:after="240"/>
        <w:ind w:left="1134" w:hanging="567"/>
      </w:pPr>
      <w:r>
        <w:t>–</w:t>
      </w:r>
      <w:r>
        <w:tab/>
        <w:t>Promotion of the development of micro and small enterprises based on the creation of conditions easing the formalities for access to credit, technical assistance and entrepreneurial training;</w:t>
      </w:r>
    </w:p>
    <w:p w:rsidR="00000000" w:rsidRDefault="00000000">
      <w:pPr>
        <w:spacing w:after="240"/>
        <w:ind w:left="1134" w:hanging="567"/>
      </w:pPr>
      <w:r>
        <w:t>–</w:t>
      </w:r>
      <w:r>
        <w:tab/>
        <w:t>Training of human resources, improving their employability, and involving private initiative, making available to the latter training, guidance and placement services. Training must be adapted to the requirements of enterprises and technological development.</w:t>
      </w:r>
    </w:p>
    <w:p w:rsidR="00000000" w:rsidRDefault="00000000">
      <w:pPr>
        <w:spacing w:after="240"/>
        <w:ind w:left="1134" w:hanging="567"/>
      </w:pPr>
      <w:r>
        <w:t>–</w:t>
      </w:r>
      <w:r>
        <w:tab/>
        <w:t>Promotion of social dialogue to foster adjustments in regulations which will encourage recruitment of workers and serve as a basis for modernization and institutional and legal strengthening.</w:t>
      </w:r>
    </w:p>
    <w:p w:rsidR="00000000" w:rsidRDefault="00000000">
      <w:pPr>
        <w:spacing w:after="240"/>
        <w:ind w:left="1134" w:hanging="567"/>
      </w:pPr>
      <w:r>
        <w:t>–</w:t>
      </w:r>
      <w:r>
        <w:tab/>
        <w:t xml:space="preserve">Strong support for the improvement of agricultural and stock-rearing production, promoting the creation of clusters (line production). . Support for the rural sector is a key element, since it also acts as a factor preventing migration from country to town. </w:t>
      </w:r>
    </w:p>
    <w:p w:rsidR="00000000" w:rsidRDefault="00000000">
      <w:pPr>
        <w:spacing w:after="240"/>
        <w:ind w:left="1134" w:hanging="567"/>
      </w:pPr>
      <w:r>
        <w:t>–</w:t>
      </w:r>
      <w:r>
        <w:tab/>
        <w:t xml:space="preserve">Development of special plans and programmes dealing with employment problems of specific population groups: programmes and measures to promote the employment of juveniles and women, programmes for the reintegration of specific groups into employment, etc. </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GB" w:eastAsia="en-US"/>
        </w:rPr>
      </w:pPr>
      <w:r>
        <w:rPr>
          <w:rFonts w:ascii="Times New Roman" w:eastAsia="Times New Roman" w:hAnsi="Times New Roman" w:cs="Times New Roman"/>
          <w:lang w:val="en-GB" w:eastAsia="en-US"/>
        </w:rPr>
        <w:t>C.  Freedom of choice of employment</w:t>
      </w:r>
    </w:p>
    <w:p w:rsidR="00000000" w:rsidRDefault="00000000">
      <w:pPr>
        <w:spacing w:after="240"/>
      </w:pPr>
      <w:r>
        <w:t>168.</w:t>
      </w:r>
      <w:r>
        <w:tab/>
        <w:t xml:space="preserve">As regards the legal and administrative provisions ensuring freedom of choice of employment, and those ensuring that conditions of employment do not restrict the political and economic freedoms of the individual, the State of Paraguay has laid down the following provisions (in particular, concerning time off or leave for election days): </w:t>
      </w:r>
    </w:p>
    <w:p w:rsidR="00000000" w:rsidRDefault="00000000">
      <w:pPr>
        <w:spacing w:after="240"/>
      </w:pPr>
      <w:r>
        <w:rPr>
          <w:b/>
          <w:bCs/>
        </w:rPr>
        <w:t>1.</w:t>
      </w:r>
      <w:r>
        <w:rPr>
          <w:b/>
          <w:bCs/>
        </w:rPr>
        <w:tab/>
        <w:t>Legal provisions</w:t>
      </w:r>
    </w:p>
    <w:p w:rsidR="00000000" w:rsidRDefault="00000000">
      <w:pPr>
        <w:spacing w:after="240"/>
      </w:pPr>
      <w:r>
        <w:t>169.</w:t>
      </w:r>
      <w:r>
        <w:tab/>
      </w:r>
      <w:r>
        <w:rPr>
          <w:i/>
          <w:iCs/>
        </w:rPr>
        <w:t xml:space="preserve">National Constitution. </w:t>
      </w:r>
      <w:r>
        <w:t xml:space="preserve"> In its different articles the National Constitution lays down the principles governing employment policy, relating specifically to the objective of full  employment, equity, the promotion of cooperatives, agrarian reform and rural development , vocational training and technical education. The State is assigned the task of promoting the quality of life “through plans and policies which take into account conditioning factors such as extreme poverty and impediments of disability or old age.”. “The State shall also promote investigation into population factors and their links with economic and social development, the preservation of the environment and the quality of life of the inhabitants” (article 6: Concerning the quality of life, Title II, chapter I.)</w:t>
      </w:r>
    </w:p>
    <w:p w:rsidR="00000000" w:rsidRDefault="00000000">
      <w:pPr>
        <w:widowControl w:val="0"/>
        <w:autoSpaceDE w:val="0"/>
        <w:autoSpaceDN w:val="0"/>
        <w:spacing w:after="240"/>
      </w:pPr>
      <w:r>
        <w:t>170.</w:t>
      </w:r>
      <w:r>
        <w:tab/>
        <w:t>Article 87, chapter VIII (Concerning  labour), section I (Concerning labour rights), refers to the commitment of the State to promote full employment. It reads: “the State shall promote policies aimed at achieving full employment and providing vocational training for human resources, giving preference to Paraguayan workers.”</w:t>
      </w:r>
    </w:p>
    <w:p w:rsidR="00000000" w:rsidRDefault="00000000">
      <w:pPr>
        <w:spacing w:after="240"/>
      </w:pPr>
      <w:r>
        <w:t>171.</w:t>
      </w:r>
      <w:r>
        <w:tab/>
      </w:r>
      <w:r>
        <w:rPr>
          <w:i/>
          <w:iCs/>
        </w:rPr>
        <w:t xml:space="preserve">Equity: </w:t>
      </w:r>
      <w:r>
        <w:t xml:space="preserve">Article 107, chapter IX (Concerning economic rights and agrarian reform), section I (Concerning economic rights), states that “Every person has the right to take up the licit economic activity of his choice within a framework of equality of opportunities”. This provision establishes the framework for the exercise of the right to work in a context of equity and freedom of choice. </w:t>
      </w:r>
    </w:p>
    <w:p w:rsidR="00000000" w:rsidRDefault="00000000">
      <w:pPr>
        <w:spacing w:after="240"/>
      </w:pPr>
      <w:r>
        <w:t>172.</w:t>
      </w:r>
      <w:r>
        <w:tab/>
      </w:r>
      <w:r>
        <w:rPr>
          <w:i/>
          <w:iCs/>
        </w:rPr>
        <w:t xml:space="preserve">Training for work: </w:t>
      </w:r>
      <w:r>
        <w:t xml:space="preserve">Article 78, chapter VII (Concerning education and culture), provides that “The State shall promote training for work through technical education with the aim of training the human resources required for national development”. </w:t>
      </w:r>
    </w:p>
    <w:p w:rsidR="00000000" w:rsidRDefault="00000000">
      <w:pPr>
        <w:spacing w:after="240"/>
      </w:pPr>
      <w:r>
        <w:t>173.</w:t>
      </w:r>
      <w:r>
        <w:tab/>
      </w:r>
      <w:r>
        <w:rPr>
          <w:i/>
          <w:iCs/>
        </w:rPr>
        <w:t xml:space="preserve">Promotion of cooperatives: </w:t>
      </w:r>
      <w:r>
        <w:t>Article 113, chapter IX (Concerning economic rights and agrarian reform), section I (Concerning  economic rights), states that “The State shall promote cooperative enterprise and other associative forms of production of goods and services based on solidarity and social profitability, to which it shall guarantee freedom of organization and autonomy…”</w:t>
      </w:r>
    </w:p>
    <w:p w:rsidR="00000000" w:rsidRDefault="00000000">
      <w:pPr>
        <w:spacing w:after="240"/>
      </w:pPr>
      <w:r>
        <w:t>174.</w:t>
      </w:r>
      <w:r>
        <w:tab/>
      </w:r>
      <w:r>
        <w:rPr>
          <w:i/>
          <w:iCs/>
        </w:rPr>
        <w:t xml:space="preserve">Rural development and agrarian reform:  </w:t>
      </w:r>
      <w:r>
        <w:t>Article 115 (Concerning the bases for agrarian reform and rural development) provides that "Agrarian reform and rural development shall be implemented in accordance with the following principles:</w:t>
      </w:r>
    </w:p>
    <w:p w:rsidR="00000000" w:rsidRDefault="00000000">
      <w:pPr>
        <w:keepNext/>
        <w:autoSpaceDE w:val="0"/>
        <w:autoSpaceDN w:val="0"/>
        <w:spacing w:after="220"/>
        <w:ind w:left="1134" w:hanging="567"/>
      </w:pPr>
      <w:r>
        <w:t>–</w:t>
      </w:r>
      <w:r>
        <w:tab/>
        <w:t>The adoption of a tax system and other measures to encourage production, discourage large-scale landholding and ensure the development of small and medium-sized rural estates, in accordance with the characteristics of each area;</w:t>
      </w:r>
    </w:p>
    <w:p w:rsidR="00000000" w:rsidRDefault="00000000">
      <w:pPr>
        <w:keepNext/>
        <w:widowControl w:val="0"/>
        <w:autoSpaceDE w:val="0"/>
        <w:autoSpaceDN w:val="0"/>
        <w:spacing w:after="220"/>
        <w:ind w:left="1134" w:hanging="567"/>
      </w:pPr>
      <w:r>
        <w:br w:type="page"/>
        <w:t>–</w:t>
      </w:r>
      <w:r>
        <w:tab/>
        <w:t>The rationalization and regulation of land use and crop-growing practices to prevent the degradation of land, and the promotion of intensive and diversified agricultural and livestock production;</w:t>
      </w:r>
    </w:p>
    <w:p w:rsidR="00000000" w:rsidRDefault="00000000">
      <w:pPr>
        <w:keepNext/>
        <w:widowControl w:val="0"/>
        <w:autoSpaceDE w:val="0"/>
        <w:autoSpaceDN w:val="0"/>
        <w:spacing w:after="220"/>
        <w:ind w:firstLine="567"/>
      </w:pPr>
      <w:r>
        <w:t>–</w:t>
      </w:r>
      <w:r>
        <w:tab/>
        <w:t>The promotion of small and medium-sized agricultural enterprises…</w:t>
      </w:r>
    </w:p>
    <w:p w:rsidR="00000000" w:rsidRDefault="00000000">
      <w:pPr>
        <w:keepNext/>
        <w:widowControl w:val="0"/>
        <w:autoSpaceDE w:val="0"/>
        <w:autoSpaceDN w:val="0"/>
        <w:spacing w:after="220"/>
        <w:ind w:firstLine="567"/>
      </w:pPr>
      <w:r>
        <w:t>–</w:t>
      </w:r>
      <w:r>
        <w:tab/>
        <w:t>Education to train farmers and their families as active agents in national development;</w:t>
      </w:r>
    </w:p>
    <w:p w:rsidR="00000000" w:rsidRDefault="00000000">
      <w:pPr>
        <w:keepNext/>
        <w:spacing w:after="220"/>
        <w:ind w:left="1134" w:hanging="567"/>
      </w:pPr>
      <w:r>
        <w:t>–</w:t>
      </w:r>
      <w:r>
        <w:tab/>
        <w:t xml:space="preserve">The adoption of policies to foment popular interest in farming by establishing vocational training centres in rural areas.” </w:t>
      </w:r>
    </w:p>
    <w:p w:rsidR="00000000" w:rsidRDefault="00000000">
      <w:pPr>
        <w:keepNext/>
        <w:spacing w:after="220"/>
      </w:pPr>
      <w:r>
        <w:t>175.</w:t>
      </w:r>
      <w:r>
        <w:tab/>
      </w:r>
      <w:r>
        <w:rPr>
          <w:b/>
          <w:bCs/>
        </w:rPr>
        <w:t>Labour Code (Act 213/93):</w:t>
      </w:r>
      <w:r>
        <w:t xml:space="preserve"> chapter II (Concerning work guarantees pertaining thereto): </w:t>
      </w:r>
    </w:p>
    <w:p w:rsidR="00000000" w:rsidRDefault="00000000">
      <w:pPr>
        <w:keepNext/>
        <w:spacing w:after="220"/>
        <w:ind w:left="1134" w:hanging="567"/>
      </w:pPr>
      <w:r>
        <w:t>–</w:t>
      </w:r>
      <w:r>
        <w:tab/>
      </w:r>
      <w:r>
        <w:rPr>
          <w:i/>
          <w:iCs/>
        </w:rPr>
        <w:t xml:space="preserve">Article 9. </w:t>
      </w:r>
      <w:r>
        <w:t>“Work is a right and a social duty and enjoys the protection of the State. It shall not be regarded as a commodity. The freedoms and dignity of those who work shall be respected, and work shall be performed in conditions that protect life and health and ensure a financial level compatible with the responsibilities of a man or a woman who is the head of a family. No discrimination may be established concerning a worker on grounds of physical impediment, race, colour, sex, religion, political opinion or social condition.”</w:t>
      </w:r>
    </w:p>
    <w:p w:rsidR="00000000" w:rsidRDefault="00000000">
      <w:pPr>
        <w:keepNext/>
        <w:spacing w:after="220"/>
        <w:ind w:left="1134" w:hanging="567"/>
      </w:pPr>
      <w:r>
        <w:t>–</w:t>
      </w:r>
      <w:r>
        <w:tab/>
      </w:r>
      <w:r>
        <w:rPr>
          <w:i/>
          <w:iCs/>
        </w:rPr>
        <w:t xml:space="preserve">Article 15. </w:t>
      </w:r>
      <w:r>
        <w:t>“Every worker must have the possibility of a decent existence and the right to just conditions in the performance of his work, to receive vocational and technical education to improve his skills, to obtain higher income and to contribute efficiently to the progress of the Nation.”</w:t>
      </w:r>
    </w:p>
    <w:p w:rsidR="00000000" w:rsidRDefault="00000000">
      <w:pPr>
        <w:spacing w:after="240"/>
        <w:ind w:left="1134" w:hanging="567"/>
      </w:pPr>
      <w:r>
        <w:t>–</w:t>
      </w:r>
      <w:r>
        <w:tab/>
      </w:r>
      <w:r>
        <w:rPr>
          <w:i/>
          <w:iCs/>
        </w:rPr>
        <w:t xml:space="preserve">Article 16. </w:t>
      </w:r>
      <w:r>
        <w:t>“The State shall bear the responsibility of providing vocational and technical education for workers so as to improve their skills in order to obtain higher incomes and greater efficiency in production.”... “It shall also, by means of an appropriate economic policy, preserve a just balance between the supply of and the demand for labour and provide suitable employment for workers unemployed or underemployed for reasons beyond their control and for the physically and mentally disabled, the elderly and war veterans.”</w:t>
      </w:r>
    </w:p>
    <w:p w:rsidR="00000000" w:rsidRDefault="00000000">
      <w:pPr>
        <w:pStyle w:val="xl23"/>
        <w:spacing w:before="0" w:beforeAutospacing="0" w:after="240" w:afterAutospacing="0"/>
        <w:rPr>
          <w:rFonts w:ascii="Times New Roman" w:hAnsi="Times New Roman" w:cs="Times New Roman"/>
          <w:lang w:val="en-GB" w:eastAsia="en-US"/>
        </w:rPr>
      </w:pPr>
      <w:r>
        <w:rPr>
          <w:rFonts w:ascii="Times New Roman" w:hAnsi="Times New Roman" w:cs="Times New Roman"/>
          <w:lang w:val="en-GB" w:eastAsia="en-US"/>
        </w:rPr>
        <w:t>2.</w:t>
      </w:r>
      <w:r>
        <w:rPr>
          <w:rFonts w:ascii="Times New Roman" w:hAnsi="Times New Roman" w:cs="Times New Roman"/>
          <w:lang w:val="en-GB" w:eastAsia="en-US"/>
        </w:rPr>
        <w:tab/>
        <w:t>Administrative measures</w:t>
      </w:r>
    </w:p>
    <w:p w:rsidR="00000000" w:rsidRDefault="00000000">
      <w:pPr>
        <w:spacing w:after="240"/>
      </w:pPr>
      <w:r>
        <w:t>176.</w:t>
      </w:r>
      <w:r>
        <w:tab/>
        <w:t xml:space="preserve">The general objective of the employment policy of the Ministry of Justice and Labour is to promote the competitiveness of national production and to improve the employability of the labour force in a context of social equity. To that end it is implementing active employment  policies consisting of the effective application of training and skills development courses conducted by the National Vocational Advancement Service and the National Training and Work Skills Development System. During the last three years over 100,000 workers have been trained. The Ministry also implements employment support services through vocational guidance, information and placement services. It is currently strengthening the National Employment Service. As regards the quality of employment, the Ministry conducts inspections to ensure compliance with conditions of work as laid down in the Labour Code and international labour conventions. </w:t>
      </w:r>
    </w:p>
    <w:p w:rsidR="00000000" w:rsidRDefault="00000000">
      <w:pPr>
        <w:spacing w:after="240"/>
        <w:jc w:val="center"/>
      </w:pPr>
      <w:r>
        <w:rPr>
          <w:b/>
          <w:bCs/>
        </w:rPr>
        <w:br w:type="page"/>
        <w:t>D.  Difficulties in the way of achievement of full and productive employment</w:t>
      </w:r>
    </w:p>
    <w:p w:rsidR="00000000" w:rsidRDefault="00000000">
      <w:pPr>
        <w:spacing w:after="240"/>
      </w:pPr>
      <w:r>
        <w:t>177.</w:t>
      </w:r>
      <w:r>
        <w:tab/>
        <w:t xml:space="preserve">On account of the characteristics of the economic structure of the country, with its limited numbers of production centres or factories, the majority of workers perform their activities in small-scale enterprises. Some 70% of Paraguayan workers are employed in establishments with less than five employees. </w:t>
      </w:r>
    </w:p>
    <w:p w:rsidR="00000000" w:rsidRDefault="00000000">
      <w:pPr>
        <w:spacing w:after="240"/>
      </w:pPr>
      <w:r>
        <w:t>178.</w:t>
      </w:r>
      <w:r>
        <w:tab/>
        <w:t xml:space="preserve">In addition, there are imbalances, both quantitative and qualitative, between the supply of and the demand for labour. The economy is unable to create jobs in sufficient numbers and quality to satisfy demand; at the same time, the qualifications of the workforce do not match the present requirements of the jobs on offer. Over 60% of the economically active population (EAP) has only primary education; only 7% have tertiary education. These shortcomings clearly hamper the functioning of the labour market.  Consequently a project for the reform of the vocational education system is in course of implementation to improve productivity and the quality of the labour force. </w:t>
      </w:r>
    </w:p>
    <w:p w:rsidR="00000000" w:rsidRDefault="00000000">
      <w:pPr>
        <w:spacing w:after="240"/>
      </w:pPr>
      <w:r>
        <w:t>179.</w:t>
      </w:r>
      <w:r>
        <w:tab/>
        <w:t xml:space="preserve">During the last ten years their have been no reports to the Ministry of Justice and Labour alleging discrimination in labour matters on grounds of race, religion or social or economic condition. The national Constitution, the Labour Code and other legal provisions in substantive law ensure the right to non-discrimination in employment and equality of opportunity for all workers. </w:t>
      </w:r>
    </w:p>
    <w:p w:rsidR="00000000" w:rsidRDefault="00000000">
      <w:pPr>
        <w:spacing w:after="240"/>
      </w:pPr>
      <w:r>
        <w:t>180.</w:t>
      </w:r>
      <w:r>
        <w:tab/>
        <w:t xml:space="preserve">In addition, in the National Employment Service vocational guidance measures are used as a vehicle for the development of subjects relating to non-discrimination and the right to equality of opportunity. Similarly, the primary and middle school curricula contain elements relating to these fundamental human rights. </w:t>
      </w:r>
    </w:p>
    <w:p w:rsidR="00000000" w:rsidRDefault="00000000">
      <w:pPr>
        <w:spacing w:after="240"/>
        <w:jc w:val="center"/>
      </w:pPr>
      <w:r>
        <w:rPr>
          <w:b/>
          <w:bCs/>
        </w:rPr>
        <w:t>E.</w:t>
      </w:r>
      <w:r>
        <w:t xml:space="preserve">  </w:t>
      </w:r>
      <w:r>
        <w:rPr>
          <w:b/>
          <w:bCs/>
        </w:rPr>
        <w:t>Report of the Supreme Court of Justice concerning article 6</w:t>
      </w:r>
    </w:p>
    <w:p w:rsidR="00000000" w:rsidRDefault="00000000">
      <w:pPr>
        <w:spacing w:after="240"/>
      </w:pPr>
      <w:r>
        <w:t>181.</w:t>
      </w:r>
      <w:r>
        <w:tab/>
        <w:t xml:space="preserve">The potential effectiveness of the above-mentioned legal provisions is enhanced by the absence of relatively impermeable social ceilings, with the natural exception of social status as determined by education and vocational training. However, certain discriminations deriving from supposed roles and working conditions exist, namely in the situations of women domestic workers and rural workers. Labour legislation discriminates against these categories of workers in that it allows payment of a wage below the statutory minimum on the understanding that the lower cash wage is complemented by the benefits of board and lodging in the dwelling of the employer. However, the discrimination is apparent when these workers neither receive board from the employer nor remain at all times in the domicile of the employer. </w:t>
      </w:r>
    </w:p>
    <w:p w:rsidR="00000000" w:rsidRDefault="00000000">
      <w:pPr>
        <w:spacing w:after="240"/>
      </w:pPr>
      <w:r>
        <w:t>182.</w:t>
      </w:r>
      <w:r>
        <w:tab/>
        <w:t xml:space="preserve">The socio-economic structure of the country apparently does not for the moment permit an improvement in the working conditions of these workers. A third social sector suffering from discrimination, but of a </w:t>
      </w:r>
      <w:r>
        <w:rPr>
          <w:i/>
          <w:iCs/>
        </w:rPr>
        <w:t xml:space="preserve"> de facto</w:t>
      </w:r>
      <w:r>
        <w:t xml:space="preserve"> kind, is the indigenous sector, a minority group of a different culture.  There is no discrimination against them in law, but on account of the cultural difference they experience great difficulties in exercising any form of work activity on equal terms with non-indigenous citizens. Clearly a declaration of equality is insufficient for this social group; regulations are needed establishing  a positive discrimination to enable them to attain equality. </w:t>
      </w:r>
    </w:p>
    <w:p w:rsidR="00000000" w:rsidRDefault="00000000">
      <w:pPr>
        <w:spacing w:after="240"/>
      </w:pPr>
      <w:r>
        <w:t>183.</w:t>
      </w:r>
      <w:r>
        <w:tab/>
        <w:t xml:space="preserve">A fourth disadvantaged sector is the group of physically and mentally handicapped persons. A high percentage of them cannot obtain jobs on account of their condition notwithstanding the provision of the law; consequently, although there is a presumption that they have equality of rights to obtain jobs, prejudices of a cultural nature debar them in the majority of cases from doing so. However, considerable progress in the protection of this group was achieved with the promulgation of Act No. 1925 of 2002 ratifying the Inter-American Convention on the Elimination of All Forms of Discrimination against Persons with Disabilities and the approval of Act No. 2479 “establishing an obligation to incorporate disabled persons in public institutions”. The case of this group is similar to that of indigenous persons; consequently the improvement of their condition must be achieved through measures of positive action to be established in the law. </w:t>
      </w:r>
    </w:p>
    <w:p w:rsidR="00000000" w:rsidRDefault="00000000">
      <w:pPr>
        <w:spacing w:after="240"/>
      </w:pPr>
      <w:r>
        <w:t>184.</w:t>
      </w:r>
      <w:r>
        <w:tab/>
        <w:t>It should also be pointed out that the protection of the rights of  persons with special needs is of a constitutional nature; it is enshrined in article 58 of the National Constitution, and public policies on the subject are governed thereby. The article in question reads as follows: “Persons with special needs shall be guaranteed care for their health, their education, their recreation and their vocational training for full social integration.”</w:t>
      </w:r>
      <w:r>
        <w:tab/>
        <w:t xml:space="preserve"> “The State shall organize a policy of prevention, treatment, rehabilitation and integration for physically, mentally and sensorially handicapped persons and provide them with the specialized care that they need.”...“They shall be recognized the rights which this Constitution grants to all the inhabitants of the Republic, in equality of opportunities, in order to compensate their impairments.”</w:t>
      </w:r>
    </w:p>
    <w:p w:rsidR="00000000" w:rsidRDefault="00000000">
      <w:pPr>
        <w:spacing w:after="240"/>
      </w:pPr>
      <w:r>
        <w:rPr>
          <w:b/>
          <w:bCs/>
        </w:rPr>
        <w:t>1.</w:t>
      </w:r>
      <w:r>
        <w:rPr>
          <w:b/>
          <w:bCs/>
        </w:rPr>
        <w:tab/>
        <w:t>Discrimination on language grounds</w:t>
      </w:r>
    </w:p>
    <w:p w:rsidR="00000000" w:rsidRDefault="00000000">
      <w:pPr>
        <w:spacing w:after="240"/>
        <w:rPr>
          <w:i/>
          <w:iCs/>
        </w:rPr>
      </w:pPr>
      <w:r>
        <w:t>185.</w:t>
      </w:r>
      <w:r>
        <w:tab/>
        <w:t xml:space="preserve">Another sector suffering from discrimination in practice is the group of citizens who do not have the use of the Spanish language. In Paraguay the majority of the peasants are monolingual and Guaraní-speaking; there is a minority in the urban sector. They suffer discrimination in practice arising from difficulties of communication in both the work sphere and that of law, in both of which all business is conducted in Spanish. This discrimination tends to be dealt with by short-term solutions. The conditions make for this approach, since the 1992 Constitution states that the Guaraní language is a language of official use on equal terms with Spanish throughout the Republic, with the consequence that Guaraní may be used in the judicial sphere, especially in proceedings relating to labour matters. However, this right has not so far been consolidated on account of the absence of more specific regulations concerning the official languages of the State. The sectors with an interest in the Guaraní language are currently working on a draft regulatory Act which will be submitted to the National Congress. </w:t>
      </w:r>
    </w:p>
    <w:p w:rsidR="00000000" w:rsidRDefault="00000000">
      <w:pPr>
        <w:spacing w:after="240"/>
      </w:pPr>
      <w:r>
        <w:rPr>
          <w:b/>
          <w:bCs/>
        </w:rPr>
        <w:t>2.</w:t>
      </w:r>
      <w:r>
        <w:rPr>
          <w:b/>
          <w:bCs/>
        </w:rPr>
        <w:tab/>
        <w:t xml:space="preserve">Changes in national legislation </w:t>
      </w:r>
    </w:p>
    <w:p w:rsidR="00000000" w:rsidRDefault="00000000">
      <w:pPr>
        <w:spacing w:after="240"/>
      </w:pPr>
      <w:r>
        <w:t>186.</w:t>
      </w:r>
      <w:r>
        <w:tab/>
        <w:t xml:space="preserve">Among the changes in national legislation positively affecting the enforcement of the rights enshrined in this article, the following may be mentioned: </w:t>
      </w:r>
    </w:p>
    <w:p w:rsidR="00000000" w:rsidRDefault="00000000">
      <w:pPr>
        <w:spacing w:after="240"/>
      </w:pPr>
      <w:r>
        <w:t>187.</w:t>
      </w:r>
      <w:r>
        <w:tab/>
        <w:t xml:space="preserve">As regards the right to a productive job and just working conditions: </w:t>
      </w:r>
    </w:p>
    <w:p w:rsidR="00000000" w:rsidRDefault="00000000">
      <w:pPr>
        <w:spacing w:after="240"/>
      </w:pPr>
      <w:r>
        <w:t>188.</w:t>
      </w:r>
      <w:r>
        <w:tab/>
      </w:r>
      <w:r>
        <w:rPr>
          <w:i/>
          <w:iCs/>
        </w:rPr>
        <w:t xml:space="preserve">Act 1980/2002 concerning first employment </w:t>
      </w:r>
      <w:r>
        <w:t xml:space="preserve">is designed to regulate, encourage and promote youth employment with regard to the remunerated provision of labour-power in a subordinate capacity. The Act applies to young persons between ages 15 and 18, to persons under age 28 who have recently obtained an occupational qualification but have never provided services in a subordinate capacity and to employers registered with the labour administration. </w:t>
      </w:r>
    </w:p>
    <w:p w:rsidR="00000000" w:rsidRDefault="00000000">
      <w:pPr>
        <w:spacing w:after="240"/>
      </w:pPr>
      <w:r>
        <w:t>189.</w:t>
      </w:r>
      <w:r>
        <w:tab/>
      </w:r>
      <w:r>
        <w:rPr>
          <w:i/>
          <w:iCs/>
        </w:rPr>
        <w:t xml:space="preserve">Act 1652/2000 establishing the National Training and Work Skills Development System (regulated by Decree 15904/2001). </w:t>
      </w:r>
      <w:r>
        <w:t xml:space="preserve">This Act regulates the training and work skills development of its beneficiaries, lays down the principles and the aims and objectives thereof, fixes guidelines for participation and the responsibilities of its managing body (a public-law entity under the authority of the Ministry of Justice and Labour) and determines the responsibilities of the training and skills development institutions. It contains provisions concerning the methods of financing and the other functions of the system.  </w:t>
      </w:r>
    </w:p>
    <w:p w:rsidR="00000000" w:rsidRDefault="00000000">
      <w:pPr>
        <w:spacing w:after="240"/>
      </w:pPr>
      <w:r>
        <w:t>190.</w:t>
      </w:r>
      <w:r>
        <w:tab/>
      </w:r>
      <w:r>
        <w:rPr>
          <w:i/>
          <w:iCs/>
        </w:rPr>
        <w:t xml:space="preserve">Act 1265/1987 amending Act 253/1971 establishing the National Vocational Advancement Service (SNPP),  </w:t>
      </w:r>
      <w:r>
        <w:t xml:space="preserve">an entity under the authority of the Ministry of Justice and Labour. It will be governed by the provisions of this Act. Its purpose is the promotion and development of the vocational training of workers at all levels and in all sectors of the economy; fundamentally it serves to advance the employment policy of the government and the process of national development. All persons over age 18 residing in the national territory are entitled to use its services. It is also envisaging apprenticeship programmes for minors between ages 15 and 18. </w:t>
      </w:r>
    </w:p>
    <w:p w:rsidR="00000000" w:rsidRDefault="00000000">
      <w:pPr>
        <w:spacing w:after="240"/>
      </w:pPr>
      <w:r>
        <w:t>191.</w:t>
      </w:r>
      <w:r>
        <w:tab/>
      </w:r>
      <w:r>
        <w:rPr>
          <w:i/>
          <w:iCs/>
        </w:rPr>
        <w:t xml:space="preserve">Act 285/1993 concerning additional benefits for workers (regulates article 93 of the Constitution). </w:t>
      </w:r>
      <w:r>
        <w:t xml:space="preserve">This Act provides that an enterprise which grants its workers benefits in addition to their net wages which are unrelated to the wages and other benefits established in law or in agreements concluded between the enterprise and its workers may deduct those benefits; the latter shall be exempt from all taxation, and no contribution to the Social Security Institute, the National Workers’ Bank or other entities created which may require contributions of any kind shall be payable in respect thereof by the enterprise or the workers. </w:t>
      </w:r>
    </w:p>
    <w:p w:rsidR="00000000" w:rsidRDefault="00000000">
      <w:pPr>
        <w:spacing w:after="240"/>
      </w:pPr>
      <w:r>
        <w:t>192.</w:t>
      </w:r>
      <w:r>
        <w:tab/>
      </w:r>
      <w:r>
        <w:rPr>
          <w:i/>
          <w:iCs/>
        </w:rPr>
        <w:t xml:space="preserve">Act 1160/1997 (Penal Code).  </w:t>
      </w:r>
      <w:r>
        <w:t xml:space="preserve">Article 205 stipulates that the owner of an establishment or enterprise, or the person responsible for the prevention of work accidents, shall be responsible and subject to the appropriate penalties if he exposes persons to dangerous workplaces. </w:t>
      </w:r>
    </w:p>
    <w:p w:rsidR="00000000" w:rsidRDefault="00000000">
      <w:pPr>
        <w:spacing w:after="240"/>
      </w:pPr>
      <w:r>
        <w:t>193.</w:t>
      </w:r>
      <w:r>
        <w:tab/>
      </w:r>
      <w:r>
        <w:rPr>
          <w:i/>
          <w:iCs/>
        </w:rPr>
        <w:t xml:space="preserve">Decree 20400/2003 regulating wages and salaries in the private sector </w:t>
      </w:r>
      <w:r>
        <w:t xml:space="preserve">provides for an increase of 11% in wages and salaries in the private sector with effect from 1 February 2003. It also applies to the minimum wages in force in activities expressly designated, activities with salary scales and other unspecified activities. </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smallCaps/>
          <w:lang w:val="en-GB" w:eastAsia="en-US"/>
        </w:rPr>
      </w:pPr>
      <w:r>
        <w:rPr>
          <w:rFonts w:ascii="Times New Roman" w:eastAsia="Times New Roman" w:hAnsi="Times New Roman" w:cs="Times New Roman"/>
          <w:smallCaps/>
          <w:lang w:val="en-GB" w:eastAsia="en-US"/>
        </w:rPr>
        <w:t>Article 7</w:t>
      </w:r>
    </w:p>
    <w:p w:rsidR="00000000" w:rsidRDefault="00000000">
      <w:pPr>
        <w:spacing w:after="240"/>
      </w:pPr>
      <w:r>
        <w:t>194.</w:t>
      </w:r>
      <w:r>
        <w:tab/>
        <w:t xml:space="preserve">In relation to the implementation of this article the State of Paraguay is a party to the following international conventions relating to labour rights: </w:t>
      </w:r>
    </w:p>
    <w:p w:rsidR="00000000" w:rsidRDefault="00000000">
      <w:pPr>
        <w:spacing w:after="240"/>
        <w:ind w:left="567"/>
        <w:rPr>
          <w:i/>
          <w:iCs/>
        </w:rPr>
      </w:pPr>
      <w:r>
        <w:rPr>
          <w:i/>
          <w:iCs/>
        </w:rPr>
        <w:t>ILO Convention (No. 14) concerning the Application of the Weekly Rest in Industrial Undertakings</w:t>
      </w:r>
    </w:p>
    <w:p w:rsidR="00000000" w:rsidRDefault="00000000">
      <w:pPr>
        <w:ind w:left="567"/>
      </w:pPr>
      <w:r>
        <w:t>Adopted: Geneva, 25 October 1921</w:t>
      </w:r>
    </w:p>
    <w:p w:rsidR="00000000" w:rsidRDefault="00000000">
      <w:pPr>
        <w:ind w:left="567"/>
      </w:pPr>
      <w:r>
        <w:t>Act No. 945 of 15 July 1964</w:t>
      </w:r>
    </w:p>
    <w:p w:rsidR="00000000" w:rsidRDefault="00000000">
      <w:pPr>
        <w:spacing w:after="240"/>
        <w:ind w:left="567"/>
      </w:pPr>
      <w:r>
        <w:t>Date of entry into force for Paraguay: 21 March 1966</w:t>
      </w:r>
    </w:p>
    <w:p w:rsidR="00000000" w:rsidRDefault="00000000">
      <w:pPr>
        <w:spacing w:after="240"/>
        <w:ind w:left="567" w:hanging="567"/>
        <w:rPr>
          <w:i/>
          <w:iCs/>
        </w:rPr>
      </w:pPr>
      <w:r>
        <w:tab/>
      </w:r>
      <w:r>
        <w:rPr>
          <w:i/>
          <w:iCs/>
        </w:rPr>
        <w:t>Convention (No. 100) concerning Equal Pay for Men and Women Workers for Work of Equal Value</w:t>
      </w:r>
    </w:p>
    <w:p w:rsidR="00000000" w:rsidRDefault="00000000">
      <w:pPr>
        <w:pStyle w:val="Header"/>
        <w:tabs>
          <w:tab w:val="clear" w:pos="4320"/>
          <w:tab w:val="clear" w:pos="8640"/>
        </w:tabs>
        <w:ind w:left="567"/>
      </w:pPr>
      <w:r>
        <w:t>Adopted: Geneva, 29 June 1951</w:t>
      </w:r>
    </w:p>
    <w:p w:rsidR="00000000" w:rsidRDefault="00000000">
      <w:pPr>
        <w:ind w:left="567"/>
      </w:pPr>
      <w:r>
        <w:t>Act No. 925 of 3 June 1964</w:t>
      </w:r>
    </w:p>
    <w:p w:rsidR="00000000" w:rsidRDefault="00000000">
      <w:pPr>
        <w:spacing w:after="240"/>
        <w:ind w:left="567"/>
      </w:pPr>
      <w:r>
        <w:t>Date of entry into force for Paraguay: 24 June 1965</w:t>
      </w:r>
    </w:p>
    <w:p w:rsidR="00000000" w:rsidRDefault="00000000">
      <w:pPr>
        <w:keepNext/>
        <w:spacing w:after="240"/>
        <w:rPr>
          <w:i/>
          <w:iCs/>
        </w:rPr>
      </w:pPr>
      <w:r>
        <w:tab/>
      </w:r>
      <w:r>
        <w:rPr>
          <w:i/>
          <w:iCs/>
        </w:rPr>
        <w:t>Convention (No. 106) concerning Weekly Rest in Commerce and Offices</w:t>
      </w:r>
    </w:p>
    <w:p w:rsidR="00000000" w:rsidRDefault="00000000">
      <w:pPr>
        <w:ind w:left="567"/>
      </w:pPr>
      <w:r>
        <w:t>Adopted: Geneva, 26 June 1957</w:t>
      </w:r>
    </w:p>
    <w:p w:rsidR="00000000" w:rsidRDefault="00000000">
      <w:pPr>
        <w:ind w:left="567"/>
      </w:pPr>
      <w:r>
        <w:t>Act No. 947 of 15 July 1964</w:t>
      </w:r>
    </w:p>
    <w:p w:rsidR="00000000" w:rsidRDefault="00000000">
      <w:pPr>
        <w:ind w:left="567"/>
      </w:pPr>
      <w:r>
        <w:t>Deposit: Geneva, 21 March 1966</w:t>
      </w:r>
    </w:p>
    <w:p w:rsidR="00000000" w:rsidRDefault="00000000">
      <w:pPr>
        <w:keepNext/>
        <w:spacing w:after="240"/>
        <w:ind w:left="567"/>
      </w:pPr>
      <w:r>
        <w:t>Date of entry into force for Paraguay: 21 March 1967</w:t>
      </w:r>
    </w:p>
    <w:p w:rsidR="00000000" w:rsidRDefault="00000000">
      <w:pPr>
        <w:spacing w:after="240"/>
        <w:rPr>
          <w:i/>
          <w:iCs/>
        </w:rPr>
      </w:pPr>
      <w:r>
        <w:tab/>
      </w:r>
      <w:r>
        <w:rPr>
          <w:i/>
          <w:iCs/>
        </w:rPr>
        <w:t>Convention No. 81) concerning Labour Inspection in Industry and Commerce</w:t>
      </w:r>
    </w:p>
    <w:p w:rsidR="00000000" w:rsidRDefault="00000000">
      <w:pPr>
        <w:ind w:left="567"/>
      </w:pPr>
      <w:r>
        <w:t>Adopted: Geneva, 11 July 1947</w:t>
      </w:r>
    </w:p>
    <w:p w:rsidR="00000000" w:rsidRDefault="00000000">
      <w:pPr>
        <w:ind w:left="567"/>
      </w:pPr>
      <w:r>
        <w:t>Act No. 1235 of 21 June 1967</w:t>
      </w:r>
    </w:p>
    <w:p w:rsidR="00000000" w:rsidRDefault="00000000">
      <w:pPr>
        <w:ind w:left="567"/>
      </w:pPr>
      <w:r>
        <w:t>Deposit: Geneva, 28 August 1967</w:t>
      </w:r>
    </w:p>
    <w:p w:rsidR="00000000" w:rsidRDefault="00000000">
      <w:pPr>
        <w:spacing w:after="240"/>
        <w:ind w:left="567"/>
      </w:pPr>
      <w:r>
        <w:t>Date of entry into force for Paraguay: 28 August 1968</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GB" w:eastAsia="en-US"/>
        </w:rPr>
      </w:pPr>
      <w:r>
        <w:rPr>
          <w:rFonts w:ascii="Times New Roman" w:eastAsia="Times New Roman" w:hAnsi="Times New Roman" w:cs="Times New Roman"/>
          <w:lang w:val="en-GB" w:eastAsia="en-US"/>
        </w:rPr>
        <w:t>A.  Minimum wage</w:t>
      </w:r>
    </w:p>
    <w:p w:rsidR="00000000" w:rsidRDefault="00000000">
      <w:pPr>
        <w:spacing w:after="240"/>
      </w:pPr>
      <w:r>
        <w:t>195.</w:t>
      </w:r>
      <w:r>
        <w:tab/>
        <w:t xml:space="preserve">The machinery for the fixing of the minimum wage is defined in the Paraguayan Labour Code, chapter II (Concerning the minimum wage), which reads as follows: </w:t>
      </w:r>
    </w:p>
    <w:p w:rsidR="00000000" w:rsidRDefault="00000000">
      <w:pPr>
        <w:spacing w:after="240"/>
        <w:ind w:left="567" w:hanging="567"/>
      </w:pPr>
      <w:r>
        <w:tab/>
      </w:r>
      <w:r>
        <w:rPr>
          <w:i/>
          <w:iCs/>
        </w:rPr>
        <w:t xml:space="preserve">Article 249. </w:t>
      </w:r>
      <w:r>
        <w:rPr>
          <w:b/>
          <w:bCs/>
        </w:rPr>
        <w:t>“</w:t>
      </w:r>
      <w:r>
        <w:t>The minimum wage is one that is sufficient to satisfy the normal needs of the worker, namely, decent food, lodging, clothing, transport, social security, culture and decent recreation, the worker being deemed to be the head of the family.”</w:t>
      </w:r>
    </w:p>
    <w:p w:rsidR="00000000" w:rsidRDefault="00000000">
      <w:pPr>
        <w:spacing w:after="240"/>
        <w:ind w:left="567"/>
      </w:pPr>
      <w:r>
        <w:rPr>
          <w:i/>
          <w:iCs/>
        </w:rPr>
        <w:t xml:space="preserve">Article 250. </w:t>
      </w:r>
      <w:r>
        <w:t xml:space="preserve">“The minimum and adjustable wage shall be fixed periodically with the aim of improving the standard of living, taking into account the following factors: </w:t>
      </w:r>
    </w:p>
    <w:p w:rsidR="00000000" w:rsidRDefault="00000000">
      <w:pPr>
        <w:spacing w:after="240"/>
        <w:ind w:left="1701" w:hanging="567"/>
      </w:pPr>
      <w:r>
        <w:t>a)</w:t>
      </w:r>
      <w:r>
        <w:tab/>
        <w:t xml:space="preserve">The cost of living of a worker’s family, according to time and place, in its basic elements, in accordance with the previous article; </w:t>
      </w:r>
    </w:p>
    <w:p w:rsidR="00000000" w:rsidRDefault="00000000">
      <w:pPr>
        <w:spacing w:after="240"/>
        <w:ind w:left="1701" w:hanging="567"/>
      </w:pPr>
      <w:r>
        <w:t>b)</w:t>
      </w:r>
      <w:r>
        <w:tab/>
        <w:t xml:space="preserve">The general level of wages in the country, or in the region in which the work is performed; </w:t>
      </w:r>
    </w:p>
    <w:p w:rsidR="00000000" w:rsidRDefault="00000000">
      <w:pPr>
        <w:spacing w:after="240"/>
        <w:ind w:left="567" w:firstLine="567"/>
      </w:pPr>
      <w:r>
        <w:t>c)</w:t>
      </w:r>
      <w:r>
        <w:tab/>
        <w:t>Economic conditions in the branch of activity in question;</w:t>
      </w:r>
    </w:p>
    <w:p w:rsidR="00000000" w:rsidRDefault="00000000">
      <w:pPr>
        <w:spacing w:after="240"/>
        <w:ind w:left="567" w:firstLine="567"/>
      </w:pPr>
      <w:r>
        <w:t>d)</w:t>
      </w:r>
      <w:r>
        <w:tab/>
        <w:t>The nature of the work and the output thereof;</w:t>
      </w:r>
    </w:p>
    <w:p w:rsidR="00000000" w:rsidRDefault="00000000">
      <w:pPr>
        <w:spacing w:after="240"/>
        <w:ind w:left="1701" w:hanging="567"/>
        <w:rPr>
          <w:spacing w:val="14"/>
        </w:rPr>
      </w:pPr>
      <w:r>
        <w:rPr>
          <w:spacing w:val="14"/>
        </w:rPr>
        <w:t>e)</w:t>
      </w:r>
      <w:r>
        <w:rPr>
          <w:spacing w:val="14"/>
        </w:rPr>
        <w:tab/>
        <w:t>The age of the worker (to the extent that it influences his productivity);</w:t>
      </w:r>
    </w:p>
    <w:p w:rsidR="00000000" w:rsidRDefault="00000000">
      <w:pPr>
        <w:spacing w:after="240"/>
        <w:ind w:left="567" w:firstLine="567"/>
      </w:pPr>
      <w:r>
        <w:rPr>
          <w:spacing w:val="14"/>
        </w:rPr>
        <w:t>f)</w:t>
      </w:r>
      <w:r>
        <w:rPr>
          <w:spacing w:val="14"/>
        </w:rPr>
        <w:tab/>
        <w:t>Any other factors relevant to the fixing process..”</w:t>
      </w:r>
    </w:p>
    <w:p w:rsidR="00000000" w:rsidRDefault="00000000">
      <w:pPr>
        <w:spacing w:after="240"/>
      </w:pPr>
      <w:r>
        <w:t>196.</w:t>
      </w:r>
      <w:r>
        <w:tab/>
        <w:t xml:space="preserve">The right to a basic wage is thus established in the Labour Code, and the minimum wage has force of law. At present it stands at 1,219,795 Guaraníes (approximately US$ 214 at the rate of exchange in May 2006). </w:t>
      </w:r>
    </w:p>
    <w:p w:rsidR="00000000" w:rsidRDefault="00000000">
      <w:pPr>
        <w:pStyle w:val="xl23"/>
        <w:spacing w:before="0" w:beforeAutospacing="0" w:after="240" w:afterAutospacing="0"/>
        <w:rPr>
          <w:rFonts w:ascii="Times New Roman" w:hAnsi="Times New Roman" w:cs="Times New Roman"/>
          <w:lang w:val="en-GB" w:eastAsia="en-US"/>
        </w:rPr>
      </w:pPr>
      <w:r>
        <w:rPr>
          <w:rFonts w:ascii="Times New Roman" w:hAnsi="Times New Roman" w:cs="Times New Roman"/>
          <w:lang w:val="en-GB" w:eastAsia="en-US"/>
        </w:rPr>
        <w:br w:type="page"/>
        <w:t>1.</w:t>
      </w:r>
      <w:r>
        <w:rPr>
          <w:rFonts w:ascii="Times New Roman" w:hAnsi="Times New Roman" w:cs="Times New Roman"/>
          <w:lang w:val="en-GB" w:eastAsia="en-US"/>
        </w:rPr>
        <w:tab/>
        <w:t>Movements in minimum wage, 1994-2006</w:t>
      </w:r>
    </w:p>
    <w:tbl>
      <w:tblPr>
        <w:tblW w:w="4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983"/>
        <w:gridCol w:w="2069"/>
        <w:gridCol w:w="1683"/>
        <w:gridCol w:w="1803"/>
      </w:tblGrid>
      <w:tr w:rsidR="00000000">
        <w:trPr>
          <w:jc w:val="center"/>
        </w:trPr>
        <w:tc>
          <w:tcPr>
            <w:tcW w:w="2555" w:type="dxa"/>
            <w:tcBorders>
              <w:right w:val="nil"/>
            </w:tcBorders>
          </w:tcPr>
          <w:p w:rsidR="00000000" w:rsidRDefault="00000000">
            <w:pPr>
              <w:spacing w:before="80" w:after="80"/>
              <w:jc w:val="center"/>
              <w:rPr>
                <w:sz w:val="20"/>
              </w:rPr>
            </w:pPr>
            <w:r>
              <w:rPr>
                <w:sz w:val="20"/>
              </w:rPr>
              <w:t>1994</w:t>
            </w:r>
          </w:p>
        </w:tc>
        <w:tc>
          <w:tcPr>
            <w:tcW w:w="2582" w:type="dxa"/>
            <w:tcBorders>
              <w:left w:val="nil"/>
            </w:tcBorders>
          </w:tcPr>
          <w:p w:rsidR="00000000" w:rsidRDefault="00000000">
            <w:pPr>
              <w:spacing w:before="80" w:after="80"/>
              <w:jc w:val="center"/>
              <w:rPr>
                <w:b/>
                <w:bCs/>
                <w:sz w:val="20"/>
              </w:rPr>
            </w:pPr>
            <w:r>
              <w:rPr>
                <w:sz w:val="20"/>
              </w:rPr>
              <w:t>379 500</w:t>
            </w:r>
          </w:p>
        </w:tc>
        <w:tc>
          <w:tcPr>
            <w:tcW w:w="2146" w:type="dxa"/>
            <w:tcBorders>
              <w:right w:val="nil"/>
            </w:tcBorders>
          </w:tcPr>
          <w:p w:rsidR="00000000" w:rsidRDefault="00000000">
            <w:pPr>
              <w:spacing w:before="80" w:after="80"/>
              <w:jc w:val="center"/>
              <w:rPr>
                <w:sz w:val="20"/>
              </w:rPr>
            </w:pPr>
            <w:r>
              <w:rPr>
                <w:sz w:val="20"/>
              </w:rPr>
              <w:t>2001</w:t>
            </w:r>
          </w:p>
        </w:tc>
        <w:tc>
          <w:tcPr>
            <w:tcW w:w="2146" w:type="dxa"/>
            <w:tcBorders>
              <w:left w:val="nil"/>
            </w:tcBorders>
          </w:tcPr>
          <w:p w:rsidR="00000000" w:rsidRDefault="00000000">
            <w:pPr>
              <w:spacing w:before="80" w:after="80"/>
              <w:jc w:val="center"/>
              <w:rPr>
                <w:b/>
                <w:bCs/>
                <w:sz w:val="20"/>
              </w:rPr>
            </w:pPr>
            <w:r>
              <w:rPr>
                <w:sz w:val="20"/>
              </w:rPr>
              <w:t>782 186</w:t>
            </w:r>
          </w:p>
        </w:tc>
      </w:tr>
      <w:tr w:rsidR="00000000">
        <w:trPr>
          <w:jc w:val="center"/>
        </w:trPr>
        <w:tc>
          <w:tcPr>
            <w:tcW w:w="2555" w:type="dxa"/>
            <w:tcBorders>
              <w:right w:val="nil"/>
            </w:tcBorders>
          </w:tcPr>
          <w:p w:rsidR="00000000" w:rsidRDefault="00000000">
            <w:pPr>
              <w:spacing w:before="80" w:after="80"/>
              <w:jc w:val="center"/>
              <w:rPr>
                <w:sz w:val="20"/>
              </w:rPr>
            </w:pPr>
            <w:r>
              <w:rPr>
                <w:sz w:val="20"/>
              </w:rPr>
              <w:t>1995</w:t>
            </w:r>
          </w:p>
        </w:tc>
        <w:tc>
          <w:tcPr>
            <w:tcW w:w="2582" w:type="dxa"/>
            <w:tcBorders>
              <w:left w:val="nil"/>
            </w:tcBorders>
          </w:tcPr>
          <w:p w:rsidR="00000000" w:rsidRDefault="00000000">
            <w:pPr>
              <w:spacing w:before="80" w:after="80"/>
              <w:jc w:val="center"/>
              <w:rPr>
                <w:b/>
                <w:bCs/>
                <w:sz w:val="20"/>
              </w:rPr>
            </w:pPr>
            <w:r>
              <w:rPr>
                <w:sz w:val="20"/>
              </w:rPr>
              <w:t>436 425</w:t>
            </w:r>
          </w:p>
        </w:tc>
        <w:tc>
          <w:tcPr>
            <w:tcW w:w="2146" w:type="dxa"/>
            <w:tcBorders>
              <w:right w:val="nil"/>
            </w:tcBorders>
          </w:tcPr>
          <w:p w:rsidR="00000000" w:rsidRDefault="00000000">
            <w:pPr>
              <w:spacing w:before="80" w:after="80"/>
              <w:jc w:val="center"/>
              <w:rPr>
                <w:sz w:val="20"/>
              </w:rPr>
            </w:pPr>
            <w:r>
              <w:rPr>
                <w:sz w:val="20"/>
              </w:rPr>
              <w:t>2002</w:t>
            </w:r>
          </w:p>
        </w:tc>
        <w:tc>
          <w:tcPr>
            <w:tcW w:w="2146" w:type="dxa"/>
            <w:tcBorders>
              <w:left w:val="nil"/>
            </w:tcBorders>
          </w:tcPr>
          <w:p w:rsidR="00000000" w:rsidRDefault="00000000">
            <w:pPr>
              <w:spacing w:before="80" w:after="80"/>
              <w:jc w:val="center"/>
              <w:rPr>
                <w:b/>
                <w:bCs/>
                <w:sz w:val="20"/>
              </w:rPr>
            </w:pPr>
            <w:r>
              <w:rPr>
                <w:sz w:val="20"/>
              </w:rPr>
              <w:t>876048</w:t>
            </w:r>
          </w:p>
        </w:tc>
      </w:tr>
      <w:tr w:rsidR="00000000">
        <w:trPr>
          <w:jc w:val="center"/>
        </w:trPr>
        <w:tc>
          <w:tcPr>
            <w:tcW w:w="2555" w:type="dxa"/>
            <w:tcBorders>
              <w:right w:val="nil"/>
            </w:tcBorders>
          </w:tcPr>
          <w:p w:rsidR="00000000" w:rsidRDefault="00000000">
            <w:pPr>
              <w:spacing w:before="80" w:after="80"/>
              <w:jc w:val="center"/>
              <w:rPr>
                <w:sz w:val="20"/>
              </w:rPr>
            </w:pPr>
            <w:r>
              <w:rPr>
                <w:sz w:val="20"/>
              </w:rPr>
              <w:t>1996</w:t>
            </w:r>
          </w:p>
        </w:tc>
        <w:tc>
          <w:tcPr>
            <w:tcW w:w="2582" w:type="dxa"/>
            <w:tcBorders>
              <w:left w:val="nil"/>
            </w:tcBorders>
          </w:tcPr>
          <w:p w:rsidR="00000000" w:rsidRDefault="00000000">
            <w:pPr>
              <w:spacing w:before="80" w:after="80"/>
              <w:jc w:val="center"/>
              <w:rPr>
                <w:b/>
                <w:bCs/>
                <w:sz w:val="20"/>
              </w:rPr>
            </w:pPr>
            <w:r>
              <w:rPr>
                <w:sz w:val="20"/>
              </w:rPr>
              <w:t>480 069</w:t>
            </w:r>
          </w:p>
        </w:tc>
        <w:tc>
          <w:tcPr>
            <w:tcW w:w="2146" w:type="dxa"/>
            <w:tcBorders>
              <w:right w:val="nil"/>
            </w:tcBorders>
          </w:tcPr>
          <w:p w:rsidR="00000000" w:rsidRDefault="00000000">
            <w:pPr>
              <w:spacing w:before="80" w:after="80"/>
              <w:jc w:val="center"/>
              <w:rPr>
                <w:sz w:val="20"/>
              </w:rPr>
            </w:pPr>
            <w:r>
              <w:rPr>
                <w:sz w:val="20"/>
              </w:rPr>
              <w:t>2003</w:t>
            </w:r>
          </w:p>
        </w:tc>
        <w:tc>
          <w:tcPr>
            <w:tcW w:w="2146" w:type="dxa"/>
            <w:tcBorders>
              <w:left w:val="nil"/>
            </w:tcBorders>
          </w:tcPr>
          <w:p w:rsidR="00000000" w:rsidRDefault="00000000">
            <w:pPr>
              <w:spacing w:before="80" w:after="80"/>
              <w:jc w:val="center"/>
              <w:rPr>
                <w:b/>
                <w:bCs/>
                <w:sz w:val="20"/>
              </w:rPr>
            </w:pPr>
            <w:r>
              <w:rPr>
                <w:sz w:val="20"/>
              </w:rPr>
              <w:t>972413</w:t>
            </w:r>
          </w:p>
        </w:tc>
      </w:tr>
      <w:tr w:rsidR="00000000">
        <w:trPr>
          <w:jc w:val="center"/>
        </w:trPr>
        <w:tc>
          <w:tcPr>
            <w:tcW w:w="2555" w:type="dxa"/>
            <w:tcBorders>
              <w:right w:val="nil"/>
            </w:tcBorders>
          </w:tcPr>
          <w:p w:rsidR="00000000" w:rsidRDefault="00000000">
            <w:pPr>
              <w:spacing w:before="80" w:after="80"/>
              <w:jc w:val="center"/>
              <w:rPr>
                <w:sz w:val="20"/>
              </w:rPr>
            </w:pPr>
            <w:r>
              <w:rPr>
                <w:sz w:val="20"/>
              </w:rPr>
              <w:t>1997</w:t>
            </w:r>
          </w:p>
        </w:tc>
        <w:tc>
          <w:tcPr>
            <w:tcW w:w="2582" w:type="dxa"/>
            <w:tcBorders>
              <w:left w:val="nil"/>
            </w:tcBorders>
          </w:tcPr>
          <w:p w:rsidR="00000000" w:rsidRDefault="00000000">
            <w:pPr>
              <w:spacing w:before="80" w:after="80"/>
              <w:jc w:val="center"/>
              <w:rPr>
                <w:b/>
                <w:bCs/>
                <w:sz w:val="20"/>
              </w:rPr>
            </w:pPr>
            <w:r>
              <w:rPr>
                <w:sz w:val="20"/>
              </w:rPr>
              <w:t>528 076</w:t>
            </w:r>
          </w:p>
        </w:tc>
        <w:tc>
          <w:tcPr>
            <w:tcW w:w="2146" w:type="dxa"/>
            <w:tcBorders>
              <w:right w:val="nil"/>
            </w:tcBorders>
          </w:tcPr>
          <w:p w:rsidR="00000000" w:rsidRDefault="00000000">
            <w:pPr>
              <w:spacing w:before="80" w:after="80"/>
              <w:jc w:val="center"/>
              <w:rPr>
                <w:sz w:val="20"/>
              </w:rPr>
            </w:pPr>
            <w:r>
              <w:rPr>
                <w:sz w:val="20"/>
              </w:rPr>
              <w:t>2004</w:t>
            </w:r>
          </w:p>
        </w:tc>
        <w:tc>
          <w:tcPr>
            <w:tcW w:w="2146" w:type="dxa"/>
            <w:tcBorders>
              <w:left w:val="nil"/>
            </w:tcBorders>
          </w:tcPr>
          <w:p w:rsidR="00000000" w:rsidRDefault="00000000">
            <w:pPr>
              <w:spacing w:before="80" w:after="80"/>
              <w:jc w:val="center"/>
              <w:rPr>
                <w:sz w:val="20"/>
              </w:rPr>
            </w:pPr>
            <w:r>
              <w:rPr>
                <w:sz w:val="20"/>
              </w:rPr>
              <w:t>972413</w:t>
            </w:r>
          </w:p>
        </w:tc>
      </w:tr>
      <w:tr w:rsidR="00000000">
        <w:trPr>
          <w:jc w:val="center"/>
        </w:trPr>
        <w:tc>
          <w:tcPr>
            <w:tcW w:w="2555" w:type="dxa"/>
            <w:tcBorders>
              <w:right w:val="nil"/>
            </w:tcBorders>
          </w:tcPr>
          <w:p w:rsidR="00000000" w:rsidRDefault="00000000">
            <w:pPr>
              <w:spacing w:before="80" w:after="80"/>
              <w:jc w:val="center"/>
              <w:rPr>
                <w:sz w:val="20"/>
              </w:rPr>
            </w:pPr>
            <w:r>
              <w:rPr>
                <w:sz w:val="20"/>
              </w:rPr>
              <w:t>1998</w:t>
            </w:r>
          </w:p>
        </w:tc>
        <w:tc>
          <w:tcPr>
            <w:tcW w:w="2582" w:type="dxa"/>
            <w:tcBorders>
              <w:left w:val="nil"/>
            </w:tcBorders>
          </w:tcPr>
          <w:p w:rsidR="00000000" w:rsidRDefault="00000000">
            <w:pPr>
              <w:spacing w:before="80" w:after="80"/>
              <w:jc w:val="center"/>
              <w:rPr>
                <w:b/>
                <w:bCs/>
                <w:sz w:val="20"/>
              </w:rPr>
            </w:pPr>
            <w:r>
              <w:rPr>
                <w:sz w:val="20"/>
              </w:rPr>
              <w:t>580 883</w:t>
            </w:r>
          </w:p>
        </w:tc>
        <w:tc>
          <w:tcPr>
            <w:tcW w:w="2146" w:type="dxa"/>
            <w:tcBorders>
              <w:right w:val="nil"/>
            </w:tcBorders>
          </w:tcPr>
          <w:p w:rsidR="00000000" w:rsidRDefault="00000000">
            <w:pPr>
              <w:spacing w:before="80" w:after="80"/>
              <w:jc w:val="center"/>
              <w:rPr>
                <w:sz w:val="20"/>
              </w:rPr>
            </w:pPr>
            <w:r>
              <w:rPr>
                <w:sz w:val="20"/>
              </w:rPr>
              <w:t>2005</w:t>
            </w:r>
          </w:p>
        </w:tc>
        <w:tc>
          <w:tcPr>
            <w:tcW w:w="2146" w:type="dxa"/>
            <w:tcBorders>
              <w:left w:val="nil"/>
            </w:tcBorders>
          </w:tcPr>
          <w:p w:rsidR="00000000" w:rsidRDefault="00000000">
            <w:pPr>
              <w:spacing w:before="80" w:after="80"/>
              <w:jc w:val="center"/>
              <w:rPr>
                <w:sz w:val="20"/>
              </w:rPr>
            </w:pPr>
            <w:r>
              <w:rPr>
                <w:sz w:val="20"/>
              </w:rPr>
              <w:t>1 089 103</w:t>
            </w:r>
          </w:p>
        </w:tc>
      </w:tr>
      <w:tr w:rsidR="00000000">
        <w:trPr>
          <w:jc w:val="center"/>
        </w:trPr>
        <w:tc>
          <w:tcPr>
            <w:tcW w:w="2555" w:type="dxa"/>
            <w:tcBorders>
              <w:right w:val="nil"/>
            </w:tcBorders>
          </w:tcPr>
          <w:p w:rsidR="00000000" w:rsidRDefault="00000000">
            <w:pPr>
              <w:spacing w:before="80" w:after="80"/>
              <w:jc w:val="center"/>
              <w:rPr>
                <w:sz w:val="20"/>
              </w:rPr>
            </w:pPr>
            <w:r>
              <w:rPr>
                <w:sz w:val="20"/>
              </w:rPr>
              <w:t>1999</w:t>
            </w:r>
          </w:p>
        </w:tc>
        <w:tc>
          <w:tcPr>
            <w:tcW w:w="2582" w:type="dxa"/>
            <w:tcBorders>
              <w:left w:val="nil"/>
            </w:tcBorders>
          </w:tcPr>
          <w:p w:rsidR="00000000" w:rsidRDefault="00000000">
            <w:pPr>
              <w:spacing w:before="80" w:after="80"/>
              <w:jc w:val="center"/>
              <w:rPr>
                <w:b/>
                <w:bCs/>
                <w:sz w:val="20"/>
              </w:rPr>
            </w:pPr>
            <w:r>
              <w:rPr>
                <w:sz w:val="20"/>
              </w:rPr>
              <w:t>591 445</w:t>
            </w:r>
          </w:p>
        </w:tc>
        <w:tc>
          <w:tcPr>
            <w:tcW w:w="2146" w:type="dxa"/>
            <w:tcBorders>
              <w:right w:val="nil"/>
            </w:tcBorders>
          </w:tcPr>
          <w:p w:rsidR="00000000" w:rsidRDefault="00000000">
            <w:pPr>
              <w:spacing w:before="80" w:after="80"/>
              <w:jc w:val="center"/>
              <w:rPr>
                <w:sz w:val="20"/>
              </w:rPr>
            </w:pPr>
            <w:r>
              <w:rPr>
                <w:sz w:val="20"/>
              </w:rPr>
              <w:t>2006</w:t>
            </w:r>
          </w:p>
        </w:tc>
        <w:tc>
          <w:tcPr>
            <w:tcW w:w="2146" w:type="dxa"/>
            <w:tcBorders>
              <w:left w:val="nil"/>
            </w:tcBorders>
          </w:tcPr>
          <w:p w:rsidR="00000000" w:rsidRDefault="00000000">
            <w:pPr>
              <w:spacing w:before="80" w:after="80"/>
              <w:jc w:val="center"/>
              <w:rPr>
                <w:sz w:val="20"/>
              </w:rPr>
            </w:pPr>
            <w:r>
              <w:rPr>
                <w:bCs/>
                <w:sz w:val="20"/>
              </w:rPr>
              <w:t>1 219 795 </w:t>
            </w:r>
          </w:p>
        </w:tc>
      </w:tr>
      <w:tr w:rsidR="00000000">
        <w:trPr>
          <w:jc w:val="center"/>
        </w:trPr>
        <w:tc>
          <w:tcPr>
            <w:tcW w:w="2555" w:type="dxa"/>
            <w:tcBorders>
              <w:right w:val="nil"/>
            </w:tcBorders>
          </w:tcPr>
          <w:p w:rsidR="00000000" w:rsidRDefault="00000000">
            <w:pPr>
              <w:spacing w:before="80" w:after="80"/>
              <w:jc w:val="center"/>
              <w:rPr>
                <w:sz w:val="20"/>
              </w:rPr>
            </w:pPr>
            <w:r>
              <w:rPr>
                <w:sz w:val="20"/>
              </w:rPr>
              <w:t>2000</w:t>
            </w:r>
          </w:p>
        </w:tc>
        <w:tc>
          <w:tcPr>
            <w:tcW w:w="2582" w:type="dxa"/>
            <w:tcBorders>
              <w:left w:val="nil"/>
            </w:tcBorders>
          </w:tcPr>
          <w:p w:rsidR="00000000" w:rsidRDefault="00000000">
            <w:pPr>
              <w:spacing w:before="80" w:after="80"/>
              <w:jc w:val="center"/>
              <w:rPr>
                <w:b/>
                <w:bCs/>
                <w:sz w:val="20"/>
              </w:rPr>
            </w:pPr>
            <w:r>
              <w:rPr>
                <w:sz w:val="20"/>
              </w:rPr>
              <w:t>680 162</w:t>
            </w:r>
          </w:p>
        </w:tc>
        <w:tc>
          <w:tcPr>
            <w:tcW w:w="2146" w:type="dxa"/>
            <w:tcBorders>
              <w:right w:val="nil"/>
            </w:tcBorders>
          </w:tcPr>
          <w:p w:rsidR="00000000" w:rsidRDefault="00000000">
            <w:pPr>
              <w:spacing w:before="80" w:after="80"/>
              <w:jc w:val="center"/>
              <w:rPr>
                <w:sz w:val="20"/>
              </w:rPr>
            </w:pPr>
          </w:p>
        </w:tc>
        <w:tc>
          <w:tcPr>
            <w:tcW w:w="2146" w:type="dxa"/>
            <w:tcBorders>
              <w:left w:val="nil"/>
            </w:tcBorders>
          </w:tcPr>
          <w:p w:rsidR="00000000" w:rsidRDefault="00000000">
            <w:pPr>
              <w:spacing w:before="80" w:after="80"/>
              <w:jc w:val="center"/>
              <w:rPr>
                <w:sz w:val="20"/>
              </w:rPr>
            </w:pPr>
          </w:p>
        </w:tc>
      </w:tr>
    </w:tbl>
    <w:p w:rsidR="00000000" w:rsidRDefault="00000000">
      <w:pPr>
        <w:pStyle w:val="xl23"/>
        <w:spacing w:beforeLines="40" w:before="96" w:beforeAutospacing="0" w:afterLines="40" w:after="96" w:afterAutospacing="0"/>
        <w:rPr>
          <w:rFonts w:ascii="Times New Roman" w:hAnsi="Times New Roman" w:cs="Times New Roman"/>
          <w:bCs w:val="0"/>
          <w:lang w:val="en-GB" w:eastAsia="en-US"/>
        </w:rPr>
      </w:pPr>
    </w:p>
    <w:p w:rsidR="00000000" w:rsidRDefault="00000000">
      <w:pPr>
        <w:pStyle w:val="xl23"/>
        <w:numPr>
          <w:ilvl w:val="0"/>
          <w:numId w:val="13"/>
        </w:numPr>
        <w:tabs>
          <w:tab w:val="clear" w:pos="1065"/>
        </w:tabs>
        <w:spacing w:before="0" w:beforeAutospacing="0" w:after="240" w:afterAutospacing="0"/>
        <w:ind w:left="0" w:firstLine="0"/>
        <w:rPr>
          <w:rFonts w:ascii="Times New Roman" w:hAnsi="Times New Roman" w:cs="Times New Roman"/>
          <w:lang w:val="en-GB" w:eastAsia="en-US"/>
        </w:rPr>
      </w:pPr>
      <w:r>
        <w:rPr>
          <w:rFonts w:ascii="Times New Roman" w:hAnsi="Times New Roman" w:cs="Times New Roman"/>
          <w:lang w:val="en-GB" w:eastAsia="en-US"/>
        </w:rPr>
        <w:t xml:space="preserve">Minimum wages for specific categories of workers (2006) (in </w:t>
      </w:r>
      <w:r>
        <w:rPr>
          <w:rFonts w:ascii="Times New Roman" w:hAnsi="Times New Roman" w:cs="Times New Roman"/>
          <w:szCs w:val="20"/>
        </w:rPr>
        <w:t>guaranies)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791"/>
        <w:gridCol w:w="4792"/>
      </w:tblGrid>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Workers in commerce and industry </w:t>
            </w:r>
          </w:p>
          <w:p w:rsidR="00000000" w:rsidRDefault="00000000">
            <w:pPr>
              <w:spacing w:before="96" w:after="96"/>
              <w:rPr>
                <w:sz w:val="20"/>
              </w:rPr>
            </w:pP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Stevedores </w:t>
            </w: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1 231 997</w:t>
            </w:r>
            <w:r>
              <w:rPr>
                <w:sz w:val="20"/>
              </w:rPr>
              <w:br/>
              <w:t>Daily wage:    47 385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Labourers (general) </w:t>
            </w:r>
          </w:p>
          <w:p w:rsidR="00000000" w:rsidRDefault="00000000">
            <w:pPr>
              <w:spacing w:before="96" w:after="96"/>
              <w:rPr>
                <w:sz w:val="20"/>
              </w:rPr>
            </w:pP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Insurance companies </w:t>
            </w:r>
          </w:p>
          <w:p w:rsidR="00000000" w:rsidRDefault="00000000">
            <w:pPr>
              <w:spacing w:before="96" w:after="96"/>
              <w:rPr>
                <w:sz w:val="20"/>
              </w:rPr>
            </w:pP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1 231 997</w:t>
            </w:r>
            <w:r>
              <w:rPr>
                <w:sz w:val="20"/>
              </w:rPr>
              <w:br/>
              <w:t>Daily wage:    47 385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Commercial, industrial and private offices</w:t>
            </w: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1 238 143</w:t>
            </w:r>
            <w:r>
              <w:rPr>
                <w:sz w:val="20"/>
              </w:rPr>
              <w:br/>
              <w:t>Daily wage:    47 621</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Transport (buses, lorries, hire cars and private cars)</w:t>
            </w:r>
          </w:p>
          <w:p w:rsidR="00000000" w:rsidRDefault="00000000">
            <w:pPr>
              <w:spacing w:before="96" w:after="96"/>
              <w:rPr>
                <w:sz w:val="20"/>
              </w:rPr>
            </w:pPr>
          </w:p>
          <w:p w:rsidR="00000000" w:rsidRDefault="00000000">
            <w:pPr>
              <w:spacing w:before="96" w:after="96"/>
              <w:rPr>
                <w:sz w:val="20"/>
              </w:rPr>
            </w:pPr>
            <w:r>
              <w:rPr>
                <w:sz w:val="20"/>
              </w:rPr>
              <w:t xml:space="preserve">Drivers </w:t>
            </w:r>
            <w:r>
              <w:rPr>
                <w:sz w:val="20"/>
              </w:rPr>
              <w:br/>
            </w:r>
          </w:p>
          <w:p w:rsidR="00000000" w:rsidRDefault="00000000">
            <w:pPr>
              <w:spacing w:before="96" w:after="96"/>
              <w:rPr>
                <w:sz w:val="20"/>
              </w:rPr>
            </w:pPr>
            <w:r>
              <w:rPr>
                <w:sz w:val="20"/>
              </w:rPr>
              <w:t>Labourers</w:t>
            </w:r>
            <w:r>
              <w:rPr>
                <w:sz w:val="20"/>
              </w:rPr>
              <w:br/>
            </w: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1 219 795</w:t>
            </w:r>
            <w:r>
              <w:rPr>
                <w:sz w:val="20"/>
              </w:rPr>
              <w:br/>
              <w:t xml:space="preserve">Daily wage:    46 915 </w:t>
            </w:r>
          </w:p>
          <w:p w:rsidR="00000000" w:rsidRDefault="00000000">
            <w:pPr>
              <w:spacing w:before="96" w:after="96"/>
              <w:rPr>
                <w:sz w:val="20"/>
              </w:rPr>
            </w:pPr>
            <w:r>
              <w:rPr>
                <w:sz w:val="20"/>
              </w:rPr>
              <w:t>Monthly wage:    1 231 997</w:t>
            </w:r>
            <w:r>
              <w:rPr>
                <w:sz w:val="20"/>
              </w:rPr>
              <w:br/>
              <w:t xml:space="preserve">Daily wage:    47 385 </w:t>
            </w:r>
          </w:p>
          <w:p w:rsidR="00000000" w:rsidRDefault="00000000">
            <w:pPr>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Hotels, restaurants, bars, boarding houses and similar </w:t>
            </w:r>
            <w:r>
              <w:rPr>
                <w:sz w:val="20"/>
              </w:rPr>
              <w:br/>
            </w:r>
          </w:p>
          <w:p w:rsidR="00000000" w:rsidRDefault="00000000">
            <w:pPr>
              <w:spacing w:before="96" w:after="96"/>
              <w:rPr>
                <w:sz w:val="20"/>
              </w:rPr>
            </w:pPr>
            <w:r>
              <w:rPr>
                <w:sz w:val="20"/>
              </w:rPr>
              <w:t xml:space="preserve">Pageboys </w:t>
            </w:r>
            <w:r>
              <w:rPr>
                <w:sz w:val="20"/>
              </w:rPr>
              <w:br/>
            </w:r>
          </w:p>
          <w:p w:rsidR="00000000" w:rsidRDefault="00000000">
            <w:pPr>
              <w:spacing w:before="96" w:after="96"/>
              <w:rPr>
                <w:sz w:val="20"/>
              </w:rPr>
            </w:pPr>
            <w:r>
              <w:rPr>
                <w:sz w:val="20"/>
              </w:rPr>
              <w:t>Cloakroom attendants</w:t>
            </w:r>
            <w:r>
              <w:rPr>
                <w:sz w:val="20"/>
              </w:rPr>
              <w:br/>
            </w:r>
          </w:p>
          <w:p w:rsidR="00000000" w:rsidRDefault="00000000">
            <w:pPr>
              <w:spacing w:before="96" w:after="96"/>
              <w:rPr>
                <w:sz w:val="20"/>
              </w:rPr>
            </w:pPr>
            <w:r>
              <w:rPr>
                <w:sz w:val="20"/>
              </w:rPr>
              <w:t>Beauty parlours</w:t>
            </w:r>
          </w:p>
          <w:p w:rsidR="00000000" w:rsidRDefault="00000000">
            <w:pPr>
              <w:spacing w:before="96" w:after="96"/>
              <w:rPr>
                <w:sz w:val="20"/>
              </w:rPr>
            </w:pPr>
            <w:r>
              <w:rPr>
                <w:sz w:val="20"/>
              </w:rPr>
              <w:br/>
              <w:t>Dry-cleaning and laundering</w:t>
            </w:r>
          </w:p>
          <w:p w:rsidR="00000000" w:rsidRDefault="00000000">
            <w:pPr>
              <w:spacing w:before="96" w:after="96"/>
              <w:rPr>
                <w:sz w:val="20"/>
              </w:rPr>
            </w:pPr>
          </w:p>
        </w:tc>
        <w:tc>
          <w:tcPr>
            <w:tcW w:w="4715" w:type="dxa"/>
            <w:tcMar>
              <w:top w:w="57" w:type="dxa"/>
              <w:left w:w="85" w:type="dxa"/>
              <w:bottom w:w="57" w:type="dxa"/>
              <w:right w:w="85" w:type="dxa"/>
            </w:tcMar>
          </w:tcPr>
          <w:p w:rsidR="00000000" w:rsidRDefault="00000000">
            <w:pPr>
              <w:spacing w:before="96" w:after="96"/>
              <w:rPr>
                <w:sz w:val="20"/>
              </w:rPr>
            </w:pPr>
            <w:r>
              <w:rPr>
                <w:sz w:val="20"/>
              </w:rPr>
              <w:br/>
            </w:r>
          </w:p>
          <w:p w:rsidR="00000000" w:rsidRDefault="00000000">
            <w:pPr>
              <w:spacing w:before="96" w:after="96"/>
              <w:rPr>
                <w:sz w:val="20"/>
              </w:rPr>
            </w:pPr>
            <w:r>
              <w:rPr>
                <w:sz w:val="20"/>
              </w:rPr>
              <w:t>Monthly wage:    1 219 795</w:t>
            </w:r>
            <w:r>
              <w:rPr>
                <w:sz w:val="20"/>
              </w:rPr>
              <w:br/>
              <w:t xml:space="preserve">Daily wage:    46 915 </w:t>
            </w:r>
          </w:p>
          <w:p w:rsidR="00000000" w:rsidRDefault="00000000">
            <w:pPr>
              <w:spacing w:before="96" w:after="96"/>
              <w:rPr>
                <w:sz w:val="20"/>
              </w:rPr>
            </w:pPr>
            <w:r>
              <w:rPr>
                <w:sz w:val="20"/>
              </w:rPr>
              <w:t>Monthly wage:    1 219 795</w:t>
            </w:r>
            <w:r>
              <w:rPr>
                <w:sz w:val="20"/>
              </w:rPr>
              <w:br/>
              <w:t xml:space="preserve">Daily wage:    46 915 </w:t>
            </w:r>
          </w:p>
          <w:p w:rsidR="00000000" w:rsidRDefault="00000000">
            <w:pPr>
              <w:spacing w:before="96" w:after="96"/>
              <w:rPr>
                <w:sz w:val="20"/>
              </w:rPr>
            </w:pPr>
            <w:r>
              <w:rPr>
                <w:sz w:val="20"/>
              </w:rPr>
              <w:t>Monthly wage:    1 219 795</w:t>
            </w:r>
            <w:r>
              <w:rPr>
                <w:sz w:val="20"/>
              </w:rPr>
              <w:br/>
              <w:t xml:space="preserve">Daily wage:    46 915 </w:t>
            </w:r>
          </w:p>
          <w:p w:rsidR="00000000" w:rsidRDefault="00000000">
            <w:pPr>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Brickmaking and building materials </w:t>
            </w:r>
            <w:r>
              <w:rPr>
                <w:sz w:val="20"/>
              </w:rPr>
              <w:br/>
            </w:r>
          </w:p>
          <w:p w:rsidR="00000000" w:rsidRDefault="00000000">
            <w:pPr>
              <w:spacing w:before="96" w:after="96"/>
              <w:rPr>
                <w:sz w:val="20"/>
              </w:rPr>
            </w:pPr>
            <w:r>
              <w:rPr>
                <w:sz w:val="20"/>
              </w:rPr>
              <w:t xml:space="preserve">Marble works </w:t>
            </w:r>
            <w:r>
              <w:rPr>
                <w:sz w:val="20"/>
              </w:rPr>
              <w:br/>
            </w:r>
          </w:p>
          <w:p w:rsidR="00000000" w:rsidRDefault="00000000">
            <w:pPr>
              <w:spacing w:before="96" w:after="96"/>
              <w:rPr>
                <w:sz w:val="20"/>
              </w:rPr>
            </w:pPr>
            <w:r>
              <w:rPr>
                <w:sz w:val="20"/>
              </w:rPr>
              <w:t xml:space="preserve">Manufacture of tiles and mosaics </w:t>
            </w:r>
            <w:r>
              <w:rPr>
                <w:sz w:val="20"/>
              </w:rPr>
              <w:br/>
            </w:r>
          </w:p>
          <w:p w:rsidR="00000000" w:rsidRDefault="00000000">
            <w:pPr>
              <w:spacing w:before="96" w:after="96"/>
              <w:rPr>
                <w:sz w:val="20"/>
              </w:rPr>
            </w:pPr>
            <w:r>
              <w:rPr>
                <w:sz w:val="20"/>
              </w:rPr>
              <w:t xml:space="preserve">Labourers (flooring) </w:t>
            </w:r>
            <w:r>
              <w:rPr>
                <w:sz w:val="20"/>
              </w:rPr>
              <w:br/>
            </w:r>
          </w:p>
          <w:p w:rsidR="00000000" w:rsidRDefault="00000000">
            <w:pPr>
              <w:spacing w:before="96" w:after="96"/>
              <w:rPr>
                <w:sz w:val="20"/>
              </w:rPr>
            </w:pPr>
            <w:r>
              <w:rPr>
                <w:sz w:val="20"/>
              </w:rPr>
              <w:t xml:space="preserve">Quarrying </w:t>
            </w:r>
            <w:r>
              <w:rPr>
                <w:sz w:val="20"/>
              </w:rPr>
              <w:br/>
            </w:r>
            <w:r>
              <w:rPr>
                <w:sz w:val="20"/>
              </w:rPr>
              <w:br/>
            </w: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1 219 795</w:t>
            </w:r>
            <w:r>
              <w:rPr>
                <w:sz w:val="20"/>
              </w:rPr>
              <w:br/>
              <w:t xml:space="preserve">Daily wage:    46 915 </w:t>
            </w:r>
          </w:p>
          <w:p w:rsidR="00000000" w:rsidRDefault="00000000">
            <w:pPr>
              <w:spacing w:before="96" w:after="96"/>
              <w:rPr>
                <w:sz w:val="20"/>
              </w:rPr>
            </w:pPr>
            <w:r>
              <w:rPr>
                <w:sz w:val="20"/>
              </w:rPr>
              <w:t>Monthly wage:    1 238 143</w:t>
            </w:r>
            <w:r>
              <w:rPr>
                <w:sz w:val="20"/>
              </w:rPr>
              <w:br/>
              <w:t xml:space="preserve">Daily wage:    47 621 </w:t>
            </w:r>
          </w:p>
          <w:p w:rsidR="00000000" w:rsidRDefault="00000000">
            <w:pPr>
              <w:spacing w:before="96" w:after="96"/>
              <w:rPr>
                <w:sz w:val="20"/>
              </w:rPr>
            </w:pPr>
            <w:r>
              <w:rPr>
                <w:sz w:val="20"/>
              </w:rPr>
              <w:t>Monthly wage:    1 238 143</w:t>
            </w:r>
            <w:r>
              <w:rPr>
                <w:sz w:val="20"/>
              </w:rPr>
              <w:br/>
              <w:t xml:space="preserve">Daily wage:    47 621 </w:t>
            </w:r>
          </w:p>
          <w:p w:rsidR="00000000" w:rsidRDefault="00000000">
            <w:pPr>
              <w:spacing w:before="96" w:after="96"/>
              <w:rPr>
                <w:sz w:val="20"/>
              </w:rPr>
            </w:pPr>
            <w:r>
              <w:rPr>
                <w:sz w:val="20"/>
              </w:rPr>
              <w:t>Monthly wage:    1 219 795</w:t>
            </w:r>
            <w:r>
              <w:rPr>
                <w:sz w:val="20"/>
              </w:rPr>
              <w:br/>
              <w:t xml:space="preserve">Daily wage:    46 915 </w:t>
            </w:r>
          </w:p>
          <w:p w:rsidR="00000000" w:rsidRDefault="00000000">
            <w:pPr>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Food, bakeries, pasta manufacture </w:t>
            </w:r>
            <w:r>
              <w:rPr>
                <w:sz w:val="20"/>
              </w:rPr>
              <w:br/>
            </w:r>
          </w:p>
          <w:p w:rsidR="00000000" w:rsidRDefault="00000000">
            <w:pPr>
              <w:spacing w:before="96" w:after="96"/>
              <w:rPr>
                <w:sz w:val="20"/>
              </w:rPr>
            </w:pPr>
            <w:r>
              <w:rPr>
                <w:sz w:val="20"/>
              </w:rPr>
              <w:t>Confectionery</w:t>
            </w:r>
            <w:r>
              <w:rPr>
                <w:sz w:val="20"/>
              </w:rPr>
              <w:br/>
            </w:r>
          </w:p>
          <w:p w:rsidR="00000000" w:rsidRDefault="00000000">
            <w:pPr>
              <w:spacing w:before="96" w:after="96"/>
              <w:rPr>
                <w:sz w:val="20"/>
                <w:lang w:val="en-US"/>
              </w:rPr>
            </w:pPr>
            <w:r>
              <w:rPr>
                <w:sz w:val="20"/>
              </w:rPr>
              <w:t>Potato flour industries</w:t>
            </w:r>
            <w:r>
              <w:rPr>
                <w:sz w:val="20"/>
              </w:rPr>
              <w:br/>
            </w:r>
          </w:p>
          <w:p w:rsidR="00000000" w:rsidRDefault="00000000">
            <w:pPr>
              <w:spacing w:before="96" w:after="96"/>
              <w:rPr>
                <w:sz w:val="20"/>
                <w:lang w:val="de-CH"/>
              </w:rPr>
            </w:pPr>
            <w:r>
              <w:rPr>
                <w:sz w:val="20"/>
                <w:lang w:val="de-CH"/>
              </w:rPr>
              <w:t xml:space="preserve">Flour mills </w:t>
            </w:r>
            <w:r>
              <w:rPr>
                <w:sz w:val="20"/>
                <w:lang w:val="de-CH"/>
              </w:rPr>
              <w:br/>
            </w:r>
          </w:p>
          <w:p w:rsidR="00000000" w:rsidRDefault="00000000">
            <w:pPr>
              <w:spacing w:before="96" w:after="96"/>
              <w:rPr>
                <w:sz w:val="20"/>
                <w:lang w:val="de-CH"/>
              </w:rPr>
            </w:pPr>
            <w:r>
              <w:rPr>
                <w:sz w:val="20"/>
                <w:lang w:val="de-CH"/>
              </w:rPr>
              <w:t xml:space="preserve">Herbalist industries </w:t>
            </w:r>
            <w:r>
              <w:rPr>
                <w:sz w:val="20"/>
                <w:lang w:val="de-CH"/>
              </w:rPr>
              <w:br/>
            </w:r>
          </w:p>
          <w:p w:rsidR="00000000" w:rsidRDefault="00000000">
            <w:pPr>
              <w:spacing w:before="96" w:after="96"/>
              <w:rPr>
                <w:sz w:val="20"/>
              </w:rPr>
            </w:pPr>
            <w:r>
              <w:rPr>
                <w:sz w:val="20"/>
              </w:rPr>
              <w:t xml:space="preserve">Oil production </w:t>
            </w:r>
            <w:r>
              <w:rPr>
                <w:sz w:val="20"/>
              </w:rPr>
              <w:br/>
            </w:r>
          </w:p>
          <w:p w:rsidR="00000000" w:rsidRDefault="00000000">
            <w:pPr>
              <w:spacing w:before="96" w:after="96"/>
              <w:rPr>
                <w:sz w:val="20"/>
              </w:rPr>
            </w:pPr>
            <w:r>
              <w:rPr>
                <w:sz w:val="20"/>
              </w:rPr>
              <w:t xml:space="preserve">Rice mills </w:t>
            </w:r>
            <w:r>
              <w:rPr>
                <w:sz w:val="20"/>
              </w:rPr>
              <w:br/>
            </w:r>
          </w:p>
          <w:p w:rsidR="00000000" w:rsidRDefault="00000000">
            <w:pPr>
              <w:spacing w:before="96" w:after="96"/>
              <w:rPr>
                <w:sz w:val="20"/>
              </w:rPr>
            </w:pPr>
            <w:r>
              <w:rPr>
                <w:sz w:val="20"/>
              </w:rPr>
              <w:t xml:space="preserve">Manufacture of ready-made meals </w:t>
            </w:r>
            <w:r>
              <w:rPr>
                <w:sz w:val="20"/>
              </w:rPr>
              <w:br/>
            </w:r>
          </w:p>
          <w:p w:rsidR="00000000" w:rsidRDefault="00000000">
            <w:pPr>
              <w:spacing w:before="96" w:after="96"/>
              <w:rPr>
                <w:sz w:val="20"/>
              </w:rPr>
            </w:pPr>
            <w:r>
              <w:rPr>
                <w:sz w:val="20"/>
              </w:rPr>
              <w:t xml:space="preserve">Production of waters, sparkling beverages and cordials </w:t>
            </w:r>
            <w:r>
              <w:rPr>
                <w:sz w:val="20"/>
              </w:rPr>
              <w:br/>
            </w:r>
          </w:p>
          <w:p w:rsidR="00000000" w:rsidRDefault="00000000">
            <w:pPr>
              <w:spacing w:before="96" w:after="96"/>
              <w:rPr>
                <w:sz w:val="20"/>
              </w:rPr>
            </w:pPr>
            <w:r>
              <w:rPr>
                <w:sz w:val="20"/>
              </w:rPr>
              <w:t xml:space="preserve">Refrigeration plant </w:t>
            </w:r>
            <w:r>
              <w:rPr>
                <w:sz w:val="20"/>
              </w:rPr>
              <w:br/>
            </w:r>
          </w:p>
          <w:p w:rsidR="00000000" w:rsidRDefault="00000000">
            <w:pPr>
              <w:spacing w:before="96" w:after="96"/>
              <w:rPr>
                <w:sz w:val="20"/>
              </w:rPr>
            </w:pP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1 219 795</w:t>
            </w:r>
            <w:r>
              <w:rPr>
                <w:sz w:val="20"/>
              </w:rPr>
              <w:br/>
              <w:t xml:space="preserve">Daily wage:    46 915 </w:t>
            </w:r>
          </w:p>
          <w:p w:rsidR="00000000" w:rsidRDefault="00000000">
            <w:pPr>
              <w:spacing w:before="96" w:after="96"/>
              <w:rPr>
                <w:sz w:val="20"/>
              </w:rPr>
            </w:pPr>
            <w:r>
              <w:rPr>
                <w:sz w:val="20"/>
              </w:rPr>
              <w:t>Monthly wage:    1 219 795</w:t>
            </w:r>
            <w:r>
              <w:rPr>
                <w:sz w:val="20"/>
              </w:rPr>
              <w:br/>
              <w:t>Daily wage:    46 915</w:t>
            </w:r>
          </w:p>
          <w:p w:rsidR="00000000" w:rsidRDefault="00000000">
            <w:pPr>
              <w:spacing w:before="96" w:after="96"/>
              <w:rPr>
                <w:sz w:val="20"/>
              </w:rPr>
            </w:pPr>
            <w:r>
              <w:rPr>
                <w:sz w:val="20"/>
              </w:rPr>
              <w:t>Monthly wage:    1 238 143</w:t>
            </w:r>
            <w:r>
              <w:rPr>
                <w:sz w:val="20"/>
              </w:rPr>
              <w:br/>
              <w:t xml:space="preserve">Daily wage:    47 621 </w:t>
            </w:r>
          </w:p>
          <w:p w:rsidR="00000000" w:rsidRDefault="00000000">
            <w:pPr>
              <w:spacing w:before="96" w:after="96"/>
              <w:rPr>
                <w:sz w:val="20"/>
              </w:rPr>
            </w:pPr>
            <w:r>
              <w:rPr>
                <w:sz w:val="20"/>
              </w:rPr>
              <w:t>Monthly wage:    1 231 997</w:t>
            </w:r>
            <w:r>
              <w:rPr>
                <w:sz w:val="20"/>
              </w:rPr>
              <w:br/>
              <w:t xml:space="preserve">Daily wage:    47 385 </w:t>
            </w:r>
          </w:p>
          <w:p w:rsidR="00000000" w:rsidRDefault="00000000">
            <w:pPr>
              <w:spacing w:before="96" w:after="96"/>
              <w:rPr>
                <w:sz w:val="20"/>
              </w:rPr>
            </w:pPr>
            <w:r>
              <w:rPr>
                <w:sz w:val="20"/>
              </w:rPr>
              <w:t>Monthly wage:    1 231 997</w:t>
            </w:r>
            <w:r>
              <w:rPr>
                <w:sz w:val="20"/>
              </w:rPr>
              <w:br/>
              <w:t xml:space="preserve">Daily wage:    47 385 </w:t>
            </w:r>
          </w:p>
          <w:p w:rsidR="00000000" w:rsidRDefault="00000000">
            <w:pPr>
              <w:spacing w:before="96" w:after="96"/>
              <w:rPr>
                <w:sz w:val="20"/>
              </w:rPr>
            </w:pPr>
            <w:r>
              <w:rPr>
                <w:sz w:val="20"/>
              </w:rPr>
              <w:t>Monthly wage:    1 231 997</w:t>
            </w:r>
            <w:r>
              <w:rPr>
                <w:sz w:val="20"/>
              </w:rPr>
              <w:br/>
              <w:t xml:space="preserve">Daily wage:    47 385 </w:t>
            </w:r>
          </w:p>
          <w:p w:rsidR="00000000" w:rsidRDefault="00000000">
            <w:pPr>
              <w:spacing w:before="96" w:after="96"/>
              <w:rPr>
                <w:sz w:val="20"/>
              </w:rPr>
            </w:pPr>
            <w:r>
              <w:rPr>
                <w:sz w:val="20"/>
              </w:rPr>
              <w:t>Monthly wage:    1 219 795</w:t>
            </w:r>
            <w:r>
              <w:rPr>
                <w:sz w:val="20"/>
              </w:rPr>
              <w:br/>
              <w:t xml:space="preserve">Daily wage:    46 915 </w:t>
            </w:r>
          </w:p>
          <w:p w:rsidR="00000000" w:rsidRDefault="00000000">
            <w:pPr>
              <w:spacing w:before="96" w:after="96"/>
              <w:rPr>
                <w:sz w:val="20"/>
              </w:rPr>
            </w:pPr>
            <w:r>
              <w:rPr>
                <w:sz w:val="20"/>
              </w:rPr>
              <w:t>Monthly wage:    1 219 795</w:t>
            </w:r>
            <w:r>
              <w:rPr>
                <w:sz w:val="20"/>
              </w:rPr>
              <w:br/>
              <w:t xml:space="preserve">Daily wage:    46 915 </w:t>
            </w:r>
          </w:p>
          <w:p w:rsidR="00000000" w:rsidRDefault="00000000">
            <w:pPr>
              <w:spacing w:before="96" w:after="96"/>
              <w:rPr>
                <w:sz w:val="20"/>
              </w:rPr>
            </w:pPr>
            <w:r>
              <w:rPr>
                <w:sz w:val="20"/>
              </w:rPr>
              <w:t>Monthly wage:    1 219 795</w:t>
            </w:r>
            <w:r>
              <w:rPr>
                <w:sz w:val="20"/>
              </w:rPr>
              <w:br/>
              <w:t>Daily wage:    46 915</w:t>
            </w:r>
          </w:p>
          <w:p w:rsidR="00000000" w:rsidRDefault="00000000">
            <w:pPr>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Clothing and textile industries </w:t>
            </w:r>
            <w:r>
              <w:rPr>
                <w:sz w:val="20"/>
              </w:rPr>
              <w:br/>
            </w:r>
          </w:p>
          <w:p w:rsidR="00000000" w:rsidRDefault="00000000">
            <w:pPr>
              <w:spacing w:before="96" w:after="96"/>
              <w:rPr>
                <w:sz w:val="20"/>
              </w:rPr>
            </w:pPr>
            <w:r>
              <w:rPr>
                <w:sz w:val="20"/>
              </w:rPr>
              <w:t xml:space="preserve">Cap and headgear manufacture </w:t>
            </w:r>
            <w:r>
              <w:rPr>
                <w:sz w:val="20"/>
              </w:rPr>
              <w:br/>
            </w:r>
          </w:p>
          <w:p w:rsidR="00000000" w:rsidRDefault="00000000">
            <w:pPr>
              <w:spacing w:before="96" w:after="96"/>
              <w:rPr>
                <w:sz w:val="20"/>
              </w:rPr>
            </w:pPr>
            <w:r>
              <w:rPr>
                <w:sz w:val="20"/>
              </w:rPr>
              <w:t xml:space="preserve">Manufacture of handbags and similar items </w:t>
            </w:r>
            <w:r>
              <w:rPr>
                <w:sz w:val="20"/>
              </w:rPr>
              <w:br/>
            </w:r>
          </w:p>
          <w:p w:rsidR="00000000" w:rsidRDefault="00000000">
            <w:pPr>
              <w:spacing w:before="96" w:after="96"/>
              <w:rPr>
                <w:sz w:val="20"/>
              </w:rPr>
            </w:pPr>
            <w:r>
              <w:rPr>
                <w:sz w:val="20"/>
              </w:rPr>
              <w:t xml:space="preserve">Manufacture of footwear </w:t>
            </w:r>
            <w:r>
              <w:rPr>
                <w:sz w:val="20"/>
              </w:rPr>
              <w:br/>
            </w:r>
          </w:p>
          <w:p w:rsidR="00000000" w:rsidRDefault="00000000">
            <w:pPr>
              <w:spacing w:before="96" w:after="96"/>
              <w:rPr>
                <w:sz w:val="20"/>
              </w:rPr>
            </w:pPr>
            <w:r>
              <w:rPr>
                <w:sz w:val="20"/>
              </w:rPr>
              <w:t xml:space="preserve">Tailors </w:t>
            </w:r>
            <w:r>
              <w:rPr>
                <w:sz w:val="20"/>
              </w:rPr>
              <w:br/>
            </w:r>
          </w:p>
          <w:p w:rsidR="00000000" w:rsidRDefault="00000000">
            <w:pPr>
              <w:spacing w:before="96" w:after="96"/>
              <w:rPr>
                <w:sz w:val="20"/>
              </w:rPr>
            </w:pPr>
            <w:r>
              <w:rPr>
                <w:sz w:val="20"/>
              </w:rPr>
              <w:t xml:space="preserve"> Ready-made clothing workshops (general) </w:t>
            </w:r>
          </w:p>
          <w:p w:rsidR="00000000" w:rsidRDefault="00000000">
            <w:pPr>
              <w:pStyle w:val="FootnoteText"/>
              <w:spacing w:before="96" w:after="96"/>
              <w:rPr>
                <w:szCs w:val="24"/>
              </w:rPr>
            </w:pP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1 234 891</w:t>
            </w:r>
            <w:r>
              <w:rPr>
                <w:sz w:val="20"/>
              </w:rPr>
              <w:br/>
              <w:t xml:space="preserve">Daily wage:    47 385 </w:t>
            </w:r>
          </w:p>
          <w:p w:rsidR="00000000" w:rsidRDefault="00000000">
            <w:pPr>
              <w:spacing w:before="96" w:after="96"/>
              <w:rPr>
                <w:sz w:val="20"/>
              </w:rPr>
            </w:pPr>
            <w:r>
              <w:rPr>
                <w:sz w:val="20"/>
              </w:rPr>
              <w:t>Monthly wage     1 231 997</w:t>
            </w:r>
            <w:r>
              <w:rPr>
                <w:sz w:val="20"/>
              </w:rPr>
              <w:br/>
              <w:t xml:space="preserve">Daily wage:    47 385 </w:t>
            </w:r>
          </w:p>
          <w:p w:rsidR="00000000" w:rsidRDefault="00000000">
            <w:pPr>
              <w:spacing w:before="96" w:after="96"/>
              <w:rPr>
                <w:sz w:val="20"/>
              </w:rPr>
            </w:pPr>
            <w:r>
              <w:rPr>
                <w:sz w:val="20"/>
              </w:rPr>
              <w:t>Monthly wage:    1 219 795</w:t>
            </w:r>
            <w:r>
              <w:rPr>
                <w:sz w:val="20"/>
              </w:rPr>
              <w:br/>
              <w:t xml:space="preserve">Daily wage:    46 915 </w:t>
            </w:r>
          </w:p>
          <w:p w:rsidR="00000000" w:rsidRDefault="00000000">
            <w:pPr>
              <w:spacing w:before="96" w:after="96"/>
              <w:rPr>
                <w:sz w:val="20"/>
              </w:rPr>
            </w:pPr>
            <w:r>
              <w:rPr>
                <w:sz w:val="20"/>
              </w:rPr>
              <w:t>Monthly wage:    1 238 143</w:t>
            </w:r>
            <w:r>
              <w:rPr>
                <w:sz w:val="20"/>
              </w:rPr>
              <w:br/>
              <w:t xml:space="preserve">Daily wage:    47 621 </w:t>
            </w:r>
          </w:p>
          <w:p w:rsidR="00000000" w:rsidRDefault="00000000">
            <w:pPr>
              <w:spacing w:before="96" w:after="96"/>
              <w:rPr>
                <w:sz w:val="20"/>
              </w:rPr>
            </w:pPr>
            <w:r>
              <w:rPr>
                <w:sz w:val="20"/>
              </w:rPr>
              <w:t>Monthly wage:    1 231 997</w:t>
            </w:r>
            <w:r>
              <w:rPr>
                <w:sz w:val="20"/>
              </w:rPr>
              <w:br/>
              <w:t xml:space="preserve">Daily wage:    47 385 </w:t>
            </w:r>
          </w:p>
          <w:p w:rsidR="00000000" w:rsidRDefault="00000000">
            <w:pPr>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keepNext/>
              <w:spacing w:before="96" w:after="96"/>
              <w:rPr>
                <w:sz w:val="20"/>
              </w:rPr>
            </w:pPr>
            <w:r>
              <w:rPr>
                <w:sz w:val="20"/>
              </w:rPr>
              <w:t xml:space="preserve">Machine workshops (general) </w:t>
            </w:r>
          </w:p>
          <w:p w:rsidR="00000000" w:rsidRDefault="00000000">
            <w:pPr>
              <w:keepNext/>
              <w:spacing w:before="96" w:after="96"/>
              <w:rPr>
                <w:sz w:val="20"/>
              </w:rPr>
            </w:pPr>
          </w:p>
        </w:tc>
        <w:tc>
          <w:tcPr>
            <w:tcW w:w="4715" w:type="dxa"/>
            <w:tcMar>
              <w:top w:w="57" w:type="dxa"/>
              <w:left w:w="85" w:type="dxa"/>
              <w:bottom w:w="57" w:type="dxa"/>
              <w:right w:w="85" w:type="dxa"/>
            </w:tcMar>
          </w:tcPr>
          <w:p w:rsidR="00000000" w:rsidRDefault="00000000">
            <w:pPr>
              <w:keepNext/>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Tinsmiths </w:t>
            </w:r>
            <w:r>
              <w:rPr>
                <w:sz w:val="20"/>
              </w:rPr>
              <w:br/>
            </w:r>
          </w:p>
          <w:p w:rsidR="00000000" w:rsidRDefault="00000000">
            <w:pPr>
              <w:spacing w:before="96" w:after="96"/>
              <w:rPr>
                <w:sz w:val="20"/>
              </w:rPr>
            </w:pPr>
            <w:r>
              <w:rPr>
                <w:sz w:val="20"/>
              </w:rPr>
              <w:t xml:space="preserve">Foundries </w:t>
            </w:r>
            <w:r>
              <w:rPr>
                <w:sz w:val="20"/>
              </w:rPr>
              <w:br/>
            </w:r>
          </w:p>
          <w:p w:rsidR="00000000" w:rsidRDefault="00000000">
            <w:pPr>
              <w:spacing w:before="96" w:after="96"/>
              <w:rPr>
                <w:sz w:val="20"/>
              </w:rPr>
            </w:pPr>
            <w:r>
              <w:rPr>
                <w:sz w:val="20"/>
              </w:rPr>
              <w:t>Painters (operatives)</w:t>
            </w:r>
            <w:r>
              <w:rPr>
                <w:sz w:val="20"/>
              </w:rPr>
              <w:br/>
            </w:r>
          </w:p>
          <w:p w:rsidR="00000000" w:rsidRDefault="00000000">
            <w:pPr>
              <w:spacing w:before="96" w:after="96"/>
              <w:rPr>
                <w:sz w:val="20"/>
              </w:rPr>
            </w:pPr>
            <w:r>
              <w:rPr>
                <w:sz w:val="20"/>
              </w:rPr>
              <w:t>Auxiliaries</w:t>
            </w:r>
            <w:r>
              <w:rPr>
                <w:sz w:val="20"/>
              </w:rPr>
              <w:br/>
            </w:r>
          </w:p>
          <w:p w:rsidR="00000000" w:rsidRDefault="00000000">
            <w:pPr>
              <w:spacing w:before="96" w:after="96"/>
              <w:rPr>
                <w:sz w:val="20"/>
              </w:rPr>
            </w:pPr>
            <w:r>
              <w:rPr>
                <w:sz w:val="20"/>
              </w:rPr>
              <w:t>Buildings and construction work : labourers</w:t>
            </w: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1 219 795</w:t>
            </w:r>
            <w:r>
              <w:rPr>
                <w:sz w:val="20"/>
              </w:rPr>
              <w:br/>
              <w:t xml:space="preserve">Daily wage:    46 915 </w:t>
            </w:r>
          </w:p>
          <w:p w:rsidR="00000000" w:rsidRDefault="00000000">
            <w:pPr>
              <w:spacing w:before="96" w:after="96"/>
              <w:rPr>
                <w:sz w:val="20"/>
              </w:rPr>
            </w:pPr>
            <w:r>
              <w:rPr>
                <w:sz w:val="20"/>
              </w:rPr>
              <w:t>Monthly wage:    1 219 795</w:t>
            </w:r>
            <w:r>
              <w:rPr>
                <w:sz w:val="20"/>
              </w:rPr>
              <w:br/>
              <w:t xml:space="preserve">Daily wage:    46 915 </w:t>
            </w:r>
          </w:p>
          <w:p w:rsidR="00000000" w:rsidRDefault="00000000">
            <w:pPr>
              <w:spacing w:before="96" w:after="96"/>
              <w:rPr>
                <w:sz w:val="20"/>
              </w:rPr>
            </w:pPr>
            <w:r>
              <w:rPr>
                <w:sz w:val="20"/>
              </w:rPr>
              <w:t>Monthly wage:    1 231 997</w:t>
            </w:r>
            <w:r>
              <w:rPr>
                <w:sz w:val="20"/>
              </w:rPr>
              <w:br/>
              <w:t xml:space="preserve">Daily wage:    47 385 </w:t>
            </w:r>
          </w:p>
          <w:p w:rsidR="00000000" w:rsidRDefault="00000000">
            <w:pPr>
              <w:spacing w:before="96" w:after="96"/>
              <w:rPr>
                <w:sz w:val="20"/>
              </w:rPr>
            </w:pPr>
            <w:r>
              <w:rPr>
                <w:sz w:val="20"/>
              </w:rPr>
              <w:t>Monthly wage:    1 219 795</w:t>
            </w:r>
            <w:r>
              <w:rPr>
                <w:sz w:val="20"/>
              </w:rPr>
              <w:br/>
              <w:t>Daily wage:    46 915</w:t>
            </w:r>
          </w:p>
          <w:p w:rsidR="00000000" w:rsidRDefault="00000000">
            <w:pPr>
              <w:spacing w:before="96" w:after="96"/>
              <w:rPr>
                <w:sz w:val="20"/>
              </w:rPr>
            </w:pPr>
            <w:r>
              <w:rPr>
                <w:sz w:val="20"/>
              </w:rPr>
              <w:t>Monthly wage:    1 231 997</w:t>
            </w:r>
            <w:r>
              <w:rPr>
                <w:sz w:val="20"/>
              </w:rPr>
              <w:br/>
              <w:t>Daily wage:    47 385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Saddlery </w:t>
            </w:r>
            <w:r>
              <w:rPr>
                <w:sz w:val="20"/>
              </w:rPr>
              <w:br/>
            </w: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1 231 997</w:t>
            </w:r>
            <w:r>
              <w:rPr>
                <w:sz w:val="20"/>
              </w:rPr>
              <w:br/>
              <w:t>Daily wage:    47 835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Dockyards </w:t>
            </w:r>
            <w:r>
              <w:rPr>
                <w:sz w:val="20"/>
              </w:rPr>
              <w:br/>
            </w: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Soapmaking </w:t>
            </w:r>
            <w:r>
              <w:rPr>
                <w:sz w:val="20"/>
              </w:rPr>
              <w:br/>
            </w: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Clock and watch making </w:t>
            </w:r>
            <w:r>
              <w:rPr>
                <w:sz w:val="20"/>
              </w:rPr>
              <w:br/>
            </w: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Pattern making </w:t>
            </w:r>
            <w:r>
              <w:rPr>
                <w:sz w:val="20"/>
              </w:rPr>
              <w:br/>
            </w: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1 231 997</w:t>
            </w:r>
            <w:r>
              <w:rPr>
                <w:sz w:val="20"/>
              </w:rPr>
              <w:br/>
              <w:t>Daily wage:    47 385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Match manufacture </w:t>
            </w:r>
          </w:p>
          <w:p w:rsidR="00000000" w:rsidRDefault="00000000">
            <w:pPr>
              <w:spacing w:before="96" w:after="96"/>
              <w:rPr>
                <w:sz w:val="20"/>
              </w:rPr>
            </w:pP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1 231 997</w:t>
            </w:r>
            <w:r>
              <w:rPr>
                <w:sz w:val="20"/>
              </w:rPr>
              <w:br/>
              <w:t>Daily wage:    47 385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Cinemas and theatres</w:t>
            </w:r>
          </w:p>
          <w:p w:rsidR="00000000" w:rsidRDefault="00000000">
            <w:pPr>
              <w:spacing w:before="96" w:after="96"/>
              <w:rPr>
                <w:sz w:val="20"/>
              </w:rPr>
            </w:pP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Manufacture of paper and cardboard </w:t>
            </w:r>
            <w:r>
              <w:rPr>
                <w:sz w:val="20"/>
              </w:rPr>
              <w:br/>
            </w:r>
          </w:p>
          <w:p w:rsidR="00000000" w:rsidRDefault="00000000">
            <w:pPr>
              <w:spacing w:before="96" w:after="96"/>
              <w:rPr>
                <w:sz w:val="20"/>
              </w:rPr>
            </w:pPr>
            <w:r>
              <w:rPr>
                <w:sz w:val="20"/>
              </w:rPr>
              <w:t xml:space="preserve">Furniture manufacture </w:t>
            </w:r>
            <w:r>
              <w:rPr>
                <w:sz w:val="20"/>
              </w:rPr>
              <w:br/>
            </w:r>
          </w:p>
          <w:p w:rsidR="00000000" w:rsidRDefault="00000000">
            <w:pPr>
              <w:spacing w:before="96" w:after="96"/>
              <w:rPr>
                <w:sz w:val="20"/>
              </w:rPr>
            </w:pP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1 246 396</w:t>
            </w:r>
            <w:r>
              <w:rPr>
                <w:sz w:val="20"/>
              </w:rPr>
              <w:br/>
              <w:t xml:space="preserve">Daily wage:    47 938 </w:t>
            </w:r>
          </w:p>
          <w:p w:rsidR="00000000" w:rsidRDefault="00000000">
            <w:pPr>
              <w:spacing w:before="96" w:after="96"/>
              <w:rPr>
                <w:sz w:val="20"/>
              </w:rPr>
            </w:pPr>
            <w:r>
              <w:rPr>
                <w:sz w:val="20"/>
              </w:rPr>
              <w:t>Monthly wage:    1 231 997</w:t>
            </w:r>
            <w:r>
              <w:rPr>
                <w:sz w:val="20"/>
              </w:rPr>
              <w:br/>
              <w:t>Daily wage:    47 385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Announcers </w:t>
            </w:r>
            <w:r>
              <w:rPr>
                <w:sz w:val="20"/>
              </w:rPr>
              <w:br/>
            </w:r>
          </w:p>
          <w:p w:rsidR="00000000" w:rsidRDefault="00000000">
            <w:pPr>
              <w:spacing w:before="96" w:after="96"/>
              <w:rPr>
                <w:sz w:val="20"/>
              </w:rPr>
            </w:pPr>
            <w:r>
              <w:rPr>
                <w:sz w:val="20"/>
              </w:rPr>
              <w:t>Operatives</w:t>
            </w:r>
            <w:r>
              <w:rPr>
                <w:sz w:val="20"/>
              </w:rPr>
              <w:br/>
            </w: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1 231 997</w:t>
            </w:r>
            <w:r>
              <w:rPr>
                <w:sz w:val="20"/>
              </w:rPr>
              <w:br/>
              <w:t xml:space="preserve">Daily wage:    47 385 </w:t>
            </w:r>
          </w:p>
          <w:p w:rsidR="00000000" w:rsidRDefault="00000000">
            <w:pPr>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Asphalt and paving</w:t>
            </w:r>
          </w:p>
          <w:p w:rsidR="00000000" w:rsidRDefault="00000000">
            <w:pPr>
              <w:spacing w:before="96" w:after="96"/>
              <w:rPr>
                <w:sz w:val="20"/>
              </w:rPr>
            </w:pP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Flower cultivation </w:t>
            </w:r>
            <w:r>
              <w:rPr>
                <w:sz w:val="20"/>
              </w:rPr>
              <w:br/>
            </w: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Hides and skins </w:t>
            </w:r>
            <w:r>
              <w:rPr>
                <w:sz w:val="20"/>
              </w:rPr>
              <w:br/>
            </w:r>
          </w:p>
          <w:p w:rsidR="00000000" w:rsidRDefault="00000000">
            <w:pPr>
              <w:spacing w:before="96" w:after="96"/>
              <w:rPr>
                <w:sz w:val="20"/>
              </w:rPr>
            </w:pPr>
            <w:r>
              <w:rPr>
                <w:sz w:val="20"/>
              </w:rPr>
              <w:t xml:space="preserve">Print shops </w:t>
            </w:r>
          </w:p>
          <w:p w:rsidR="00000000" w:rsidRDefault="00000000">
            <w:pPr>
              <w:spacing w:before="96" w:after="96"/>
              <w:rPr>
                <w:sz w:val="20"/>
              </w:rPr>
            </w:pP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1 219 795</w:t>
            </w:r>
            <w:r>
              <w:rPr>
                <w:sz w:val="20"/>
              </w:rPr>
              <w:br/>
              <w:t xml:space="preserve">Daily wage:    46 915 </w:t>
            </w:r>
          </w:p>
          <w:p w:rsidR="00000000" w:rsidRDefault="00000000">
            <w:pPr>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Miscellaneous unspecified activities </w:t>
            </w:r>
          </w:p>
          <w:p w:rsidR="00000000" w:rsidRDefault="00000000">
            <w:pPr>
              <w:spacing w:before="96" w:after="96"/>
              <w:rPr>
                <w:sz w:val="20"/>
              </w:rPr>
            </w:pPr>
            <w:r>
              <w:rPr>
                <w:sz w:val="20"/>
              </w:rPr>
              <w:br/>
            </w: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Journalists </w:t>
            </w:r>
          </w:p>
          <w:p w:rsidR="00000000" w:rsidRDefault="00000000">
            <w:pPr>
              <w:spacing w:before="96" w:after="96"/>
              <w:ind w:left="284"/>
              <w:rPr>
                <w:sz w:val="20"/>
              </w:rPr>
            </w:pPr>
            <w:r>
              <w:rPr>
                <w:sz w:val="20"/>
              </w:rPr>
              <w:t>Editors-in-chief</w:t>
            </w:r>
          </w:p>
          <w:p w:rsidR="00000000" w:rsidRDefault="00000000">
            <w:pPr>
              <w:spacing w:before="96" w:after="96"/>
              <w:ind w:left="284"/>
              <w:rPr>
                <w:sz w:val="20"/>
              </w:rPr>
            </w:pPr>
            <w:r>
              <w:rPr>
                <w:sz w:val="20"/>
              </w:rPr>
              <w:t xml:space="preserve">Secretary (editorial) </w:t>
            </w:r>
          </w:p>
          <w:p w:rsidR="00000000" w:rsidRDefault="00000000">
            <w:pPr>
              <w:spacing w:before="96" w:after="96"/>
              <w:ind w:left="284"/>
              <w:rPr>
                <w:sz w:val="20"/>
              </w:rPr>
            </w:pPr>
            <w:r>
              <w:rPr>
                <w:sz w:val="20"/>
              </w:rPr>
              <w:t xml:space="preserve">Editor 1 </w:t>
            </w:r>
          </w:p>
          <w:p w:rsidR="00000000" w:rsidRDefault="00000000">
            <w:pPr>
              <w:spacing w:before="96" w:after="96"/>
              <w:ind w:left="284"/>
              <w:rPr>
                <w:sz w:val="20"/>
              </w:rPr>
            </w:pPr>
            <w:r>
              <w:rPr>
                <w:sz w:val="20"/>
              </w:rPr>
              <w:t xml:space="preserve">Editor 2 </w:t>
            </w:r>
          </w:p>
          <w:p w:rsidR="00000000" w:rsidRDefault="00000000">
            <w:pPr>
              <w:spacing w:before="96" w:after="96"/>
              <w:ind w:left="284"/>
              <w:rPr>
                <w:sz w:val="20"/>
              </w:rPr>
            </w:pPr>
            <w:r>
              <w:rPr>
                <w:sz w:val="20"/>
              </w:rPr>
              <w:t xml:space="preserve">Reporter </w:t>
            </w:r>
          </w:p>
          <w:p w:rsidR="00000000" w:rsidRDefault="00000000">
            <w:pPr>
              <w:spacing w:before="96" w:after="96"/>
              <w:ind w:left="284"/>
              <w:rPr>
                <w:sz w:val="20"/>
              </w:rPr>
            </w:pPr>
            <w:r>
              <w:rPr>
                <w:sz w:val="20"/>
              </w:rPr>
              <w:t xml:space="preserve">Proofreaders </w:t>
            </w:r>
          </w:p>
          <w:p w:rsidR="00000000" w:rsidRDefault="00000000">
            <w:pPr>
              <w:pStyle w:val="FootnoteText"/>
              <w:spacing w:before="96" w:after="96"/>
              <w:rPr>
                <w:szCs w:val="24"/>
              </w:rPr>
            </w:pPr>
            <w:r>
              <w:rPr>
                <w:szCs w:val="24"/>
              </w:rPr>
              <w:t>Graphics – linotype workers</w:t>
            </w:r>
          </w:p>
          <w:p w:rsidR="00000000" w:rsidRDefault="00000000">
            <w:pPr>
              <w:spacing w:before="96" w:after="96"/>
              <w:ind w:left="284"/>
              <w:rPr>
                <w:sz w:val="20"/>
              </w:rPr>
            </w:pPr>
            <w:r>
              <w:rPr>
                <w:sz w:val="20"/>
              </w:rPr>
              <w:t>Category 1</w:t>
            </w:r>
            <w:r>
              <w:rPr>
                <w:sz w:val="20"/>
              </w:rPr>
              <w:br/>
            </w:r>
          </w:p>
          <w:p w:rsidR="00000000" w:rsidRDefault="00000000">
            <w:pPr>
              <w:spacing w:before="96" w:after="96"/>
              <w:ind w:left="284"/>
              <w:rPr>
                <w:sz w:val="20"/>
              </w:rPr>
            </w:pPr>
            <w:r>
              <w:rPr>
                <w:sz w:val="20"/>
              </w:rPr>
              <w:t xml:space="preserve">Category 2 </w:t>
            </w:r>
            <w:r>
              <w:rPr>
                <w:sz w:val="20"/>
              </w:rPr>
              <w:br/>
            </w:r>
          </w:p>
          <w:p w:rsidR="00000000" w:rsidRDefault="00000000">
            <w:pPr>
              <w:pStyle w:val="FootnoteText"/>
              <w:spacing w:before="96" w:after="96"/>
              <w:rPr>
                <w:szCs w:val="24"/>
              </w:rPr>
            </w:pPr>
            <w:r>
              <w:rPr>
                <w:szCs w:val="24"/>
              </w:rPr>
              <w:t xml:space="preserve">Printing workers </w:t>
            </w:r>
          </w:p>
          <w:p w:rsidR="00000000" w:rsidRDefault="00000000">
            <w:pPr>
              <w:spacing w:before="96" w:after="96"/>
              <w:ind w:left="284"/>
              <w:rPr>
                <w:sz w:val="20"/>
              </w:rPr>
            </w:pPr>
            <w:r>
              <w:rPr>
                <w:sz w:val="20"/>
              </w:rPr>
              <w:t>Category 1</w:t>
            </w:r>
            <w:r>
              <w:rPr>
                <w:sz w:val="20"/>
              </w:rPr>
              <w:br/>
            </w:r>
          </w:p>
          <w:p w:rsidR="00000000" w:rsidRDefault="00000000">
            <w:pPr>
              <w:spacing w:before="96" w:after="96"/>
              <w:ind w:left="284"/>
              <w:rPr>
                <w:sz w:val="20"/>
              </w:rPr>
            </w:pPr>
            <w:r>
              <w:rPr>
                <w:sz w:val="20"/>
              </w:rPr>
              <w:t xml:space="preserve">Category 2 </w:t>
            </w:r>
            <w:r>
              <w:rPr>
                <w:sz w:val="20"/>
              </w:rPr>
              <w:br/>
            </w:r>
          </w:p>
          <w:p w:rsidR="00000000" w:rsidRDefault="00000000">
            <w:pPr>
              <w:pStyle w:val="FootnoteText"/>
              <w:spacing w:before="96" w:after="96"/>
              <w:rPr>
                <w:szCs w:val="24"/>
              </w:rPr>
            </w:pPr>
            <w:r>
              <w:rPr>
                <w:szCs w:val="24"/>
              </w:rPr>
              <w:t xml:space="preserve">Typographers </w:t>
            </w:r>
          </w:p>
          <w:p w:rsidR="00000000" w:rsidRDefault="00000000">
            <w:pPr>
              <w:spacing w:before="96" w:after="96"/>
              <w:ind w:left="284"/>
              <w:rPr>
                <w:sz w:val="20"/>
              </w:rPr>
            </w:pPr>
            <w:r>
              <w:rPr>
                <w:sz w:val="20"/>
              </w:rPr>
              <w:t xml:space="preserve">Category 1 </w:t>
            </w:r>
            <w:r>
              <w:rPr>
                <w:sz w:val="20"/>
              </w:rPr>
              <w:br/>
            </w:r>
          </w:p>
          <w:p w:rsidR="00000000" w:rsidRDefault="00000000">
            <w:pPr>
              <w:spacing w:before="96" w:after="96"/>
              <w:ind w:left="284"/>
              <w:rPr>
                <w:sz w:val="20"/>
              </w:rPr>
            </w:pPr>
            <w:r>
              <w:rPr>
                <w:sz w:val="20"/>
              </w:rPr>
              <w:t xml:space="preserve">Category 2 </w:t>
            </w:r>
          </w:p>
          <w:p w:rsidR="00000000" w:rsidRDefault="00000000">
            <w:pPr>
              <w:spacing w:before="96" w:after="96"/>
              <w:rPr>
                <w:sz w:val="20"/>
              </w:rPr>
            </w:pPr>
          </w:p>
        </w:tc>
        <w:tc>
          <w:tcPr>
            <w:tcW w:w="4715" w:type="dxa"/>
            <w:tcMar>
              <w:top w:w="57" w:type="dxa"/>
              <w:left w:w="85" w:type="dxa"/>
              <w:bottom w:w="57" w:type="dxa"/>
              <w:right w:w="85" w:type="dxa"/>
            </w:tcMar>
          </w:tcPr>
          <w:p w:rsidR="00000000" w:rsidRDefault="00000000">
            <w:pPr>
              <w:spacing w:before="96" w:after="96"/>
              <w:rPr>
                <w:sz w:val="20"/>
              </w:rPr>
            </w:pPr>
          </w:p>
          <w:p w:rsidR="00000000" w:rsidRDefault="00000000">
            <w:pPr>
              <w:spacing w:before="96" w:after="96"/>
              <w:rPr>
                <w:sz w:val="20"/>
              </w:rPr>
            </w:pPr>
            <w:r>
              <w:rPr>
                <w:sz w:val="20"/>
              </w:rPr>
              <w:t>Monthly wage:    1 806 635</w:t>
            </w:r>
          </w:p>
          <w:p w:rsidR="00000000" w:rsidRDefault="00000000">
            <w:pPr>
              <w:spacing w:before="96" w:after="96"/>
              <w:rPr>
                <w:sz w:val="20"/>
              </w:rPr>
            </w:pPr>
            <w:r>
              <w:rPr>
                <w:sz w:val="20"/>
              </w:rPr>
              <w:t>Monthly wage:    1 648 682</w:t>
            </w:r>
          </w:p>
          <w:p w:rsidR="00000000" w:rsidRDefault="00000000">
            <w:pPr>
              <w:spacing w:before="96" w:after="96"/>
              <w:rPr>
                <w:sz w:val="20"/>
              </w:rPr>
            </w:pPr>
            <w:r>
              <w:rPr>
                <w:sz w:val="20"/>
              </w:rPr>
              <w:t xml:space="preserve">Monthly wage:    1 542 723 </w:t>
            </w:r>
          </w:p>
          <w:p w:rsidR="00000000" w:rsidRDefault="00000000">
            <w:pPr>
              <w:spacing w:before="96" w:after="96"/>
              <w:rPr>
                <w:sz w:val="20"/>
              </w:rPr>
            </w:pPr>
            <w:r>
              <w:rPr>
                <w:sz w:val="20"/>
              </w:rPr>
              <w:t xml:space="preserve">Monthly wage:    1 474 675 </w:t>
            </w:r>
          </w:p>
          <w:p w:rsidR="00000000" w:rsidRDefault="00000000">
            <w:pPr>
              <w:spacing w:before="96" w:after="96"/>
              <w:rPr>
                <w:sz w:val="20"/>
              </w:rPr>
            </w:pPr>
            <w:r>
              <w:rPr>
                <w:sz w:val="20"/>
              </w:rPr>
              <w:t xml:space="preserve">Monthly wage:    1 361 992 </w:t>
            </w:r>
          </w:p>
          <w:p w:rsidR="00000000" w:rsidRDefault="00000000">
            <w:pPr>
              <w:spacing w:before="96" w:after="96"/>
              <w:rPr>
                <w:sz w:val="20"/>
              </w:rPr>
            </w:pPr>
            <w:r>
              <w:rPr>
                <w:sz w:val="20"/>
              </w:rPr>
              <w:t xml:space="preserve">Monthly wage:    1 429 043 </w:t>
            </w:r>
          </w:p>
          <w:p w:rsidR="00000000" w:rsidRDefault="00000000">
            <w:pPr>
              <w:spacing w:before="96" w:after="96"/>
              <w:rPr>
                <w:sz w:val="20"/>
              </w:rPr>
            </w:pPr>
          </w:p>
          <w:p w:rsidR="00000000" w:rsidRDefault="00000000">
            <w:pPr>
              <w:spacing w:before="96" w:after="96"/>
              <w:rPr>
                <w:sz w:val="20"/>
              </w:rPr>
            </w:pPr>
            <w:r>
              <w:rPr>
                <w:sz w:val="20"/>
              </w:rPr>
              <w:t>Monthly wage:    1 498 541</w:t>
            </w:r>
            <w:r>
              <w:rPr>
                <w:sz w:val="20"/>
              </w:rPr>
              <w:br/>
              <w:t xml:space="preserve">Daily wage:    57 636 </w:t>
            </w:r>
          </w:p>
          <w:p w:rsidR="00000000" w:rsidRDefault="00000000">
            <w:pPr>
              <w:spacing w:before="96" w:after="96"/>
              <w:rPr>
                <w:sz w:val="20"/>
              </w:rPr>
            </w:pPr>
            <w:r>
              <w:rPr>
                <w:sz w:val="20"/>
              </w:rPr>
              <w:t>Monthly wage:    1 441 231</w:t>
            </w:r>
            <w:r>
              <w:rPr>
                <w:sz w:val="20"/>
              </w:rPr>
              <w:br/>
              <w:t xml:space="preserve">Daily wage:    55 432 </w:t>
            </w:r>
          </w:p>
          <w:p w:rsidR="00000000" w:rsidRDefault="00000000">
            <w:pPr>
              <w:spacing w:before="96" w:after="96"/>
              <w:rPr>
                <w:sz w:val="20"/>
              </w:rPr>
            </w:pPr>
          </w:p>
          <w:p w:rsidR="00000000" w:rsidRDefault="00000000">
            <w:pPr>
              <w:spacing w:before="96" w:after="96"/>
              <w:rPr>
                <w:sz w:val="20"/>
              </w:rPr>
            </w:pPr>
            <w:r>
              <w:rPr>
                <w:sz w:val="20"/>
              </w:rPr>
              <w:t>Monthly wage:    1 498 541</w:t>
            </w:r>
            <w:r>
              <w:rPr>
                <w:sz w:val="20"/>
              </w:rPr>
              <w:br/>
              <w:t>Daily wage:    57 636</w:t>
            </w:r>
          </w:p>
          <w:p w:rsidR="00000000" w:rsidRDefault="00000000">
            <w:pPr>
              <w:spacing w:before="96" w:after="96"/>
              <w:rPr>
                <w:sz w:val="20"/>
              </w:rPr>
            </w:pPr>
            <w:r>
              <w:rPr>
                <w:sz w:val="20"/>
              </w:rPr>
              <w:t>Monthly wage:    1 441 231</w:t>
            </w:r>
            <w:r>
              <w:rPr>
                <w:sz w:val="20"/>
              </w:rPr>
              <w:br/>
              <w:t xml:space="preserve">Daily wage:    55 432 </w:t>
            </w:r>
          </w:p>
          <w:p w:rsidR="00000000" w:rsidRDefault="00000000">
            <w:pPr>
              <w:spacing w:before="96" w:after="96"/>
              <w:rPr>
                <w:sz w:val="20"/>
              </w:rPr>
            </w:pPr>
          </w:p>
          <w:p w:rsidR="00000000" w:rsidRDefault="00000000">
            <w:pPr>
              <w:spacing w:before="96" w:after="96"/>
              <w:rPr>
                <w:sz w:val="20"/>
              </w:rPr>
            </w:pPr>
            <w:r>
              <w:rPr>
                <w:sz w:val="20"/>
              </w:rPr>
              <w:t>Monthly wage:    1 498 541</w:t>
            </w:r>
            <w:r>
              <w:rPr>
                <w:sz w:val="20"/>
              </w:rPr>
              <w:br/>
              <w:t xml:space="preserve">Daily wage:    57 636 </w:t>
            </w:r>
          </w:p>
          <w:p w:rsidR="00000000" w:rsidRDefault="00000000">
            <w:pPr>
              <w:spacing w:before="96" w:after="96"/>
              <w:rPr>
                <w:sz w:val="20"/>
              </w:rPr>
            </w:pPr>
            <w:r>
              <w:rPr>
                <w:sz w:val="20"/>
              </w:rPr>
              <w:t>Monthly wage:    1 441 231</w:t>
            </w:r>
            <w:r>
              <w:rPr>
                <w:sz w:val="20"/>
              </w:rPr>
              <w:br/>
              <w:t>Daily wage:    55 432</w:t>
            </w:r>
          </w:p>
        </w:tc>
      </w:tr>
      <w:tr w:rsidR="00000000">
        <w:tc>
          <w:tcPr>
            <w:tcW w:w="4714" w:type="dxa"/>
            <w:tcMar>
              <w:top w:w="57" w:type="dxa"/>
              <w:left w:w="85" w:type="dxa"/>
              <w:bottom w:w="57" w:type="dxa"/>
              <w:right w:w="85" w:type="dxa"/>
            </w:tcMar>
          </w:tcPr>
          <w:p w:rsidR="00000000" w:rsidRDefault="00000000">
            <w:pPr>
              <w:pStyle w:val="FootnoteText"/>
              <w:spacing w:before="96" w:after="96"/>
              <w:rPr>
                <w:szCs w:val="24"/>
              </w:rPr>
            </w:pPr>
            <w:r>
              <w:rPr>
                <w:szCs w:val="24"/>
              </w:rPr>
              <w:t>Masons, carpenters, cabinet makers and related</w:t>
            </w:r>
          </w:p>
          <w:p w:rsidR="00000000" w:rsidRDefault="00000000">
            <w:pPr>
              <w:spacing w:before="96" w:after="96"/>
              <w:ind w:left="284"/>
              <w:rPr>
                <w:sz w:val="20"/>
              </w:rPr>
            </w:pPr>
            <w:r>
              <w:rPr>
                <w:sz w:val="20"/>
              </w:rPr>
              <w:t xml:space="preserve">Craftsman 1 </w:t>
            </w:r>
            <w:r>
              <w:rPr>
                <w:sz w:val="20"/>
              </w:rPr>
              <w:br/>
            </w:r>
          </w:p>
          <w:p w:rsidR="00000000" w:rsidRDefault="00000000">
            <w:pPr>
              <w:spacing w:before="96" w:after="96"/>
              <w:ind w:left="284"/>
              <w:rPr>
                <w:sz w:val="20"/>
              </w:rPr>
            </w:pPr>
            <w:r>
              <w:rPr>
                <w:sz w:val="20"/>
              </w:rPr>
              <w:t xml:space="preserve">Craftsman 2 </w:t>
            </w:r>
            <w:r>
              <w:rPr>
                <w:sz w:val="20"/>
              </w:rPr>
              <w:br/>
            </w:r>
          </w:p>
          <w:p w:rsidR="00000000" w:rsidRDefault="00000000">
            <w:pPr>
              <w:spacing w:before="96" w:after="96"/>
              <w:ind w:left="284"/>
              <w:rPr>
                <w:sz w:val="20"/>
              </w:rPr>
            </w:pPr>
            <w:r>
              <w:rPr>
                <w:sz w:val="20"/>
              </w:rPr>
              <w:t xml:space="preserve">Limestone worker </w:t>
            </w:r>
            <w:r>
              <w:rPr>
                <w:sz w:val="20"/>
              </w:rPr>
              <w:br/>
            </w:r>
          </w:p>
        </w:tc>
        <w:tc>
          <w:tcPr>
            <w:tcW w:w="4715" w:type="dxa"/>
            <w:tcMar>
              <w:top w:w="57" w:type="dxa"/>
              <w:left w:w="85" w:type="dxa"/>
              <w:bottom w:w="57" w:type="dxa"/>
              <w:right w:w="85" w:type="dxa"/>
            </w:tcMar>
          </w:tcPr>
          <w:p w:rsidR="00000000" w:rsidRDefault="00000000">
            <w:pPr>
              <w:spacing w:before="96" w:after="96"/>
              <w:rPr>
                <w:sz w:val="20"/>
              </w:rPr>
            </w:pPr>
          </w:p>
          <w:p w:rsidR="00000000" w:rsidRDefault="00000000">
            <w:pPr>
              <w:spacing w:before="96" w:after="96"/>
              <w:rPr>
                <w:sz w:val="20"/>
              </w:rPr>
            </w:pPr>
            <w:r>
              <w:rPr>
                <w:sz w:val="20"/>
              </w:rPr>
              <w:t>Monthly wage:    1 426 610</w:t>
            </w:r>
            <w:r>
              <w:rPr>
                <w:sz w:val="20"/>
              </w:rPr>
              <w:br/>
              <w:t xml:space="preserve">Daily wage:    54 870 </w:t>
            </w:r>
          </w:p>
          <w:p w:rsidR="00000000" w:rsidRDefault="00000000">
            <w:pPr>
              <w:spacing w:before="96" w:after="96"/>
              <w:rPr>
                <w:sz w:val="20"/>
              </w:rPr>
            </w:pPr>
            <w:r>
              <w:rPr>
                <w:sz w:val="20"/>
              </w:rPr>
              <w:t>Monthly wage:    1 389 120</w:t>
            </w:r>
            <w:r>
              <w:rPr>
                <w:sz w:val="20"/>
              </w:rPr>
              <w:br/>
              <w:t xml:space="preserve">Daily wage:    53 428 </w:t>
            </w:r>
          </w:p>
          <w:p w:rsidR="00000000" w:rsidRDefault="00000000">
            <w:pPr>
              <w:spacing w:before="96" w:after="96"/>
              <w:rPr>
                <w:sz w:val="20"/>
              </w:rPr>
            </w:pPr>
            <w:r>
              <w:rPr>
                <w:sz w:val="20"/>
              </w:rPr>
              <w:t>Monthly wage:    1 371 173</w:t>
            </w:r>
            <w:r>
              <w:rPr>
                <w:sz w:val="20"/>
              </w:rPr>
              <w:br/>
              <w:t>Daily wage:    52 737</w:t>
            </w:r>
          </w:p>
        </w:tc>
      </w:tr>
      <w:tr w:rsidR="00000000">
        <w:tc>
          <w:tcPr>
            <w:tcW w:w="4714" w:type="dxa"/>
            <w:tcMar>
              <w:top w:w="57" w:type="dxa"/>
              <w:left w:w="85" w:type="dxa"/>
              <w:bottom w:w="57" w:type="dxa"/>
              <w:right w:w="85" w:type="dxa"/>
            </w:tcMar>
          </w:tcPr>
          <w:p w:rsidR="00000000" w:rsidRDefault="00000000">
            <w:pPr>
              <w:pStyle w:val="FootnoteText"/>
              <w:keepNext/>
              <w:spacing w:before="96" w:after="96"/>
              <w:rPr>
                <w:szCs w:val="24"/>
              </w:rPr>
            </w:pPr>
            <w:r>
              <w:rPr>
                <w:szCs w:val="24"/>
              </w:rPr>
              <w:t xml:space="preserve">Shoemakers </w:t>
            </w:r>
          </w:p>
          <w:p w:rsidR="00000000" w:rsidRDefault="00000000">
            <w:pPr>
              <w:keepNext/>
              <w:spacing w:before="96" w:after="96"/>
              <w:ind w:left="284"/>
              <w:rPr>
                <w:sz w:val="20"/>
              </w:rPr>
            </w:pPr>
            <w:r>
              <w:rPr>
                <w:sz w:val="20"/>
              </w:rPr>
              <w:t xml:space="preserve">Category 1 </w:t>
            </w:r>
            <w:r>
              <w:rPr>
                <w:sz w:val="20"/>
              </w:rPr>
              <w:br/>
            </w:r>
          </w:p>
          <w:p w:rsidR="00000000" w:rsidRDefault="00000000">
            <w:pPr>
              <w:keepNext/>
              <w:spacing w:before="96" w:after="96"/>
              <w:ind w:left="284"/>
              <w:rPr>
                <w:sz w:val="20"/>
              </w:rPr>
            </w:pPr>
            <w:r>
              <w:rPr>
                <w:sz w:val="20"/>
              </w:rPr>
              <w:t xml:space="preserve">Category 2 </w:t>
            </w:r>
            <w:r>
              <w:rPr>
                <w:sz w:val="20"/>
              </w:rPr>
              <w:br/>
            </w:r>
          </w:p>
          <w:p w:rsidR="00000000" w:rsidRDefault="00000000">
            <w:pPr>
              <w:keepNext/>
              <w:spacing w:before="96" w:after="96"/>
              <w:ind w:left="284"/>
              <w:rPr>
                <w:sz w:val="20"/>
              </w:rPr>
            </w:pPr>
            <w:r>
              <w:rPr>
                <w:sz w:val="20"/>
              </w:rPr>
              <w:t xml:space="preserve">Category 3 </w:t>
            </w:r>
          </w:p>
          <w:p w:rsidR="00000000" w:rsidRDefault="00000000">
            <w:pPr>
              <w:keepNext/>
              <w:spacing w:before="96" w:after="96"/>
              <w:rPr>
                <w:sz w:val="20"/>
              </w:rPr>
            </w:pPr>
          </w:p>
        </w:tc>
        <w:tc>
          <w:tcPr>
            <w:tcW w:w="4715" w:type="dxa"/>
            <w:tcMar>
              <w:top w:w="57" w:type="dxa"/>
              <w:left w:w="85" w:type="dxa"/>
              <w:bottom w:w="57" w:type="dxa"/>
              <w:right w:w="85" w:type="dxa"/>
            </w:tcMar>
          </w:tcPr>
          <w:p w:rsidR="00000000" w:rsidRDefault="00000000">
            <w:pPr>
              <w:keepNext/>
              <w:spacing w:before="96" w:after="96"/>
              <w:rPr>
                <w:sz w:val="20"/>
              </w:rPr>
            </w:pPr>
          </w:p>
          <w:p w:rsidR="00000000" w:rsidRDefault="00000000">
            <w:pPr>
              <w:keepNext/>
              <w:spacing w:before="96" w:after="96"/>
              <w:rPr>
                <w:sz w:val="20"/>
              </w:rPr>
            </w:pPr>
            <w:r>
              <w:rPr>
                <w:sz w:val="20"/>
              </w:rPr>
              <w:t>Monthly wage:    1 369 024</w:t>
            </w:r>
            <w:r>
              <w:rPr>
                <w:sz w:val="20"/>
              </w:rPr>
              <w:br/>
              <w:t xml:space="preserve">Daily wage:    52 655 </w:t>
            </w:r>
          </w:p>
          <w:p w:rsidR="00000000" w:rsidRDefault="00000000">
            <w:pPr>
              <w:keepNext/>
              <w:spacing w:before="96" w:after="96"/>
              <w:rPr>
                <w:sz w:val="20"/>
              </w:rPr>
            </w:pPr>
            <w:r>
              <w:rPr>
                <w:sz w:val="20"/>
              </w:rPr>
              <w:t>Monthly wage:    1 299 451</w:t>
            </w:r>
            <w:r>
              <w:rPr>
                <w:sz w:val="20"/>
              </w:rPr>
              <w:br/>
              <w:t xml:space="preserve">Daily wage:    49 979 </w:t>
            </w:r>
          </w:p>
          <w:p w:rsidR="00000000" w:rsidRDefault="00000000">
            <w:pPr>
              <w:keepNext/>
              <w:spacing w:before="96" w:after="96"/>
              <w:rPr>
                <w:sz w:val="20"/>
              </w:rPr>
            </w:pPr>
            <w:r>
              <w:rPr>
                <w:sz w:val="20"/>
              </w:rPr>
              <w:t>Monthly wage:    1 233 895</w:t>
            </w:r>
            <w:r>
              <w:rPr>
                <w:sz w:val="20"/>
              </w:rPr>
              <w:br/>
              <w:t>Daily wage:    47 485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Captains, river traffic, North zone of River Paraguay</w:t>
            </w:r>
          </w:p>
          <w:p w:rsidR="00000000" w:rsidRDefault="00000000">
            <w:pPr>
              <w:spacing w:before="96" w:after="96"/>
              <w:ind w:left="284"/>
              <w:rPr>
                <w:sz w:val="20"/>
              </w:rPr>
            </w:pPr>
            <w:r>
              <w:rPr>
                <w:sz w:val="20"/>
              </w:rPr>
              <w:t xml:space="preserve">Captains </w:t>
            </w:r>
          </w:p>
          <w:p w:rsidR="00000000" w:rsidRDefault="00000000">
            <w:pPr>
              <w:spacing w:before="96" w:after="96"/>
              <w:ind w:left="284"/>
              <w:rPr>
                <w:sz w:val="20"/>
              </w:rPr>
            </w:pPr>
            <w:r>
              <w:rPr>
                <w:sz w:val="20"/>
              </w:rPr>
              <w:t xml:space="preserve">Pilots </w:t>
            </w:r>
          </w:p>
          <w:p w:rsidR="00000000" w:rsidRDefault="00000000">
            <w:pPr>
              <w:spacing w:before="96" w:after="96"/>
              <w:rPr>
                <w:sz w:val="20"/>
              </w:rPr>
            </w:pPr>
            <w:r>
              <w:rPr>
                <w:sz w:val="20"/>
              </w:rPr>
              <w:t xml:space="preserve">Captains’ and pilots’ fees (ferrying) </w:t>
            </w:r>
          </w:p>
          <w:p w:rsidR="00000000" w:rsidRDefault="00000000">
            <w:pPr>
              <w:spacing w:before="96" w:after="96"/>
              <w:rPr>
                <w:sz w:val="20"/>
              </w:rPr>
            </w:pPr>
            <w:r>
              <w:rPr>
                <w:sz w:val="20"/>
              </w:rPr>
              <w:br/>
            </w:r>
            <w:r>
              <w:rPr>
                <w:sz w:val="20"/>
              </w:rPr>
              <w:br/>
            </w:r>
            <w:r>
              <w:rPr>
                <w:sz w:val="20"/>
              </w:rPr>
              <w:br/>
              <w:t xml:space="preserve">Charges for demurrage and handling Demurrage </w:t>
            </w:r>
          </w:p>
          <w:p w:rsidR="00000000" w:rsidRDefault="00000000">
            <w:pPr>
              <w:spacing w:before="96" w:after="96"/>
              <w:rPr>
                <w:sz w:val="20"/>
              </w:rPr>
            </w:pPr>
            <w:r>
              <w:rPr>
                <w:sz w:val="20"/>
              </w:rPr>
              <w:br/>
            </w:r>
            <w:r>
              <w:rPr>
                <w:sz w:val="20"/>
              </w:rPr>
              <w:br/>
              <w:t xml:space="preserve">Handling </w:t>
            </w:r>
            <w:r>
              <w:rPr>
                <w:sz w:val="20"/>
              </w:rPr>
              <w:br/>
            </w:r>
          </w:p>
          <w:p w:rsidR="00000000" w:rsidRDefault="00000000">
            <w:pPr>
              <w:spacing w:before="96" w:after="80"/>
              <w:rPr>
                <w:sz w:val="14"/>
              </w:rPr>
            </w:pPr>
            <w:r>
              <w:rPr>
                <w:sz w:val="20"/>
              </w:rPr>
              <w:t xml:space="preserve">Machinists of National Merchant Marine (in vessels with internal-combustion engines) </w:t>
            </w:r>
          </w:p>
          <w:p w:rsidR="00000000" w:rsidRDefault="00000000">
            <w:pPr>
              <w:spacing w:before="96" w:after="80"/>
              <w:ind w:left="284"/>
              <w:rPr>
                <w:sz w:val="20"/>
              </w:rPr>
            </w:pPr>
            <w:r>
              <w:rPr>
                <w:sz w:val="20"/>
              </w:rPr>
              <w:t xml:space="preserve">Machinist 1 (river traffic) </w:t>
            </w:r>
          </w:p>
          <w:p w:rsidR="00000000" w:rsidRDefault="00000000">
            <w:pPr>
              <w:spacing w:before="96" w:after="80"/>
              <w:ind w:left="284"/>
              <w:rPr>
                <w:sz w:val="20"/>
              </w:rPr>
            </w:pPr>
            <w:r>
              <w:rPr>
                <w:sz w:val="20"/>
              </w:rPr>
              <w:t xml:space="preserve">Machinist 2 (river traffic) </w:t>
            </w:r>
          </w:p>
          <w:p w:rsidR="00000000" w:rsidRDefault="00000000">
            <w:pPr>
              <w:spacing w:before="96" w:after="80"/>
              <w:ind w:left="284"/>
              <w:rPr>
                <w:sz w:val="20"/>
              </w:rPr>
            </w:pPr>
            <w:r>
              <w:rPr>
                <w:sz w:val="20"/>
              </w:rPr>
              <w:t xml:space="preserve">Machinist 2 (without  river traffic) </w:t>
            </w:r>
          </w:p>
          <w:p w:rsidR="00000000" w:rsidRDefault="00000000">
            <w:pPr>
              <w:spacing w:before="96" w:after="80"/>
              <w:ind w:left="284"/>
              <w:rPr>
                <w:sz w:val="20"/>
              </w:rPr>
            </w:pPr>
            <w:r>
              <w:rPr>
                <w:sz w:val="20"/>
              </w:rPr>
              <w:t xml:space="preserve">Machinist 3 (river traffic) </w:t>
            </w:r>
          </w:p>
          <w:p w:rsidR="00000000" w:rsidRDefault="00000000">
            <w:pPr>
              <w:spacing w:before="96" w:after="80"/>
              <w:ind w:left="284"/>
              <w:rPr>
                <w:sz w:val="20"/>
              </w:rPr>
            </w:pPr>
            <w:r>
              <w:rPr>
                <w:sz w:val="20"/>
              </w:rPr>
              <w:t>Machinist 3 (without river traffic)</w:t>
            </w:r>
          </w:p>
          <w:p w:rsidR="00000000" w:rsidRDefault="00000000">
            <w:pPr>
              <w:spacing w:before="96" w:after="80"/>
              <w:ind w:left="284"/>
              <w:rPr>
                <w:sz w:val="20"/>
              </w:rPr>
            </w:pPr>
            <w:r>
              <w:rPr>
                <w:sz w:val="20"/>
              </w:rPr>
              <w:t>Machinist 4 (river traffic)</w:t>
            </w:r>
          </w:p>
          <w:p w:rsidR="00000000" w:rsidRDefault="00000000">
            <w:pPr>
              <w:spacing w:before="96" w:after="80"/>
              <w:ind w:left="284"/>
              <w:rPr>
                <w:sz w:val="20"/>
              </w:rPr>
            </w:pPr>
            <w:r>
              <w:rPr>
                <w:sz w:val="20"/>
              </w:rPr>
              <w:t xml:space="preserve">Machinist 4 (without  river traffic) </w:t>
            </w:r>
          </w:p>
          <w:p w:rsidR="00000000" w:rsidRDefault="00000000">
            <w:pPr>
              <w:pStyle w:val="FootnoteText"/>
              <w:spacing w:before="96" w:after="96"/>
              <w:rPr>
                <w:szCs w:val="24"/>
              </w:rPr>
            </w:pPr>
            <w:r>
              <w:rPr>
                <w:szCs w:val="24"/>
              </w:rPr>
              <w:t>Centre for steersmen</w:t>
            </w:r>
          </w:p>
          <w:p w:rsidR="00000000" w:rsidRDefault="00000000">
            <w:pPr>
              <w:spacing w:before="96" w:after="96"/>
              <w:ind w:left="284"/>
              <w:rPr>
                <w:sz w:val="20"/>
              </w:rPr>
            </w:pPr>
            <w:r>
              <w:rPr>
                <w:sz w:val="20"/>
              </w:rPr>
              <w:t>Steersman 1 (river traffic)</w:t>
            </w:r>
          </w:p>
          <w:p w:rsidR="00000000" w:rsidRDefault="00000000">
            <w:pPr>
              <w:spacing w:before="96" w:after="96"/>
              <w:ind w:left="284"/>
              <w:rPr>
                <w:sz w:val="20"/>
              </w:rPr>
            </w:pPr>
            <w:r>
              <w:rPr>
                <w:sz w:val="20"/>
              </w:rPr>
              <w:t>Steersman 1 (without river traffic)</w:t>
            </w:r>
          </w:p>
          <w:p w:rsidR="00000000" w:rsidRDefault="00000000">
            <w:pPr>
              <w:spacing w:before="96" w:after="96"/>
              <w:ind w:left="284"/>
              <w:rPr>
                <w:sz w:val="20"/>
              </w:rPr>
            </w:pPr>
            <w:r>
              <w:rPr>
                <w:sz w:val="20"/>
              </w:rPr>
              <w:t>Steersman 2 (river traffic)</w:t>
            </w:r>
          </w:p>
          <w:p w:rsidR="00000000" w:rsidRDefault="00000000">
            <w:pPr>
              <w:spacing w:before="96" w:after="96"/>
              <w:ind w:left="284"/>
              <w:rPr>
                <w:sz w:val="20"/>
              </w:rPr>
            </w:pPr>
            <w:r>
              <w:rPr>
                <w:sz w:val="20"/>
              </w:rPr>
              <w:t>Steersman 2 (without river traffic)</w:t>
            </w:r>
          </w:p>
          <w:p w:rsidR="00000000" w:rsidRDefault="00000000">
            <w:pPr>
              <w:spacing w:before="96" w:after="96"/>
              <w:ind w:left="284"/>
              <w:rPr>
                <w:sz w:val="20"/>
              </w:rPr>
            </w:pPr>
            <w:r>
              <w:rPr>
                <w:sz w:val="20"/>
              </w:rPr>
              <w:t xml:space="preserve">Steersman 3 (river traffic) </w:t>
            </w:r>
          </w:p>
          <w:p w:rsidR="00000000" w:rsidRDefault="00000000">
            <w:pPr>
              <w:spacing w:before="96" w:after="96"/>
              <w:ind w:left="284"/>
              <w:rPr>
                <w:sz w:val="20"/>
              </w:rPr>
            </w:pPr>
            <w:r>
              <w:rPr>
                <w:sz w:val="20"/>
              </w:rPr>
              <w:t xml:space="preserve">Steersman 3 (without river traffic) </w:t>
            </w:r>
          </w:p>
          <w:p w:rsidR="00000000" w:rsidRDefault="00000000">
            <w:pPr>
              <w:spacing w:before="96" w:after="96"/>
              <w:ind w:left="284"/>
              <w:rPr>
                <w:sz w:val="20"/>
                <w:lang w:val="nl-NL"/>
              </w:rPr>
            </w:pPr>
            <w:r>
              <w:rPr>
                <w:sz w:val="20"/>
                <w:lang w:val="nl-NL"/>
              </w:rPr>
              <w:t xml:space="preserve">Steersman (steam vessels) </w:t>
            </w:r>
          </w:p>
          <w:p w:rsidR="00000000" w:rsidRDefault="00000000">
            <w:pPr>
              <w:spacing w:before="96" w:after="96"/>
              <w:rPr>
                <w:sz w:val="20"/>
                <w:lang w:val="en-US"/>
              </w:rPr>
            </w:pPr>
            <w:r>
              <w:rPr>
                <w:sz w:val="20"/>
                <w:lang w:val="en-US"/>
              </w:rPr>
              <w:t xml:space="preserve">Stokers (river) </w:t>
            </w:r>
          </w:p>
          <w:p w:rsidR="00000000" w:rsidRDefault="00000000">
            <w:pPr>
              <w:spacing w:before="96" w:after="96"/>
              <w:ind w:left="284"/>
              <w:rPr>
                <w:sz w:val="20"/>
              </w:rPr>
            </w:pPr>
            <w:r>
              <w:rPr>
                <w:sz w:val="20"/>
              </w:rPr>
              <w:t>Chief stokers</w:t>
            </w:r>
          </w:p>
          <w:p w:rsidR="00000000" w:rsidRDefault="00000000">
            <w:pPr>
              <w:spacing w:before="96" w:after="96"/>
              <w:ind w:left="284"/>
              <w:rPr>
                <w:sz w:val="20"/>
              </w:rPr>
            </w:pPr>
            <w:r>
              <w:rPr>
                <w:sz w:val="20"/>
              </w:rPr>
              <w:t>Boilermakers</w:t>
            </w:r>
          </w:p>
          <w:p w:rsidR="00000000" w:rsidRDefault="00000000">
            <w:pPr>
              <w:spacing w:before="96" w:after="96"/>
              <w:ind w:left="284"/>
              <w:rPr>
                <w:sz w:val="20"/>
              </w:rPr>
            </w:pPr>
            <w:r>
              <w:rPr>
                <w:sz w:val="20"/>
              </w:rPr>
              <w:t>Stokers</w:t>
            </w:r>
          </w:p>
          <w:p w:rsidR="00000000" w:rsidRDefault="00000000">
            <w:pPr>
              <w:spacing w:before="96" w:after="96"/>
              <w:ind w:left="284"/>
              <w:rPr>
                <w:sz w:val="20"/>
              </w:rPr>
            </w:pPr>
            <w:r>
              <w:rPr>
                <w:sz w:val="20"/>
              </w:rPr>
              <w:t>Greasers</w:t>
            </w:r>
          </w:p>
          <w:p w:rsidR="00000000" w:rsidRDefault="00000000">
            <w:pPr>
              <w:spacing w:before="96" w:after="96"/>
              <w:ind w:left="284"/>
              <w:rPr>
                <w:sz w:val="20"/>
              </w:rPr>
            </w:pPr>
            <w:r>
              <w:rPr>
                <w:sz w:val="20"/>
              </w:rPr>
              <w:t>Coaling workers</w:t>
            </w:r>
          </w:p>
          <w:p w:rsidR="00000000" w:rsidRDefault="00000000">
            <w:pPr>
              <w:spacing w:before="96" w:after="96"/>
              <w:rPr>
                <w:sz w:val="20"/>
              </w:rPr>
            </w:pPr>
            <w:r>
              <w:rPr>
                <w:sz w:val="20"/>
              </w:rPr>
              <w:t>Helmsmen’s centre</w:t>
            </w:r>
          </w:p>
          <w:p w:rsidR="00000000" w:rsidRDefault="00000000">
            <w:pPr>
              <w:spacing w:before="96" w:after="96"/>
              <w:ind w:left="284"/>
              <w:rPr>
                <w:sz w:val="20"/>
              </w:rPr>
            </w:pPr>
            <w:r>
              <w:rPr>
                <w:sz w:val="20"/>
              </w:rPr>
              <w:t>Helmsmen</w:t>
            </w:r>
          </w:p>
          <w:p w:rsidR="00000000" w:rsidRDefault="00000000">
            <w:pPr>
              <w:pStyle w:val="FootnoteText"/>
              <w:spacing w:before="96" w:after="96"/>
              <w:rPr>
                <w:szCs w:val="24"/>
              </w:rPr>
            </w:pPr>
            <w:r>
              <w:rPr>
                <w:szCs w:val="24"/>
              </w:rPr>
              <w:t>Centre for masters (Class 3) and master helmsmen</w:t>
            </w:r>
          </w:p>
          <w:p w:rsidR="00000000" w:rsidRDefault="00000000">
            <w:pPr>
              <w:spacing w:before="96" w:after="96"/>
              <w:ind w:left="284"/>
              <w:rPr>
                <w:sz w:val="20"/>
              </w:rPr>
            </w:pPr>
            <w:r>
              <w:rPr>
                <w:sz w:val="20"/>
              </w:rPr>
              <w:t>Masters (Class 3)</w:t>
            </w:r>
          </w:p>
          <w:p w:rsidR="00000000" w:rsidRDefault="00000000">
            <w:pPr>
              <w:spacing w:before="96" w:after="96"/>
              <w:ind w:left="284"/>
              <w:rPr>
                <w:sz w:val="20"/>
              </w:rPr>
            </w:pPr>
            <w:r>
              <w:rPr>
                <w:sz w:val="20"/>
              </w:rPr>
              <w:t>Master helmsmen</w:t>
            </w:r>
          </w:p>
          <w:p w:rsidR="00000000" w:rsidRDefault="00000000">
            <w:pPr>
              <w:spacing w:before="96" w:after="96"/>
              <w:rPr>
                <w:sz w:val="20"/>
              </w:rPr>
            </w:pPr>
            <w:r>
              <w:rPr>
                <w:sz w:val="20"/>
              </w:rPr>
              <w:t>Centre for masters (Class 2)</w:t>
            </w:r>
          </w:p>
          <w:p w:rsidR="00000000" w:rsidRDefault="00000000">
            <w:pPr>
              <w:spacing w:before="96" w:after="96"/>
              <w:rPr>
                <w:sz w:val="20"/>
              </w:rPr>
            </w:pPr>
            <w:r>
              <w:rPr>
                <w:sz w:val="20"/>
              </w:rPr>
              <w:t xml:space="preserve">Masters (Class 2) </w:t>
            </w:r>
          </w:p>
          <w:p w:rsidR="00000000" w:rsidRDefault="00000000">
            <w:pPr>
              <w:spacing w:before="96" w:after="96"/>
              <w:rPr>
                <w:sz w:val="20"/>
              </w:rPr>
            </w:pPr>
            <w:r>
              <w:rPr>
                <w:sz w:val="20"/>
              </w:rPr>
              <w:t>Captains and pilots in national river traffic</w:t>
            </w:r>
          </w:p>
          <w:p w:rsidR="00000000" w:rsidRDefault="00000000">
            <w:pPr>
              <w:spacing w:before="96" w:after="96"/>
              <w:ind w:left="284"/>
              <w:rPr>
                <w:sz w:val="20"/>
              </w:rPr>
            </w:pPr>
            <w:r>
              <w:rPr>
                <w:sz w:val="20"/>
              </w:rPr>
              <w:t>Captains</w:t>
            </w:r>
          </w:p>
          <w:p w:rsidR="00000000" w:rsidRDefault="00000000">
            <w:pPr>
              <w:spacing w:before="96" w:after="96"/>
              <w:ind w:left="284"/>
              <w:rPr>
                <w:sz w:val="20"/>
              </w:rPr>
            </w:pPr>
            <w:r>
              <w:rPr>
                <w:sz w:val="20"/>
              </w:rPr>
              <w:t>Pilots</w:t>
            </w:r>
          </w:p>
          <w:p w:rsidR="00000000" w:rsidRDefault="00000000">
            <w:pPr>
              <w:spacing w:before="96" w:after="96"/>
              <w:ind w:left="284"/>
              <w:rPr>
                <w:sz w:val="20"/>
              </w:rPr>
            </w:pPr>
            <w:r>
              <w:rPr>
                <w:sz w:val="20"/>
              </w:rPr>
              <w:t>Stevedores</w:t>
            </w:r>
          </w:p>
          <w:p w:rsidR="00000000" w:rsidRDefault="00000000">
            <w:pPr>
              <w:spacing w:before="96" w:after="96"/>
              <w:rPr>
                <w:sz w:val="20"/>
              </w:rPr>
            </w:pPr>
            <w:r>
              <w:rPr>
                <w:sz w:val="20"/>
              </w:rPr>
              <w:t>Deckhands</w:t>
            </w:r>
          </w:p>
          <w:p w:rsidR="00000000" w:rsidRDefault="00000000">
            <w:pPr>
              <w:spacing w:before="96" w:after="96"/>
              <w:rPr>
                <w:sz w:val="20"/>
              </w:rPr>
            </w:pPr>
          </w:p>
        </w:tc>
        <w:tc>
          <w:tcPr>
            <w:tcW w:w="4715" w:type="dxa"/>
            <w:tcMar>
              <w:top w:w="57" w:type="dxa"/>
              <w:left w:w="85" w:type="dxa"/>
              <w:bottom w:w="57" w:type="dxa"/>
              <w:right w:w="85" w:type="dxa"/>
            </w:tcMar>
          </w:tcPr>
          <w:p w:rsidR="00000000" w:rsidRDefault="00000000">
            <w:pPr>
              <w:spacing w:before="96" w:after="96"/>
              <w:rPr>
                <w:sz w:val="20"/>
              </w:rPr>
            </w:pPr>
          </w:p>
          <w:p w:rsidR="00000000" w:rsidRDefault="00000000">
            <w:pPr>
              <w:spacing w:before="96" w:after="96"/>
              <w:rPr>
                <w:sz w:val="20"/>
              </w:rPr>
            </w:pPr>
            <w:r>
              <w:rPr>
                <w:sz w:val="20"/>
              </w:rPr>
              <w:t xml:space="preserve">Monthly wage:    1 684 838 </w:t>
            </w:r>
          </w:p>
          <w:p w:rsidR="00000000" w:rsidRDefault="00000000">
            <w:pPr>
              <w:spacing w:before="96" w:after="96"/>
              <w:rPr>
                <w:sz w:val="20"/>
              </w:rPr>
            </w:pPr>
            <w:r>
              <w:rPr>
                <w:sz w:val="20"/>
              </w:rPr>
              <w:t xml:space="preserve">Monthly wage:    1 559 059 </w:t>
            </w:r>
          </w:p>
          <w:p w:rsidR="00000000" w:rsidRDefault="00000000">
            <w:pPr>
              <w:spacing w:before="96" w:after="96"/>
              <w:rPr>
                <w:sz w:val="20"/>
              </w:rPr>
            </w:pPr>
            <w:r>
              <w:rPr>
                <w:sz w:val="20"/>
              </w:rPr>
              <w:t>Zeballos Cue (per trip):    1 401 831</w:t>
            </w:r>
            <w:r>
              <w:rPr>
                <w:sz w:val="20"/>
              </w:rPr>
              <w:br/>
              <w:t>Peñón (per trip):    1 667 043</w:t>
            </w:r>
            <w:r>
              <w:rPr>
                <w:sz w:val="20"/>
              </w:rPr>
              <w:br/>
              <w:t>Capi’i Pobó (per trip):    1 526 394</w:t>
            </w:r>
            <w:r>
              <w:rPr>
                <w:sz w:val="20"/>
              </w:rPr>
              <w:br/>
              <w:t>Rosario (per trip):    1 575 801</w:t>
            </w:r>
          </w:p>
          <w:p w:rsidR="00000000" w:rsidRDefault="00000000">
            <w:pPr>
              <w:spacing w:before="96" w:after="96"/>
              <w:rPr>
                <w:sz w:val="20"/>
              </w:rPr>
            </w:pPr>
            <w:r>
              <w:rPr>
                <w:sz w:val="20"/>
              </w:rPr>
              <w:t>Concepción (per trip):    1 867 907</w:t>
            </w:r>
            <w:r>
              <w:rPr>
                <w:sz w:val="20"/>
              </w:rPr>
              <w:br/>
            </w:r>
            <w:r>
              <w:rPr>
                <w:sz w:val="20"/>
                <w:lang w:val="sv-SE"/>
              </w:rPr>
              <w:t>Isla Margarita (per trip):    2 200 696</w:t>
            </w:r>
            <w:r>
              <w:rPr>
                <w:sz w:val="20"/>
                <w:lang w:val="sv-SE"/>
              </w:rPr>
              <w:br/>
            </w:r>
            <w:r>
              <w:rPr>
                <w:sz w:val="20"/>
              </w:rPr>
              <w:t xml:space="preserve">Bahía Negra (per trip):    2 504 097 </w:t>
            </w:r>
          </w:p>
          <w:p w:rsidR="00000000" w:rsidRDefault="00000000">
            <w:pPr>
              <w:spacing w:before="96" w:after="96"/>
              <w:rPr>
                <w:sz w:val="20"/>
              </w:rPr>
            </w:pPr>
            <w:r>
              <w:rPr>
                <w:sz w:val="20"/>
              </w:rPr>
              <w:t>Monthly wage:    1 731 930</w:t>
            </w:r>
            <w:r>
              <w:rPr>
                <w:sz w:val="20"/>
              </w:rPr>
              <w:br/>
              <w:t xml:space="preserve">Daily wage:    66 613 </w:t>
            </w:r>
          </w:p>
          <w:p w:rsidR="00000000" w:rsidRDefault="00000000">
            <w:pPr>
              <w:spacing w:before="96" w:after="96"/>
              <w:rPr>
                <w:sz w:val="20"/>
              </w:rPr>
            </w:pPr>
          </w:p>
          <w:p w:rsidR="00000000" w:rsidRDefault="00000000">
            <w:pPr>
              <w:spacing w:before="96" w:after="96"/>
              <w:rPr>
                <w:sz w:val="8"/>
              </w:rPr>
            </w:pPr>
          </w:p>
          <w:p w:rsidR="00000000" w:rsidRDefault="00000000">
            <w:pPr>
              <w:spacing w:before="96" w:after="80"/>
              <w:rPr>
                <w:sz w:val="20"/>
              </w:rPr>
            </w:pPr>
            <w:r>
              <w:rPr>
                <w:sz w:val="20"/>
              </w:rPr>
              <w:t>Monthly wage:    1 859 160</w:t>
            </w:r>
          </w:p>
          <w:p w:rsidR="00000000" w:rsidRDefault="00000000">
            <w:pPr>
              <w:spacing w:before="96" w:after="80"/>
              <w:rPr>
                <w:sz w:val="20"/>
              </w:rPr>
            </w:pPr>
            <w:r>
              <w:rPr>
                <w:sz w:val="20"/>
              </w:rPr>
              <w:t xml:space="preserve">Daily wage:    71 506 </w:t>
            </w:r>
          </w:p>
          <w:p w:rsidR="00000000" w:rsidRDefault="00000000">
            <w:pPr>
              <w:spacing w:before="96" w:after="80"/>
              <w:rPr>
                <w:sz w:val="20"/>
              </w:rPr>
            </w:pPr>
            <w:r>
              <w:rPr>
                <w:sz w:val="20"/>
              </w:rPr>
              <w:t xml:space="preserve">Monthly wage:    1 503 598 </w:t>
            </w:r>
          </w:p>
          <w:p w:rsidR="00000000" w:rsidRDefault="00000000">
            <w:pPr>
              <w:spacing w:before="96" w:after="80"/>
              <w:rPr>
                <w:sz w:val="20"/>
              </w:rPr>
            </w:pPr>
          </w:p>
          <w:p w:rsidR="00000000" w:rsidRDefault="00000000">
            <w:pPr>
              <w:spacing w:before="96" w:after="80"/>
              <w:rPr>
                <w:sz w:val="20"/>
              </w:rPr>
            </w:pPr>
            <w:r>
              <w:rPr>
                <w:sz w:val="20"/>
              </w:rPr>
              <w:t xml:space="preserve">Monthly wage:    1 491 318 </w:t>
            </w:r>
          </w:p>
          <w:p w:rsidR="00000000" w:rsidRDefault="00000000">
            <w:pPr>
              <w:spacing w:before="96" w:after="80"/>
              <w:rPr>
                <w:sz w:val="20"/>
              </w:rPr>
            </w:pPr>
            <w:r>
              <w:rPr>
                <w:sz w:val="20"/>
              </w:rPr>
              <w:t>Monthly wage:    1 479 481</w:t>
            </w:r>
          </w:p>
          <w:p w:rsidR="00000000" w:rsidRDefault="00000000">
            <w:pPr>
              <w:spacing w:before="96" w:after="80"/>
              <w:rPr>
                <w:sz w:val="20"/>
              </w:rPr>
            </w:pPr>
            <w:r>
              <w:rPr>
                <w:sz w:val="20"/>
              </w:rPr>
              <w:t>Monthly wage:    1 448 517</w:t>
            </w:r>
          </w:p>
          <w:p w:rsidR="00000000" w:rsidRDefault="00000000">
            <w:pPr>
              <w:spacing w:before="96" w:after="80"/>
              <w:rPr>
                <w:sz w:val="20"/>
              </w:rPr>
            </w:pPr>
          </w:p>
          <w:p w:rsidR="00000000" w:rsidRDefault="00000000">
            <w:pPr>
              <w:spacing w:before="96" w:after="80"/>
              <w:rPr>
                <w:sz w:val="20"/>
              </w:rPr>
            </w:pPr>
            <w:r>
              <w:rPr>
                <w:sz w:val="20"/>
              </w:rPr>
              <w:t>Monthly wage:    1 479 933</w:t>
            </w:r>
          </w:p>
          <w:p w:rsidR="00000000" w:rsidRDefault="00000000">
            <w:pPr>
              <w:spacing w:before="96" w:after="96"/>
              <w:rPr>
                <w:sz w:val="20"/>
              </w:rPr>
            </w:pPr>
            <w:r>
              <w:rPr>
                <w:sz w:val="20"/>
              </w:rPr>
              <w:t>Monthly wage:    1 475 835</w:t>
            </w:r>
          </w:p>
          <w:p w:rsidR="00000000" w:rsidRDefault="00000000">
            <w:pPr>
              <w:spacing w:before="96" w:after="96"/>
              <w:rPr>
                <w:sz w:val="20"/>
              </w:rPr>
            </w:pPr>
            <w:r>
              <w:rPr>
                <w:sz w:val="20"/>
              </w:rPr>
              <w:t>Monthly wage:    1 442 343</w:t>
            </w:r>
          </w:p>
          <w:p w:rsidR="00000000" w:rsidRDefault="00000000">
            <w:pPr>
              <w:spacing w:before="96" w:after="96"/>
              <w:rPr>
                <w:sz w:val="20"/>
              </w:rPr>
            </w:pPr>
            <w:r>
              <w:rPr>
                <w:sz w:val="20"/>
              </w:rPr>
              <w:t xml:space="preserve">Monthly wage:    1 344 167 </w:t>
            </w:r>
          </w:p>
          <w:p w:rsidR="00000000" w:rsidRDefault="00000000">
            <w:pPr>
              <w:spacing w:before="96" w:after="96"/>
              <w:rPr>
                <w:sz w:val="20"/>
              </w:rPr>
            </w:pPr>
            <w:r>
              <w:rPr>
                <w:sz w:val="20"/>
              </w:rPr>
              <w:t>Monthly wage:    1 302 571</w:t>
            </w:r>
          </w:p>
          <w:p w:rsidR="00000000" w:rsidRDefault="00000000">
            <w:pPr>
              <w:spacing w:before="96" w:after="96"/>
              <w:rPr>
                <w:sz w:val="20"/>
              </w:rPr>
            </w:pPr>
            <w:r>
              <w:rPr>
                <w:sz w:val="20"/>
              </w:rPr>
              <w:t>Monthly wage:    1 302 571</w:t>
            </w:r>
          </w:p>
          <w:p w:rsidR="00000000" w:rsidRDefault="00000000">
            <w:pPr>
              <w:spacing w:before="96" w:after="96"/>
              <w:rPr>
                <w:sz w:val="20"/>
              </w:rPr>
            </w:pPr>
            <w:r>
              <w:rPr>
                <w:sz w:val="20"/>
              </w:rPr>
              <w:t>Monthly wage:    1 301 522</w:t>
            </w:r>
          </w:p>
          <w:p w:rsidR="00000000" w:rsidRDefault="00000000">
            <w:pPr>
              <w:spacing w:before="96" w:after="96"/>
              <w:rPr>
                <w:sz w:val="20"/>
              </w:rPr>
            </w:pPr>
          </w:p>
          <w:p w:rsidR="00000000" w:rsidRDefault="00000000">
            <w:pPr>
              <w:spacing w:before="96" w:after="96"/>
              <w:rPr>
                <w:sz w:val="20"/>
              </w:rPr>
            </w:pPr>
            <w:r>
              <w:rPr>
                <w:sz w:val="20"/>
              </w:rPr>
              <w:t>Monthly wage:    1 294 434</w:t>
            </w:r>
          </w:p>
          <w:p w:rsidR="00000000" w:rsidRDefault="00000000">
            <w:pPr>
              <w:spacing w:before="96" w:after="96"/>
              <w:rPr>
                <w:sz w:val="20"/>
              </w:rPr>
            </w:pPr>
            <w:r>
              <w:rPr>
                <w:sz w:val="20"/>
              </w:rPr>
              <w:t>Monthly wage:    1 510 634</w:t>
            </w:r>
          </w:p>
          <w:p w:rsidR="00000000" w:rsidRDefault="00000000">
            <w:pPr>
              <w:spacing w:before="96" w:after="96"/>
              <w:rPr>
                <w:sz w:val="20"/>
              </w:rPr>
            </w:pPr>
            <w:r>
              <w:rPr>
                <w:sz w:val="20"/>
              </w:rPr>
              <w:t>Monthly wage:    1 279 440</w:t>
            </w:r>
          </w:p>
          <w:p w:rsidR="00000000" w:rsidRDefault="00000000">
            <w:pPr>
              <w:spacing w:before="96" w:after="96"/>
              <w:rPr>
                <w:sz w:val="20"/>
              </w:rPr>
            </w:pPr>
            <w:r>
              <w:rPr>
                <w:sz w:val="20"/>
              </w:rPr>
              <w:t>Monthly wage:    1 229 021</w:t>
            </w:r>
          </w:p>
          <w:p w:rsidR="00000000" w:rsidRDefault="00000000">
            <w:pPr>
              <w:spacing w:before="96" w:after="96"/>
              <w:rPr>
                <w:sz w:val="20"/>
              </w:rPr>
            </w:pPr>
            <w:r>
              <w:rPr>
                <w:sz w:val="20"/>
              </w:rPr>
              <w:t>Monthly wage:    1 229 021</w:t>
            </w:r>
          </w:p>
          <w:p w:rsidR="00000000" w:rsidRDefault="00000000">
            <w:pPr>
              <w:spacing w:before="96" w:after="96"/>
              <w:rPr>
                <w:sz w:val="20"/>
              </w:rPr>
            </w:pPr>
          </w:p>
          <w:p w:rsidR="00000000" w:rsidRDefault="00000000">
            <w:pPr>
              <w:spacing w:before="96" w:after="96"/>
              <w:rPr>
                <w:sz w:val="20"/>
              </w:rPr>
            </w:pPr>
          </w:p>
          <w:p w:rsidR="00000000" w:rsidRDefault="00000000">
            <w:pPr>
              <w:spacing w:before="96" w:after="96"/>
              <w:rPr>
                <w:sz w:val="20"/>
              </w:rPr>
            </w:pPr>
            <w:r>
              <w:rPr>
                <w:sz w:val="20"/>
              </w:rPr>
              <w:t>Monthly wage:    1 226 271</w:t>
            </w:r>
          </w:p>
          <w:p w:rsidR="00000000" w:rsidRDefault="00000000">
            <w:pPr>
              <w:spacing w:before="96" w:after="96"/>
              <w:rPr>
                <w:sz w:val="20"/>
              </w:rPr>
            </w:pPr>
          </w:p>
          <w:p w:rsidR="00000000" w:rsidRDefault="00000000">
            <w:pPr>
              <w:pStyle w:val="FootnoteText"/>
              <w:spacing w:before="96" w:after="96"/>
              <w:rPr>
                <w:szCs w:val="24"/>
              </w:rPr>
            </w:pPr>
            <w:r>
              <w:rPr>
                <w:szCs w:val="24"/>
              </w:rPr>
              <w:t xml:space="preserve">Monthly wage:    1 226 271 </w:t>
            </w:r>
          </w:p>
          <w:p w:rsidR="00000000" w:rsidRDefault="00000000">
            <w:pPr>
              <w:spacing w:before="96" w:after="96"/>
              <w:rPr>
                <w:sz w:val="20"/>
              </w:rPr>
            </w:pPr>
            <w:r>
              <w:rPr>
                <w:sz w:val="20"/>
              </w:rPr>
              <w:t>Monthly wage:    1 219 795</w:t>
            </w:r>
          </w:p>
          <w:p w:rsidR="00000000" w:rsidRDefault="00000000">
            <w:pPr>
              <w:spacing w:before="96" w:after="96"/>
              <w:rPr>
                <w:sz w:val="20"/>
              </w:rPr>
            </w:pPr>
          </w:p>
          <w:p w:rsidR="00000000" w:rsidRDefault="00000000">
            <w:pPr>
              <w:spacing w:before="96" w:after="96"/>
              <w:rPr>
                <w:sz w:val="20"/>
              </w:rPr>
            </w:pPr>
            <w:r>
              <w:rPr>
                <w:sz w:val="20"/>
              </w:rPr>
              <w:t>Monthly wage:    1 219 795</w:t>
            </w:r>
          </w:p>
          <w:p w:rsidR="00000000" w:rsidRDefault="00000000">
            <w:pPr>
              <w:spacing w:before="96" w:after="96"/>
              <w:rPr>
                <w:sz w:val="20"/>
              </w:rPr>
            </w:pPr>
          </w:p>
          <w:p w:rsidR="00000000" w:rsidRDefault="00000000">
            <w:pPr>
              <w:pStyle w:val="FootnoteText"/>
              <w:spacing w:before="96" w:after="96"/>
              <w:rPr>
                <w:szCs w:val="24"/>
              </w:rPr>
            </w:pPr>
            <w:r>
              <w:rPr>
                <w:szCs w:val="24"/>
              </w:rPr>
              <w:t>Monthly wage:    1 303 363</w:t>
            </w:r>
          </w:p>
          <w:p w:rsidR="00000000" w:rsidRDefault="00000000">
            <w:pPr>
              <w:spacing w:before="96" w:after="96"/>
              <w:rPr>
                <w:sz w:val="20"/>
              </w:rPr>
            </w:pPr>
          </w:p>
          <w:p w:rsidR="00000000" w:rsidRDefault="00000000">
            <w:pPr>
              <w:spacing w:before="96" w:after="96"/>
              <w:rPr>
                <w:sz w:val="20"/>
              </w:rPr>
            </w:pPr>
          </w:p>
          <w:p w:rsidR="00000000" w:rsidRDefault="00000000">
            <w:pPr>
              <w:spacing w:before="96" w:after="96"/>
              <w:rPr>
                <w:sz w:val="20"/>
              </w:rPr>
            </w:pPr>
            <w:r>
              <w:rPr>
                <w:sz w:val="20"/>
              </w:rPr>
              <w:t>Monthly wage:    1 314 019</w:t>
            </w:r>
            <w:r>
              <w:rPr>
                <w:sz w:val="20"/>
              </w:rPr>
              <w:br/>
              <w:t>Monthly wage:    1 432 333</w:t>
            </w:r>
            <w:r>
              <w:rPr>
                <w:sz w:val="20"/>
              </w:rPr>
              <w:br/>
              <w:t>Monthly wage:    1 620 123</w:t>
            </w:r>
            <w:r>
              <w:rPr>
                <w:sz w:val="20"/>
              </w:rPr>
              <w:br/>
              <w:t>Monthly wage:    1 559 059</w:t>
            </w:r>
            <w:r>
              <w:rPr>
                <w:sz w:val="20"/>
              </w:rPr>
              <w:br/>
              <w:t>Monthly wage:    1 250 387</w:t>
            </w:r>
            <w:r>
              <w:rPr>
                <w:sz w:val="20"/>
              </w:rPr>
              <w:br/>
              <w:t>Daily wage:    48 092</w:t>
            </w:r>
            <w:r>
              <w:rPr>
                <w:sz w:val="20"/>
              </w:rPr>
              <w:br/>
              <w:t>Monthly wage:    1 219 795</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 xml:space="preserve">Cooks (land) </w:t>
            </w:r>
          </w:p>
          <w:p w:rsidR="00000000" w:rsidRDefault="00000000">
            <w:pPr>
              <w:spacing w:before="96" w:after="96"/>
              <w:ind w:left="284"/>
              <w:rPr>
                <w:sz w:val="20"/>
              </w:rPr>
            </w:pPr>
            <w:r>
              <w:rPr>
                <w:sz w:val="20"/>
              </w:rPr>
              <w:t xml:space="preserve">Cook 1 </w:t>
            </w:r>
            <w:r>
              <w:rPr>
                <w:sz w:val="20"/>
              </w:rPr>
              <w:br/>
            </w:r>
            <w:r>
              <w:rPr>
                <w:sz w:val="20"/>
              </w:rPr>
              <w:br/>
              <w:t xml:space="preserve">Cook 2 </w:t>
            </w:r>
            <w:r>
              <w:rPr>
                <w:sz w:val="20"/>
              </w:rPr>
              <w:br/>
            </w:r>
            <w:r>
              <w:rPr>
                <w:sz w:val="20"/>
              </w:rPr>
              <w:br/>
              <w:t xml:space="preserve">Cook’s assistant </w:t>
            </w:r>
          </w:p>
          <w:p w:rsidR="00000000" w:rsidRDefault="00000000">
            <w:pPr>
              <w:pStyle w:val="FootnoteText"/>
              <w:spacing w:before="96" w:after="96"/>
              <w:rPr>
                <w:szCs w:val="24"/>
              </w:rPr>
            </w:pPr>
            <w:r>
              <w:rPr>
                <w:szCs w:val="24"/>
              </w:rPr>
              <w:t xml:space="preserve">Ships’ boys </w:t>
            </w:r>
          </w:p>
          <w:p w:rsidR="00000000" w:rsidRDefault="00000000">
            <w:pPr>
              <w:spacing w:before="96" w:after="96"/>
              <w:ind w:left="284"/>
              <w:rPr>
                <w:sz w:val="20"/>
              </w:rPr>
            </w:pPr>
            <w:r>
              <w:rPr>
                <w:sz w:val="20"/>
              </w:rPr>
              <w:t>Steward</w:t>
            </w:r>
            <w:r>
              <w:rPr>
                <w:sz w:val="20"/>
              </w:rPr>
              <w:br/>
            </w:r>
            <w:r>
              <w:rPr>
                <w:sz w:val="20"/>
              </w:rPr>
              <w:br/>
              <w:t xml:space="preserve">Boy 1 </w:t>
            </w:r>
          </w:p>
        </w:tc>
        <w:tc>
          <w:tcPr>
            <w:tcW w:w="4715" w:type="dxa"/>
            <w:tcMar>
              <w:top w:w="57" w:type="dxa"/>
              <w:left w:w="85" w:type="dxa"/>
              <w:bottom w:w="57" w:type="dxa"/>
              <w:right w:w="85" w:type="dxa"/>
            </w:tcMar>
          </w:tcPr>
          <w:p w:rsidR="00000000" w:rsidRDefault="00000000">
            <w:pPr>
              <w:spacing w:before="96" w:after="96"/>
              <w:rPr>
                <w:sz w:val="20"/>
              </w:rPr>
            </w:pPr>
          </w:p>
          <w:p w:rsidR="00000000" w:rsidRDefault="00000000">
            <w:pPr>
              <w:spacing w:before="96" w:after="96"/>
              <w:rPr>
                <w:sz w:val="20"/>
              </w:rPr>
            </w:pPr>
            <w:r>
              <w:rPr>
                <w:sz w:val="20"/>
              </w:rPr>
              <w:t>Monthly wage:    1 271 797</w:t>
            </w:r>
            <w:r>
              <w:rPr>
                <w:sz w:val="20"/>
              </w:rPr>
              <w:br/>
            </w:r>
            <w:r>
              <w:rPr>
                <w:sz w:val="20"/>
              </w:rPr>
              <w:br/>
              <w:t>Monthly wage:    1 238 345</w:t>
            </w:r>
            <w:r>
              <w:rPr>
                <w:sz w:val="20"/>
              </w:rPr>
              <w:br/>
            </w:r>
            <w:r>
              <w:rPr>
                <w:sz w:val="20"/>
              </w:rPr>
              <w:br/>
              <w:t>Monthly wage:    1 219 795</w:t>
            </w:r>
          </w:p>
          <w:p w:rsidR="00000000" w:rsidRDefault="00000000">
            <w:pPr>
              <w:spacing w:before="96" w:after="96"/>
              <w:rPr>
                <w:sz w:val="20"/>
              </w:rPr>
            </w:pPr>
          </w:p>
          <w:p w:rsidR="00000000" w:rsidRDefault="00000000">
            <w:pPr>
              <w:spacing w:before="96" w:after="96"/>
              <w:rPr>
                <w:sz w:val="20"/>
              </w:rPr>
            </w:pPr>
            <w:r>
              <w:rPr>
                <w:sz w:val="20"/>
              </w:rPr>
              <w:t xml:space="preserve">Monthly wage:    1 274 003 </w:t>
            </w:r>
            <w:r>
              <w:rPr>
                <w:sz w:val="20"/>
              </w:rPr>
              <w:br/>
            </w:r>
            <w:r>
              <w:rPr>
                <w:sz w:val="20"/>
              </w:rPr>
              <w:br/>
              <w:t>Monthly wage:    1 256 928</w:t>
            </w:r>
          </w:p>
        </w:tc>
      </w:tr>
      <w:tr w:rsidR="00000000">
        <w:tc>
          <w:tcPr>
            <w:tcW w:w="4714" w:type="dxa"/>
            <w:tcMar>
              <w:top w:w="57" w:type="dxa"/>
              <w:left w:w="85" w:type="dxa"/>
              <w:bottom w:w="57" w:type="dxa"/>
              <w:right w:w="85" w:type="dxa"/>
            </w:tcMar>
          </w:tcPr>
          <w:p w:rsidR="00000000" w:rsidRDefault="00000000">
            <w:pPr>
              <w:pStyle w:val="FootnoteText"/>
              <w:spacing w:before="96" w:after="96"/>
              <w:rPr>
                <w:szCs w:val="24"/>
              </w:rPr>
            </w:pPr>
            <w:r>
              <w:rPr>
                <w:szCs w:val="24"/>
              </w:rPr>
              <w:t xml:space="preserve">Furniture manufacture and joinery </w:t>
            </w:r>
          </w:p>
          <w:p w:rsidR="00000000" w:rsidRDefault="00000000">
            <w:pPr>
              <w:spacing w:before="96" w:after="96"/>
              <w:ind w:left="284"/>
              <w:rPr>
                <w:sz w:val="20"/>
              </w:rPr>
            </w:pPr>
            <w:r>
              <w:rPr>
                <w:sz w:val="20"/>
              </w:rPr>
              <w:t xml:space="preserve">Craftsman 1 </w:t>
            </w:r>
            <w:r>
              <w:rPr>
                <w:sz w:val="20"/>
              </w:rPr>
              <w:br/>
            </w:r>
          </w:p>
          <w:p w:rsidR="00000000" w:rsidRDefault="00000000">
            <w:pPr>
              <w:spacing w:before="96" w:after="96"/>
              <w:ind w:left="284"/>
              <w:rPr>
                <w:sz w:val="20"/>
              </w:rPr>
            </w:pPr>
            <w:r>
              <w:rPr>
                <w:sz w:val="20"/>
              </w:rPr>
              <w:t xml:space="preserve">Craftsman 2 </w:t>
            </w:r>
            <w:r>
              <w:rPr>
                <w:sz w:val="20"/>
              </w:rPr>
              <w:br/>
            </w:r>
          </w:p>
          <w:p w:rsidR="00000000" w:rsidRDefault="00000000">
            <w:pPr>
              <w:spacing w:before="96" w:after="96"/>
              <w:ind w:left="284"/>
              <w:rPr>
                <w:sz w:val="20"/>
              </w:rPr>
            </w:pPr>
            <w:r>
              <w:rPr>
                <w:sz w:val="20"/>
              </w:rPr>
              <w:t xml:space="preserve">Craftsman (intermediate) </w:t>
            </w:r>
            <w:r>
              <w:rPr>
                <w:sz w:val="20"/>
              </w:rPr>
              <w:br/>
            </w:r>
          </w:p>
          <w:p w:rsidR="00000000" w:rsidRDefault="00000000">
            <w:pPr>
              <w:spacing w:before="96" w:after="96"/>
              <w:ind w:left="284"/>
              <w:rPr>
                <w:sz w:val="20"/>
              </w:rPr>
            </w:pPr>
            <w:r>
              <w:rPr>
                <w:sz w:val="20"/>
              </w:rPr>
              <w:t xml:space="preserve">Assistant </w:t>
            </w:r>
            <w:r>
              <w:rPr>
                <w:sz w:val="20"/>
              </w:rPr>
              <w:br/>
            </w:r>
          </w:p>
        </w:tc>
        <w:tc>
          <w:tcPr>
            <w:tcW w:w="4715" w:type="dxa"/>
            <w:tcMar>
              <w:top w:w="57" w:type="dxa"/>
              <w:left w:w="85" w:type="dxa"/>
              <w:bottom w:w="57" w:type="dxa"/>
              <w:right w:w="85" w:type="dxa"/>
            </w:tcMar>
          </w:tcPr>
          <w:p w:rsidR="00000000" w:rsidRDefault="00000000">
            <w:pPr>
              <w:spacing w:before="96" w:after="96"/>
              <w:rPr>
                <w:sz w:val="20"/>
              </w:rPr>
            </w:pPr>
          </w:p>
          <w:p w:rsidR="00000000" w:rsidRDefault="00000000">
            <w:pPr>
              <w:spacing w:before="96" w:after="96"/>
              <w:rPr>
                <w:sz w:val="20"/>
              </w:rPr>
            </w:pPr>
            <w:r>
              <w:rPr>
                <w:sz w:val="20"/>
              </w:rPr>
              <w:t>Monthly wage:    1 345 254</w:t>
            </w:r>
            <w:r>
              <w:rPr>
                <w:sz w:val="20"/>
              </w:rPr>
              <w:br/>
              <w:t>Daily wage:    51 741</w:t>
            </w:r>
          </w:p>
          <w:p w:rsidR="00000000" w:rsidRDefault="00000000">
            <w:pPr>
              <w:spacing w:before="96" w:after="96"/>
              <w:rPr>
                <w:sz w:val="20"/>
              </w:rPr>
            </w:pPr>
            <w:r>
              <w:rPr>
                <w:sz w:val="20"/>
              </w:rPr>
              <w:t>Monthly wage:    1 291 895</w:t>
            </w:r>
            <w:r>
              <w:rPr>
                <w:sz w:val="20"/>
              </w:rPr>
              <w:br/>
              <w:t>Daily wage:    49 688</w:t>
            </w:r>
          </w:p>
          <w:p w:rsidR="00000000" w:rsidRDefault="00000000">
            <w:pPr>
              <w:spacing w:before="96" w:after="96"/>
              <w:rPr>
                <w:sz w:val="20"/>
              </w:rPr>
            </w:pPr>
            <w:r>
              <w:rPr>
                <w:sz w:val="20"/>
              </w:rPr>
              <w:t>Monthly wage:    1 267 506</w:t>
            </w:r>
            <w:r>
              <w:rPr>
                <w:sz w:val="20"/>
              </w:rPr>
              <w:br/>
              <w:t>Daily wage:    48 750</w:t>
            </w:r>
          </w:p>
          <w:p w:rsidR="00000000" w:rsidRDefault="00000000">
            <w:pPr>
              <w:spacing w:before="96" w:after="96"/>
              <w:rPr>
                <w:sz w:val="20"/>
              </w:rPr>
            </w:pPr>
            <w:r>
              <w:rPr>
                <w:sz w:val="20"/>
              </w:rPr>
              <w:t>Monthly wage:    1 233 617</w:t>
            </w:r>
            <w:r>
              <w:rPr>
                <w:sz w:val="20"/>
              </w:rPr>
              <w:br/>
              <w:t>Daily wage:    47 447</w:t>
            </w:r>
          </w:p>
        </w:tc>
      </w:tr>
      <w:tr w:rsidR="00000000">
        <w:tc>
          <w:tcPr>
            <w:tcW w:w="4714" w:type="dxa"/>
            <w:tcMar>
              <w:top w:w="57" w:type="dxa"/>
              <w:left w:w="85" w:type="dxa"/>
              <w:bottom w:w="57" w:type="dxa"/>
              <w:right w:w="85" w:type="dxa"/>
            </w:tcMar>
          </w:tcPr>
          <w:p w:rsidR="00000000" w:rsidRDefault="00000000">
            <w:pPr>
              <w:pStyle w:val="FootnoteText"/>
              <w:spacing w:before="96" w:after="96"/>
              <w:rPr>
                <w:szCs w:val="24"/>
              </w:rPr>
            </w:pPr>
            <w:r>
              <w:rPr>
                <w:szCs w:val="24"/>
              </w:rPr>
              <w:t xml:space="preserve">Automated pasta manufacturing establishments  </w:t>
            </w:r>
          </w:p>
          <w:p w:rsidR="00000000" w:rsidRDefault="00000000">
            <w:pPr>
              <w:spacing w:before="96" w:after="96"/>
              <w:ind w:left="284"/>
              <w:rPr>
                <w:sz w:val="20"/>
              </w:rPr>
            </w:pPr>
            <w:r>
              <w:rPr>
                <w:sz w:val="20"/>
              </w:rPr>
              <w:t xml:space="preserve">Machinist </w:t>
            </w:r>
            <w:r>
              <w:rPr>
                <w:sz w:val="20"/>
              </w:rPr>
              <w:br/>
            </w:r>
          </w:p>
          <w:p w:rsidR="00000000" w:rsidRDefault="00000000">
            <w:pPr>
              <w:spacing w:before="96" w:after="96"/>
              <w:ind w:left="284"/>
              <w:rPr>
                <w:sz w:val="20"/>
              </w:rPr>
            </w:pPr>
            <w:r>
              <w:rPr>
                <w:sz w:val="20"/>
              </w:rPr>
              <w:t xml:space="preserve">Assistant machinist </w:t>
            </w:r>
          </w:p>
          <w:p w:rsidR="00000000" w:rsidRDefault="00000000">
            <w:pPr>
              <w:spacing w:before="96" w:after="96"/>
              <w:ind w:left="284"/>
              <w:rPr>
                <w:sz w:val="20"/>
              </w:rPr>
            </w:pPr>
          </w:p>
          <w:p w:rsidR="00000000" w:rsidRDefault="00000000">
            <w:pPr>
              <w:spacing w:before="96" w:after="96"/>
              <w:ind w:left="284"/>
              <w:rPr>
                <w:sz w:val="20"/>
              </w:rPr>
            </w:pPr>
            <w:r>
              <w:rPr>
                <w:sz w:val="20"/>
              </w:rPr>
              <w:t xml:space="preserve">Drier operator </w:t>
            </w:r>
            <w:r>
              <w:rPr>
                <w:sz w:val="20"/>
              </w:rPr>
              <w:br/>
            </w:r>
          </w:p>
          <w:p w:rsidR="00000000" w:rsidRDefault="00000000">
            <w:pPr>
              <w:spacing w:before="96" w:after="96"/>
              <w:ind w:left="284"/>
              <w:rPr>
                <w:sz w:val="20"/>
              </w:rPr>
            </w:pPr>
            <w:r>
              <w:rPr>
                <w:sz w:val="20"/>
              </w:rPr>
              <w:t xml:space="preserve">Assistant drier operator </w:t>
            </w:r>
          </w:p>
          <w:p w:rsidR="00000000" w:rsidRDefault="00000000">
            <w:pPr>
              <w:spacing w:before="96" w:after="96"/>
              <w:rPr>
                <w:sz w:val="20"/>
              </w:rPr>
            </w:pPr>
          </w:p>
        </w:tc>
        <w:tc>
          <w:tcPr>
            <w:tcW w:w="4715" w:type="dxa"/>
            <w:tcMar>
              <w:top w:w="57" w:type="dxa"/>
              <w:left w:w="85" w:type="dxa"/>
              <w:bottom w:w="57" w:type="dxa"/>
              <w:right w:w="85" w:type="dxa"/>
            </w:tcMar>
          </w:tcPr>
          <w:p w:rsidR="00000000" w:rsidRDefault="00000000">
            <w:pPr>
              <w:spacing w:before="96" w:after="96"/>
              <w:rPr>
                <w:sz w:val="20"/>
              </w:rPr>
            </w:pPr>
          </w:p>
          <w:p w:rsidR="00000000" w:rsidRDefault="00000000">
            <w:pPr>
              <w:spacing w:before="96" w:after="96"/>
              <w:rPr>
                <w:sz w:val="20"/>
              </w:rPr>
            </w:pPr>
            <w:r>
              <w:rPr>
                <w:sz w:val="20"/>
              </w:rPr>
              <w:t>Monthly wage:    1 463 960</w:t>
            </w:r>
            <w:r>
              <w:rPr>
                <w:sz w:val="20"/>
              </w:rPr>
              <w:br/>
              <w:t>Daily wage:    56 306</w:t>
            </w:r>
          </w:p>
          <w:p w:rsidR="00000000" w:rsidRDefault="00000000">
            <w:pPr>
              <w:spacing w:before="96" w:after="96"/>
              <w:rPr>
                <w:sz w:val="20"/>
              </w:rPr>
            </w:pPr>
            <w:r>
              <w:rPr>
                <w:sz w:val="20"/>
              </w:rPr>
              <w:t>Monthly wage:    1 342 135</w:t>
            </w:r>
            <w:r>
              <w:rPr>
                <w:sz w:val="20"/>
              </w:rPr>
              <w:br/>
              <w:t>Daily wage:    51 621</w:t>
            </w:r>
          </w:p>
          <w:p w:rsidR="00000000" w:rsidRDefault="00000000">
            <w:pPr>
              <w:spacing w:before="96" w:after="96"/>
              <w:rPr>
                <w:sz w:val="20"/>
              </w:rPr>
            </w:pPr>
            <w:r>
              <w:rPr>
                <w:sz w:val="20"/>
              </w:rPr>
              <w:t>Monthly wage:    1 463 960</w:t>
            </w:r>
            <w:r>
              <w:rPr>
                <w:sz w:val="20"/>
              </w:rPr>
              <w:br/>
              <w:t>Daily wage:    56 306</w:t>
            </w:r>
          </w:p>
          <w:p w:rsidR="00000000" w:rsidRDefault="00000000">
            <w:pPr>
              <w:spacing w:before="96" w:after="96"/>
              <w:rPr>
                <w:sz w:val="20"/>
              </w:rPr>
            </w:pPr>
            <w:r>
              <w:rPr>
                <w:sz w:val="20"/>
              </w:rPr>
              <w:t>Monthly wage:    1 341 751</w:t>
            </w:r>
            <w:r>
              <w:rPr>
                <w:sz w:val="20"/>
              </w:rPr>
              <w:br/>
              <w:t>Daily wage:    51 606</w:t>
            </w:r>
          </w:p>
        </w:tc>
      </w:tr>
      <w:tr w:rsidR="00000000">
        <w:tc>
          <w:tcPr>
            <w:tcW w:w="4714" w:type="dxa"/>
            <w:tcMar>
              <w:top w:w="57" w:type="dxa"/>
              <w:left w:w="85" w:type="dxa"/>
              <w:bottom w:w="57" w:type="dxa"/>
              <w:right w:w="85" w:type="dxa"/>
            </w:tcMar>
          </w:tcPr>
          <w:p w:rsidR="00000000" w:rsidRDefault="00000000">
            <w:pPr>
              <w:spacing w:before="96" w:after="96"/>
              <w:rPr>
                <w:sz w:val="20"/>
              </w:rPr>
            </w:pPr>
            <w:r>
              <w:rPr>
                <w:sz w:val="20"/>
              </w:rPr>
              <w:t>Tanneries</w:t>
            </w:r>
          </w:p>
        </w:tc>
        <w:tc>
          <w:tcPr>
            <w:tcW w:w="4715" w:type="dxa"/>
            <w:tcMar>
              <w:top w:w="57" w:type="dxa"/>
              <w:left w:w="85" w:type="dxa"/>
              <w:bottom w:w="57" w:type="dxa"/>
              <w:right w:w="85" w:type="dxa"/>
            </w:tcMar>
          </w:tcPr>
          <w:p w:rsidR="00000000" w:rsidRDefault="00000000">
            <w:pPr>
              <w:spacing w:before="96" w:after="96"/>
              <w:rPr>
                <w:sz w:val="20"/>
              </w:rPr>
            </w:pPr>
            <w:r>
              <w:rPr>
                <w:sz w:val="20"/>
              </w:rPr>
              <w:t>Monthly wage:    1 219 795</w:t>
            </w:r>
            <w:r>
              <w:rPr>
                <w:sz w:val="20"/>
              </w:rPr>
              <w:br/>
              <w:t>Daily wage:    46 915</w:t>
            </w:r>
          </w:p>
        </w:tc>
      </w:tr>
      <w:tr w:rsidR="00000000">
        <w:tc>
          <w:tcPr>
            <w:tcW w:w="4714" w:type="dxa"/>
            <w:tcMar>
              <w:top w:w="57" w:type="dxa"/>
              <w:left w:w="85" w:type="dxa"/>
              <w:bottom w:w="57" w:type="dxa"/>
              <w:right w:w="85" w:type="dxa"/>
            </w:tcMar>
          </w:tcPr>
          <w:p w:rsidR="00000000" w:rsidRDefault="00000000">
            <w:pPr>
              <w:pStyle w:val="FootnoteText"/>
              <w:spacing w:before="96" w:after="96"/>
              <w:rPr>
                <w:szCs w:val="24"/>
              </w:rPr>
            </w:pPr>
            <w:r>
              <w:rPr>
                <w:szCs w:val="24"/>
              </w:rPr>
              <w:t xml:space="preserve">Public transport </w:t>
            </w:r>
          </w:p>
          <w:p w:rsidR="00000000" w:rsidRDefault="00000000">
            <w:pPr>
              <w:spacing w:before="96" w:after="96"/>
              <w:ind w:left="284"/>
              <w:rPr>
                <w:sz w:val="20"/>
              </w:rPr>
            </w:pPr>
            <w:r>
              <w:rPr>
                <w:sz w:val="20"/>
              </w:rPr>
              <w:t xml:space="preserve">Driver-conductor </w:t>
            </w:r>
            <w:r>
              <w:rPr>
                <w:sz w:val="20"/>
              </w:rPr>
              <w:br/>
            </w:r>
          </w:p>
          <w:p w:rsidR="00000000" w:rsidRDefault="00000000">
            <w:pPr>
              <w:spacing w:before="96" w:after="96"/>
              <w:ind w:left="284"/>
              <w:rPr>
                <w:sz w:val="20"/>
              </w:rPr>
            </w:pPr>
            <w:r>
              <w:rPr>
                <w:sz w:val="20"/>
              </w:rPr>
              <w:t xml:space="preserve">Bus driver </w:t>
            </w:r>
            <w:r>
              <w:rPr>
                <w:sz w:val="20"/>
              </w:rPr>
              <w:br/>
            </w:r>
          </w:p>
          <w:p w:rsidR="00000000" w:rsidRDefault="00000000">
            <w:pPr>
              <w:spacing w:before="96" w:after="96"/>
              <w:ind w:left="284"/>
              <w:rPr>
                <w:sz w:val="20"/>
              </w:rPr>
            </w:pPr>
            <w:r>
              <w:rPr>
                <w:sz w:val="20"/>
              </w:rPr>
              <w:t xml:space="preserve">Conductor and/or guard </w:t>
            </w:r>
          </w:p>
          <w:p w:rsidR="00000000" w:rsidRDefault="00000000">
            <w:pPr>
              <w:spacing w:before="96" w:after="96"/>
              <w:rPr>
                <w:sz w:val="20"/>
              </w:rPr>
            </w:pPr>
          </w:p>
        </w:tc>
        <w:tc>
          <w:tcPr>
            <w:tcW w:w="4715" w:type="dxa"/>
            <w:tcMar>
              <w:top w:w="57" w:type="dxa"/>
              <w:left w:w="85" w:type="dxa"/>
              <w:bottom w:w="57" w:type="dxa"/>
              <w:right w:w="85" w:type="dxa"/>
            </w:tcMar>
          </w:tcPr>
          <w:p w:rsidR="00000000" w:rsidRDefault="00000000">
            <w:pPr>
              <w:spacing w:before="96" w:after="96"/>
              <w:rPr>
                <w:sz w:val="20"/>
              </w:rPr>
            </w:pPr>
          </w:p>
          <w:p w:rsidR="00000000" w:rsidRDefault="00000000">
            <w:pPr>
              <w:spacing w:before="96" w:after="96"/>
              <w:rPr>
                <w:sz w:val="20"/>
              </w:rPr>
            </w:pPr>
            <w:r>
              <w:rPr>
                <w:sz w:val="20"/>
              </w:rPr>
              <w:t>Monthly wage:    1 875 430</w:t>
            </w:r>
            <w:r>
              <w:rPr>
                <w:sz w:val="20"/>
              </w:rPr>
              <w:br/>
              <w:t xml:space="preserve">Daily wage:    72 132 </w:t>
            </w:r>
          </w:p>
          <w:p w:rsidR="00000000" w:rsidRDefault="00000000">
            <w:pPr>
              <w:spacing w:before="96" w:after="96"/>
              <w:rPr>
                <w:sz w:val="20"/>
              </w:rPr>
            </w:pPr>
            <w:r>
              <w:rPr>
                <w:sz w:val="20"/>
              </w:rPr>
              <w:t>Monthly wage:    1 505 241</w:t>
            </w:r>
            <w:r>
              <w:rPr>
                <w:sz w:val="20"/>
              </w:rPr>
              <w:br/>
              <w:t xml:space="preserve">Daily wage:    57 894 </w:t>
            </w:r>
          </w:p>
          <w:p w:rsidR="00000000" w:rsidRDefault="00000000">
            <w:pPr>
              <w:spacing w:before="96" w:after="96"/>
              <w:rPr>
                <w:sz w:val="20"/>
              </w:rPr>
            </w:pPr>
            <w:r>
              <w:rPr>
                <w:sz w:val="20"/>
              </w:rPr>
              <w:t>Monthly wage:    1 488 241</w:t>
            </w:r>
            <w:r>
              <w:rPr>
                <w:sz w:val="20"/>
              </w:rPr>
              <w:br/>
              <w:t>Daily wage:    57 240</w:t>
            </w:r>
          </w:p>
        </w:tc>
      </w:tr>
      <w:tr w:rsidR="00000000">
        <w:tc>
          <w:tcPr>
            <w:tcW w:w="4714" w:type="dxa"/>
            <w:tcMar>
              <w:top w:w="57" w:type="dxa"/>
              <w:left w:w="85" w:type="dxa"/>
              <w:bottom w:w="57" w:type="dxa"/>
              <w:right w:w="85" w:type="dxa"/>
            </w:tcMar>
          </w:tcPr>
          <w:p w:rsidR="00000000" w:rsidRDefault="00000000">
            <w:pPr>
              <w:pStyle w:val="FootnoteText"/>
              <w:spacing w:before="96" w:after="96"/>
              <w:rPr>
                <w:szCs w:val="24"/>
              </w:rPr>
            </w:pPr>
            <w:r>
              <w:rPr>
                <w:szCs w:val="24"/>
              </w:rPr>
              <w:t xml:space="preserve">Workers in stock-rearing establishments </w:t>
            </w:r>
          </w:p>
          <w:p w:rsidR="00000000" w:rsidRDefault="00000000">
            <w:pPr>
              <w:spacing w:before="96" w:after="96"/>
              <w:ind w:left="284"/>
              <w:rPr>
                <w:sz w:val="20"/>
              </w:rPr>
            </w:pPr>
            <w:r>
              <w:rPr>
                <w:sz w:val="20"/>
              </w:rPr>
              <w:t>Category A (1 – 4,000 head of cattle)</w:t>
            </w:r>
            <w:r>
              <w:rPr>
                <w:sz w:val="20"/>
              </w:rPr>
              <w:br/>
            </w:r>
          </w:p>
          <w:p w:rsidR="00000000" w:rsidRDefault="00000000">
            <w:pPr>
              <w:spacing w:before="96" w:after="96"/>
              <w:ind w:left="284"/>
              <w:rPr>
                <w:sz w:val="20"/>
              </w:rPr>
            </w:pPr>
            <w:r>
              <w:rPr>
                <w:sz w:val="20"/>
              </w:rPr>
              <w:t>Category B (4,001 or more head)</w:t>
            </w:r>
          </w:p>
        </w:tc>
        <w:tc>
          <w:tcPr>
            <w:tcW w:w="4715" w:type="dxa"/>
            <w:tcMar>
              <w:top w:w="57" w:type="dxa"/>
              <w:left w:w="85" w:type="dxa"/>
              <w:bottom w:w="57" w:type="dxa"/>
              <w:right w:w="85" w:type="dxa"/>
            </w:tcMar>
          </w:tcPr>
          <w:p w:rsidR="00000000" w:rsidRDefault="00000000">
            <w:pPr>
              <w:spacing w:before="96" w:after="96"/>
              <w:rPr>
                <w:sz w:val="20"/>
              </w:rPr>
            </w:pPr>
          </w:p>
          <w:p w:rsidR="00000000" w:rsidRDefault="00000000">
            <w:pPr>
              <w:spacing w:before="96" w:after="96"/>
              <w:rPr>
                <w:sz w:val="20"/>
              </w:rPr>
            </w:pPr>
            <w:r>
              <w:rPr>
                <w:sz w:val="20"/>
              </w:rPr>
              <w:t>Monthly wage:    433 456</w:t>
            </w:r>
            <w:r>
              <w:rPr>
                <w:sz w:val="20"/>
              </w:rPr>
              <w:br/>
              <w:t xml:space="preserve">Daily wage:    16 671 </w:t>
            </w:r>
          </w:p>
          <w:p w:rsidR="00000000" w:rsidRDefault="00000000">
            <w:pPr>
              <w:spacing w:before="96" w:after="96"/>
              <w:rPr>
                <w:sz w:val="20"/>
              </w:rPr>
            </w:pPr>
            <w:r>
              <w:rPr>
                <w:sz w:val="20"/>
              </w:rPr>
              <w:t>Monthly wage:    595 920</w:t>
            </w:r>
            <w:r>
              <w:rPr>
                <w:sz w:val="20"/>
              </w:rPr>
              <w:br/>
              <w:t>Daily wage:    22 920</w:t>
            </w:r>
          </w:p>
        </w:tc>
      </w:tr>
      <w:tr w:rsidR="00000000">
        <w:tc>
          <w:tcPr>
            <w:tcW w:w="4714" w:type="dxa"/>
            <w:tcMar>
              <w:top w:w="57" w:type="dxa"/>
              <w:left w:w="85" w:type="dxa"/>
              <w:bottom w:w="57" w:type="dxa"/>
              <w:right w:w="85" w:type="dxa"/>
            </w:tcMar>
          </w:tcPr>
          <w:p w:rsidR="00000000" w:rsidRDefault="00000000">
            <w:pPr>
              <w:pStyle w:val="FootnoteText"/>
              <w:spacing w:before="96" w:after="96"/>
              <w:rPr>
                <w:szCs w:val="24"/>
              </w:rPr>
            </w:pPr>
            <w:r>
              <w:rPr>
                <w:szCs w:val="24"/>
              </w:rPr>
              <w:t xml:space="preserve">Machine workshops </w:t>
            </w:r>
          </w:p>
          <w:p w:rsidR="00000000" w:rsidRDefault="00000000">
            <w:pPr>
              <w:spacing w:before="96" w:after="96"/>
              <w:ind w:left="284"/>
              <w:rPr>
                <w:sz w:val="20"/>
              </w:rPr>
            </w:pPr>
            <w:r>
              <w:rPr>
                <w:sz w:val="20"/>
              </w:rPr>
              <w:t xml:space="preserve">Craftsman 1 </w:t>
            </w:r>
            <w:r>
              <w:rPr>
                <w:sz w:val="20"/>
              </w:rPr>
              <w:br/>
            </w:r>
          </w:p>
          <w:p w:rsidR="00000000" w:rsidRDefault="00000000">
            <w:pPr>
              <w:spacing w:before="96" w:after="96"/>
              <w:ind w:left="284"/>
              <w:rPr>
                <w:sz w:val="20"/>
              </w:rPr>
            </w:pPr>
            <w:r>
              <w:rPr>
                <w:sz w:val="20"/>
              </w:rPr>
              <w:t xml:space="preserve">Craftsman 2 </w:t>
            </w:r>
            <w:r>
              <w:rPr>
                <w:sz w:val="20"/>
              </w:rPr>
              <w:br/>
            </w:r>
          </w:p>
          <w:p w:rsidR="00000000" w:rsidRDefault="00000000">
            <w:pPr>
              <w:spacing w:before="96" w:after="96"/>
              <w:ind w:left="284"/>
              <w:rPr>
                <w:sz w:val="20"/>
              </w:rPr>
            </w:pPr>
            <w:r>
              <w:rPr>
                <w:sz w:val="20"/>
              </w:rPr>
              <w:t xml:space="preserve">Assistant </w:t>
            </w:r>
            <w:r>
              <w:rPr>
                <w:sz w:val="20"/>
              </w:rPr>
              <w:br/>
            </w:r>
          </w:p>
        </w:tc>
        <w:tc>
          <w:tcPr>
            <w:tcW w:w="4715" w:type="dxa"/>
            <w:tcMar>
              <w:top w:w="57" w:type="dxa"/>
              <w:left w:w="85" w:type="dxa"/>
              <w:bottom w:w="57" w:type="dxa"/>
              <w:right w:w="85" w:type="dxa"/>
            </w:tcMar>
          </w:tcPr>
          <w:p w:rsidR="00000000" w:rsidRDefault="00000000">
            <w:pPr>
              <w:spacing w:before="96" w:after="96"/>
              <w:rPr>
                <w:sz w:val="20"/>
              </w:rPr>
            </w:pPr>
          </w:p>
          <w:p w:rsidR="00000000" w:rsidRDefault="00000000">
            <w:pPr>
              <w:spacing w:before="96" w:after="96"/>
              <w:rPr>
                <w:sz w:val="20"/>
              </w:rPr>
            </w:pPr>
            <w:r>
              <w:rPr>
                <w:sz w:val="20"/>
              </w:rPr>
              <w:t>Monthly wage:    1 587 933</w:t>
            </w:r>
            <w:r>
              <w:rPr>
                <w:sz w:val="20"/>
              </w:rPr>
              <w:br/>
              <w:t xml:space="preserve">Daily wage:    61 074 </w:t>
            </w:r>
          </w:p>
          <w:p w:rsidR="00000000" w:rsidRDefault="00000000">
            <w:pPr>
              <w:spacing w:before="96" w:after="96"/>
              <w:rPr>
                <w:sz w:val="20"/>
              </w:rPr>
            </w:pPr>
            <w:r>
              <w:rPr>
                <w:sz w:val="20"/>
              </w:rPr>
              <w:t>Monthly wage:    1 460 150</w:t>
            </w:r>
            <w:r>
              <w:rPr>
                <w:sz w:val="20"/>
              </w:rPr>
              <w:br/>
              <w:t xml:space="preserve">Daily wage:    56 160 </w:t>
            </w:r>
          </w:p>
          <w:p w:rsidR="00000000" w:rsidRDefault="00000000">
            <w:pPr>
              <w:spacing w:before="96" w:after="96"/>
              <w:rPr>
                <w:sz w:val="20"/>
              </w:rPr>
            </w:pPr>
            <w:r>
              <w:rPr>
                <w:sz w:val="20"/>
              </w:rPr>
              <w:t>Monthly wage:    1 369 024</w:t>
            </w:r>
            <w:r>
              <w:rPr>
                <w:sz w:val="20"/>
              </w:rPr>
              <w:br/>
              <w:t>Daily wage:    52 655</w:t>
            </w:r>
          </w:p>
        </w:tc>
      </w:tr>
    </w:tbl>
    <w:p w:rsidR="00000000" w:rsidRDefault="00000000">
      <w:pPr>
        <w:spacing w:after="240"/>
      </w:pPr>
    </w:p>
    <w:p w:rsidR="00000000" w:rsidRDefault="00000000">
      <w:pPr>
        <w:spacing w:after="240"/>
      </w:pPr>
      <w:r>
        <w:t>197.</w:t>
      </w:r>
      <w:r>
        <w:tab/>
        <w:t xml:space="preserve">There are various control mechanisms to ensure application of minimum wages. These include visits by labour inspectors, which are organized by a number of institutions such as the public prosecutor’s department, the Directorate-General of Migration and the Ministry of Justice and Labour. At each inspection the effective application of minimum wages in enterprises is verified together with compliance with all the other elements of labour protection such as medical insurance and healthy working conditions. There are no legal mechanisms for admonishment or punishment relating to the productivity of the worker. </w:t>
      </w:r>
    </w:p>
    <w:p w:rsidR="00000000" w:rsidRDefault="00000000">
      <w:pPr>
        <w:spacing w:after="240"/>
      </w:pPr>
      <w:r>
        <w:rPr>
          <w:b/>
          <w:bCs/>
        </w:rPr>
        <w:t>3.</w:t>
      </w:r>
      <w:r>
        <w:rPr>
          <w:b/>
          <w:bCs/>
        </w:rPr>
        <w:tab/>
        <w:t>Equal pay for equal work</w:t>
      </w:r>
    </w:p>
    <w:p w:rsidR="00000000" w:rsidRDefault="00000000">
      <w:pPr>
        <w:spacing w:after="240"/>
      </w:pPr>
      <w:r>
        <w:t>198.</w:t>
      </w:r>
      <w:r>
        <w:tab/>
        <w:t xml:space="preserve">Although equality of pay for equal work, without discrimination of any kind, is guaranteed by law, there are still in practice cases in which it is not observed. Thus some statistics concerning work by women indicate a degree of discrimination which is being approached through a National Equal Opportunities Plan, which is being implemented by the Secretariat for Women of the Office of the President of the Republic. In the field of income inequalities women in employment earn from their principal occupations 28.1% less than men. </w:t>
      </w:r>
      <w:r>
        <w:rPr>
          <w:rStyle w:val="FootnoteReference"/>
          <w:b/>
          <w:bCs/>
        </w:rPr>
        <w:footnoteReference w:id="16"/>
      </w:r>
      <w:r>
        <w:t xml:space="preserve"> The Ministry of Justice and Labour verifies compliance with the provisions establishing equality by means of labour inspections. In cases of non-compliance with the relevant provisions, an investigation takes place and administrative charges are brought against the employer with the imposition of fines. </w:t>
      </w:r>
    </w:p>
    <w:p w:rsidR="00000000" w:rsidRDefault="00000000">
      <w:pPr>
        <w:spacing w:after="240"/>
      </w:pPr>
      <w:r>
        <w:t>199.</w:t>
      </w:r>
      <w:r>
        <w:tab/>
        <w:t xml:space="preserve">In addition, there is in the Ministry of Justice and Labour a Directorate for the Promotion of Working Women, which provides advice and direct support at conciliation hearings where the subject is one of discrimination. At the same time it promotes and participates and cooperates in awareness development campaigns on non-discrimination in employment and occupation. The Ministry of Justice and Labour is also a member of the Institutional Board for Follow-up on the CEDAW. </w:t>
      </w:r>
    </w:p>
    <w:p w:rsidR="00000000" w:rsidRDefault="00000000">
      <w:pPr>
        <w:spacing w:after="240"/>
      </w:pPr>
      <w:r>
        <w:t>200.</w:t>
      </w:r>
      <w:r>
        <w:tab/>
        <w:t xml:space="preserve">The other responsibilities of the Directorate for the Promotion of Working Women include: </w:t>
      </w:r>
    </w:p>
    <w:p w:rsidR="00000000" w:rsidRDefault="00000000">
      <w:pPr>
        <w:spacing w:after="240"/>
        <w:ind w:left="1134" w:hanging="567"/>
      </w:pPr>
      <w:r>
        <w:t>–</w:t>
      </w:r>
      <w:r>
        <w:tab/>
        <w:t>Coordination of the National Tripartite Commission on Equality of Opportunities in Employment;</w:t>
      </w:r>
    </w:p>
    <w:p w:rsidR="00000000" w:rsidRDefault="00000000">
      <w:pPr>
        <w:spacing w:after="240"/>
        <w:ind w:firstLine="567"/>
      </w:pPr>
      <w:r>
        <w:t>–</w:t>
      </w:r>
      <w:r>
        <w:tab/>
        <w:t xml:space="preserve">Technical assistance and legal advice on labour matters or working women; </w:t>
      </w:r>
    </w:p>
    <w:p w:rsidR="00000000" w:rsidRDefault="00000000">
      <w:pPr>
        <w:spacing w:after="240"/>
        <w:ind w:firstLine="567"/>
      </w:pPr>
      <w:r>
        <w:t>–</w:t>
      </w:r>
      <w:r>
        <w:tab/>
        <w:t xml:space="preserve">Development of training and awareness promotion measures; </w:t>
      </w:r>
    </w:p>
    <w:p w:rsidR="00000000" w:rsidRDefault="00000000">
      <w:pPr>
        <w:spacing w:after="240"/>
        <w:ind w:left="1134" w:hanging="567"/>
      </w:pPr>
      <w:r>
        <w:t>–</w:t>
      </w:r>
      <w:r>
        <w:tab/>
        <w:t xml:space="preserve">Programme on Access to Incomes and Work for Women to contribute to equality of opportunities between men and women in access to and management and enjoyment of financial resources and work. The aim of the programme is to create a framework for action to establish the gender perspective as a cross-cutting factor in employment and labour market policies. It also has a standard-setting framework comprising national and international legal provisions. </w:t>
      </w:r>
    </w:p>
    <w:p w:rsidR="00000000" w:rsidRDefault="00000000">
      <w:pPr>
        <w:spacing w:after="240"/>
      </w:pPr>
      <w:r>
        <w:t>201.</w:t>
      </w:r>
      <w:r>
        <w:tab/>
        <w:t xml:space="preserve">The above-mentioned programme consists of three components: </w:t>
      </w:r>
    </w:p>
    <w:p w:rsidR="00000000" w:rsidRDefault="00000000">
      <w:pPr>
        <w:spacing w:after="240"/>
        <w:ind w:left="1134" w:hanging="1134"/>
      </w:pPr>
      <w:r>
        <w:tab/>
        <w:t>–</w:t>
      </w:r>
      <w:r>
        <w:tab/>
        <w:t>A unit of support for the establishment of the gender perspective as a cross cutting element</w:t>
      </w:r>
    </w:p>
    <w:p w:rsidR="00000000" w:rsidRDefault="00000000">
      <w:pPr>
        <w:spacing w:after="240"/>
      </w:pPr>
      <w:r>
        <w:tab/>
        <w:t>–</w:t>
      </w:r>
      <w:r>
        <w:tab/>
        <w:t>A unit of support for productive entrepreneurial ventures</w:t>
      </w:r>
    </w:p>
    <w:p w:rsidR="00000000" w:rsidRDefault="00000000">
      <w:pPr>
        <w:spacing w:after="240"/>
      </w:pPr>
      <w:r>
        <w:tab/>
        <w:t>–</w:t>
      </w:r>
      <w:r>
        <w:tab/>
        <w:t xml:space="preserve">A unit of support for integration into productive chains. </w:t>
      </w:r>
    </w:p>
    <w:p w:rsidR="00000000" w:rsidRDefault="00000000">
      <w:pPr>
        <w:spacing w:after="240"/>
      </w:pPr>
      <w:r>
        <w:t>202.</w:t>
      </w:r>
      <w:r>
        <w:tab/>
        <w:t xml:space="preserve">The programme also comprises a focal point (the Directorate for the Social Promotion of Working Women) to establish the gender perspective as a cross-cutting element in employment policies and a coordinating board, established with the participation of all the actors involved, which promotes social dialogue and carries out the monitoring and continuous evaluation of those policies. </w:t>
      </w:r>
    </w:p>
    <w:p w:rsidR="00000000" w:rsidRDefault="00000000">
      <w:pPr>
        <w:spacing w:after="240"/>
      </w:pPr>
      <w:r>
        <w:t>203.</w:t>
      </w:r>
      <w:r>
        <w:tab/>
        <w:t xml:space="preserve">This programme has been designed with the cooperation of the ILO, and meetings are currently taking place with the Secretariat for Women to plan measures for its implementation. </w:t>
      </w:r>
    </w:p>
    <w:p w:rsidR="00000000" w:rsidRDefault="00000000">
      <w:pPr>
        <w:spacing w:after="240"/>
      </w:pPr>
      <w:r>
        <w:t>204.</w:t>
      </w:r>
      <w:r>
        <w:tab/>
        <w:t xml:space="preserve">In addition, measures have been taken since the ratification of CEDAW (the Convention on the Elimination of All Forms of Discrimination against Women) introducing egalitarian instruments, and amendments in other items of legislation, eliminating gender-based discrimination and establishing equality between men and women. The Secretariat for Women is promoting the implementation of international conventions which will subsequently become part of the Paraguayan legal system. These have given rise to specific plans, programmes and projects fostering greater participation of women in the world of work and in community organizations; but these measures are still insufficient. Women generally suffer from discrimination in the fields of access to resources and development; the worst affected are rural women and ethnic groups. In 2003 a Decentralization Directorate was established within the structure of the Secretariat to coordinate strategies permitting a greater presence of the State in those areas. </w:t>
      </w:r>
    </w:p>
    <w:p w:rsidR="00000000" w:rsidRDefault="00000000">
      <w:pPr>
        <w:spacing w:after="240"/>
      </w:pPr>
      <w:r>
        <w:t>205.</w:t>
      </w:r>
      <w:r>
        <w:tab/>
        <w:t xml:space="preserve">It is important to mention that Paraguay is now up to date with the submission of reports to the CEDAW Committee with the defence of the report in January 2005, the observations on which have been widely disseminated. For follow-up on those recommendations an inter-institutional follow-up board for the implementation of CEDAW was set up; it now has a global plan of operations. </w:t>
      </w:r>
    </w:p>
    <w:p w:rsidR="00000000" w:rsidRDefault="00000000">
      <w:pPr>
        <w:spacing w:after="240"/>
      </w:pPr>
      <w:r>
        <w:t>206.</w:t>
      </w:r>
      <w:r>
        <w:tab/>
        <w:t xml:space="preserve">The Secretariat for Women is also developing a campaign entitled “Equal in everything”. The campaign has been continuing since June 2004; it has included publicity spots on two aspects of ”Discrimination at Work” on the radio and television. One spot shows a pregnant woman who was not considered in the selection process for a job she had applied for on account of her condition.  Another spot shows men and women doing the same work but being paid differently, the difference being to the disadvantage of the women. The priority themes in this campaign are: violence against women; equality of rights in law; health; continuation in education; and the social and political participation of women. The principal impact within the population has been an increase in the number of reports of cases of violence. A new type of report reaching the Secretariat for Women concerns discrimination in the work sphere on grounds of gender. The “Equal in everything” campaign is still running. </w:t>
      </w:r>
    </w:p>
    <w:p w:rsidR="00000000" w:rsidRDefault="00000000">
      <w:pPr>
        <w:spacing w:after="240"/>
      </w:pPr>
      <w:r>
        <w:t>207.</w:t>
      </w:r>
      <w:r>
        <w:tab/>
        <w:t xml:space="preserve">However, some groups of workers still do not enjoy equality with regard to work and remuneration. These include the underemployed and informal-sector workers and also domestic and rural workers. According to the Permanent Household Survey for 2004 the underemployment rate was 24.2% (men, 21.8%; women 27.7%). The self-employed and persons employed in enterprises employing 5 persons or less are counted as informal-sector workers, giving a figure of 69.8% for the employed population. </w:t>
      </w:r>
    </w:p>
    <w:p w:rsidR="00000000" w:rsidRDefault="00000000">
      <w:pPr>
        <w:spacing w:after="240"/>
      </w:pPr>
      <w:r>
        <w:t>208.</w:t>
      </w:r>
      <w:r>
        <w:tab/>
        <w:t xml:space="preserve">The most precarious situation is that of women in domestic employment; 95% of them are paid at less than the legal rate; they have no entitlement to family benefits; they have long daily working hours; and although social insurance exists, it only provides cover to a few individuals registered in the capital. According to research by the ILO one of the principal grounds for dismissal of women domestic workers is pregnancy, although in that condition they should be protected. </w:t>
      </w:r>
    </w:p>
    <w:p w:rsidR="00000000" w:rsidRDefault="00000000">
      <w:pPr>
        <w:spacing w:after="240"/>
        <w:rPr>
          <w:b/>
          <w:bCs/>
        </w:rPr>
      </w:pPr>
      <w:r>
        <w:rPr>
          <w:b/>
          <w:bCs/>
        </w:rPr>
        <w:t>4.</w:t>
      </w:r>
      <w:r>
        <w:rPr>
          <w:b/>
          <w:bCs/>
        </w:rPr>
        <w:tab/>
        <w:t>Measures adopted to counter inequality at work</w:t>
      </w:r>
    </w:p>
    <w:p w:rsidR="00000000" w:rsidRDefault="00000000">
      <w:pPr>
        <w:spacing w:after="240"/>
        <w:rPr>
          <w:b/>
          <w:bCs/>
        </w:rPr>
      </w:pPr>
      <w:r>
        <w:t>209</w:t>
      </w:r>
      <w:r>
        <w:rPr>
          <w:b/>
          <w:bCs/>
        </w:rPr>
        <w:t>.</w:t>
      </w:r>
      <w:r>
        <w:rPr>
          <w:b/>
          <w:bCs/>
        </w:rPr>
        <w:tab/>
      </w:r>
      <w:r>
        <w:t xml:space="preserve">Although under the law opportunity under equal conditions exists, special measures are needed to guarantee women access to decent employment and to be promoted. To that end a draft “Act on Equality of Opportunities and Treatment between Men and Women in the Public Service and in Employment “ has been submitted; the Secretariat for Women made contributions to it. It is being studied in Parliament. </w:t>
      </w:r>
    </w:p>
    <w:p w:rsidR="00000000" w:rsidRDefault="00000000">
      <w:pPr>
        <w:spacing w:after="240"/>
        <w:rPr>
          <w:b/>
          <w:bCs/>
        </w:rPr>
      </w:pPr>
      <w:r>
        <w:t>210.</w:t>
      </w:r>
      <w:r>
        <w:tab/>
        <w:t xml:space="preserve">Jointly with the Documentation and Study Centre the Secretariat for Women has organized working meetings concerning the situation of domestic workers of both sexes. The meetings were organized for women’s organizations, the Social Security Institute and representatives of trade unions and public institutions; they were to establish work guidelines which served as a basis for the signature of the Convention between the Ministry of Justice and Labour and the Secretariat for Women. It has also arranged information meetings and talks for the strengthening of the capacities of women micro-entrepreneurs. These meetings have been centred on the capital and have enjoyed the support of institutions such as the Social Security Institute and some trade unions in the country. </w:t>
      </w:r>
    </w:p>
    <w:p w:rsidR="00000000" w:rsidRDefault="00000000">
      <w:pPr>
        <w:spacing w:after="240"/>
      </w:pPr>
      <w:r>
        <w:t>211.</w:t>
      </w:r>
      <w:r>
        <w:tab/>
        <w:t>The Ministry of Justice and Labour has also promoted the creation of fora for dialogue with entrepreneurs and industrialists with the aim of guaranteeing access for women to decent work, decision-making posts and equal pay for equal work. The Labour Code confirms that domestic workers receive less than the minimum wage, are vulnerable in their working conditions, work longer hours, etc. There is a Tripartite Commission</w:t>
      </w:r>
      <w:r>
        <w:rPr>
          <w:rStyle w:val="FootnoteReference"/>
          <w:b/>
          <w:bCs/>
        </w:rPr>
        <w:footnoteReference w:id="17"/>
      </w:r>
      <w:r>
        <w:t xml:space="preserve"> which has completed an analysis and study of this situation in order to promote equality of opportunity for women at work; it was supported by the Documentation and Study Centre (a non-governmental organization) in initiatives accompanied and supported by the Secretariat for Women. The results obtained by the Tripartite Commission are given below. </w:t>
      </w:r>
    </w:p>
    <w:p w:rsidR="00000000" w:rsidRDefault="00000000">
      <w:pPr>
        <w:pStyle w:val="xl46"/>
        <w:spacing w:before="0" w:beforeAutospacing="0" w:after="240" w:afterAutospacing="0"/>
        <w:rPr>
          <w:rFonts w:ascii="Times New Roman" w:eastAsia="Times New Roman" w:hAnsi="Times New Roman" w:cs="Times New Roman"/>
          <w:szCs w:val="24"/>
          <w:lang w:val="en-GB" w:eastAsia="en-US"/>
        </w:rPr>
      </w:pPr>
      <w:r>
        <w:rPr>
          <w:rFonts w:ascii="Times New Roman" w:eastAsia="Times New Roman" w:hAnsi="Times New Roman" w:cs="Times New Roman"/>
          <w:szCs w:val="24"/>
          <w:lang w:val="en-GB" w:eastAsia="en-US"/>
        </w:rPr>
        <w:t>Annual reports on the work of the Directorate-General of Labour in the</w:t>
      </w:r>
      <w:r>
        <w:rPr>
          <w:rFonts w:ascii="Times New Roman" w:eastAsia="Times New Roman" w:hAnsi="Times New Roman" w:cs="Times New Roman"/>
          <w:szCs w:val="24"/>
          <w:lang w:val="en-GB" w:eastAsia="en-US"/>
        </w:rPr>
        <w:br/>
        <w:t>Ministry of Justice and Labour</w:t>
      </w:r>
    </w:p>
    <w:tbl>
      <w:tblPr>
        <w:tblW w:w="5000" w:type="pct"/>
        <w:tblLayout w:type="fixed"/>
        <w:tblCellMar>
          <w:left w:w="0" w:type="dxa"/>
          <w:right w:w="0" w:type="dxa"/>
        </w:tblCellMar>
        <w:tblLook w:val="0000" w:firstRow="0" w:lastRow="0" w:firstColumn="0" w:lastColumn="0" w:noHBand="0" w:noVBand="0"/>
      </w:tblPr>
      <w:tblGrid>
        <w:gridCol w:w="3126"/>
        <w:gridCol w:w="899"/>
        <w:gridCol w:w="901"/>
        <w:gridCol w:w="901"/>
        <w:gridCol w:w="899"/>
        <w:gridCol w:w="901"/>
        <w:gridCol w:w="901"/>
        <w:gridCol w:w="901"/>
      </w:tblGrid>
      <w:tr w:rsidR="00000000">
        <w:tc>
          <w:tcPr>
            <w:tcW w:w="3168" w:type="dxa"/>
            <w:tcBorders>
              <w:top w:val="single" w:sz="4" w:space="0" w:color="auto"/>
              <w:bottom w:val="single" w:sz="4" w:space="0" w:color="auto"/>
            </w:tcBorders>
            <w:noWrap/>
            <w:vAlign w:val="bottom"/>
          </w:tcPr>
          <w:p w:rsidR="00000000" w:rsidRDefault="00000000">
            <w:pPr>
              <w:pStyle w:val="Heading4"/>
            </w:pPr>
            <w:r>
              <w:t>References</w:t>
            </w:r>
          </w:p>
        </w:tc>
        <w:tc>
          <w:tcPr>
            <w:tcW w:w="911"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2000</w:t>
            </w:r>
          </w:p>
        </w:tc>
        <w:tc>
          <w:tcPr>
            <w:tcW w:w="912"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2001</w:t>
            </w:r>
          </w:p>
        </w:tc>
        <w:tc>
          <w:tcPr>
            <w:tcW w:w="912"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2002</w:t>
            </w:r>
          </w:p>
        </w:tc>
        <w:tc>
          <w:tcPr>
            <w:tcW w:w="910"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2003</w:t>
            </w:r>
          </w:p>
        </w:tc>
        <w:tc>
          <w:tcPr>
            <w:tcW w:w="912"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2004</w:t>
            </w:r>
          </w:p>
        </w:tc>
        <w:tc>
          <w:tcPr>
            <w:tcW w:w="912"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2005</w:t>
            </w:r>
          </w:p>
        </w:tc>
        <w:tc>
          <w:tcPr>
            <w:tcW w:w="912"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Total</w:t>
            </w:r>
          </w:p>
        </w:tc>
      </w:tr>
      <w:tr w:rsidR="00000000">
        <w:tc>
          <w:tcPr>
            <w:tcW w:w="3168" w:type="dxa"/>
            <w:tcBorders>
              <w:top w:val="single" w:sz="4" w:space="0" w:color="auto"/>
            </w:tcBorders>
            <w:noWrap/>
            <w:vAlign w:val="bottom"/>
          </w:tcPr>
          <w:p w:rsidR="00000000" w:rsidRDefault="00000000">
            <w:pPr>
              <w:pStyle w:val="FootnoteText"/>
              <w:spacing w:before="80" w:after="80"/>
            </w:pPr>
            <w:r>
              <w:t>Results of tripartite meetings</w:t>
            </w:r>
          </w:p>
        </w:tc>
        <w:tc>
          <w:tcPr>
            <w:tcW w:w="911" w:type="dxa"/>
            <w:tcBorders>
              <w:top w:val="single" w:sz="4" w:space="0" w:color="auto"/>
            </w:tcBorders>
            <w:noWrap/>
            <w:vAlign w:val="bottom"/>
          </w:tcPr>
          <w:p w:rsidR="00000000" w:rsidRDefault="00000000">
            <w:pPr>
              <w:spacing w:before="80" w:after="80"/>
              <w:jc w:val="center"/>
              <w:rPr>
                <w:sz w:val="20"/>
                <w:szCs w:val="20"/>
              </w:rPr>
            </w:pPr>
          </w:p>
        </w:tc>
        <w:tc>
          <w:tcPr>
            <w:tcW w:w="912" w:type="dxa"/>
            <w:tcBorders>
              <w:top w:val="single" w:sz="4" w:space="0" w:color="auto"/>
            </w:tcBorders>
            <w:noWrap/>
            <w:vAlign w:val="bottom"/>
          </w:tcPr>
          <w:p w:rsidR="00000000" w:rsidRDefault="00000000">
            <w:pPr>
              <w:spacing w:before="80" w:after="80"/>
              <w:jc w:val="center"/>
              <w:rPr>
                <w:sz w:val="20"/>
                <w:szCs w:val="20"/>
              </w:rPr>
            </w:pPr>
          </w:p>
        </w:tc>
        <w:tc>
          <w:tcPr>
            <w:tcW w:w="912" w:type="dxa"/>
            <w:tcBorders>
              <w:top w:val="single" w:sz="4" w:space="0" w:color="auto"/>
            </w:tcBorders>
            <w:noWrap/>
            <w:vAlign w:val="bottom"/>
          </w:tcPr>
          <w:p w:rsidR="00000000" w:rsidRDefault="00000000">
            <w:pPr>
              <w:spacing w:before="80" w:after="80"/>
              <w:jc w:val="center"/>
              <w:rPr>
                <w:sz w:val="20"/>
                <w:szCs w:val="20"/>
              </w:rPr>
            </w:pPr>
          </w:p>
        </w:tc>
        <w:tc>
          <w:tcPr>
            <w:tcW w:w="910" w:type="dxa"/>
            <w:tcBorders>
              <w:top w:val="single" w:sz="4" w:space="0" w:color="auto"/>
            </w:tcBorders>
            <w:noWrap/>
            <w:vAlign w:val="bottom"/>
          </w:tcPr>
          <w:p w:rsidR="00000000" w:rsidRDefault="00000000">
            <w:pPr>
              <w:spacing w:before="80" w:after="80"/>
              <w:jc w:val="center"/>
              <w:rPr>
                <w:sz w:val="20"/>
                <w:szCs w:val="20"/>
              </w:rPr>
            </w:pPr>
          </w:p>
        </w:tc>
        <w:tc>
          <w:tcPr>
            <w:tcW w:w="912" w:type="dxa"/>
            <w:tcBorders>
              <w:top w:val="single" w:sz="4" w:space="0" w:color="auto"/>
            </w:tcBorders>
            <w:noWrap/>
            <w:vAlign w:val="bottom"/>
          </w:tcPr>
          <w:p w:rsidR="00000000" w:rsidRDefault="00000000">
            <w:pPr>
              <w:spacing w:before="80" w:after="80"/>
              <w:jc w:val="center"/>
              <w:rPr>
                <w:sz w:val="20"/>
                <w:szCs w:val="20"/>
              </w:rPr>
            </w:pPr>
          </w:p>
        </w:tc>
        <w:tc>
          <w:tcPr>
            <w:tcW w:w="912" w:type="dxa"/>
            <w:tcBorders>
              <w:top w:val="single" w:sz="4" w:space="0" w:color="auto"/>
            </w:tcBorders>
            <w:noWrap/>
            <w:vAlign w:val="bottom"/>
          </w:tcPr>
          <w:p w:rsidR="00000000" w:rsidRDefault="00000000">
            <w:pPr>
              <w:spacing w:before="80" w:after="80"/>
              <w:jc w:val="center"/>
              <w:rPr>
                <w:sz w:val="20"/>
                <w:szCs w:val="20"/>
              </w:rPr>
            </w:pPr>
          </w:p>
        </w:tc>
        <w:tc>
          <w:tcPr>
            <w:tcW w:w="912" w:type="dxa"/>
            <w:tcBorders>
              <w:top w:val="single" w:sz="4" w:space="0" w:color="auto"/>
            </w:tcBorders>
            <w:noWrap/>
            <w:vAlign w:val="bottom"/>
          </w:tcPr>
          <w:p w:rsidR="00000000" w:rsidRDefault="00000000">
            <w:pPr>
              <w:spacing w:before="80" w:after="80"/>
              <w:jc w:val="center"/>
              <w:rPr>
                <w:sz w:val="20"/>
                <w:szCs w:val="20"/>
              </w:rPr>
            </w:pPr>
          </w:p>
        </w:tc>
      </w:tr>
      <w:tr w:rsidR="00000000">
        <w:tc>
          <w:tcPr>
            <w:tcW w:w="3168" w:type="dxa"/>
            <w:noWrap/>
            <w:vAlign w:val="bottom"/>
          </w:tcPr>
          <w:p w:rsidR="00000000" w:rsidRDefault="00000000">
            <w:pPr>
              <w:spacing w:before="80" w:after="80"/>
              <w:rPr>
                <w:sz w:val="20"/>
                <w:szCs w:val="20"/>
              </w:rPr>
            </w:pPr>
            <w:r>
              <w:rPr>
                <w:sz w:val="20"/>
                <w:szCs w:val="20"/>
              </w:rPr>
              <w:t>Appearances:</w:t>
            </w:r>
          </w:p>
        </w:tc>
        <w:tc>
          <w:tcPr>
            <w:tcW w:w="911" w:type="dxa"/>
            <w:noWrap/>
            <w:vAlign w:val="bottom"/>
          </w:tcPr>
          <w:p w:rsidR="00000000" w:rsidRDefault="00000000">
            <w:pPr>
              <w:spacing w:before="80" w:after="80"/>
              <w:jc w:val="center"/>
              <w:rPr>
                <w:sz w:val="20"/>
                <w:szCs w:val="20"/>
              </w:rPr>
            </w:pPr>
          </w:p>
        </w:tc>
        <w:tc>
          <w:tcPr>
            <w:tcW w:w="912" w:type="dxa"/>
            <w:noWrap/>
            <w:vAlign w:val="bottom"/>
          </w:tcPr>
          <w:p w:rsidR="00000000" w:rsidRDefault="00000000">
            <w:pPr>
              <w:spacing w:before="80" w:after="80"/>
              <w:jc w:val="center"/>
              <w:rPr>
                <w:sz w:val="20"/>
                <w:szCs w:val="20"/>
              </w:rPr>
            </w:pPr>
          </w:p>
        </w:tc>
        <w:tc>
          <w:tcPr>
            <w:tcW w:w="912" w:type="dxa"/>
            <w:noWrap/>
            <w:vAlign w:val="bottom"/>
          </w:tcPr>
          <w:p w:rsidR="00000000" w:rsidRDefault="00000000">
            <w:pPr>
              <w:spacing w:before="80" w:after="80"/>
              <w:jc w:val="center"/>
              <w:rPr>
                <w:sz w:val="20"/>
                <w:szCs w:val="20"/>
              </w:rPr>
            </w:pPr>
          </w:p>
        </w:tc>
        <w:tc>
          <w:tcPr>
            <w:tcW w:w="910" w:type="dxa"/>
            <w:noWrap/>
            <w:vAlign w:val="bottom"/>
          </w:tcPr>
          <w:p w:rsidR="00000000" w:rsidRDefault="00000000">
            <w:pPr>
              <w:spacing w:before="80" w:after="80"/>
              <w:jc w:val="center"/>
              <w:rPr>
                <w:sz w:val="20"/>
                <w:szCs w:val="20"/>
              </w:rPr>
            </w:pPr>
          </w:p>
        </w:tc>
        <w:tc>
          <w:tcPr>
            <w:tcW w:w="912" w:type="dxa"/>
            <w:noWrap/>
            <w:vAlign w:val="bottom"/>
          </w:tcPr>
          <w:p w:rsidR="00000000" w:rsidRDefault="00000000">
            <w:pPr>
              <w:spacing w:before="80" w:after="80"/>
              <w:jc w:val="center"/>
              <w:rPr>
                <w:sz w:val="20"/>
                <w:szCs w:val="20"/>
              </w:rPr>
            </w:pPr>
          </w:p>
        </w:tc>
        <w:tc>
          <w:tcPr>
            <w:tcW w:w="912" w:type="dxa"/>
            <w:noWrap/>
            <w:vAlign w:val="bottom"/>
          </w:tcPr>
          <w:p w:rsidR="00000000" w:rsidRDefault="00000000">
            <w:pPr>
              <w:spacing w:before="80" w:after="80"/>
              <w:jc w:val="center"/>
              <w:rPr>
                <w:sz w:val="20"/>
                <w:szCs w:val="20"/>
              </w:rPr>
            </w:pPr>
          </w:p>
        </w:tc>
        <w:tc>
          <w:tcPr>
            <w:tcW w:w="912" w:type="dxa"/>
            <w:noWrap/>
            <w:vAlign w:val="bottom"/>
          </w:tcPr>
          <w:p w:rsidR="00000000" w:rsidRDefault="00000000">
            <w:pPr>
              <w:spacing w:before="80" w:after="80"/>
              <w:jc w:val="center"/>
              <w:rPr>
                <w:sz w:val="20"/>
                <w:szCs w:val="20"/>
              </w:rPr>
            </w:pPr>
          </w:p>
        </w:tc>
      </w:tr>
      <w:tr w:rsidR="00000000">
        <w:tc>
          <w:tcPr>
            <w:tcW w:w="3168" w:type="dxa"/>
            <w:noWrap/>
            <w:vAlign w:val="bottom"/>
          </w:tcPr>
          <w:p w:rsidR="00000000" w:rsidRDefault="00000000">
            <w:pPr>
              <w:spacing w:before="80" w:after="80"/>
              <w:ind w:left="284"/>
              <w:rPr>
                <w:sz w:val="20"/>
                <w:szCs w:val="20"/>
              </w:rPr>
            </w:pPr>
            <w:r>
              <w:rPr>
                <w:sz w:val="20"/>
                <w:szCs w:val="20"/>
              </w:rPr>
              <w:t>Cases settled:</w:t>
            </w:r>
          </w:p>
        </w:tc>
        <w:tc>
          <w:tcPr>
            <w:tcW w:w="911" w:type="dxa"/>
            <w:noWrap/>
            <w:vAlign w:val="bottom"/>
          </w:tcPr>
          <w:p w:rsidR="00000000" w:rsidRDefault="00000000">
            <w:pPr>
              <w:spacing w:before="80" w:after="80"/>
              <w:jc w:val="center"/>
              <w:rPr>
                <w:sz w:val="20"/>
                <w:szCs w:val="20"/>
              </w:rPr>
            </w:pPr>
            <w:r>
              <w:rPr>
                <w:sz w:val="20"/>
                <w:szCs w:val="20"/>
              </w:rPr>
              <w:t>191</w:t>
            </w:r>
          </w:p>
        </w:tc>
        <w:tc>
          <w:tcPr>
            <w:tcW w:w="912" w:type="dxa"/>
            <w:noWrap/>
            <w:vAlign w:val="bottom"/>
          </w:tcPr>
          <w:p w:rsidR="00000000" w:rsidRDefault="00000000">
            <w:pPr>
              <w:spacing w:before="80" w:after="80"/>
              <w:jc w:val="center"/>
              <w:rPr>
                <w:sz w:val="20"/>
                <w:szCs w:val="20"/>
              </w:rPr>
            </w:pPr>
            <w:r>
              <w:rPr>
                <w:sz w:val="20"/>
                <w:szCs w:val="20"/>
              </w:rPr>
              <w:t>192</w:t>
            </w:r>
          </w:p>
        </w:tc>
        <w:tc>
          <w:tcPr>
            <w:tcW w:w="912" w:type="dxa"/>
            <w:noWrap/>
            <w:vAlign w:val="bottom"/>
          </w:tcPr>
          <w:p w:rsidR="00000000" w:rsidRDefault="00000000">
            <w:pPr>
              <w:spacing w:before="80" w:after="80"/>
              <w:jc w:val="center"/>
              <w:rPr>
                <w:sz w:val="20"/>
                <w:szCs w:val="20"/>
              </w:rPr>
            </w:pPr>
            <w:r>
              <w:rPr>
                <w:sz w:val="20"/>
                <w:szCs w:val="20"/>
              </w:rPr>
              <w:t>133</w:t>
            </w:r>
          </w:p>
        </w:tc>
        <w:tc>
          <w:tcPr>
            <w:tcW w:w="910" w:type="dxa"/>
            <w:noWrap/>
            <w:vAlign w:val="bottom"/>
          </w:tcPr>
          <w:p w:rsidR="00000000" w:rsidRDefault="00000000">
            <w:pPr>
              <w:spacing w:before="80" w:after="80"/>
              <w:jc w:val="center"/>
              <w:rPr>
                <w:sz w:val="20"/>
                <w:szCs w:val="20"/>
              </w:rPr>
            </w:pPr>
            <w:r>
              <w:rPr>
                <w:sz w:val="20"/>
                <w:szCs w:val="20"/>
              </w:rPr>
              <w:t>105</w:t>
            </w:r>
          </w:p>
        </w:tc>
        <w:tc>
          <w:tcPr>
            <w:tcW w:w="912" w:type="dxa"/>
            <w:noWrap/>
            <w:vAlign w:val="bottom"/>
          </w:tcPr>
          <w:p w:rsidR="00000000" w:rsidRDefault="00000000">
            <w:pPr>
              <w:spacing w:before="80" w:after="80"/>
              <w:jc w:val="center"/>
              <w:rPr>
                <w:sz w:val="20"/>
                <w:szCs w:val="20"/>
              </w:rPr>
            </w:pPr>
            <w:r>
              <w:rPr>
                <w:sz w:val="20"/>
                <w:szCs w:val="20"/>
              </w:rPr>
              <w:t>85</w:t>
            </w:r>
          </w:p>
        </w:tc>
        <w:tc>
          <w:tcPr>
            <w:tcW w:w="912" w:type="dxa"/>
            <w:noWrap/>
            <w:vAlign w:val="bottom"/>
          </w:tcPr>
          <w:p w:rsidR="00000000" w:rsidRDefault="00000000">
            <w:pPr>
              <w:spacing w:before="80" w:after="80"/>
              <w:jc w:val="center"/>
              <w:rPr>
                <w:sz w:val="20"/>
                <w:szCs w:val="20"/>
              </w:rPr>
            </w:pPr>
            <w:r>
              <w:rPr>
                <w:sz w:val="20"/>
                <w:szCs w:val="20"/>
              </w:rPr>
              <w:t>121</w:t>
            </w:r>
          </w:p>
        </w:tc>
        <w:tc>
          <w:tcPr>
            <w:tcW w:w="912" w:type="dxa"/>
            <w:noWrap/>
            <w:vAlign w:val="bottom"/>
          </w:tcPr>
          <w:p w:rsidR="00000000" w:rsidRDefault="00000000">
            <w:pPr>
              <w:spacing w:before="80" w:after="80"/>
              <w:jc w:val="center"/>
              <w:rPr>
                <w:sz w:val="20"/>
                <w:szCs w:val="20"/>
              </w:rPr>
            </w:pPr>
            <w:r>
              <w:rPr>
                <w:sz w:val="20"/>
                <w:szCs w:val="20"/>
              </w:rPr>
              <w:t>827</w:t>
            </w:r>
          </w:p>
        </w:tc>
      </w:tr>
      <w:tr w:rsidR="00000000">
        <w:tc>
          <w:tcPr>
            <w:tcW w:w="3168" w:type="dxa"/>
            <w:noWrap/>
            <w:vAlign w:val="bottom"/>
          </w:tcPr>
          <w:p w:rsidR="00000000" w:rsidRDefault="00000000">
            <w:pPr>
              <w:spacing w:before="80" w:after="80"/>
              <w:ind w:left="284"/>
              <w:rPr>
                <w:sz w:val="20"/>
                <w:szCs w:val="20"/>
              </w:rPr>
            </w:pPr>
            <w:r>
              <w:rPr>
                <w:sz w:val="20"/>
                <w:szCs w:val="20"/>
              </w:rPr>
              <w:t>Cases not settled:</w:t>
            </w:r>
          </w:p>
        </w:tc>
        <w:tc>
          <w:tcPr>
            <w:tcW w:w="911" w:type="dxa"/>
            <w:noWrap/>
            <w:vAlign w:val="bottom"/>
          </w:tcPr>
          <w:p w:rsidR="00000000" w:rsidRDefault="00000000">
            <w:pPr>
              <w:spacing w:before="80" w:after="80"/>
              <w:jc w:val="center"/>
              <w:rPr>
                <w:sz w:val="20"/>
                <w:szCs w:val="20"/>
              </w:rPr>
            </w:pPr>
            <w:r>
              <w:rPr>
                <w:sz w:val="20"/>
                <w:szCs w:val="20"/>
              </w:rPr>
              <w:t>60</w:t>
            </w:r>
          </w:p>
        </w:tc>
        <w:tc>
          <w:tcPr>
            <w:tcW w:w="912" w:type="dxa"/>
            <w:noWrap/>
            <w:vAlign w:val="bottom"/>
          </w:tcPr>
          <w:p w:rsidR="00000000" w:rsidRDefault="00000000">
            <w:pPr>
              <w:spacing w:before="80" w:after="80"/>
              <w:jc w:val="center"/>
              <w:rPr>
                <w:sz w:val="20"/>
                <w:szCs w:val="20"/>
              </w:rPr>
            </w:pPr>
            <w:r>
              <w:rPr>
                <w:sz w:val="20"/>
                <w:szCs w:val="20"/>
              </w:rPr>
              <w:t>59</w:t>
            </w:r>
          </w:p>
        </w:tc>
        <w:tc>
          <w:tcPr>
            <w:tcW w:w="912" w:type="dxa"/>
            <w:noWrap/>
            <w:vAlign w:val="bottom"/>
          </w:tcPr>
          <w:p w:rsidR="00000000" w:rsidRDefault="00000000">
            <w:pPr>
              <w:spacing w:before="80" w:after="80"/>
              <w:jc w:val="center"/>
              <w:rPr>
                <w:sz w:val="20"/>
                <w:szCs w:val="20"/>
              </w:rPr>
            </w:pPr>
            <w:r>
              <w:rPr>
                <w:sz w:val="20"/>
                <w:szCs w:val="20"/>
              </w:rPr>
              <w:t>58</w:t>
            </w:r>
          </w:p>
        </w:tc>
        <w:tc>
          <w:tcPr>
            <w:tcW w:w="910" w:type="dxa"/>
            <w:noWrap/>
            <w:vAlign w:val="bottom"/>
          </w:tcPr>
          <w:p w:rsidR="00000000" w:rsidRDefault="00000000">
            <w:pPr>
              <w:spacing w:before="80" w:after="80"/>
              <w:jc w:val="center"/>
              <w:rPr>
                <w:sz w:val="20"/>
                <w:szCs w:val="20"/>
              </w:rPr>
            </w:pPr>
            <w:r>
              <w:rPr>
                <w:sz w:val="20"/>
                <w:szCs w:val="20"/>
              </w:rPr>
              <w:t>45</w:t>
            </w:r>
          </w:p>
        </w:tc>
        <w:tc>
          <w:tcPr>
            <w:tcW w:w="912" w:type="dxa"/>
            <w:noWrap/>
            <w:vAlign w:val="bottom"/>
          </w:tcPr>
          <w:p w:rsidR="00000000" w:rsidRDefault="00000000">
            <w:pPr>
              <w:spacing w:before="80" w:after="80"/>
              <w:jc w:val="center"/>
              <w:rPr>
                <w:sz w:val="20"/>
                <w:szCs w:val="20"/>
              </w:rPr>
            </w:pPr>
            <w:r>
              <w:rPr>
                <w:sz w:val="20"/>
                <w:szCs w:val="20"/>
              </w:rPr>
              <w:t>28</w:t>
            </w:r>
          </w:p>
        </w:tc>
        <w:tc>
          <w:tcPr>
            <w:tcW w:w="912" w:type="dxa"/>
            <w:noWrap/>
            <w:vAlign w:val="bottom"/>
          </w:tcPr>
          <w:p w:rsidR="00000000" w:rsidRDefault="00000000">
            <w:pPr>
              <w:spacing w:before="80" w:after="80"/>
              <w:jc w:val="center"/>
              <w:rPr>
                <w:sz w:val="20"/>
                <w:szCs w:val="20"/>
              </w:rPr>
            </w:pPr>
            <w:r>
              <w:rPr>
                <w:sz w:val="20"/>
                <w:szCs w:val="20"/>
              </w:rPr>
              <w:t>31</w:t>
            </w:r>
          </w:p>
        </w:tc>
        <w:tc>
          <w:tcPr>
            <w:tcW w:w="912" w:type="dxa"/>
            <w:noWrap/>
            <w:vAlign w:val="bottom"/>
          </w:tcPr>
          <w:p w:rsidR="00000000" w:rsidRDefault="00000000">
            <w:pPr>
              <w:spacing w:before="80" w:after="80"/>
              <w:jc w:val="center"/>
              <w:rPr>
                <w:sz w:val="20"/>
                <w:szCs w:val="20"/>
              </w:rPr>
            </w:pPr>
            <w:r>
              <w:rPr>
                <w:sz w:val="20"/>
                <w:szCs w:val="20"/>
              </w:rPr>
              <w:t>281</w:t>
            </w:r>
          </w:p>
        </w:tc>
      </w:tr>
      <w:tr w:rsidR="00000000">
        <w:tc>
          <w:tcPr>
            <w:tcW w:w="3168" w:type="dxa"/>
            <w:noWrap/>
            <w:vAlign w:val="bottom"/>
          </w:tcPr>
          <w:p w:rsidR="00000000" w:rsidRDefault="00000000">
            <w:pPr>
              <w:spacing w:before="80" w:after="80"/>
              <w:rPr>
                <w:sz w:val="20"/>
                <w:szCs w:val="20"/>
              </w:rPr>
            </w:pPr>
            <w:r>
              <w:rPr>
                <w:sz w:val="20"/>
                <w:szCs w:val="20"/>
              </w:rPr>
              <w:t>Failures to appear:</w:t>
            </w:r>
          </w:p>
        </w:tc>
        <w:tc>
          <w:tcPr>
            <w:tcW w:w="911" w:type="dxa"/>
            <w:noWrap/>
            <w:vAlign w:val="bottom"/>
          </w:tcPr>
          <w:p w:rsidR="00000000" w:rsidRDefault="00000000">
            <w:pPr>
              <w:spacing w:before="80" w:after="80"/>
              <w:jc w:val="center"/>
              <w:rPr>
                <w:sz w:val="20"/>
                <w:szCs w:val="20"/>
              </w:rPr>
            </w:pPr>
          </w:p>
        </w:tc>
        <w:tc>
          <w:tcPr>
            <w:tcW w:w="912" w:type="dxa"/>
            <w:noWrap/>
            <w:vAlign w:val="bottom"/>
          </w:tcPr>
          <w:p w:rsidR="00000000" w:rsidRDefault="00000000">
            <w:pPr>
              <w:spacing w:before="80" w:after="80"/>
              <w:jc w:val="center"/>
              <w:rPr>
                <w:sz w:val="20"/>
                <w:szCs w:val="20"/>
              </w:rPr>
            </w:pPr>
          </w:p>
        </w:tc>
        <w:tc>
          <w:tcPr>
            <w:tcW w:w="912" w:type="dxa"/>
            <w:noWrap/>
            <w:vAlign w:val="bottom"/>
          </w:tcPr>
          <w:p w:rsidR="00000000" w:rsidRDefault="00000000">
            <w:pPr>
              <w:spacing w:before="80" w:after="80"/>
              <w:jc w:val="center"/>
              <w:rPr>
                <w:sz w:val="20"/>
                <w:szCs w:val="20"/>
              </w:rPr>
            </w:pPr>
          </w:p>
        </w:tc>
        <w:tc>
          <w:tcPr>
            <w:tcW w:w="910" w:type="dxa"/>
            <w:noWrap/>
            <w:vAlign w:val="bottom"/>
          </w:tcPr>
          <w:p w:rsidR="00000000" w:rsidRDefault="00000000">
            <w:pPr>
              <w:spacing w:before="80" w:after="80"/>
              <w:jc w:val="center"/>
              <w:rPr>
                <w:sz w:val="20"/>
                <w:szCs w:val="20"/>
              </w:rPr>
            </w:pPr>
          </w:p>
        </w:tc>
        <w:tc>
          <w:tcPr>
            <w:tcW w:w="912" w:type="dxa"/>
            <w:noWrap/>
            <w:vAlign w:val="bottom"/>
          </w:tcPr>
          <w:p w:rsidR="00000000" w:rsidRDefault="00000000">
            <w:pPr>
              <w:spacing w:before="80" w:after="80"/>
              <w:jc w:val="center"/>
              <w:rPr>
                <w:sz w:val="20"/>
                <w:szCs w:val="20"/>
              </w:rPr>
            </w:pPr>
          </w:p>
        </w:tc>
        <w:tc>
          <w:tcPr>
            <w:tcW w:w="912" w:type="dxa"/>
            <w:noWrap/>
            <w:vAlign w:val="bottom"/>
          </w:tcPr>
          <w:p w:rsidR="00000000" w:rsidRDefault="00000000">
            <w:pPr>
              <w:spacing w:before="80" w:after="80"/>
              <w:jc w:val="center"/>
              <w:rPr>
                <w:sz w:val="20"/>
                <w:szCs w:val="20"/>
              </w:rPr>
            </w:pPr>
          </w:p>
        </w:tc>
        <w:tc>
          <w:tcPr>
            <w:tcW w:w="912" w:type="dxa"/>
            <w:noWrap/>
            <w:vAlign w:val="bottom"/>
          </w:tcPr>
          <w:p w:rsidR="00000000" w:rsidRDefault="00000000">
            <w:pPr>
              <w:spacing w:before="80" w:after="80"/>
              <w:jc w:val="center"/>
              <w:rPr>
                <w:sz w:val="20"/>
                <w:szCs w:val="20"/>
              </w:rPr>
            </w:pPr>
          </w:p>
        </w:tc>
      </w:tr>
      <w:tr w:rsidR="00000000">
        <w:tc>
          <w:tcPr>
            <w:tcW w:w="3168" w:type="dxa"/>
            <w:noWrap/>
            <w:vAlign w:val="bottom"/>
          </w:tcPr>
          <w:p w:rsidR="00000000" w:rsidRDefault="00000000">
            <w:pPr>
              <w:spacing w:before="80" w:after="80"/>
              <w:ind w:left="284"/>
              <w:rPr>
                <w:sz w:val="20"/>
                <w:szCs w:val="20"/>
              </w:rPr>
            </w:pPr>
            <w:r>
              <w:rPr>
                <w:sz w:val="20"/>
                <w:szCs w:val="20"/>
              </w:rPr>
              <w:t>Unions:</w:t>
            </w:r>
          </w:p>
        </w:tc>
        <w:tc>
          <w:tcPr>
            <w:tcW w:w="911" w:type="dxa"/>
            <w:noWrap/>
            <w:vAlign w:val="bottom"/>
          </w:tcPr>
          <w:p w:rsidR="00000000" w:rsidRDefault="00000000">
            <w:pPr>
              <w:spacing w:before="80" w:after="80"/>
              <w:jc w:val="center"/>
              <w:rPr>
                <w:sz w:val="20"/>
                <w:szCs w:val="20"/>
              </w:rPr>
            </w:pPr>
            <w:r>
              <w:rPr>
                <w:sz w:val="20"/>
                <w:szCs w:val="20"/>
              </w:rPr>
              <w:t>1</w:t>
            </w:r>
          </w:p>
        </w:tc>
        <w:tc>
          <w:tcPr>
            <w:tcW w:w="912" w:type="dxa"/>
            <w:noWrap/>
            <w:vAlign w:val="bottom"/>
          </w:tcPr>
          <w:p w:rsidR="00000000" w:rsidRDefault="00000000">
            <w:pPr>
              <w:spacing w:before="80" w:after="80"/>
              <w:jc w:val="center"/>
              <w:rPr>
                <w:sz w:val="20"/>
                <w:szCs w:val="20"/>
              </w:rPr>
            </w:pPr>
            <w:r>
              <w:rPr>
                <w:sz w:val="20"/>
                <w:szCs w:val="20"/>
              </w:rPr>
              <w:t>3</w:t>
            </w:r>
          </w:p>
        </w:tc>
        <w:tc>
          <w:tcPr>
            <w:tcW w:w="912" w:type="dxa"/>
            <w:noWrap/>
            <w:vAlign w:val="bottom"/>
          </w:tcPr>
          <w:p w:rsidR="00000000" w:rsidRDefault="00000000">
            <w:pPr>
              <w:spacing w:before="80" w:after="80"/>
              <w:jc w:val="center"/>
              <w:rPr>
                <w:sz w:val="20"/>
                <w:szCs w:val="20"/>
              </w:rPr>
            </w:pPr>
            <w:r>
              <w:rPr>
                <w:sz w:val="20"/>
                <w:szCs w:val="20"/>
              </w:rPr>
              <w:t>6</w:t>
            </w:r>
          </w:p>
        </w:tc>
        <w:tc>
          <w:tcPr>
            <w:tcW w:w="910" w:type="dxa"/>
            <w:noWrap/>
            <w:vAlign w:val="bottom"/>
          </w:tcPr>
          <w:p w:rsidR="00000000" w:rsidRDefault="00000000">
            <w:pPr>
              <w:spacing w:before="80" w:after="80"/>
              <w:jc w:val="center"/>
              <w:rPr>
                <w:sz w:val="20"/>
                <w:szCs w:val="20"/>
              </w:rPr>
            </w:pPr>
            <w:r>
              <w:rPr>
                <w:sz w:val="20"/>
                <w:szCs w:val="20"/>
              </w:rPr>
              <w:t>10</w:t>
            </w:r>
          </w:p>
        </w:tc>
        <w:tc>
          <w:tcPr>
            <w:tcW w:w="912" w:type="dxa"/>
            <w:noWrap/>
            <w:vAlign w:val="bottom"/>
          </w:tcPr>
          <w:p w:rsidR="00000000" w:rsidRDefault="00000000">
            <w:pPr>
              <w:spacing w:before="80" w:after="80"/>
              <w:jc w:val="center"/>
              <w:rPr>
                <w:sz w:val="20"/>
                <w:szCs w:val="20"/>
              </w:rPr>
            </w:pPr>
            <w:r>
              <w:rPr>
                <w:sz w:val="20"/>
                <w:szCs w:val="20"/>
              </w:rPr>
              <w:t>9</w:t>
            </w:r>
          </w:p>
        </w:tc>
        <w:tc>
          <w:tcPr>
            <w:tcW w:w="912" w:type="dxa"/>
            <w:noWrap/>
            <w:vAlign w:val="bottom"/>
          </w:tcPr>
          <w:p w:rsidR="00000000" w:rsidRDefault="00000000">
            <w:pPr>
              <w:spacing w:before="80" w:after="80"/>
              <w:jc w:val="center"/>
              <w:rPr>
                <w:sz w:val="20"/>
                <w:szCs w:val="20"/>
              </w:rPr>
            </w:pPr>
            <w:r>
              <w:rPr>
                <w:sz w:val="20"/>
                <w:szCs w:val="20"/>
              </w:rPr>
              <w:t>7</w:t>
            </w:r>
          </w:p>
        </w:tc>
        <w:tc>
          <w:tcPr>
            <w:tcW w:w="912" w:type="dxa"/>
            <w:noWrap/>
            <w:vAlign w:val="bottom"/>
          </w:tcPr>
          <w:p w:rsidR="00000000" w:rsidRDefault="00000000">
            <w:pPr>
              <w:spacing w:before="80" w:after="80"/>
              <w:jc w:val="center"/>
              <w:rPr>
                <w:sz w:val="20"/>
                <w:szCs w:val="20"/>
              </w:rPr>
            </w:pPr>
            <w:r>
              <w:rPr>
                <w:sz w:val="20"/>
                <w:szCs w:val="20"/>
              </w:rPr>
              <w:t>36</w:t>
            </w:r>
          </w:p>
        </w:tc>
      </w:tr>
      <w:tr w:rsidR="00000000">
        <w:tc>
          <w:tcPr>
            <w:tcW w:w="3168" w:type="dxa"/>
            <w:noWrap/>
            <w:vAlign w:val="bottom"/>
          </w:tcPr>
          <w:p w:rsidR="00000000" w:rsidRDefault="00000000">
            <w:pPr>
              <w:spacing w:before="80" w:after="80"/>
              <w:ind w:left="284"/>
              <w:rPr>
                <w:sz w:val="20"/>
                <w:szCs w:val="20"/>
              </w:rPr>
            </w:pPr>
            <w:r>
              <w:rPr>
                <w:sz w:val="20"/>
                <w:szCs w:val="20"/>
              </w:rPr>
              <w:t>Employers:</w:t>
            </w:r>
          </w:p>
        </w:tc>
        <w:tc>
          <w:tcPr>
            <w:tcW w:w="911" w:type="dxa"/>
            <w:noWrap/>
            <w:vAlign w:val="bottom"/>
          </w:tcPr>
          <w:p w:rsidR="00000000" w:rsidRDefault="00000000">
            <w:pPr>
              <w:spacing w:before="80" w:after="80"/>
              <w:jc w:val="center"/>
              <w:rPr>
                <w:sz w:val="20"/>
                <w:szCs w:val="20"/>
              </w:rPr>
            </w:pPr>
            <w:r>
              <w:rPr>
                <w:sz w:val="20"/>
                <w:szCs w:val="20"/>
              </w:rPr>
              <w:t>76</w:t>
            </w:r>
          </w:p>
        </w:tc>
        <w:tc>
          <w:tcPr>
            <w:tcW w:w="912" w:type="dxa"/>
            <w:noWrap/>
            <w:vAlign w:val="bottom"/>
          </w:tcPr>
          <w:p w:rsidR="00000000" w:rsidRDefault="00000000">
            <w:pPr>
              <w:spacing w:before="80" w:after="80"/>
              <w:jc w:val="center"/>
              <w:rPr>
                <w:sz w:val="20"/>
                <w:szCs w:val="20"/>
              </w:rPr>
            </w:pPr>
            <w:r>
              <w:rPr>
                <w:sz w:val="20"/>
                <w:szCs w:val="20"/>
              </w:rPr>
              <w:t>79</w:t>
            </w:r>
          </w:p>
        </w:tc>
        <w:tc>
          <w:tcPr>
            <w:tcW w:w="912" w:type="dxa"/>
            <w:noWrap/>
            <w:vAlign w:val="bottom"/>
          </w:tcPr>
          <w:p w:rsidR="00000000" w:rsidRDefault="00000000">
            <w:pPr>
              <w:spacing w:before="80" w:after="80"/>
              <w:jc w:val="center"/>
              <w:rPr>
                <w:sz w:val="20"/>
                <w:szCs w:val="20"/>
              </w:rPr>
            </w:pPr>
            <w:r>
              <w:rPr>
                <w:sz w:val="20"/>
                <w:szCs w:val="20"/>
              </w:rPr>
              <w:t>71</w:t>
            </w:r>
          </w:p>
        </w:tc>
        <w:tc>
          <w:tcPr>
            <w:tcW w:w="910" w:type="dxa"/>
            <w:noWrap/>
            <w:vAlign w:val="bottom"/>
          </w:tcPr>
          <w:p w:rsidR="00000000" w:rsidRDefault="00000000">
            <w:pPr>
              <w:spacing w:before="80" w:after="80"/>
              <w:jc w:val="center"/>
              <w:rPr>
                <w:sz w:val="20"/>
                <w:szCs w:val="20"/>
              </w:rPr>
            </w:pPr>
            <w:r>
              <w:rPr>
                <w:sz w:val="20"/>
                <w:szCs w:val="20"/>
              </w:rPr>
              <w:t>92</w:t>
            </w:r>
          </w:p>
        </w:tc>
        <w:tc>
          <w:tcPr>
            <w:tcW w:w="912" w:type="dxa"/>
            <w:noWrap/>
            <w:vAlign w:val="bottom"/>
          </w:tcPr>
          <w:p w:rsidR="00000000" w:rsidRDefault="00000000">
            <w:pPr>
              <w:spacing w:before="80" w:after="80"/>
              <w:jc w:val="center"/>
              <w:rPr>
                <w:sz w:val="20"/>
                <w:szCs w:val="20"/>
              </w:rPr>
            </w:pPr>
            <w:r>
              <w:rPr>
                <w:sz w:val="20"/>
                <w:szCs w:val="20"/>
              </w:rPr>
              <w:t>75</w:t>
            </w:r>
          </w:p>
        </w:tc>
        <w:tc>
          <w:tcPr>
            <w:tcW w:w="912" w:type="dxa"/>
            <w:noWrap/>
            <w:vAlign w:val="bottom"/>
          </w:tcPr>
          <w:p w:rsidR="00000000" w:rsidRDefault="00000000">
            <w:pPr>
              <w:spacing w:before="80" w:after="80"/>
              <w:jc w:val="center"/>
              <w:rPr>
                <w:sz w:val="20"/>
                <w:szCs w:val="20"/>
              </w:rPr>
            </w:pPr>
            <w:r>
              <w:rPr>
                <w:sz w:val="20"/>
                <w:szCs w:val="20"/>
              </w:rPr>
              <w:t>61</w:t>
            </w:r>
          </w:p>
        </w:tc>
        <w:tc>
          <w:tcPr>
            <w:tcW w:w="912" w:type="dxa"/>
            <w:noWrap/>
            <w:vAlign w:val="bottom"/>
          </w:tcPr>
          <w:p w:rsidR="00000000" w:rsidRDefault="00000000">
            <w:pPr>
              <w:spacing w:before="80" w:after="80"/>
              <w:jc w:val="center"/>
              <w:rPr>
                <w:sz w:val="20"/>
                <w:szCs w:val="20"/>
              </w:rPr>
            </w:pPr>
            <w:r>
              <w:rPr>
                <w:sz w:val="20"/>
                <w:szCs w:val="20"/>
              </w:rPr>
              <w:t>454</w:t>
            </w:r>
          </w:p>
        </w:tc>
      </w:tr>
      <w:tr w:rsidR="00000000">
        <w:tc>
          <w:tcPr>
            <w:tcW w:w="3168" w:type="dxa"/>
            <w:tcBorders>
              <w:bottom w:val="single" w:sz="4" w:space="0" w:color="auto"/>
            </w:tcBorders>
            <w:noWrap/>
            <w:vAlign w:val="bottom"/>
          </w:tcPr>
          <w:p w:rsidR="00000000" w:rsidRDefault="00000000">
            <w:pPr>
              <w:spacing w:before="80" w:after="80"/>
              <w:ind w:left="284"/>
              <w:rPr>
                <w:sz w:val="20"/>
                <w:szCs w:val="20"/>
              </w:rPr>
            </w:pPr>
            <w:r>
              <w:rPr>
                <w:sz w:val="20"/>
                <w:szCs w:val="20"/>
              </w:rPr>
              <w:t>Both parties:</w:t>
            </w:r>
          </w:p>
        </w:tc>
        <w:tc>
          <w:tcPr>
            <w:tcW w:w="911" w:type="dxa"/>
            <w:tcBorders>
              <w:bottom w:val="single" w:sz="4" w:space="0" w:color="auto"/>
            </w:tcBorders>
            <w:noWrap/>
            <w:vAlign w:val="bottom"/>
          </w:tcPr>
          <w:p w:rsidR="00000000" w:rsidRDefault="00000000">
            <w:pPr>
              <w:spacing w:before="80" w:after="80"/>
              <w:jc w:val="center"/>
              <w:rPr>
                <w:sz w:val="20"/>
                <w:szCs w:val="20"/>
              </w:rPr>
            </w:pPr>
            <w:r>
              <w:rPr>
                <w:sz w:val="20"/>
                <w:szCs w:val="20"/>
              </w:rPr>
              <w:t>25</w:t>
            </w:r>
          </w:p>
        </w:tc>
        <w:tc>
          <w:tcPr>
            <w:tcW w:w="912" w:type="dxa"/>
            <w:tcBorders>
              <w:bottom w:val="single" w:sz="4" w:space="0" w:color="auto"/>
            </w:tcBorders>
            <w:noWrap/>
            <w:vAlign w:val="bottom"/>
          </w:tcPr>
          <w:p w:rsidR="00000000" w:rsidRDefault="00000000">
            <w:pPr>
              <w:spacing w:before="80" w:after="80"/>
              <w:jc w:val="center"/>
              <w:rPr>
                <w:sz w:val="20"/>
                <w:szCs w:val="20"/>
              </w:rPr>
            </w:pPr>
            <w:r>
              <w:rPr>
                <w:sz w:val="20"/>
                <w:szCs w:val="20"/>
              </w:rPr>
              <w:t>21</w:t>
            </w:r>
          </w:p>
        </w:tc>
        <w:tc>
          <w:tcPr>
            <w:tcW w:w="912" w:type="dxa"/>
            <w:tcBorders>
              <w:bottom w:val="single" w:sz="4" w:space="0" w:color="auto"/>
            </w:tcBorders>
            <w:noWrap/>
            <w:vAlign w:val="bottom"/>
          </w:tcPr>
          <w:p w:rsidR="00000000" w:rsidRDefault="00000000">
            <w:pPr>
              <w:spacing w:before="80" w:after="80"/>
              <w:jc w:val="center"/>
              <w:rPr>
                <w:sz w:val="20"/>
                <w:szCs w:val="20"/>
              </w:rPr>
            </w:pPr>
            <w:r>
              <w:rPr>
                <w:sz w:val="20"/>
                <w:szCs w:val="20"/>
              </w:rPr>
              <w:t>10</w:t>
            </w:r>
          </w:p>
        </w:tc>
        <w:tc>
          <w:tcPr>
            <w:tcW w:w="910" w:type="dxa"/>
            <w:tcBorders>
              <w:bottom w:val="single" w:sz="4" w:space="0" w:color="auto"/>
            </w:tcBorders>
            <w:noWrap/>
            <w:vAlign w:val="bottom"/>
          </w:tcPr>
          <w:p w:rsidR="00000000" w:rsidRDefault="00000000">
            <w:pPr>
              <w:spacing w:before="80" w:after="80"/>
              <w:jc w:val="center"/>
              <w:rPr>
                <w:sz w:val="20"/>
                <w:szCs w:val="20"/>
              </w:rPr>
            </w:pPr>
            <w:r>
              <w:rPr>
                <w:sz w:val="20"/>
                <w:szCs w:val="20"/>
              </w:rPr>
              <w:t>9</w:t>
            </w:r>
          </w:p>
        </w:tc>
        <w:tc>
          <w:tcPr>
            <w:tcW w:w="912" w:type="dxa"/>
            <w:tcBorders>
              <w:bottom w:val="single" w:sz="4" w:space="0" w:color="auto"/>
            </w:tcBorders>
            <w:noWrap/>
            <w:vAlign w:val="bottom"/>
          </w:tcPr>
          <w:p w:rsidR="00000000" w:rsidRDefault="00000000">
            <w:pPr>
              <w:spacing w:before="80" w:after="80"/>
              <w:jc w:val="center"/>
              <w:rPr>
                <w:sz w:val="20"/>
                <w:szCs w:val="20"/>
              </w:rPr>
            </w:pPr>
            <w:r>
              <w:rPr>
                <w:sz w:val="20"/>
                <w:szCs w:val="20"/>
              </w:rPr>
              <w:t>7</w:t>
            </w:r>
          </w:p>
        </w:tc>
        <w:tc>
          <w:tcPr>
            <w:tcW w:w="912" w:type="dxa"/>
            <w:tcBorders>
              <w:bottom w:val="single" w:sz="4" w:space="0" w:color="auto"/>
            </w:tcBorders>
            <w:noWrap/>
            <w:vAlign w:val="bottom"/>
          </w:tcPr>
          <w:p w:rsidR="00000000" w:rsidRDefault="00000000">
            <w:pPr>
              <w:spacing w:before="80" w:after="80"/>
              <w:jc w:val="center"/>
              <w:rPr>
                <w:sz w:val="20"/>
                <w:szCs w:val="20"/>
              </w:rPr>
            </w:pPr>
            <w:r>
              <w:rPr>
                <w:sz w:val="20"/>
                <w:szCs w:val="20"/>
              </w:rPr>
              <w:t>8</w:t>
            </w:r>
          </w:p>
        </w:tc>
        <w:tc>
          <w:tcPr>
            <w:tcW w:w="912" w:type="dxa"/>
            <w:tcBorders>
              <w:bottom w:val="single" w:sz="4" w:space="0" w:color="auto"/>
            </w:tcBorders>
            <w:noWrap/>
            <w:vAlign w:val="bottom"/>
          </w:tcPr>
          <w:p w:rsidR="00000000" w:rsidRDefault="00000000">
            <w:pPr>
              <w:spacing w:before="80" w:after="80"/>
              <w:jc w:val="center"/>
              <w:rPr>
                <w:sz w:val="20"/>
                <w:szCs w:val="20"/>
              </w:rPr>
            </w:pPr>
            <w:r>
              <w:rPr>
                <w:sz w:val="20"/>
                <w:szCs w:val="20"/>
              </w:rPr>
              <w:t>80</w:t>
            </w:r>
          </w:p>
        </w:tc>
      </w:tr>
    </w:tbl>
    <w:p w:rsidR="00000000" w:rsidRDefault="00000000">
      <w:pPr>
        <w:spacing w:beforeLines="40" w:before="96" w:afterLines="40" w:after="96"/>
      </w:pPr>
    </w:p>
    <w:p w:rsidR="00000000" w:rsidRDefault="00000000">
      <w:pPr>
        <w:pStyle w:val="xl23"/>
        <w:keepNext/>
        <w:spacing w:beforeLines="40" w:before="96" w:beforeAutospacing="0" w:afterLines="40" w:after="96" w:afterAutospacing="0"/>
        <w:rPr>
          <w:rFonts w:ascii="Times New Roman" w:hAnsi="Times New Roman" w:cs="Times New Roman"/>
          <w:bCs w:val="0"/>
          <w:color w:val="FF0000"/>
          <w:lang w:val="en-GB" w:eastAsia="en-US"/>
        </w:rPr>
      </w:pPr>
      <w:r>
        <w:rPr>
          <w:rFonts w:ascii="Times New Roman" w:hAnsi="Times New Roman" w:cs="Times New Roman"/>
          <w:bCs w:val="0"/>
          <w:lang w:val="en-GB" w:eastAsia="en-US"/>
        </w:rPr>
        <w:br w:type="page"/>
        <w:t>4.1.</w:t>
      </w:r>
      <w:r>
        <w:rPr>
          <w:rFonts w:ascii="Times New Roman" w:hAnsi="Times New Roman" w:cs="Times New Roman"/>
          <w:bCs w:val="0"/>
          <w:lang w:val="en-GB" w:eastAsia="en-US"/>
        </w:rPr>
        <w:tab/>
        <w:t xml:space="preserve">Résumé of results obtained by tripartite meetings, 2006 </w:t>
      </w:r>
    </w:p>
    <w:p w:rsidR="00000000" w:rsidRDefault="00000000">
      <w:pPr>
        <w:keepNext/>
        <w:spacing w:beforeLines="40" w:before="96" w:afterLines="40" w:after="96"/>
        <w:rPr>
          <w:color w:val="FF0000"/>
        </w:rPr>
      </w:pPr>
    </w:p>
    <w:tbl>
      <w:tblPr>
        <w:tblW w:w="3750" w:type="pct"/>
        <w:jc w:val="center"/>
        <w:tblInd w:w="16" w:type="dxa"/>
        <w:tblCellMar>
          <w:left w:w="0" w:type="dxa"/>
          <w:right w:w="0" w:type="dxa"/>
        </w:tblCellMar>
        <w:tblLook w:val="0000" w:firstRow="0" w:lastRow="0" w:firstColumn="0" w:lastColumn="0" w:noHBand="0" w:noVBand="0"/>
      </w:tblPr>
      <w:tblGrid>
        <w:gridCol w:w="3865"/>
        <w:gridCol w:w="705"/>
        <w:gridCol w:w="908"/>
        <w:gridCol w:w="708"/>
        <w:gridCol w:w="886"/>
      </w:tblGrid>
      <w:tr w:rsidR="00000000">
        <w:trPr>
          <w:cantSplit/>
          <w:jc w:val="center"/>
        </w:trPr>
        <w:tc>
          <w:tcPr>
            <w:tcW w:w="2535" w:type="pct"/>
            <w:vMerge w:val="restart"/>
            <w:tcBorders>
              <w:top w:val="single" w:sz="4" w:space="0" w:color="auto"/>
              <w:bottom w:val="single" w:sz="4" w:space="0" w:color="auto"/>
            </w:tcBorders>
            <w:noWrap/>
            <w:vAlign w:val="center"/>
          </w:tcPr>
          <w:p w:rsidR="00000000" w:rsidRDefault="00000000">
            <w:pPr>
              <w:spacing w:before="80" w:after="80"/>
              <w:jc w:val="center"/>
              <w:rPr>
                <w:b/>
                <w:bCs/>
                <w:i/>
                <w:iCs/>
                <w:sz w:val="20"/>
                <w:szCs w:val="20"/>
              </w:rPr>
            </w:pPr>
            <w:r>
              <w:rPr>
                <w:b/>
                <w:bCs/>
                <w:i/>
                <w:iCs/>
                <w:sz w:val="20"/>
                <w:szCs w:val="20"/>
              </w:rPr>
              <w:t>References</w:t>
            </w:r>
          </w:p>
        </w:tc>
        <w:tc>
          <w:tcPr>
            <w:tcW w:w="2465" w:type="pct"/>
            <w:gridSpan w:val="4"/>
            <w:tcBorders>
              <w:top w:val="single" w:sz="4" w:space="0" w:color="auto"/>
              <w:bottom w:val="single" w:sz="4" w:space="0" w:color="auto"/>
            </w:tcBorders>
            <w:noWrap/>
            <w:vAlign w:val="center"/>
          </w:tcPr>
          <w:p w:rsidR="00000000" w:rsidRDefault="00000000">
            <w:pPr>
              <w:spacing w:before="80" w:after="80"/>
              <w:jc w:val="center"/>
              <w:rPr>
                <w:b/>
                <w:bCs/>
                <w:i/>
                <w:iCs/>
                <w:sz w:val="20"/>
                <w:szCs w:val="20"/>
              </w:rPr>
            </w:pPr>
            <w:r>
              <w:rPr>
                <w:b/>
                <w:bCs/>
                <w:i/>
                <w:iCs/>
                <w:sz w:val="20"/>
                <w:szCs w:val="20"/>
              </w:rPr>
              <w:t>Results obtained</w:t>
            </w:r>
          </w:p>
        </w:tc>
      </w:tr>
      <w:tr w:rsidR="00000000">
        <w:trPr>
          <w:cantSplit/>
          <w:jc w:val="center"/>
        </w:trPr>
        <w:tc>
          <w:tcPr>
            <w:tcW w:w="2535" w:type="pct"/>
            <w:vMerge/>
            <w:tcBorders>
              <w:top w:val="single" w:sz="4" w:space="0" w:color="auto"/>
              <w:bottom w:val="single" w:sz="4" w:space="0" w:color="auto"/>
            </w:tcBorders>
            <w:noWrap/>
            <w:vAlign w:val="center"/>
          </w:tcPr>
          <w:p w:rsidR="00000000" w:rsidRDefault="00000000">
            <w:pPr>
              <w:spacing w:before="80" w:after="80"/>
              <w:jc w:val="center"/>
              <w:rPr>
                <w:b/>
                <w:bCs/>
                <w:i/>
                <w:iCs/>
                <w:sz w:val="20"/>
                <w:szCs w:val="20"/>
              </w:rPr>
            </w:pPr>
          </w:p>
        </w:tc>
        <w:tc>
          <w:tcPr>
            <w:tcW w:w="537" w:type="pct"/>
            <w:tcBorders>
              <w:top w:val="single" w:sz="4" w:space="0" w:color="auto"/>
              <w:bottom w:val="single" w:sz="4" w:space="0" w:color="auto"/>
            </w:tcBorders>
            <w:noWrap/>
            <w:vAlign w:val="center"/>
          </w:tcPr>
          <w:p w:rsidR="00000000" w:rsidRDefault="00000000">
            <w:pPr>
              <w:spacing w:before="80" w:after="80"/>
              <w:jc w:val="center"/>
              <w:rPr>
                <w:b/>
                <w:bCs/>
                <w:i/>
                <w:iCs/>
                <w:sz w:val="20"/>
                <w:szCs w:val="18"/>
              </w:rPr>
            </w:pPr>
            <w:r>
              <w:rPr>
                <w:b/>
                <w:bCs/>
                <w:i/>
                <w:iCs/>
                <w:sz w:val="20"/>
                <w:szCs w:val="18"/>
              </w:rPr>
              <w:t>January</w:t>
            </w:r>
          </w:p>
        </w:tc>
        <w:tc>
          <w:tcPr>
            <w:tcW w:w="702" w:type="pct"/>
            <w:tcBorders>
              <w:top w:val="single" w:sz="4" w:space="0" w:color="auto"/>
              <w:bottom w:val="single" w:sz="4" w:space="0" w:color="auto"/>
            </w:tcBorders>
            <w:noWrap/>
            <w:vAlign w:val="center"/>
          </w:tcPr>
          <w:p w:rsidR="00000000" w:rsidRDefault="00000000">
            <w:pPr>
              <w:spacing w:before="80" w:after="80"/>
              <w:jc w:val="center"/>
              <w:rPr>
                <w:b/>
                <w:bCs/>
                <w:i/>
                <w:iCs/>
                <w:sz w:val="20"/>
                <w:szCs w:val="18"/>
              </w:rPr>
            </w:pPr>
            <w:r>
              <w:rPr>
                <w:b/>
                <w:bCs/>
                <w:i/>
                <w:iCs/>
                <w:sz w:val="20"/>
                <w:szCs w:val="18"/>
              </w:rPr>
              <w:t>February</w:t>
            </w:r>
          </w:p>
        </w:tc>
        <w:tc>
          <w:tcPr>
            <w:tcW w:w="550" w:type="pct"/>
            <w:tcBorders>
              <w:top w:val="single" w:sz="4" w:space="0" w:color="auto"/>
              <w:bottom w:val="single" w:sz="4" w:space="0" w:color="auto"/>
            </w:tcBorders>
            <w:noWrap/>
            <w:vAlign w:val="center"/>
          </w:tcPr>
          <w:p w:rsidR="00000000" w:rsidRDefault="00000000">
            <w:pPr>
              <w:spacing w:before="80" w:after="80"/>
              <w:jc w:val="center"/>
              <w:rPr>
                <w:b/>
                <w:bCs/>
                <w:i/>
                <w:iCs/>
                <w:sz w:val="20"/>
                <w:szCs w:val="18"/>
              </w:rPr>
            </w:pPr>
            <w:r>
              <w:rPr>
                <w:b/>
                <w:bCs/>
                <w:i/>
                <w:iCs/>
                <w:sz w:val="20"/>
                <w:szCs w:val="18"/>
              </w:rPr>
              <w:t>March</w:t>
            </w:r>
          </w:p>
        </w:tc>
        <w:tc>
          <w:tcPr>
            <w:tcW w:w="676" w:type="pct"/>
            <w:tcBorders>
              <w:top w:val="single" w:sz="4" w:space="0" w:color="auto"/>
              <w:bottom w:val="single" w:sz="4" w:space="0" w:color="auto"/>
            </w:tcBorders>
            <w:noWrap/>
            <w:vAlign w:val="center"/>
          </w:tcPr>
          <w:p w:rsidR="00000000" w:rsidRDefault="00000000">
            <w:pPr>
              <w:spacing w:before="80" w:after="80"/>
              <w:jc w:val="center"/>
              <w:rPr>
                <w:b/>
                <w:bCs/>
                <w:i/>
                <w:iCs/>
                <w:sz w:val="20"/>
                <w:szCs w:val="18"/>
              </w:rPr>
            </w:pPr>
            <w:r>
              <w:rPr>
                <w:b/>
                <w:bCs/>
                <w:i/>
                <w:iCs/>
                <w:sz w:val="20"/>
                <w:szCs w:val="18"/>
              </w:rPr>
              <w:t>Totals</w:t>
            </w:r>
          </w:p>
        </w:tc>
      </w:tr>
      <w:tr w:rsidR="00000000">
        <w:trPr>
          <w:jc w:val="center"/>
        </w:trPr>
        <w:tc>
          <w:tcPr>
            <w:tcW w:w="2535" w:type="pct"/>
            <w:tcBorders>
              <w:top w:val="single" w:sz="4" w:space="0" w:color="auto"/>
            </w:tcBorders>
            <w:noWrap/>
            <w:vAlign w:val="bottom"/>
          </w:tcPr>
          <w:p w:rsidR="00000000" w:rsidRDefault="00000000">
            <w:pPr>
              <w:spacing w:before="80" w:after="80"/>
              <w:rPr>
                <w:b/>
                <w:bCs/>
                <w:sz w:val="20"/>
                <w:szCs w:val="20"/>
              </w:rPr>
            </w:pPr>
            <w:r>
              <w:rPr>
                <w:b/>
                <w:bCs/>
                <w:sz w:val="20"/>
                <w:szCs w:val="20"/>
              </w:rPr>
              <w:t xml:space="preserve">Tripartite meetings </w:t>
            </w:r>
          </w:p>
        </w:tc>
        <w:tc>
          <w:tcPr>
            <w:tcW w:w="2465" w:type="pct"/>
            <w:gridSpan w:val="4"/>
            <w:tcBorders>
              <w:top w:val="single" w:sz="4" w:space="0" w:color="auto"/>
            </w:tcBorders>
            <w:noWrap/>
            <w:vAlign w:val="bottom"/>
          </w:tcPr>
          <w:p w:rsidR="00000000" w:rsidRDefault="00000000">
            <w:pPr>
              <w:pStyle w:val="FootnoteText"/>
              <w:spacing w:before="80" w:after="80"/>
            </w:pPr>
            <w:r>
              <w:t> </w:t>
            </w:r>
          </w:p>
        </w:tc>
      </w:tr>
      <w:tr w:rsidR="00000000">
        <w:trPr>
          <w:jc w:val="center"/>
        </w:trPr>
        <w:tc>
          <w:tcPr>
            <w:tcW w:w="2535" w:type="pct"/>
            <w:noWrap/>
            <w:vAlign w:val="bottom"/>
          </w:tcPr>
          <w:p w:rsidR="00000000" w:rsidRDefault="00000000">
            <w:pPr>
              <w:spacing w:before="80" w:after="80"/>
              <w:rPr>
                <w:b/>
                <w:bCs/>
                <w:sz w:val="20"/>
                <w:szCs w:val="20"/>
              </w:rPr>
            </w:pPr>
            <w:r>
              <w:rPr>
                <w:b/>
                <w:bCs/>
                <w:sz w:val="20"/>
                <w:szCs w:val="20"/>
              </w:rPr>
              <w:t>Summonses</w:t>
            </w:r>
          </w:p>
        </w:tc>
        <w:tc>
          <w:tcPr>
            <w:tcW w:w="537" w:type="pct"/>
            <w:noWrap/>
            <w:vAlign w:val="bottom"/>
          </w:tcPr>
          <w:p w:rsidR="00000000" w:rsidRDefault="00000000">
            <w:pPr>
              <w:spacing w:before="80" w:after="80"/>
              <w:jc w:val="center"/>
              <w:rPr>
                <w:sz w:val="20"/>
                <w:szCs w:val="20"/>
              </w:rPr>
            </w:pPr>
            <w:r>
              <w:rPr>
                <w:sz w:val="20"/>
                <w:szCs w:val="20"/>
              </w:rPr>
              <w:t>24</w:t>
            </w:r>
          </w:p>
        </w:tc>
        <w:tc>
          <w:tcPr>
            <w:tcW w:w="702" w:type="pct"/>
            <w:noWrap/>
            <w:vAlign w:val="bottom"/>
          </w:tcPr>
          <w:p w:rsidR="00000000" w:rsidRDefault="00000000">
            <w:pPr>
              <w:spacing w:before="80" w:after="80"/>
              <w:jc w:val="center"/>
              <w:rPr>
                <w:sz w:val="20"/>
                <w:szCs w:val="20"/>
              </w:rPr>
            </w:pPr>
            <w:r>
              <w:rPr>
                <w:sz w:val="20"/>
                <w:szCs w:val="20"/>
              </w:rPr>
              <w:t>33</w:t>
            </w:r>
          </w:p>
        </w:tc>
        <w:tc>
          <w:tcPr>
            <w:tcW w:w="550" w:type="pct"/>
            <w:noWrap/>
            <w:vAlign w:val="bottom"/>
          </w:tcPr>
          <w:p w:rsidR="00000000" w:rsidRDefault="00000000">
            <w:pPr>
              <w:spacing w:before="80" w:after="80"/>
              <w:jc w:val="center"/>
              <w:rPr>
                <w:sz w:val="20"/>
                <w:szCs w:val="20"/>
              </w:rPr>
            </w:pPr>
            <w:r>
              <w:rPr>
                <w:sz w:val="20"/>
                <w:szCs w:val="20"/>
              </w:rPr>
              <w:t>33</w:t>
            </w:r>
          </w:p>
        </w:tc>
        <w:tc>
          <w:tcPr>
            <w:tcW w:w="676" w:type="pct"/>
            <w:noWrap/>
            <w:vAlign w:val="bottom"/>
          </w:tcPr>
          <w:p w:rsidR="00000000" w:rsidRDefault="00000000">
            <w:pPr>
              <w:spacing w:before="80" w:after="80"/>
              <w:jc w:val="center"/>
              <w:rPr>
                <w:sz w:val="20"/>
                <w:szCs w:val="20"/>
              </w:rPr>
            </w:pPr>
            <w:r>
              <w:rPr>
                <w:sz w:val="20"/>
                <w:szCs w:val="20"/>
              </w:rPr>
              <w:t>90</w:t>
            </w:r>
          </w:p>
        </w:tc>
      </w:tr>
      <w:tr w:rsidR="00000000">
        <w:trPr>
          <w:jc w:val="center"/>
        </w:trPr>
        <w:tc>
          <w:tcPr>
            <w:tcW w:w="2535" w:type="pct"/>
            <w:noWrap/>
            <w:vAlign w:val="bottom"/>
          </w:tcPr>
          <w:p w:rsidR="00000000" w:rsidRDefault="00000000">
            <w:pPr>
              <w:spacing w:before="80" w:after="80"/>
              <w:rPr>
                <w:sz w:val="20"/>
                <w:szCs w:val="20"/>
              </w:rPr>
            </w:pPr>
            <w:r>
              <w:rPr>
                <w:sz w:val="20"/>
                <w:szCs w:val="20"/>
              </w:rPr>
              <w:t>Notes</w:t>
            </w:r>
          </w:p>
        </w:tc>
        <w:tc>
          <w:tcPr>
            <w:tcW w:w="537" w:type="pct"/>
            <w:noWrap/>
            <w:vAlign w:val="bottom"/>
          </w:tcPr>
          <w:p w:rsidR="00000000" w:rsidRDefault="00000000">
            <w:pPr>
              <w:spacing w:before="80" w:after="80"/>
              <w:jc w:val="center"/>
              <w:rPr>
                <w:sz w:val="20"/>
                <w:szCs w:val="20"/>
              </w:rPr>
            </w:pPr>
            <w:r>
              <w:rPr>
                <w:sz w:val="20"/>
                <w:szCs w:val="20"/>
              </w:rPr>
              <w:t>13</w:t>
            </w:r>
          </w:p>
        </w:tc>
        <w:tc>
          <w:tcPr>
            <w:tcW w:w="702" w:type="pct"/>
            <w:noWrap/>
            <w:vAlign w:val="bottom"/>
          </w:tcPr>
          <w:p w:rsidR="00000000" w:rsidRDefault="00000000">
            <w:pPr>
              <w:spacing w:before="80" w:after="80"/>
              <w:jc w:val="center"/>
              <w:rPr>
                <w:sz w:val="20"/>
                <w:szCs w:val="20"/>
              </w:rPr>
            </w:pPr>
            <w:r>
              <w:rPr>
                <w:sz w:val="20"/>
                <w:szCs w:val="20"/>
              </w:rPr>
              <w:t>20</w:t>
            </w:r>
          </w:p>
        </w:tc>
        <w:tc>
          <w:tcPr>
            <w:tcW w:w="550" w:type="pct"/>
            <w:noWrap/>
            <w:vAlign w:val="bottom"/>
          </w:tcPr>
          <w:p w:rsidR="00000000" w:rsidRDefault="00000000">
            <w:pPr>
              <w:spacing w:before="80" w:after="80"/>
              <w:jc w:val="center"/>
              <w:rPr>
                <w:sz w:val="20"/>
                <w:szCs w:val="20"/>
              </w:rPr>
            </w:pPr>
            <w:r>
              <w:rPr>
                <w:sz w:val="20"/>
                <w:szCs w:val="20"/>
              </w:rPr>
              <w:t>8</w:t>
            </w:r>
          </w:p>
        </w:tc>
        <w:tc>
          <w:tcPr>
            <w:tcW w:w="676" w:type="pct"/>
            <w:noWrap/>
            <w:vAlign w:val="bottom"/>
          </w:tcPr>
          <w:p w:rsidR="00000000" w:rsidRDefault="00000000">
            <w:pPr>
              <w:spacing w:before="80" w:after="80"/>
              <w:jc w:val="center"/>
              <w:rPr>
                <w:sz w:val="20"/>
                <w:szCs w:val="20"/>
              </w:rPr>
            </w:pPr>
            <w:r>
              <w:rPr>
                <w:sz w:val="20"/>
                <w:szCs w:val="20"/>
              </w:rPr>
              <w:t>41</w:t>
            </w:r>
          </w:p>
        </w:tc>
      </w:tr>
      <w:tr w:rsidR="00000000">
        <w:trPr>
          <w:jc w:val="center"/>
        </w:trPr>
        <w:tc>
          <w:tcPr>
            <w:tcW w:w="2535" w:type="pct"/>
            <w:noWrap/>
            <w:vAlign w:val="bottom"/>
          </w:tcPr>
          <w:p w:rsidR="00000000" w:rsidRDefault="00000000">
            <w:pPr>
              <w:spacing w:before="80" w:after="80"/>
              <w:rPr>
                <w:sz w:val="20"/>
                <w:szCs w:val="20"/>
              </w:rPr>
            </w:pPr>
            <w:r>
              <w:rPr>
                <w:sz w:val="20"/>
                <w:szCs w:val="20"/>
              </w:rPr>
              <w:t xml:space="preserve">Official communications </w:t>
            </w:r>
          </w:p>
        </w:tc>
        <w:tc>
          <w:tcPr>
            <w:tcW w:w="537" w:type="pct"/>
            <w:noWrap/>
            <w:vAlign w:val="bottom"/>
          </w:tcPr>
          <w:p w:rsidR="00000000" w:rsidRDefault="00000000">
            <w:pPr>
              <w:spacing w:before="80" w:after="80"/>
              <w:jc w:val="center"/>
              <w:rPr>
                <w:sz w:val="20"/>
                <w:szCs w:val="20"/>
              </w:rPr>
            </w:pPr>
            <w:r>
              <w:rPr>
                <w:sz w:val="20"/>
                <w:szCs w:val="20"/>
              </w:rPr>
              <w:t>1</w:t>
            </w:r>
          </w:p>
        </w:tc>
        <w:tc>
          <w:tcPr>
            <w:tcW w:w="702" w:type="pct"/>
            <w:noWrap/>
            <w:vAlign w:val="bottom"/>
          </w:tcPr>
          <w:p w:rsidR="00000000" w:rsidRDefault="00000000">
            <w:pPr>
              <w:spacing w:before="80" w:after="80"/>
              <w:jc w:val="center"/>
              <w:rPr>
                <w:sz w:val="20"/>
                <w:szCs w:val="20"/>
              </w:rPr>
            </w:pPr>
            <w:r>
              <w:rPr>
                <w:sz w:val="20"/>
                <w:szCs w:val="20"/>
              </w:rPr>
              <w:t>5</w:t>
            </w:r>
          </w:p>
        </w:tc>
        <w:tc>
          <w:tcPr>
            <w:tcW w:w="550" w:type="pct"/>
            <w:noWrap/>
            <w:vAlign w:val="bottom"/>
          </w:tcPr>
          <w:p w:rsidR="00000000" w:rsidRDefault="00000000">
            <w:pPr>
              <w:spacing w:before="80" w:after="80"/>
              <w:jc w:val="center"/>
              <w:rPr>
                <w:sz w:val="20"/>
                <w:szCs w:val="20"/>
              </w:rPr>
            </w:pPr>
            <w:r>
              <w:rPr>
                <w:sz w:val="20"/>
                <w:szCs w:val="20"/>
              </w:rPr>
              <w:t>5</w:t>
            </w:r>
          </w:p>
        </w:tc>
        <w:tc>
          <w:tcPr>
            <w:tcW w:w="676" w:type="pct"/>
            <w:noWrap/>
            <w:vAlign w:val="bottom"/>
          </w:tcPr>
          <w:p w:rsidR="00000000" w:rsidRDefault="00000000">
            <w:pPr>
              <w:spacing w:before="80" w:after="80"/>
              <w:jc w:val="center"/>
              <w:rPr>
                <w:sz w:val="20"/>
                <w:szCs w:val="20"/>
              </w:rPr>
            </w:pPr>
            <w:r>
              <w:rPr>
                <w:sz w:val="20"/>
                <w:szCs w:val="20"/>
              </w:rPr>
              <w:t>11</w:t>
            </w:r>
          </w:p>
        </w:tc>
      </w:tr>
      <w:tr w:rsidR="00000000">
        <w:trPr>
          <w:jc w:val="center"/>
        </w:trPr>
        <w:tc>
          <w:tcPr>
            <w:tcW w:w="2535" w:type="pct"/>
            <w:noWrap/>
            <w:vAlign w:val="bottom"/>
          </w:tcPr>
          <w:p w:rsidR="00000000" w:rsidRDefault="00000000">
            <w:pPr>
              <w:spacing w:before="80" w:after="80"/>
              <w:rPr>
                <w:sz w:val="20"/>
                <w:szCs w:val="20"/>
              </w:rPr>
            </w:pPr>
            <w:r>
              <w:rPr>
                <w:sz w:val="20"/>
                <w:szCs w:val="20"/>
              </w:rPr>
              <w:t>Rulings</w:t>
            </w:r>
          </w:p>
        </w:tc>
        <w:tc>
          <w:tcPr>
            <w:tcW w:w="537" w:type="pct"/>
            <w:noWrap/>
            <w:vAlign w:val="bottom"/>
          </w:tcPr>
          <w:p w:rsidR="00000000" w:rsidRDefault="00000000">
            <w:pPr>
              <w:spacing w:before="80" w:after="80"/>
              <w:jc w:val="center"/>
              <w:rPr>
                <w:sz w:val="20"/>
                <w:szCs w:val="20"/>
              </w:rPr>
            </w:pPr>
            <w:r>
              <w:rPr>
                <w:sz w:val="20"/>
                <w:szCs w:val="20"/>
              </w:rPr>
              <w:t>0</w:t>
            </w:r>
          </w:p>
        </w:tc>
        <w:tc>
          <w:tcPr>
            <w:tcW w:w="702" w:type="pct"/>
            <w:noWrap/>
            <w:vAlign w:val="bottom"/>
          </w:tcPr>
          <w:p w:rsidR="00000000" w:rsidRDefault="00000000">
            <w:pPr>
              <w:spacing w:before="80" w:after="80"/>
              <w:jc w:val="center"/>
              <w:rPr>
                <w:sz w:val="20"/>
                <w:szCs w:val="20"/>
              </w:rPr>
            </w:pPr>
            <w:r>
              <w:rPr>
                <w:sz w:val="20"/>
                <w:szCs w:val="20"/>
              </w:rPr>
              <w:t>0</w:t>
            </w:r>
          </w:p>
        </w:tc>
        <w:tc>
          <w:tcPr>
            <w:tcW w:w="550" w:type="pct"/>
            <w:noWrap/>
            <w:vAlign w:val="bottom"/>
          </w:tcPr>
          <w:p w:rsidR="00000000" w:rsidRDefault="00000000">
            <w:pPr>
              <w:spacing w:before="80" w:after="80"/>
              <w:jc w:val="center"/>
              <w:rPr>
                <w:sz w:val="20"/>
                <w:szCs w:val="20"/>
              </w:rPr>
            </w:pPr>
            <w:r>
              <w:rPr>
                <w:sz w:val="20"/>
                <w:szCs w:val="20"/>
              </w:rPr>
              <w:t>0</w:t>
            </w:r>
          </w:p>
        </w:tc>
        <w:tc>
          <w:tcPr>
            <w:tcW w:w="676" w:type="pct"/>
            <w:noWrap/>
            <w:vAlign w:val="bottom"/>
          </w:tcPr>
          <w:p w:rsidR="00000000" w:rsidRDefault="00000000">
            <w:pPr>
              <w:spacing w:before="80" w:after="80"/>
              <w:jc w:val="center"/>
              <w:rPr>
                <w:sz w:val="20"/>
                <w:szCs w:val="20"/>
              </w:rPr>
            </w:pPr>
            <w:r>
              <w:rPr>
                <w:sz w:val="20"/>
                <w:szCs w:val="20"/>
              </w:rPr>
              <w:t>0</w:t>
            </w:r>
          </w:p>
        </w:tc>
      </w:tr>
      <w:tr w:rsidR="00000000">
        <w:trPr>
          <w:jc w:val="center"/>
        </w:trPr>
        <w:tc>
          <w:tcPr>
            <w:tcW w:w="2535" w:type="pct"/>
            <w:noWrap/>
            <w:vAlign w:val="bottom"/>
          </w:tcPr>
          <w:p w:rsidR="00000000" w:rsidRDefault="00000000">
            <w:pPr>
              <w:spacing w:before="80" w:after="80"/>
              <w:rPr>
                <w:b/>
                <w:bCs/>
                <w:sz w:val="20"/>
                <w:szCs w:val="20"/>
              </w:rPr>
            </w:pPr>
            <w:r>
              <w:rPr>
                <w:b/>
                <w:bCs/>
                <w:sz w:val="20"/>
                <w:szCs w:val="20"/>
              </w:rPr>
              <w:t>By activity and orders:</w:t>
            </w:r>
          </w:p>
        </w:tc>
        <w:tc>
          <w:tcPr>
            <w:tcW w:w="537" w:type="pct"/>
            <w:noWrap/>
            <w:vAlign w:val="bottom"/>
          </w:tcPr>
          <w:p w:rsidR="00000000" w:rsidRDefault="00000000">
            <w:pPr>
              <w:spacing w:before="80" w:after="80"/>
              <w:jc w:val="center"/>
              <w:rPr>
                <w:b/>
                <w:bCs/>
                <w:sz w:val="20"/>
                <w:szCs w:val="20"/>
              </w:rPr>
            </w:pPr>
            <w:r>
              <w:rPr>
                <w:b/>
                <w:bCs/>
                <w:sz w:val="20"/>
                <w:szCs w:val="20"/>
              </w:rPr>
              <w:t>14</w:t>
            </w:r>
          </w:p>
        </w:tc>
        <w:tc>
          <w:tcPr>
            <w:tcW w:w="702" w:type="pct"/>
            <w:noWrap/>
            <w:vAlign w:val="bottom"/>
          </w:tcPr>
          <w:p w:rsidR="00000000" w:rsidRDefault="00000000">
            <w:pPr>
              <w:spacing w:before="80" w:after="80"/>
              <w:jc w:val="center"/>
              <w:rPr>
                <w:b/>
                <w:bCs/>
                <w:sz w:val="20"/>
                <w:szCs w:val="20"/>
              </w:rPr>
            </w:pPr>
            <w:r>
              <w:rPr>
                <w:b/>
                <w:bCs/>
                <w:sz w:val="20"/>
                <w:szCs w:val="20"/>
              </w:rPr>
              <w:t>25</w:t>
            </w:r>
          </w:p>
        </w:tc>
        <w:tc>
          <w:tcPr>
            <w:tcW w:w="550" w:type="pct"/>
            <w:noWrap/>
            <w:vAlign w:val="bottom"/>
          </w:tcPr>
          <w:p w:rsidR="00000000" w:rsidRDefault="00000000">
            <w:pPr>
              <w:spacing w:before="80" w:after="80"/>
              <w:jc w:val="center"/>
              <w:rPr>
                <w:b/>
                <w:bCs/>
                <w:sz w:val="20"/>
                <w:szCs w:val="20"/>
              </w:rPr>
            </w:pPr>
            <w:r>
              <w:rPr>
                <w:b/>
                <w:bCs/>
                <w:sz w:val="20"/>
                <w:szCs w:val="20"/>
              </w:rPr>
              <w:t>13</w:t>
            </w:r>
          </w:p>
        </w:tc>
        <w:tc>
          <w:tcPr>
            <w:tcW w:w="676" w:type="pct"/>
            <w:noWrap/>
            <w:vAlign w:val="bottom"/>
          </w:tcPr>
          <w:p w:rsidR="00000000" w:rsidRDefault="00000000">
            <w:pPr>
              <w:spacing w:before="80" w:after="80"/>
              <w:jc w:val="center"/>
              <w:rPr>
                <w:b/>
                <w:bCs/>
                <w:sz w:val="20"/>
                <w:szCs w:val="20"/>
              </w:rPr>
            </w:pPr>
            <w:r>
              <w:rPr>
                <w:b/>
                <w:bCs/>
                <w:sz w:val="20"/>
                <w:szCs w:val="20"/>
              </w:rPr>
              <w:t>52</w:t>
            </w:r>
          </w:p>
        </w:tc>
      </w:tr>
      <w:tr w:rsidR="00000000">
        <w:trPr>
          <w:jc w:val="center"/>
        </w:trPr>
        <w:tc>
          <w:tcPr>
            <w:tcW w:w="2535" w:type="pct"/>
            <w:noWrap/>
            <w:vAlign w:val="bottom"/>
          </w:tcPr>
          <w:p w:rsidR="00000000" w:rsidRDefault="00000000">
            <w:pPr>
              <w:spacing w:before="80" w:after="80"/>
              <w:ind w:left="284"/>
              <w:rPr>
                <w:sz w:val="20"/>
                <w:szCs w:val="20"/>
              </w:rPr>
            </w:pPr>
            <w:r>
              <w:rPr>
                <w:sz w:val="20"/>
                <w:szCs w:val="20"/>
              </w:rPr>
              <w:t>Commerce</w:t>
            </w:r>
          </w:p>
        </w:tc>
        <w:tc>
          <w:tcPr>
            <w:tcW w:w="537" w:type="pct"/>
            <w:noWrap/>
            <w:vAlign w:val="bottom"/>
          </w:tcPr>
          <w:p w:rsidR="00000000" w:rsidRDefault="00000000">
            <w:pPr>
              <w:spacing w:before="80" w:after="80"/>
              <w:jc w:val="center"/>
              <w:rPr>
                <w:sz w:val="20"/>
                <w:szCs w:val="20"/>
              </w:rPr>
            </w:pPr>
            <w:r>
              <w:rPr>
                <w:sz w:val="20"/>
                <w:szCs w:val="20"/>
              </w:rPr>
              <w:t>0</w:t>
            </w:r>
          </w:p>
        </w:tc>
        <w:tc>
          <w:tcPr>
            <w:tcW w:w="702" w:type="pct"/>
            <w:noWrap/>
            <w:vAlign w:val="bottom"/>
          </w:tcPr>
          <w:p w:rsidR="00000000" w:rsidRDefault="00000000">
            <w:pPr>
              <w:spacing w:before="80" w:after="80"/>
              <w:jc w:val="center"/>
              <w:rPr>
                <w:sz w:val="20"/>
                <w:szCs w:val="20"/>
              </w:rPr>
            </w:pPr>
            <w:r>
              <w:rPr>
                <w:sz w:val="20"/>
                <w:szCs w:val="20"/>
              </w:rPr>
              <w:t>0</w:t>
            </w:r>
          </w:p>
        </w:tc>
        <w:tc>
          <w:tcPr>
            <w:tcW w:w="550" w:type="pct"/>
            <w:noWrap/>
            <w:vAlign w:val="bottom"/>
          </w:tcPr>
          <w:p w:rsidR="00000000" w:rsidRDefault="00000000">
            <w:pPr>
              <w:spacing w:before="80" w:after="80"/>
              <w:jc w:val="center"/>
              <w:rPr>
                <w:sz w:val="20"/>
                <w:szCs w:val="20"/>
              </w:rPr>
            </w:pPr>
            <w:r>
              <w:rPr>
                <w:sz w:val="20"/>
                <w:szCs w:val="20"/>
              </w:rPr>
              <w:t>0</w:t>
            </w:r>
          </w:p>
        </w:tc>
        <w:tc>
          <w:tcPr>
            <w:tcW w:w="676" w:type="pct"/>
            <w:noWrap/>
            <w:vAlign w:val="bottom"/>
          </w:tcPr>
          <w:p w:rsidR="00000000" w:rsidRDefault="00000000">
            <w:pPr>
              <w:spacing w:before="80" w:after="80"/>
              <w:jc w:val="center"/>
              <w:rPr>
                <w:sz w:val="20"/>
                <w:szCs w:val="20"/>
              </w:rPr>
            </w:pPr>
            <w:r>
              <w:rPr>
                <w:sz w:val="20"/>
                <w:szCs w:val="20"/>
              </w:rPr>
              <w:t>0</w:t>
            </w:r>
          </w:p>
        </w:tc>
      </w:tr>
      <w:tr w:rsidR="00000000">
        <w:trPr>
          <w:jc w:val="center"/>
        </w:trPr>
        <w:tc>
          <w:tcPr>
            <w:tcW w:w="2535" w:type="pct"/>
            <w:noWrap/>
            <w:vAlign w:val="bottom"/>
          </w:tcPr>
          <w:p w:rsidR="00000000" w:rsidRDefault="00000000">
            <w:pPr>
              <w:spacing w:before="80" w:after="80"/>
              <w:ind w:left="284"/>
              <w:rPr>
                <w:sz w:val="20"/>
                <w:szCs w:val="20"/>
              </w:rPr>
            </w:pPr>
            <w:r>
              <w:rPr>
                <w:sz w:val="20"/>
                <w:szCs w:val="20"/>
              </w:rPr>
              <w:t>Services</w:t>
            </w:r>
          </w:p>
        </w:tc>
        <w:tc>
          <w:tcPr>
            <w:tcW w:w="537" w:type="pct"/>
            <w:noWrap/>
            <w:vAlign w:val="bottom"/>
          </w:tcPr>
          <w:p w:rsidR="00000000" w:rsidRDefault="00000000">
            <w:pPr>
              <w:spacing w:before="80" w:after="80"/>
              <w:jc w:val="center"/>
              <w:rPr>
                <w:sz w:val="20"/>
                <w:szCs w:val="20"/>
              </w:rPr>
            </w:pPr>
            <w:r>
              <w:rPr>
                <w:sz w:val="20"/>
                <w:szCs w:val="20"/>
              </w:rPr>
              <w:t>1</w:t>
            </w:r>
          </w:p>
        </w:tc>
        <w:tc>
          <w:tcPr>
            <w:tcW w:w="702" w:type="pct"/>
            <w:noWrap/>
            <w:vAlign w:val="bottom"/>
          </w:tcPr>
          <w:p w:rsidR="00000000" w:rsidRDefault="00000000">
            <w:pPr>
              <w:spacing w:before="80" w:after="80"/>
              <w:jc w:val="center"/>
              <w:rPr>
                <w:sz w:val="20"/>
                <w:szCs w:val="20"/>
              </w:rPr>
            </w:pPr>
            <w:r>
              <w:rPr>
                <w:sz w:val="20"/>
                <w:szCs w:val="20"/>
              </w:rPr>
              <w:t>4</w:t>
            </w:r>
          </w:p>
        </w:tc>
        <w:tc>
          <w:tcPr>
            <w:tcW w:w="550" w:type="pct"/>
            <w:noWrap/>
            <w:vAlign w:val="bottom"/>
          </w:tcPr>
          <w:p w:rsidR="00000000" w:rsidRDefault="00000000">
            <w:pPr>
              <w:spacing w:before="80" w:after="80"/>
              <w:jc w:val="center"/>
              <w:rPr>
                <w:sz w:val="20"/>
                <w:szCs w:val="20"/>
              </w:rPr>
            </w:pPr>
            <w:r>
              <w:rPr>
                <w:sz w:val="20"/>
                <w:szCs w:val="20"/>
              </w:rPr>
              <w:t>1</w:t>
            </w:r>
          </w:p>
        </w:tc>
        <w:tc>
          <w:tcPr>
            <w:tcW w:w="676" w:type="pct"/>
            <w:noWrap/>
            <w:vAlign w:val="bottom"/>
          </w:tcPr>
          <w:p w:rsidR="00000000" w:rsidRDefault="00000000">
            <w:pPr>
              <w:spacing w:before="80" w:after="80"/>
              <w:jc w:val="center"/>
              <w:rPr>
                <w:sz w:val="20"/>
                <w:szCs w:val="20"/>
              </w:rPr>
            </w:pPr>
            <w:r>
              <w:rPr>
                <w:sz w:val="20"/>
                <w:szCs w:val="20"/>
              </w:rPr>
              <w:t>6</w:t>
            </w:r>
          </w:p>
        </w:tc>
      </w:tr>
      <w:tr w:rsidR="00000000">
        <w:trPr>
          <w:jc w:val="center"/>
        </w:trPr>
        <w:tc>
          <w:tcPr>
            <w:tcW w:w="2535" w:type="pct"/>
            <w:noWrap/>
            <w:vAlign w:val="bottom"/>
          </w:tcPr>
          <w:p w:rsidR="00000000" w:rsidRDefault="00000000">
            <w:pPr>
              <w:spacing w:before="80" w:after="80"/>
              <w:ind w:left="284"/>
              <w:rPr>
                <w:sz w:val="20"/>
                <w:szCs w:val="20"/>
              </w:rPr>
            </w:pPr>
            <w:r>
              <w:rPr>
                <w:sz w:val="20"/>
                <w:szCs w:val="20"/>
              </w:rPr>
              <w:t>Industry</w:t>
            </w:r>
          </w:p>
        </w:tc>
        <w:tc>
          <w:tcPr>
            <w:tcW w:w="537" w:type="pct"/>
            <w:noWrap/>
            <w:vAlign w:val="bottom"/>
          </w:tcPr>
          <w:p w:rsidR="00000000" w:rsidRDefault="00000000">
            <w:pPr>
              <w:spacing w:before="80" w:after="80"/>
              <w:jc w:val="center"/>
              <w:rPr>
                <w:sz w:val="20"/>
                <w:szCs w:val="20"/>
              </w:rPr>
            </w:pPr>
            <w:r>
              <w:rPr>
                <w:sz w:val="20"/>
                <w:szCs w:val="20"/>
              </w:rPr>
              <w:t>4</w:t>
            </w:r>
          </w:p>
        </w:tc>
        <w:tc>
          <w:tcPr>
            <w:tcW w:w="702" w:type="pct"/>
            <w:noWrap/>
            <w:vAlign w:val="bottom"/>
          </w:tcPr>
          <w:p w:rsidR="00000000" w:rsidRDefault="00000000">
            <w:pPr>
              <w:spacing w:before="80" w:after="80"/>
              <w:jc w:val="center"/>
              <w:rPr>
                <w:sz w:val="20"/>
                <w:szCs w:val="20"/>
              </w:rPr>
            </w:pPr>
            <w:r>
              <w:rPr>
                <w:sz w:val="20"/>
                <w:szCs w:val="20"/>
              </w:rPr>
              <w:t>5</w:t>
            </w:r>
          </w:p>
        </w:tc>
        <w:tc>
          <w:tcPr>
            <w:tcW w:w="550" w:type="pct"/>
            <w:noWrap/>
            <w:vAlign w:val="bottom"/>
          </w:tcPr>
          <w:p w:rsidR="00000000" w:rsidRDefault="00000000">
            <w:pPr>
              <w:spacing w:before="80" w:after="80"/>
              <w:jc w:val="center"/>
              <w:rPr>
                <w:sz w:val="20"/>
                <w:szCs w:val="20"/>
              </w:rPr>
            </w:pPr>
            <w:r>
              <w:rPr>
                <w:sz w:val="20"/>
                <w:szCs w:val="20"/>
              </w:rPr>
              <w:t>0</w:t>
            </w:r>
          </w:p>
        </w:tc>
        <w:tc>
          <w:tcPr>
            <w:tcW w:w="676" w:type="pct"/>
            <w:noWrap/>
            <w:vAlign w:val="bottom"/>
          </w:tcPr>
          <w:p w:rsidR="00000000" w:rsidRDefault="00000000">
            <w:pPr>
              <w:spacing w:before="80" w:after="80"/>
              <w:jc w:val="center"/>
              <w:rPr>
                <w:sz w:val="20"/>
                <w:szCs w:val="20"/>
              </w:rPr>
            </w:pPr>
            <w:r>
              <w:rPr>
                <w:sz w:val="20"/>
                <w:szCs w:val="20"/>
              </w:rPr>
              <w:t>9</w:t>
            </w:r>
          </w:p>
        </w:tc>
      </w:tr>
      <w:tr w:rsidR="00000000">
        <w:trPr>
          <w:jc w:val="center"/>
        </w:trPr>
        <w:tc>
          <w:tcPr>
            <w:tcW w:w="2535" w:type="pct"/>
            <w:noWrap/>
            <w:vAlign w:val="bottom"/>
          </w:tcPr>
          <w:p w:rsidR="00000000" w:rsidRDefault="00000000">
            <w:pPr>
              <w:spacing w:before="80" w:after="80"/>
              <w:ind w:left="284"/>
              <w:rPr>
                <w:sz w:val="20"/>
                <w:szCs w:val="20"/>
              </w:rPr>
            </w:pPr>
            <w:r>
              <w:rPr>
                <w:sz w:val="20"/>
                <w:szCs w:val="20"/>
              </w:rPr>
              <w:t>Transport</w:t>
            </w:r>
          </w:p>
        </w:tc>
        <w:tc>
          <w:tcPr>
            <w:tcW w:w="537" w:type="pct"/>
            <w:noWrap/>
            <w:vAlign w:val="bottom"/>
          </w:tcPr>
          <w:p w:rsidR="00000000" w:rsidRDefault="00000000">
            <w:pPr>
              <w:spacing w:before="80" w:after="80"/>
              <w:jc w:val="center"/>
              <w:rPr>
                <w:sz w:val="20"/>
                <w:szCs w:val="20"/>
              </w:rPr>
            </w:pPr>
            <w:r>
              <w:rPr>
                <w:sz w:val="20"/>
                <w:szCs w:val="20"/>
              </w:rPr>
              <w:t>6</w:t>
            </w:r>
          </w:p>
        </w:tc>
        <w:tc>
          <w:tcPr>
            <w:tcW w:w="702" w:type="pct"/>
            <w:noWrap/>
            <w:vAlign w:val="bottom"/>
          </w:tcPr>
          <w:p w:rsidR="00000000" w:rsidRDefault="00000000">
            <w:pPr>
              <w:spacing w:before="80" w:after="80"/>
              <w:jc w:val="center"/>
              <w:rPr>
                <w:sz w:val="20"/>
                <w:szCs w:val="20"/>
              </w:rPr>
            </w:pPr>
            <w:r>
              <w:rPr>
                <w:sz w:val="20"/>
                <w:szCs w:val="20"/>
              </w:rPr>
              <w:t>10</w:t>
            </w:r>
          </w:p>
        </w:tc>
        <w:tc>
          <w:tcPr>
            <w:tcW w:w="550" w:type="pct"/>
            <w:noWrap/>
            <w:vAlign w:val="bottom"/>
          </w:tcPr>
          <w:p w:rsidR="00000000" w:rsidRDefault="00000000">
            <w:pPr>
              <w:spacing w:before="80" w:after="80"/>
              <w:jc w:val="center"/>
              <w:rPr>
                <w:sz w:val="20"/>
                <w:szCs w:val="20"/>
              </w:rPr>
            </w:pPr>
            <w:r>
              <w:rPr>
                <w:sz w:val="20"/>
                <w:szCs w:val="20"/>
              </w:rPr>
              <w:t>6</w:t>
            </w:r>
          </w:p>
        </w:tc>
        <w:tc>
          <w:tcPr>
            <w:tcW w:w="676" w:type="pct"/>
            <w:noWrap/>
            <w:vAlign w:val="bottom"/>
          </w:tcPr>
          <w:p w:rsidR="00000000" w:rsidRDefault="00000000">
            <w:pPr>
              <w:spacing w:before="80" w:after="80"/>
              <w:jc w:val="center"/>
              <w:rPr>
                <w:sz w:val="20"/>
                <w:szCs w:val="20"/>
              </w:rPr>
            </w:pPr>
            <w:r>
              <w:rPr>
                <w:sz w:val="20"/>
                <w:szCs w:val="20"/>
              </w:rPr>
              <w:t>22</w:t>
            </w:r>
          </w:p>
        </w:tc>
      </w:tr>
      <w:tr w:rsidR="00000000">
        <w:trPr>
          <w:jc w:val="center"/>
        </w:trPr>
        <w:tc>
          <w:tcPr>
            <w:tcW w:w="2535" w:type="pct"/>
            <w:noWrap/>
            <w:vAlign w:val="bottom"/>
          </w:tcPr>
          <w:p w:rsidR="00000000" w:rsidRDefault="00000000">
            <w:pPr>
              <w:spacing w:before="80" w:after="80"/>
              <w:ind w:left="284"/>
              <w:rPr>
                <w:sz w:val="20"/>
                <w:szCs w:val="20"/>
              </w:rPr>
            </w:pPr>
            <w:r>
              <w:rPr>
                <w:sz w:val="20"/>
                <w:szCs w:val="20"/>
              </w:rPr>
              <w:t>State</w:t>
            </w:r>
          </w:p>
        </w:tc>
        <w:tc>
          <w:tcPr>
            <w:tcW w:w="537" w:type="pct"/>
            <w:noWrap/>
            <w:vAlign w:val="bottom"/>
          </w:tcPr>
          <w:p w:rsidR="00000000" w:rsidRDefault="00000000">
            <w:pPr>
              <w:spacing w:before="80" w:after="80"/>
              <w:jc w:val="center"/>
              <w:rPr>
                <w:sz w:val="20"/>
                <w:szCs w:val="20"/>
              </w:rPr>
            </w:pPr>
            <w:r>
              <w:rPr>
                <w:sz w:val="20"/>
                <w:szCs w:val="20"/>
              </w:rPr>
              <w:t>3</w:t>
            </w:r>
          </w:p>
        </w:tc>
        <w:tc>
          <w:tcPr>
            <w:tcW w:w="702" w:type="pct"/>
            <w:noWrap/>
            <w:vAlign w:val="bottom"/>
          </w:tcPr>
          <w:p w:rsidR="00000000" w:rsidRDefault="00000000">
            <w:pPr>
              <w:spacing w:before="80" w:after="80"/>
              <w:jc w:val="center"/>
              <w:rPr>
                <w:sz w:val="20"/>
                <w:szCs w:val="20"/>
              </w:rPr>
            </w:pPr>
            <w:r>
              <w:rPr>
                <w:sz w:val="20"/>
                <w:szCs w:val="20"/>
              </w:rPr>
              <w:t>6</w:t>
            </w:r>
          </w:p>
        </w:tc>
        <w:tc>
          <w:tcPr>
            <w:tcW w:w="550" w:type="pct"/>
            <w:noWrap/>
            <w:vAlign w:val="bottom"/>
          </w:tcPr>
          <w:p w:rsidR="00000000" w:rsidRDefault="00000000">
            <w:pPr>
              <w:spacing w:before="80" w:after="80"/>
              <w:jc w:val="center"/>
              <w:rPr>
                <w:sz w:val="20"/>
                <w:szCs w:val="20"/>
              </w:rPr>
            </w:pPr>
            <w:r>
              <w:rPr>
                <w:sz w:val="20"/>
                <w:szCs w:val="20"/>
              </w:rPr>
              <w:t>6</w:t>
            </w:r>
          </w:p>
        </w:tc>
        <w:tc>
          <w:tcPr>
            <w:tcW w:w="676" w:type="pct"/>
            <w:noWrap/>
            <w:vAlign w:val="bottom"/>
          </w:tcPr>
          <w:p w:rsidR="00000000" w:rsidRDefault="00000000">
            <w:pPr>
              <w:spacing w:before="80" w:after="80"/>
              <w:jc w:val="center"/>
              <w:rPr>
                <w:sz w:val="20"/>
                <w:szCs w:val="20"/>
              </w:rPr>
            </w:pPr>
            <w:r>
              <w:rPr>
                <w:sz w:val="20"/>
                <w:szCs w:val="20"/>
              </w:rPr>
              <w:t>15</w:t>
            </w:r>
          </w:p>
        </w:tc>
      </w:tr>
      <w:tr w:rsidR="00000000">
        <w:trPr>
          <w:jc w:val="center"/>
        </w:trPr>
        <w:tc>
          <w:tcPr>
            <w:tcW w:w="2535" w:type="pct"/>
            <w:noWrap/>
            <w:vAlign w:val="bottom"/>
          </w:tcPr>
          <w:p w:rsidR="00000000" w:rsidRDefault="00000000">
            <w:pPr>
              <w:spacing w:before="80" w:after="80"/>
              <w:rPr>
                <w:b/>
                <w:bCs/>
                <w:sz w:val="20"/>
                <w:szCs w:val="20"/>
              </w:rPr>
            </w:pPr>
            <w:r>
              <w:rPr>
                <w:b/>
                <w:bCs/>
                <w:sz w:val="20"/>
                <w:szCs w:val="20"/>
              </w:rPr>
              <w:t xml:space="preserve">By nature of case: </w:t>
            </w:r>
          </w:p>
        </w:tc>
        <w:tc>
          <w:tcPr>
            <w:tcW w:w="537" w:type="pct"/>
            <w:noWrap/>
            <w:vAlign w:val="bottom"/>
          </w:tcPr>
          <w:p w:rsidR="00000000" w:rsidRDefault="00000000">
            <w:pPr>
              <w:spacing w:before="80" w:after="80"/>
              <w:jc w:val="center"/>
              <w:rPr>
                <w:b/>
                <w:bCs/>
                <w:sz w:val="20"/>
                <w:szCs w:val="20"/>
              </w:rPr>
            </w:pPr>
            <w:r>
              <w:rPr>
                <w:b/>
                <w:bCs/>
                <w:sz w:val="20"/>
                <w:szCs w:val="20"/>
              </w:rPr>
              <w:t>14</w:t>
            </w:r>
          </w:p>
        </w:tc>
        <w:tc>
          <w:tcPr>
            <w:tcW w:w="702" w:type="pct"/>
            <w:noWrap/>
            <w:vAlign w:val="bottom"/>
          </w:tcPr>
          <w:p w:rsidR="00000000" w:rsidRDefault="00000000">
            <w:pPr>
              <w:spacing w:before="80" w:after="80"/>
              <w:jc w:val="center"/>
              <w:rPr>
                <w:b/>
                <w:bCs/>
                <w:sz w:val="20"/>
                <w:szCs w:val="20"/>
              </w:rPr>
            </w:pPr>
            <w:r>
              <w:rPr>
                <w:b/>
                <w:bCs/>
                <w:sz w:val="20"/>
                <w:szCs w:val="20"/>
              </w:rPr>
              <w:t>25</w:t>
            </w:r>
          </w:p>
        </w:tc>
        <w:tc>
          <w:tcPr>
            <w:tcW w:w="550" w:type="pct"/>
            <w:noWrap/>
            <w:vAlign w:val="bottom"/>
          </w:tcPr>
          <w:p w:rsidR="00000000" w:rsidRDefault="00000000">
            <w:pPr>
              <w:spacing w:before="80" w:after="80"/>
              <w:jc w:val="center"/>
              <w:rPr>
                <w:b/>
                <w:bCs/>
                <w:sz w:val="20"/>
                <w:szCs w:val="20"/>
              </w:rPr>
            </w:pPr>
            <w:r>
              <w:rPr>
                <w:b/>
                <w:bCs/>
                <w:sz w:val="20"/>
                <w:szCs w:val="20"/>
              </w:rPr>
              <w:t>13</w:t>
            </w:r>
          </w:p>
        </w:tc>
        <w:tc>
          <w:tcPr>
            <w:tcW w:w="676" w:type="pct"/>
            <w:noWrap/>
            <w:vAlign w:val="bottom"/>
          </w:tcPr>
          <w:p w:rsidR="00000000" w:rsidRDefault="00000000">
            <w:pPr>
              <w:spacing w:before="80" w:after="80"/>
              <w:jc w:val="center"/>
              <w:rPr>
                <w:b/>
                <w:bCs/>
                <w:sz w:val="20"/>
                <w:szCs w:val="20"/>
              </w:rPr>
            </w:pPr>
            <w:r>
              <w:rPr>
                <w:b/>
                <w:bCs/>
                <w:sz w:val="20"/>
                <w:szCs w:val="20"/>
              </w:rPr>
              <w:t>52</w:t>
            </w:r>
          </w:p>
        </w:tc>
      </w:tr>
      <w:tr w:rsidR="00000000">
        <w:trPr>
          <w:jc w:val="center"/>
        </w:trPr>
        <w:tc>
          <w:tcPr>
            <w:tcW w:w="2535" w:type="pct"/>
            <w:noWrap/>
            <w:vAlign w:val="bottom"/>
          </w:tcPr>
          <w:p w:rsidR="00000000" w:rsidRDefault="00000000">
            <w:pPr>
              <w:spacing w:before="80" w:after="80"/>
              <w:ind w:left="284"/>
              <w:rPr>
                <w:sz w:val="20"/>
                <w:szCs w:val="20"/>
              </w:rPr>
            </w:pPr>
            <w:r>
              <w:rPr>
                <w:sz w:val="20"/>
                <w:szCs w:val="20"/>
              </w:rPr>
              <w:t xml:space="preserve">Various subjects of labour interest </w:t>
            </w:r>
          </w:p>
        </w:tc>
        <w:tc>
          <w:tcPr>
            <w:tcW w:w="537" w:type="pct"/>
            <w:noWrap/>
            <w:vAlign w:val="bottom"/>
          </w:tcPr>
          <w:p w:rsidR="00000000" w:rsidRDefault="00000000">
            <w:pPr>
              <w:spacing w:before="80" w:after="80"/>
              <w:jc w:val="center"/>
              <w:rPr>
                <w:sz w:val="20"/>
                <w:szCs w:val="20"/>
              </w:rPr>
            </w:pPr>
            <w:r>
              <w:rPr>
                <w:sz w:val="20"/>
                <w:szCs w:val="20"/>
              </w:rPr>
              <w:t>13</w:t>
            </w:r>
          </w:p>
        </w:tc>
        <w:tc>
          <w:tcPr>
            <w:tcW w:w="702" w:type="pct"/>
            <w:noWrap/>
            <w:vAlign w:val="bottom"/>
          </w:tcPr>
          <w:p w:rsidR="00000000" w:rsidRDefault="00000000">
            <w:pPr>
              <w:spacing w:before="80" w:after="80"/>
              <w:jc w:val="center"/>
              <w:rPr>
                <w:sz w:val="20"/>
                <w:szCs w:val="20"/>
              </w:rPr>
            </w:pPr>
            <w:r>
              <w:rPr>
                <w:sz w:val="20"/>
                <w:szCs w:val="20"/>
              </w:rPr>
              <w:t>19</w:t>
            </w:r>
          </w:p>
        </w:tc>
        <w:tc>
          <w:tcPr>
            <w:tcW w:w="550" w:type="pct"/>
            <w:noWrap/>
            <w:vAlign w:val="bottom"/>
          </w:tcPr>
          <w:p w:rsidR="00000000" w:rsidRDefault="00000000">
            <w:pPr>
              <w:spacing w:before="80" w:after="80"/>
              <w:jc w:val="center"/>
              <w:rPr>
                <w:sz w:val="20"/>
                <w:szCs w:val="20"/>
              </w:rPr>
            </w:pPr>
            <w:r>
              <w:rPr>
                <w:sz w:val="20"/>
                <w:szCs w:val="20"/>
              </w:rPr>
              <w:t>12</w:t>
            </w:r>
          </w:p>
        </w:tc>
        <w:tc>
          <w:tcPr>
            <w:tcW w:w="676" w:type="pct"/>
            <w:noWrap/>
            <w:vAlign w:val="bottom"/>
          </w:tcPr>
          <w:p w:rsidR="00000000" w:rsidRDefault="00000000">
            <w:pPr>
              <w:spacing w:before="80" w:after="80"/>
              <w:jc w:val="center"/>
              <w:rPr>
                <w:sz w:val="20"/>
                <w:szCs w:val="20"/>
              </w:rPr>
            </w:pPr>
            <w:r>
              <w:rPr>
                <w:sz w:val="20"/>
                <w:szCs w:val="20"/>
              </w:rPr>
              <w:t>44</w:t>
            </w:r>
          </w:p>
        </w:tc>
      </w:tr>
      <w:tr w:rsidR="00000000">
        <w:trPr>
          <w:jc w:val="center"/>
        </w:trPr>
        <w:tc>
          <w:tcPr>
            <w:tcW w:w="2535" w:type="pct"/>
            <w:noWrap/>
            <w:vAlign w:val="bottom"/>
          </w:tcPr>
          <w:p w:rsidR="00000000" w:rsidRDefault="00000000">
            <w:pPr>
              <w:spacing w:before="80" w:after="80"/>
              <w:ind w:left="284"/>
              <w:rPr>
                <w:sz w:val="20"/>
                <w:szCs w:val="20"/>
              </w:rPr>
            </w:pPr>
            <w:r>
              <w:rPr>
                <w:sz w:val="20"/>
                <w:szCs w:val="20"/>
              </w:rPr>
              <w:t>Communication of measures of enforcement</w:t>
            </w:r>
          </w:p>
        </w:tc>
        <w:tc>
          <w:tcPr>
            <w:tcW w:w="537" w:type="pct"/>
            <w:noWrap/>
            <w:vAlign w:val="bottom"/>
          </w:tcPr>
          <w:p w:rsidR="00000000" w:rsidRDefault="00000000">
            <w:pPr>
              <w:spacing w:before="80" w:after="80"/>
              <w:jc w:val="center"/>
              <w:rPr>
                <w:sz w:val="20"/>
                <w:szCs w:val="20"/>
              </w:rPr>
            </w:pPr>
            <w:r>
              <w:rPr>
                <w:sz w:val="20"/>
                <w:szCs w:val="20"/>
              </w:rPr>
              <w:t>1</w:t>
            </w:r>
          </w:p>
        </w:tc>
        <w:tc>
          <w:tcPr>
            <w:tcW w:w="702" w:type="pct"/>
            <w:noWrap/>
            <w:vAlign w:val="bottom"/>
          </w:tcPr>
          <w:p w:rsidR="00000000" w:rsidRDefault="00000000">
            <w:pPr>
              <w:spacing w:before="80" w:after="80"/>
              <w:jc w:val="center"/>
              <w:rPr>
                <w:sz w:val="20"/>
                <w:szCs w:val="20"/>
              </w:rPr>
            </w:pPr>
            <w:r>
              <w:rPr>
                <w:sz w:val="20"/>
                <w:szCs w:val="20"/>
              </w:rPr>
              <w:t>6</w:t>
            </w:r>
          </w:p>
        </w:tc>
        <w:tc>
          <w:tcPr>
            <w:tcW w:w="550" w:type="pct"/>
            <w:noWrap/>
            <w:vAlign w:val="bottom"/>
          </w:tcPr>
          <w:p w:rsidR="00000000" w:rsidRDefault="00000000">
            <w:pPr>
              <w:spacing w:before="80" w:after="80"/>
              <w:jc w:val="center"/>
              <w:rPr>
                <w:sz w:val="20"/>
                <w:szCs w:val="20"/>
              </w:rPr>
            </w:pPr>
            <w:r>
              <w:rPr>
                <w:sz w:val="20"/>
                <w:szCs w:val="20"/>
              </w:rPr>
              <w:t>1</w:t>
            </w:r>
          </w:p>
        </w:tc>
        <w:tc>
          <w:tcPr>
            <w:tcW w:w="676" w:type="pct"/>
            <w:noWrap/>
            <w:vAlign w:val="bottom"/>
          </w:tcPr>
          <w:p w:rsidR="00000000" w:rsidRDefault="00000000">
            <w:pPr>
              <w:spacing w:before="80" w:after="80"/>
              <w:jc w:val="center"/>
              <w:rPr>
                <w:sz w:val="20"/>
                <w:szCs w:val="20"/>
              </w:rPr>
            </w:pPr>
            <w:r>
              <w:rPr>
                <w:sz w:val="20"/>
                <w:szCs w:val="20"/>
              </w:rPr>
              <w:t>8</w:t>
            </w:r>
          </w:p>
        </w:tc>
      </w:tr>
      <w:tr w:rsidR="00000000">
        <w:trPr>
          <w:jc w:val="center"/>
        </w:trPr>
        <w:tc>
          <w:tcPr>
            <w:tcW w:w="2535" w:type="pct"/>
            <w:noWrap/>
            <w:vAlign w:val="bottom"/>
          </w:tcPr>
          <w:p w:rsidR="00000000" w:rsidRDefault="00000000">
            <w:pPr>
              <w:spacing w:before="80" w:after="80"/>
              <w:rPr>
                <w:b/>
                <w:bCs/>
                <w:sz w:val="20"/>
                <w:szCs w:val="20"/>
              </w:rPr>
            </w:pPr>
            <w:r>
              <w:rPr>
                <w:b/>
                <w:bCs/>
                <w:sz w:val="20"/>
                <w:szCs w:val="20"/>
              </w:rPr>
              <w:t xml:space="preserve">By results: </w:t>
            </w:r>
          </w:p>
        </w:tc>
        <w:tc>
          <w:tcPr>
            <w:tcW w:w="537" w:type="pct"/>
            <w:noWrap/>
            <w:vAlign w:val="bottom"/>
          </w:tcPr>
          <w:p w:rsidR="00000000" w:rsidRDefault="00000000">
            <w:pPr>
              <w:spacing w:before="80" w:after="80"/>
              <w:jc w:val="center"/>
              <w:rPr>
                <w:b/>
                <w:bCs/>
                <w:sz w:val="20"/>
                <w:szCs w:val="20"/>
              </w:rPr>
            </w:pPr>
            <w:r>
              <w:rPr>
                <w:b/>
                <w:bCs/>
                <w:sz w:val="20"/>
                <w:szCs w:val="20"/>
              </w:rPr>
              <w:t>14</w:t>
            </w:r>
          </w:p>
        </w:tc>
        <w:tc>
          <w:tcPr>
            <w:tcW w:w="702" w:type="pct"/>
            <w:noWrap/>
            <w:vAlign w:val="bottom"/>
          </w:tcPr>
          <w:p w:rsidR="00000000" w:rsidRDefault="00000000">
            <w:pPr>
              <w:spacing w:before="80" w:after="80"/>
              <w:jc w:val="center"/>
              <w:rPr>
                <w:b/>
                <w:bCs/>
                <w:sz w:val="20"/>
                <w:szCs w:val="20"/>
              </w:rPr>
            </w:pPr>
            <w:r>
              <w:rPr>
                <w:b/>
                <w:bCs/>
                <w:sz w:val="20"/>
                <w:szCs w:val="20"/>
              </w:rPr>
              <w:t>25</w:t>
            </w:r>
          </w:p>
        </w:tc>
        <w:tc>
          <w:tcPr>
            <w:tcW w:w="550" w:type="pct"/>
            <w:noWrap/>
            <w:vAlign w:val="bottom"/>
          </w:tcPr>
          <w:p w:rsidR="00000000" w:rsidRDefault="00000000">
            <w:pPr>
              <w:spacing w:before="80" w:after="80"/>
              <w:jc w:val="center"/>
              <w:rPr>
                <w:b/>
                <w:bCs/>
                <w:sz w:val="20"/>
                <w:szCs w:val="20"/>
              </w:rPr>
            </w:pPr>
            <w:r>
              <w:rPr>
                <w:b/>
                <w:bCs/>
                <w:sz w:val="20"/>
                <w:szCs w:val="20"/>
              </w:rPr>
              <w:t>13</w:t>
            </w:r>
          </w:p>
        </w:tc>
        <w:tc>
          <w:tcPr>
            <w:tcW w:w="676" w:type="pct"/>
            <w:noWrap/>
            <w:vAlign w:val="bottom"/>
          </w:tcPr>
          <w:p w:rsidR="00000000" w:rsidRDefault="00000000">
            <w:pPr>
              <w:spacing w:before="80" w:after="80"/>
              <w:jc w:val="center"/>
              <w:rPr>
                <w:b/>
                <w:bCs/>
                <w:sz w:val="20"/>
                <w:szCs w:val="20"/>
              </w:rPr>
            </w:pPr>
            <w:r>
              <w:rPr>
                <w:b/>
                <w:bCs/>
                <w:sz w:val="20"/>
                <w:szCs w:val="20"/>
              </w:rPr>
              <w:t>53</w:t>
            </w:r>
          </w:p>
        </w:tc>
      </w:tr>
      <w:tr w:rsidR="00000000">
        <w:trPr>
          <w:jc w:val="center"/>
        </w:trPr>
        <w:tc>
          <w:tcPr>
            <w:tcW w:w="2535" w:type="pct"/>
            <w:noWrap/>
            <w:vAlign w:val="bottom"/>
          </w:tcPr>
          <w:p w:rsidR="00000000" w:rsidRDefault="00000000">
            <w:pPr>
              <w:spacing w:before="80" w:after="80"/>
              <w:rPr>
                <w:b/>
                <w:bCs/>
                <w:sz w:val="20"/>
                <w:szCs w:val="20"/>
              </w:rPr>
            </w:pPr>
            <w:r>
              <w:rPr>
                <w:b/>
                <w:bCs/>
                <w:sz w:val="20"/>
                <w:szCs w:val="20"/>
              </w:rPr>
              <w:t>Appearances</w:t>
            </w:r>
          </w:p>
        </w:tc>
        <w:tc>
          <w:tcPr>
            <w:tcW w:w="537" w:type="pct"/>
            <w:noWrap/>
            <w:vAlign w:val="bottom"/>
          </w:tcPr>
          <w:p w:rsidR="00000000" w:rsidRDefault="00000000">
            <w:pPr>
              <w:spacing w:before="80" w:after="80"/>
              <w:jc w:val="center"/>
              <w:rPr>
                <w:sz w:val="20"/>
                <w:szCs w:val="20"/>
              </w:rPr>
            </w:pPr>
            <w:r>
              <w:rPr>
                <w:sz w:val="20"/>
                <w:szCs w:val="20"/>
              </w:rPr>
              <w:t>9</w:t>
            </w:r>
          </w:p>
        </w:tc>
        <w:tc>
          <w:tcPr>
            <w:tcW w:w="702" w:type="pct"/>
            <w:noWrap/>
            <w:vAlign w:val="bottom"/>
          </w:tcPr>
          <w:p w:rsidR="00000000" w:rsidRDefault="00000000">
            <w:pPr>
              <w:spacing w:before="80" w:after="80"/>
              <w:jc w:val="center"/>
              <w:rPr>
                <w:sz w:val="20"/>
                <w:szCs w:val="20"/>
              </w:rPr>
            </w:pPr>
            <w:r>
              <w:rPr>
                <w:sz w:val="20"/>
                <w:szCs w:val="20"/>
              </w:rPr>
              <w:t>19</w:t>
            </w:r>
          </w:p>
        </w:tc>
        <w:tc>
          <w:tcPr>
            <w:tcW w:w="550" w:type="pct"/>
            <w:noWrap/>
            <w:vAlign w:val="bottom"/>
          </w:tcPr>
          <w:p w:rsidR="00000000" w:rsidRDefault="00000000">
            <w:pPr>
              <w:spacing w:before="80" w:after="80"/>
              <w:jc w:val="center"/>
              <w:rPr>
                <w:sz w:val="20"/>
                <w:szCs w:val="20"/>
              </w:rPr>
            </w:pPr>
            <w:r>
              <w:rPr>
                <w:sz w:val="20"/>
                <w:szCs w:val="20"/>
              </w:rPr>
              <w:t>10</w:t>
            </w:r>
          </w:p>
        </w:tc>
        <w:tc>
          <w:tcPr>
            <w:tcW w:w="676" w:type="pct"/>
            <w:noWrap/>
            <w:vAlign w:val="bottom"/>
          </w:tcPr>
          <w:p w:rsidR="00000000" w:rsidRDefault="00000000">
            <w:pPr>
              <w:spacing w:before="80" w:after="80"/>
              <w:jc w:val="center"/>
              <w:rPr>
                <w:sz w:val="20"/>
                <w:szCs w:val="20"/>
              </w:rPr>
            </w:pPr>
            <w:r>
              <w:rPr>
                <w:sz w:val="20"/>
                <w:szCs w:val="20"/>
              </w:rPr>
              <w:t>38</w:t>
            </w:r>
          </w:p>
        </w:tc>
      </w:tr>
      <w:tr w:rsidR="00000000">
        <w:trPr>
          <w:jc w:val="center"/>
        </w:trPr>
        <w:tc>
          <w:tcPr>
            <w:tcW w:w="2535" w:type="pct"/>
            <w:noWrap/>
            <w:vAlign w:val="bottom"/>
          </w:tcPr>
          <w:p w:rsidR="00000000" w:rsidRDefault="00000000">
            <w:pPr>
              <w:spacing w:before="80" w:after="80"/>
              <w:ind w:left="284"/>
              <w:rPr>
                <w:sz w:val="20"/>
                <w:szCs w:val="20"/>
              </w:rPr>
            </w:pPr>
            <w:r>
              <w:rPr>
                <w:sz w:val="20"/>
                <w:szCs w:val="20"/>
              </w:rPr>
              <w:t>Cases settled</w:t>
            </w:r>
          </w:p>
        </w:tc>
        <w:tc>
          <w:tcPr>
            <w:tcW w:w="537" w:type="pct"/>
            <w:noWrap/>
            <w:vAlign w:val="bottom"/>
          </w:tcPr>
          <w:p w:rsidR="00000000" w:rsidRDefault="00000000">
            <w:pPr>
              <w:spacing w:before="80" w:after="80"/>
              <w:jc w:val="center"/>
              <w:rPr>
                <w:sz w:val="20"/>
                <w:szCs w:val="20"/>
              </w:rPr>
            </w:pPr>
            <w:r>
              <w:rPr>
                <w:sz w:val="20"/>
                <w:szCs w:val="20"/>
              </w:rPr>
              <w:t>5</w:t>
            </w:r>
          </w:p>
        </w:tc>
        <w:tc>
          <w:tcPr>
            <w:tcW w:w="702" w:type="pct"/>
            <w:noWrap/>
            <w:vAlign w:val="bottom"/>
          </w:tcPr>
          <w:p w:rsidR="00000000" w:rsidRDefault="00000000">
            <w:pPr>
              <w:spacing w:before="80" w:after="80"/>
              <w:jc w:val="center"/>
              <w:rPr>
                <w:sz w:val="20"/>
                <w:szCs w:val="20"/>
              </w:rPr>
            </w:pPr>
            <w:r>
              <w:rPr>
                <w:sz w:val="20"/>
                <w:szCs w:val="20"/>
              </w:rPr>
              <w:t>14</w:t>
            </w:r>
          </w:p>
        </w:tc>
        <w:tc>
          <w:tcPr>
            <w:tcW w:w="550" w:type="pct"/>
            <w:noWrap/>
            <w:vAlign w:val="bottom"/>
          </w:tcPr>
          <w:p w:rsidR="00000000" w:rsidRDefault="00000000">
            <w:pPr>
              <w:spacing w:before="80" w:after="80"/>
              <w:jc w:val="center"/>
              <w:rPr>
                <w:sz w:val="20"/>
                <w:szCs w:val="20"/>
              </w:rPr>
            </w:pPr>
            <w:r>
              <w:rPr>
                <w:sz w:val="20"/>
                <w:szCs w:val="20"/>
              </w:rPr>
              <w:t>9</w:t>
            </w:r>
          </w:p>
        </w:tc>
        <w:tc>
          <w:tcPr>
            <w:tcW w:w="676" w:type="pct"/>
            <w:noWrap/>
            <w:vAlign w:val="bottom"/>
          </w:tcPr>
          <w:p w:rsidR="00000000" w:rsidRDefault="00000000">
            <w:pPr>
              <w:spacing w:before="80" w:after="80"/>
              <w:jc w:val="center"/>
              <w:rPr>
                <w:sz w:val="20"/>
                <w:szCs w:val="20"/>
              </w:rPr>
            </w:pPr>
            <w:r>
              <w:rPr>
                <w:sz w:val="20"/>
                <w:szCs w:val="20"/>
              </w:rPr>
              <w:t>28</w:t>
            </w:r>
          </w:p>
        </w:tc>
      </w:tr>
      <w:tr w:rsidR="00000000">
        <w:trPr>
          <w:jc w:val="center"/>
        </w:trPr>
        <w:tc>
          <w:tcPr>
            <w:tcW w:w="2535" w:type="pct"/>
            <w:noWrap/>
            <w:vAlign w:val="bottom"/>
          </w:tcPr>
          <w:p w:rsidR="00000000" w:rsidRDefault="00000000">
            <w:pPr>
              <w:spacing w:before="80" w:after="80"/>
              <w:ind w:left="284"/>
              <w:rPr>
                <w:sz w:val="20"/>
                <w:szCs w:val="20"/>
              </w:rPr>
            </w:pPr>
            <w:r>
              <w:rPr>
                <w:sz w:val="20"/>
                <w:szCs w:val="20"/>
              </w:rPr>
              <w:t>Cases not settled</w:t>
            </w:r>
          </w:p>
        </w:tc>
        <w:tc>
          <w:tcPr>
            <w:tcW w:w="537" w:type="pct"/>
            <w:noWrap/>
            <w:vAlign w:val="bottom"/>
          </w:tcPr>
          <w:p w:rsidR="00000000" w:rsidRDefault="00000000">
            <w:pPr>
              <w:spacing w:before="80" w:after="80"/>
              <w:jc w:val="center"/>
              <w:rPr>
                <w:sz w:val="20"/>
                <w:szCs w:val="20"/>
              </w:rPr>
            </w:pPr>
            <w:r>
              <w:rPr>
                <w:sz w:val="20"/>
                <w:szCs w:val="20"/>
              </w:rPr>
              <w:t>4</w:t>
            </w:r>
          </w:p>
        </w:tc>
        <w:tc>
          <w:tcPr>
            <w:tcW w:w="702" w:type="pct"/>
            <w:noWrap/>
            <w:vAlign w:val="bottom"/>
          </w:tcPr>
          <w:p w:rsidR="00000000" w:rsidRDefault="00000000">
            <w:pPr>
              <w:spacing w:before="80" w:after="80"/>
              <w:jc w:val="center"/>
              <w:rPr>
                <w:sz w:val="20"/>
                <w:szCs w:val="20"/>
              </w:rPr>
            </w:pPr>
            <w:r>
              <w:rPr>
                <w:sz w:val="20"/>
                <w:szCs w:val="20"/>
              </w:rPr>
              <w:t>5</w:t>
            </w:r>
          </w:p>
        </w:tc>
        <w:tc>
          <w:tcPr>
            <w:tcW w:w="550" w:type="pct"/>
            <w:noWrap/>
            <w:vAlign w:val="bottom"/>
          </w:tcPr>
          <w:p w:rsidR="00000000" w:rsidRDefault="00000000">
            <w:pPr>
              <w:spacing w:before="80" w:after="80"/>
              <w:jc w:val="center"/>
              <w:rPr>
                <w:sz w:val="20"/>
                <w:szCs w:val="20"/>
              </w:rPr>
            </w:pPr>
            <w:r>
              <w:rPr>
                <w:sz w:val="20"/>
                <w:szCs w:val="20"/>
              </w:rPr>
              <w:t>1</w:t>
            </w:r>
          </w:p>
        </w:tc>
        <w:tc>
          <w:tcPr>
            <w:tcW w:w="676" w:type="pct"/>
            <w:noWrap/>
            <w:vAlign w:val="bottom"/>
          </w:tcPr>
          <w:p w:rsidR="00000000" w:rsidRDefault="00000000">
            <w:pPr>
              <w:spacing w:before="80" w:after="80"/>
              <w:jc w:val="center"/>
              <w:rPr>
                <w:sz w:val="20"/>
                <w:szCs w:val="20"/>
              </w:rPr>
            </w:pPr>
            <w:r>
              <w:rPr>
                <w:sz w:val="20"/>
                <w:szCs w:val="20"/>
              </w:rPr>
              <w:t>10</w:t>
            </w:r>
          </w:p>
        </w:tc>
      </w:tr>
      <w:tr w:rsidR="00000000">
        <w:trPr>
          <w:jc w:val="center"/>
        </w:trPr>
        <w:tc>
          <w:tcPr>
            <w:tcW w:w="2535" w:type="pct"/>
            <w:noWrap/>
            <w:vAlign w:val="bottom"/>
          </w:tcPr>
          <w:p w:rsidR="00000000" w:rsidRDefault="00000000">
            <w:pPr>
              <w:spacing w:before="80" w:after="80"/>
              <w:rPr>
                <w:b/>
                <w:bCs/>
                <w:sz w:val="20"/>
                <w:szCs w:val="20"/>
              </w:rPr>
            </w:pPr>
            <w:r>
              <w:rPr>
                <w:b/>
                <w:bCs/>
                <w:sz w:val="20"/>
                <w:szCs w:val="20"/>
              </w:rPr>
              <w:t>Failures to appear</w:t>
            </w:r>
          </w:p>
        </w:tc>
        <w:tc>
          <w:tcPr>
            <w:tcW w:w="537" w:type="pct"/>
            <w:noWrap/>
            <w:vAlign w:val="bottom"/>
          </w:tcPr>
          <w:p w:rsidR="00000000" w:rsidRDefault="00000000">
            <w:pPr>
              <w:spacing w:before="80" w:after="80"/>
              <w:jc w:val="center"/>
              <w:rPr>
                <w:sz w:val="20"/>
                <w:szCs w:val="20"/>
              </w:rPr>
            </w:pPr>
            <w:r>
              <w:rPr>
                <w:sz w:val="20"/>
                <w:szCs w:val="20"/>
              </w:rPr>
              <w:t>5</w:t>
            </w:r>
          </w:p>
        </w:tc>
        <w:tc>
          <w:tcPr>
            <w:tcW w:w="702" w:type="pct"/>
            <w:noWrap/>
            <w:vAlign w:val="bottom"/>
          </w:tcPr>
          <w:p w:rsidR="00000000" w:rsidRDefault="00000000">
            <w:pPr>
              <w:spacing w:before="80" w:after="80"/>
              <w:jc w:val="center"/>
              <w:rPr>
                <w:sz w:val="20"/>
                <w:szCs w:val="20"/>
              </w:rPr>
            </w:pPr>
            <w:r>
              <w:rPr>
                <w:sz w:val="20"/>
                <w:szCs w:val="20"/>
              </w:rPr>
              <w:t>6</w:t>
            </w:r>
          </w:p>
        </w:tc>
        <w:tc>
          <w:tcPr>
            <w:tcW w:w="550" w:type="pct"/>
            <w:noWrap/>
            <w:vAlign w:val="bottom"/>
          </w:tcPr>
          <w:p w:rsidR="00000000" w:rsidRDefault="00000000">
            <w:pPr>
              <w:spacing w:before="80" w:after="80"/>
              <w:jc w:val="center"/>
              <w:rPr>
                <w:sz w:val="20"/>
                <w:szCs w:val="20"/>
              </w:rPr>
            </w:pPr>
            <w:r>
              <w:rPr>
                <w:sz w:val="20"/>
                <w:szCs w:val="20"/>
              </w:rPr>
              <w:t>3</w:t>
            </w:r>
          </w:p>
        </w:tc>
        <w:tc>
          <w:tcPr>
            <w:tcW w:w="676" w:type="pct"/>
            <w:noWrap/>
            <w:vAlign w:val="bottom"/>
          </w:tcPr>
          <w:p w:rsidR="00000000" w:rsidRDefault="00000000">
            <w:pPr>
              <w:spacing w:before="80" w:after="80"/>
              <w:jc w:val="center"/>
              <w:rPr>
                <w:sz w:val="20"/>
                <w:szCs w:val="20"/>
              </w:rPr>
            </w:pPr>
            <w:r>
              <w:rPr>
                <w:sz w:val="20"/>
                <w:szCs w:val="20"/>
              </w:rPr>
              <w:t>14</w:t>
            </w:r>
          </w:p>
        </w:tc>
      </w:tr>
      <w:tr w:rsidR="00000000">
        <w:trPr>
          <w:jc w:val="center"/>
        </w:trPr>
        <w:tc>
          <w:tcPr>
            <w:tcW w:w="2535" w:type="pct"/>
            <w:noWrap/>
            <w:vAlign w:val="bottom"/>
          </w:tcPr>
          <w:p w:rsidR="00000000" w:rsidRDefault="00000000">
            <w:pPr>
              <w:spacing w:before="80" w:after="80"/>
              <w:ind w:left="284"/>
              <w:rPr>
                <w:sz w:val="20"/>
                <w:szCs w:val="20"/>
              </w:rPr>
            </w:pPr>
            <w:r>
              <w:rPr>
                <w:sz w:val="20"/>
                <w:szCs w:val="20"/>
              </w:rPr>
              <w:t xml:space="preserve">By employers </w:t>
            </w:r>
          </w:p>
        </w:tc>
        <w:tc>
          <w:tcPr>
            <w:tcW w:w="537" w:type="pct"/>
            <w:noWrap/>
            <w:vAlign w:val="bottom"/>
          </w:tcPr>
          <w:p w:rsidR="00000000" w:rsidRDefault="00000000">
            <w:pPr>
              <w:spacing w:before="80" w:after="80"/>
              <w:jc w:val="center"/>
              <w:rPr>
                <w:sz w:val="20"/>
                <w:szCs w:val="20"/>
              </w:rPr>
            </w:pPr>
            <w:r>
              <w:rPr>
                <w:sz w:val="20"/>
                <w:szCs w:val="20"/>
              </w:rPr>
              <w:t>4</w:t>
            </w:r>
          </w:p>
        </w:tc>
        <w:tc>
          <w:tcPr>
            <w:tcW w:w="702" w:type="pct"/>
            <w:noWrap/>
            <w:vAlign w:val="bottom"/>
          </w:tcPr>
          <w:p w:rsidR="00000000" w:rsidRDefault="00000000">
            <w:pPr>
              <w:spacing w:before="80" w:after="80"/>
              <w:jc w:val="center"/>
              <w:rPr>
                <w:sz w:val="20"/>
                <w:szCs w:val="20"/>
              </w:rPr>
            </w:pPr>
            <w:r>
              <w:rPr>
                <w:sz w:val="20"/>
                <w:szCs w:val="20"/>
              </w:rPr>
              <w:t>4</w:t>
            </w:r>
          </w:p>
        </w:tc>
        <w:tc>
          <w:tcPr>
            <w:tcW w:w="550" w:type="pct"/>
            <w:noWrap/>
            <w:vAlign w:val="bottom"/>
          </w:tcPr>
          <w:p w:rsidR="00000000" w:rsidRDefault="00000000">
            <w:pPr>
              <w:spacing w:before="80" w:after="80"/>
              <w:jc w:val="center"/>
              <w:rPr>
                <w:sz w:val="20"/>
                <w:szCs w:val="20"/>
              </w:rPr>
            </w:pPr>
            <w:r>
              <w:rPr>
                <w:sz w:val="20"/>
                <w:szCs w:val="20"/>
              </w:rPr>
              <w:t>2</w:t>
            </w:r>
          </w:p>
        </w:tc>
        <w:tc>
          <w:tcPr>
            <w:tcW w:w="676" w:type="pct"/>
            <w:noWrap/>
            <w:vAlign w:val="bottom"/>
          </w:tcPr>
          <w:p w:rsidR="00000000" w:rsidRDefault="00000000">
            <w:pPr>
              <w:spacing w:before="80" w:after="80"/>
              <w:jc w:val="center"/>
              <w:rPr>
                <w:sz w:val="20"/>
                <w:szCs w:val="20"/>
              </w:rPr>
            </w:pPr>
            <w:r>
              <w:rPr>
                <w:sz w:val="20"/>
                <w:szCs w:val="20"/>
              </w:rPr>
              <w:t>10</w:t>
            </w:r>
          </w:p>
        </w:tc>
      </w:tr>
      <w:tr w:rsidR="00000000">
        <w:trPr>
          <w:jc w:val="center"/>
        </w:trPr>
        <w:tc>
          <w:tcPr>
            <w:tcW w:w="2535" w:type="pct"/>
            <w:noWrap/>
            <w:vAlign w:val="bottom"/>
          </w:tcPr>
          <w:p w:rsidR="00000000" w:rsidRDefault="00000000">
            <w:pPr>
              <w:spacing w:before="80" w:after="80"/>
              <w:ind w:left="284"/>
              <w:rPr>
                <w:sz w:val="20"/>
                <w:szCs w:val="20"/>
              </w:rPr>
            </w:pPr>
            <w:r>
              <w:rPr>
                <w:sz w:val="20"/>
                <w:szCs w:val="20"/>
              </w:rPr>
              <w:t>By trade unions</w:t>
            </w:r>
          </w:p>
        </w:tc>
        <w:tc>
          <w:tcPr>
            <w:tcW w:w="537" w:type="pct"/>
            <w:noWrap/>
            <w:vAlign w:val="bottom"/>
          </w:tcPr>
          <w:p w:rsidR="00000000" w:rsidRDefault="00000000">
            <w:pPr>
              <w:spacing w:before="80" w:after="80"/>
              <w:jc w:val="center"/>
              <w:rPr>
                <w:sz w:val="20"/>
                <w:szCs w:val="20"/>
              </w:rPr>
            </w:pPr>
            <w:r>
              <w:rPr>
                <w:sz w:val="20"/>
                <w:szCs w:val="20"/>
              </w:rPr>
              <w:t>0</w:t>
            </w:r>
          </w:p>
        </w:tc>
        <w:tc>
          <w:tcPr>
            <w:tcW w:w="702" w:type="pct"/>
            <w:noWrap/>
            <w:vAlign w:val="bottom"/>
          </w:tcPr>
          <w:p w:rsidR="00000000" w:rsidRDefault="00000000">
            <w:pPr>
              <w:spacing w:before="80" w:after="80"/>
              <w:jc w:val="center"/>
              <w:rPr>
                <w:sz w:val="20"/>
                <w:szCs w:val="20"/>
              </w:rPr>
            </w:pPr>
            <w:r>
              <w:rPr>
                <w:sz w:val="20"/>
                <w:szCs w:val="20"/>
              </w:rPr>
              <w:t>0</w:t>
            </w:r>
          </w:p>
        </w:tc>
        <w:tc>
          <w:tcPr>
            <w:tcW w:w="550" w:type="pct"/>
            <w:noWrap/>
            <w:vAlign w:val="bottom"/>
          </w:tcPr>
          <w:p w:rsidR="00000000" w:rsidRDefault="00000000">
            <w:pPr>
              <w:spacing w:before="80" w:after="80"/>
              <w:jc w:val="center"/>
              <w:rPr>
                <w:sz w:val="20"/>
                <w:szCs w:val="20"/>
              </w:rPr>
            </w:pPr>
            <w:r>
              <w:rPr>
                <w:sz w:val="20"/>
                <w:szCs w:val="20"/>
              </w:rPr>
              <w:t>0</w:t>
            </w:r>
          </w:p>
        </w:tc>
        <w:tc>
          <w:tcPr>
            <w:tcW w:w="676" w:type="pct"/>
            <w:noWrap/>
            <w:vAlign w:val="bottom"/>
          </w:tcPr>
          <w:p w:rsidR="00000000" w:rsidRDefault="00000000">
            <w:pPr>
              <w:spacing w:before="80" w:after="80"/>
              <w:jc w:val="center"/>
              <w:rPr>
                <w:sz w:val="20"/>
                <w:szCs w:val="20"/>
              </w:rPr>
            </w:pPr>
            <w:r>
              <w:rPr>
                <w:sz w:val="20"/>
                <w:szCs w:val="20"/>
              </w:rPr>
              <w:t>0</w:t>
            </w:r>
          </w:p>
        </w:tc>
      </w:tr>
      <w:tr w:rsidR="00000000">
        <w:trPr>
          <w:jc w:val="center"/>
        </w:trPr>
        <w:tc>
          <w:tcPr>
            <w:tcW w:w="2535" w:type="pct"/>
            <w:tcBorders>
              <w:bottom w:val="single" w:sz="4" w:space="0" w:color="auto"/>
            </w:tcBorders>
            <w:noWrap/>
            <w:vAlign w:val="bottom"/>
          </w:tcPr>
          <w:p w:rsidR="00000000" w:rsidRDefault="00000000">
            <w:pPr>
              <w:spacing w:before="80" w:after="80"/>
              <w:ind w:left="284"/>
              <w:rPr>
                <w:sz w:val="20"/>
                <w:szCs w:val="20"/>
              </w:rPr>
            </w:pPr>
            <w:r>
              <w:rPr>
                <w:sz w:val="20"/>
                <w:szCs w:val="20"/>
              </w:rPr>
              <w:t>By both parties</w:t>
            </w:r>
          </w:p>
        </w:tc>
        <w:tc>
          <w:tcPr>
            <w:tcW w:w="537" w:type="pct"/>
            <w:tcBorders>
              <w:bottom w:val="single" w:sz="4" w:space="0" w:color="auto"/>
            </w:tcBorders>
            <w:noWrap/>
            <w:vAlign w:val="bottom"/>
          </w:tcPr>
          <w:p w:rsidR="00000000" w:rsidRDefault="00000000">
            <w:pPr>
              <w:spacing w:before="80" w:after="80"/>
              <w:jc w:val="center"/>
              <w:rPr>
                <w:sz w:val="20"/>
                <w:szCs w:val="20"/>
              </w:rPr>
            </w:pPr>
            <w:r>
              <w:rPr>
                <w:sz w:val="20"/>
                <w:szCs w:val="20"/>
              </w:rPr>
              <w:t>1</w:t>
            </w:r>
          </w:p>
        </w:tc>
        <w:tc>
          <w:tcPr>
            <w:tcW w:w="702" w:type="pct"/>
            <w:tcBorders>
              <w:bottom w:val="single" w:sz="4" w:space="0" w:color="auto"/>
            </w:tcBorders>
            <w:noWrap/>
            <w:vAlign w:val="bottom"/>
          </w:tcPr>
          <w:p w:rsidR="00000000" w:rsidRDefault="00000000">
            <w:pPr>
              <w:spacing w:before="80" w:after="80"/>
              <w:jc w:val="center"/>
              <w:rPr>
                <w:sz w:val="20"/>
                <w:szCs w:val="20"/>
              </w:rPr>
            </w:pPr>
            <w:r>
              <w:rPr>
                <w:sz w:val="20"/>
                <w:szCs w:val="20"/>
              </w:rPr>
              <w:t>2</w:t>
            </w:r>
          </w:p>
        </w:tc>
        <w:tc>
          <w:tcPr>
            <w:tcW w:w="550" w:type="pct"/>
            <w:tcBorders>
              <w:bottom w:val="single" w:sz="4" w:space="0" w:color="auto"/>
            </w:tcBorders>
            <w:noWrap/>
            <w:vAlign w:val="bottom"/>
          </w:tcPr>
          <w:p w:rsidR="00000000" w:rsidRDefault="00000000">
            <w:pPr>
              <w:spacing w:before="80" w:after="80"/>
              <w:jc w:val="center"/>
              <w:rPr>
                <w:sz w:val="20"/>
                <w:szCs w:val="20"/>
              </w:rPr>
            </w:pPr>
            <w:r>
              <w:rPr>
                <w:sz w:val="20"/>
                <w:szCs w:val="20"/>
              </w:rPr>
              <w:t>1</w:t>
            </w:r>
          </w:p>
        </w:tc>
        <w:tc>
          <w:tcPr>
            <w:tcW w:w="676" w:type="pct"/>
            <w:tcBorders>
              <w:bottom w:val="single" w:sz="4" w:space="0" w:color="auto"/>
            </w:tcBorders>
            <w:noWrap/>
            <w:vAlign w:val="bottom"/>
          </w:tcPr>
          <w:p w:rsidR="00000000" w:rsidRDefault="00000000">
            <w:pPr>
              <w:spacing w:before="80" w:after="80"/>
              <w:jc w:val="center"/>
              <w:rPr>
                <w:sz w:val="20"/>
                <w:szCs w:val="20"/>
              </w:rPr>
            </w:pPr>
            <w:r>
              <w:rPr>
                <w:sz w:val="20"/>
                <w:szCs w:val="20"/>
              </w:rPr>
              <w:t>4</w:t>
            </w:r>
          </w:p>
        </w:tc>
      </w:tr>
    </w:tbl>
    <w:p w:rsidR="00000000" w:rsidRDefault="00000000">
      <w:pPr>
        <w:spacing w:beforeLines="40" w:before="96" w:afterLines="100" w:after="240"/>
        <w:ind w:left="567" w:firstLine="567"/>
        <w:rPr>
          <w:b/>
        </w:rPr>
      </w:pPr>
      <w:r>
        <w:rPr>
          <w:i/>
          <w:iCs/>
          <w:sz w:val="20"/>
          <w:szCs w:val="20"/>
        </w:rPr>
        <w:t xml:space="preserve">Source: </w:t>
      </w:r>
      <w:r>
        <w:rPr>
          <w:sz w:val="20"/>
          <w:szCs w:val="20"/>
        </w:rPr>
        <w:t>Directorate-General of Labour. Asunción, 04/04/06</w:t>
      </w:r>
    </w:p>
    <w:p w:rsidR="00000000" w:rsidRDefault="00000000">
      <w:pPr>
        <w:pStyle w:val="xl23"/>
        <w:spacing w:beforeLines="40" w:before="96" w:beforeAutospacing="0" w:afterLines="40" w:after="96" w:afterAutospacing="0"/>
        <w:rPr>
          <w:rFonts w:ascii="Times New Roman" w:hAnsi="Times New Roman" w:cs="Times New Roman"/>
          <w:bCs w:val="0"/>
          <w:lang w:val="en-GB" w:eastAsia="en-US"/>
        </w:rPr>
      </w:pPr>
      <w:r>
        <w:rPr>
          <w:rFonts w:ascii="Times New Roman" w:hAnsi="Times New Roman" w:cs="Times New Roman"/>
          <w:bCs w:val="0"/>
          <w:lang w:val="en-GB" w:eastAsia="en-US"/>
        </w:rPr>
        <w:br w:type="page"/>
        <w:t xml:space="preserve">4.1.1. Representation in graphic form of the results obtained by the Tripartite Commission </w:t>
      </w:r>
    </w:p>
    <w:p w:rsidR="00000000" w:rsidRDefault="00000000">
      <w:pPr>
        <w:pStyle w:val="xl23"/>
        <w:spacing w:beforeLines="40" w:before="96" w:beforeAutospacing="0" w:afterLines="40" w:after="96" w:afterAutospacing="0"/>
        <w:rPr>
          <w:rFonts w:ascii="Times New Roman" w:hAnsi="Times New Roman" w:cs="Times New Roman"/>
          <w:bCs w:val="0"/>
          <w:lang w:val="en-GB" w:eastAsia="en-US"/>
        </w:rPr>
      </w:pPr>
    </w:p>
    <w:tbl>
      <w:tblPr>
        <w:tblW w:w="0" w:type="auto"/>
        <w:tblCellMar>
          <w:left w:w="0" w:type="dxa"/>
          <w:right w:w="0" w:type="dxa"/>
        </w:tblCellMar>
        <w:tblLook w:val="0000" w:firstRow="0" w:lastRow="0" w:firstColumn="0" w:lastColumn="0" w:noHBand="0" w:noVBand="0"/>
      </w:tblPr>
      <w:tblGrid>
        <w:gridCol w:w="4725"/>
        <w:gridCol w:w="4704"/>
      </w:tblGrid>
      <w:tr w:rsidR="00000000">
        <w:tblPrEx>
          <w:tblCellMar>
            <w:top w:w="0" w:type="dxa"/>
            <w:bottom w:w="0" w:type="dxa"/>
          </w:tblCellMar>
        </w:tblPrEx>
        <w:tc>
          <w:tcPr>
            <w:tcW w:w="4776" w:type="dxa"/>
          </w:tcPr>
          <w:bookmarkStart w:id="21" w:name="_MON_1236162313"/>
          <w:bookmarkStart w:id="22" w:name="_MON_1236162415"/>
          <w:bookmarkStart w:id="23" w:name="_MON_1236162454"/>
          <w:bookmarkStart w:id="24" w:name="_MON_1236162478"/>
          <w:bookmarkStart w:id="25" w:name="_MON_1248940503"/>
          <w:bookmarkStart w:id="26" w:name="_MON_1248940577"/>
          <w:bookmarkStart w:id="27" w:name="_MON_1248940740"/>
          <w:bookmarkStart w:id="28" w:name="_MON_1252425027"/>
          <w:bookmarkEnd w:id="21"/>
          <w:bookmarkEnd w:id="22"/>
          <w:bookmarkEnd w:id="23"/>
          <w:bookmarkEnd w:id="24"/>
          <w:bookmarkEnd w:id="25"/>
          <w:bookmarkEnd w:id="26"/>
          <w:bookmarkEnd w:id="27"/>
          <w:bookmarkEnd w:id="28"/>
          <w:p w:rsidR="00000000" w:rsidRDefault="00000000">
            <w:pPr>
              <w:pStyle w:val="xl23"/>
              <w:keepNext/>
              <w:spacing w:before="0" w:beforeAutospacing="0" w:after="240" w:afterAutospacing="0"/>
              <w:rPr>
                <w:rFonts w:ascii="Times New Roman" w:hAnsi="Times New Roman" w:cs="Times New Roman"/>
                <w:bCs w:val="0"/>
                <w:lang w:eastAsia="en-US"/>
              </w:rPr>
            </w:pPr>
            <w:r>
              <w:object w:dxaOrig="3986" w:dyaOrig="2279">
                <v:shape id="_x0000_i1031" type="#_x0000_t75" style="width:198.75pt;height:114pt" o:ole="">
                  <v:imagedata r:id="rId26" o:title="" grayscale="t"/>
                </v:shape>
                <o:OLEObject Type="Embed" ProgID="Word.Picture.8" ShapeID="_x0000_i1031" DrawAspect="Content" ObjectID="_1394904852" r:id="rId27"/>
              </w:object>
            </w:r>
          </w:p>
        </w:tc>
        <w:bookmarkStart w:id="29" w:name="_MON_1236162509"/>
        <w:bookmarkStart w:id="30" w:name="_MON_1236162598"/>
        <w:bookmarkStart w:id="31" w:name="_MON_1236163032"/>
        <w:bookmarkStart w:id="32" w:name="_MON_1248940638"/>
        <w:bookmarkStart w:id="33" w:name="_MON_1248940839"/>
        <w:bookmarkStart w:id="34" w:name="_MON_1252425166"/>
        <w:bookmarkEnd w:id="29"/>
        <w:bookmarkEnd w:id="30"/>
        <w:bookmarkEnd w:id="31"/>
        <w:bookmarkEnd w:id="32"/>
        <w:bookmarkEnd w:id="33"/>
        <w:bookmarkEnd w:id="34"/>
        <w:tc>
          <w:tcPr>
            <w:tcW w:w="4776" w:type="dxa"/>
          </w:tcPr>
          <w:p w:rsidR="00000000" w:rsidRDefault="00000000">
            <w:pPr>
              <w:pStyle w:val="xl23"/>
              <w:keepNext/>
              <w:spacing w:before="0" w:beforeAutospacing="0" w:after="240" w:afterAutospacing="0"/>
              <w:rPr>
                <w:rFonts w:ascii="Times New Roman" w:hAnsi="Times New Roman" w:cs="Times New Roman"/>
                <w:bCs w:val="0"/>
                <w:lang w:eastAsia="en-US"/>
              </w:rPr>
            </w:pPr>
            <w:r>
              <w:object w:dxaOrig="3970" w:dyaOrig="2295">
                <v:shape id="_x0000_i1032" type="#_x0000_t75" style="width:198.75pt;height:114.75pt" o:ole="">
                  <v:imagedata r:id="rId28" o:title="" grayscale="t"/>
                </v:shape>
                <o:OLEObject Type="Embed" ProgID="Word.Picture.8" ShapeID="_x0000_i1032" DrawAspect="Content" ObjectID="_1394904853" r:id="rId29"/>
              </w:object>
            </w:r>
          </w:p>
        </w:tc>
      </w:tr>
      <w:tr w:rsidR="00000000">
        <w:tblPrEx>
          <w:tblCellMar>
            <w:top w:w="0" w:type="dxa"/>
            <w:bottom w:w="0" w:type="dxa"/>
          </w:tblCellMar>
        </w:tblPrEx>
        <w:tc>
          <w:tcPr>
            <w:tcW w:w="4776" w:type="dxa"/>
          </w:tcPr>
          <w:p w:rsidR="00000000" w:rsidRDefault="00000000">
            <w:pPr>
              <w:pStyle w:val="xl23"/>
              <w:keepNext/>
              <w:spacing w:before="0" w:beforeAutospacing="0" w:after="240" w:afterAutospacing="0"/>
              <w:rPr>
                <w:rFonts w:ascii="Times New Roman" w:hAnsi="Times New Roman" w:cs="Times New Roman"/>
                <w:bCs w:val="0"/>
                <w:lang w:eastAsia="en-US"/>
              </w:rPr>
            </w:pPr>
            <w:r>
              <w:rPr>
                <w:noProof/>
                <w:sz w:val="20"/>
                <w:lang w:val="fr-FR" w:eastAsia="fr-FR"/>
              </w:rPr>
              <w:pict>
                <v:line id="_x0000_s2816" style="position:absolute;z-index:20;mso-position-horizontal-relative:text;mso-position-vertical-relative:text" from="207.4pt,4.95pt" to="207.4pt,112.95pt"/>
              </w:pict>
            </w:r>
            <w:r>
              <w:rPr>
                <w:noProof/>
                <w:sz w:val="20"/>
                <w:lang w:val="fr-FR" w:eastAsia="fr-FR"/>
              </w:rPr>
              <w:pict>
                <v:line id="_x0000_s2815" style="position:absolute;z-index:19;mso-position-horizontal-relative:text;mso-position-vertical-relative:text" from=".4pt,4.95pt" to=".4pt,112.95pt"/>
              </w:pict>
            </w:r>
            <w:bookmarkStart w:id="35" w:name="_MON_1236162687"/>
            <w:bookmarkStart w:id="36" w:name="_MON_1236162825"/>
            <w:bookmarkStart w:id="37" w:name="_MON_1236163046"/>
            <w:bookmarkStart w:id="38" w:name="_MON_1248940991"/>
            <w:bookmarkStart w:id="39" w:name="_MON_1249004110"/>
            <w:bookmarkStart w:id="40" w:name="_MON_1252425271"/>
            <w:bookmarkStart w:id="41" w:name="_MON_1252425336"/>
            <w:bookmarkStart w:id="42" w:name="_MON_1252425364"/>
            <w:bookmarkEnd w:id="35"/>
            <w:bookmarkEnd w:id="36"/>
            <w:bookmarkEnd w:id="37"/>
            <w:bookmarkEnd w:id="38"/>
            <w:bookmarkEnd w:id="39"/>
            <w:bookmarkEnd w:id="40"/>
            <w:bookmarkEnd w:id="41"/>
            <w:bookmarkEnd w:id="42"/>
            <w:r>
              <w:object w:dxaOrig="6280" w:dyaOrig="2345">
                <v:shape id="_x0000_i1033" type="#_x0000_t75" style="width:210pt;height:117pt" o:ole="">
                  <v:imagedata r:id="rId30" o:title="" cropleft="8283f" cropright="9466f" grayscale="t"/>
                </v:shape>
                <o:OLEObject Type="Embed" ProgID="Word.Picture.8" ShapeID="_x0000_i1033" DrawAspect="Content" ObjectID="_1394904854" r:id="rId31"/>
              </w:object>
            </w:r>
          </w:p>
        </w:tc>
        <w:bookmarkStart w:id="43" w:name="_MON_1236162833"/>
        <w:bookmarkStart w:id="44" w:name="_MON_1236163028"/>
        <w:bookmarkStart w:id="45" w:name="_MON_1249004464"/>
        <w:bookmarkStart w:id="46" w:name="_MON_1252425401"/>
        <w:bookmarkStart w:id="47" w:name="_MON_1252425531"/>
        <w:bookmarkStart w:id="48" w:name="_MON_1252425563"/>
        <w:bookmarkEnd w:id="43"/>
        <w:bookmarkEnd w:id="44"/>
        <w:bookmarkEnd w:id="45"/>
        <w:bookmarkEnd w:id="46"/>
        <w:bookmarkEnd w:id="47"/>
        <w:bookmarkEnd w:id="48"/>
        <w:tc>
          <w:tcPr>
            <w:tcW w:w="4776" w:type="dxa"/>
          </w:tcPr>
          <w:p w:rsidR="00000000" w:rsidRDefault="00000000">
            <w:pPr>
              <w:pStyle w:val="xl23"/>
              <w:keepNext/>
              <w:spacing w:before="0" w:beforeAutospacing="0" w:after="240" w:afterAutospacing="0"/>
              <w:rPr>
                <w:rFonts w:ascii="Times New Roman" w:hAnsi="Times New Roman" w:cs="Times New Roman"/>
                <w:bCs w:val="0"/>
                <w:lang w:eastAsia="en-US"/>
              </w:rPr>
            </w:pPr>
            <w:r>
              <w:object w:dxaOrig="3936" w:dyaOrig="2261">
                <v:shape id="_x0000_i1034" type="#_x0000_t75" style="width:196.5pt;height:112.5pt" o:ole="">
                  <v:imagedata r:id="rId32" o:title="" grayscale="t"/>
                </v:shape>
                <o:OLEObject Type="Embed" ProgID="Word.Picture.8" ShapeID="_x0000_i1034" DrawAspect="Content" ObjectID="_1394904855" r:id="rId33"/>
              </w:object>
            </w:r>
          </w:p>
        </w:tc>
      </w:tr>
    </w:tbl>
    <w:p w:rsidR="00000000" w:rsidRDefault="00000000">
      <w:pPr>
        <w:pStyle w:val="xl23"/>
        <w:spacing w:beforeLines="40" w:before="96" w:beforeAutospacing="0" w:afterLines="100" w:after="240" w:afterAutospacing="0"/>
        <w:rPr>
          <w:rFonts w:ascii="Times New Roman" w:hAnsi="Times New Roman" w:cs="Times New Roman"/>
          <w:lang w:val="en-GB" w:eastAsia="en-US"/>
        </w:rPr>
      </w:pPr>
      <w:r>
        <w:rPr>
          <w:rFonts w:ascii="Times New Roman" w:hAnsi="Times New Roman" w:cs="Times New Roman"/>
          <w:lang w:val="en-GB" w:eastAsia="en-US"/>
        </w:rPr>
        <w:t>4.2.</w:t>
      </w:r>
      <w:r>
        <w:rPr>
          <w:rFonts w:ascii="Times New Roman" w:hAnsi="Times New Roman" w:cs="Times New Roman"/>
          <w:lang w:val="en-GB" w:eastAsia="en-US"/>
        </w:rPr>
        <w:tab/>
        <w:t>The National Plan on Equal Opportunities for Women (in the Work Sphere)</w:t>
      </w:r>
    </w:p>
    <w:p w:rsidR="00000000" w:rsidRDefault="00000000">
      <w:pPr>
        <w:spacing w:beforeLines="40" w:before="96" w:afterLines="40" w:after="96"/>
      </w:pPr>
      <w:r>
        <w:t>212.</w:t>
      </w:r>
      <w:r>
        <w:tab/>
        <w:t xml:space="preserve">The objective of this Plan in the work sphere is to attain equality of opportunity for access to financial resources (and particularly to work) in order to reduce poverty among women and to ensure better quality of life. Among other things, the Plan proposes: </w:t>
      </w:r>
    </w:p>
    <w:p w:rsidR="00000000" w:rsidRDefault="00000000">
      <w:pPr>
        <w:spacing w:beforeLines="40" w:before="96" w:afterLines="100" w:after="240"/>
        <w:ind w:left="567"/>
      </w:pPr>
      <w:r>
        <w:t>–</w:t>
      </w:r>
      <w:r>
        <w:tab/>
        <w:t xml:space="preserve">To provide information and guidance in order to improve the access, continuance and </w:t>
      </w:r>
      <w:r>
        <w:tab/>
        <w:t xml:space="preserve">position of women in the labour market; </w:t>
      </w:r>
    </w:p>
    <w:p w:rsidR="00000000" w:rsidRDefault="00000000">
      <w:pPr>
        <w:spacing w:beforeLines="40" w:before="96" w:afterLines="100" w:after="240"/>
        <w:ind w:left="1134" w:hanging="567"/>
      </w:pPr>
      <w:r>
        <w:t>–</w:t>
      </w:r>
      <w:r>
        <w:tab/>
        <w:t xml:space="preserve">To provide training in line with the needs of the market and the development of women in </w:t>
      </w:r>
      <w:r>
        <w:tab/>
        <w:t xml:space="preserve">the work sphere; </w:t>
      </w:r>
    </w:p>
    <w:p w:rsidR="00000000" w:rsidRDefault="00000000">
      <w:pPr>
        <w:spacing w:beforeLines="40" w:before="96" w:afterLines="100" w:after="240"/>
        <w:ind w:firstLine="567"/>
      </w:pPr>
      <w:r>
        <w:t>–</w:t>
      </w:r>
      <w:r>
        <w:tab/>
        <w:t>To improve the quality of women’s employment;</w:t>
      </w:r>
    </w:p>
    <w:p w:rsidR="00000000" w:rsidRDefault="00000000">
      <w:pPr>
        <w:spacing w:beforeLines="40" w:before="96" w:afterLines="100" w:after="240"/>
        <w:ind w:firstLine="567"/>
      </w:pPr>
      <w:r>
        <w:t>–</w:t>
      </w:r>
      <w:r>
        <w:tab/>
        <w:t>To guarantee adequate social security cover for working women;</w:t>
      </w:r>
    </w:p>
    <w:p w:rsidR="00000000" w:rsidRDefault="00000000">
      <w:pPr>
        <w:spacing w:beforeLines="40" w:before="96" w:afterLines="100" w:after="240"/>
        <w:ind w:firstLine="567"/>
      </w:pPr>
      <w:r>
        <w:t>–</w:t>
      </w:r>
      <w:r>
        <w:tab/>
        <w:t>To support the development of entrepreneurial skills among women;</w:t>
      </w:r>
    </w:p>
    <w:p w:rsidR="00000000" w:rsidRDefault="00000000">
      <w:pPr>
        <w:spacing w:beforeLines="40" w:before="96" w:afterLines="100" w:after="240"/>
        <w:ind w:firstLine="567"/>
      </w:pPr>
      <w:r>
        <w:t>–</w:t>
      </w:r>
      <w:r>
        <w:tab/>
        <w:t xml:space="preserve">To promote the equitable distribution of family responsibilities; </w:t>
      </w:r>
    </w:p>
    <w:p w:rsidR="00000000" w:rsidRDefault="00000000">
      <w:pPr>
        <w:spacing w:beforeLines="40" w:before="96" w:afterLines="100" w:after="240"/>
        <w:ind w:firstLine="567"/>
      </w:pPr>
      <w:r>
        <w:t>–</w:t>
      </w:r>
      <w:r>
        <w:tab/>
        <w:t>To facilitate access by rural women to services and productive resources;</w:t>
      </w:r>
    </w:p>
    <w:p w:rsidR="00000000" w:rsidRDefault="00000000">
      <w:pPr>
        <w:spacing w:beforeLines="40" w:before="96" w:afterLines="100" w:after="240"/>
        <w:ind w:firstLine="567"/>
      </w:pPr>
      <w:r>
        <w:t>–</w:t>
      </w:r>
      <w:r>
        <w:tab/>
        <w:t xml:space="preserve">To reduce poverty among women, paying special attention to heads of households. </w:t>
      </w:r>
    </w:p>
    <w:p w:rsidR="00000000" w:rsidRDefault="00000000">
      <w:pPr>
        <w:spacing w:beforeLines="40" w:before="96" w:afterLines="100" w:after="240"/>
      </w:pPr>
      <w:r>
        <w:t>213.</w:t>
      </w:r>
      <w:r>
        <w:tab/>
        <w:t xml:space="preserve">This plan is of nationwide scope and requires implementation and execution by the public and private institutions involved. The Ministry of Justice and Labour is implementing it through concrete measures taken by the Directorate for the Promotion of Working Women and the National Tripartite Committee provided for in its annual plan of work and the Decent Work Agenda for Paraguayan Women. </w:t>
      </w:r>
    </w:p>
    <w:p w:rsidR="00000000" w:rsidRDefault="00000000">
      <w:pPr>
        <w:spacing w:after="240"/>
      </w:pPr>
      <w:r>
        <w:t>214.</w:t>
      </w:r>
      <w:r>
        <w:tab/>
        <w:t xml:space="preserve">In a different sphere Act No. 1725 (“Status of Teachers”), in chapter V (Remuneration), lays down in articles 23-29, for teachers of either sex in both the public and private sectors, the remuneration levels  payable in the light of the teaching, technical and administrative functions stipulated for each function in the General Budget of the Nation. </w:t>
      </w:r>
    </w:p>
    <w:p w:rsidR="00000000" w:rsidRDefault="00000000">
      <w:pPr>
        <w:spacing w:after="240"/>
      </w:pPr>
      <w:r>
        <w:rPr>
          <w:b/>
          <w:bCs/>
        </w:rPr>
        <w:t>4.5.</w:t>
      </w:r>
      <w:r>
        <w:rPr>
          <w:b/>
          <w:bCs/>
        </w:rPr>
        <w:tab/>
        <w:t>Other specific measures</w:t>
      </w:r>
    </w:p>
    <w:p w:rsidR="00000000" w:rsidRDefault="00000000">
      <w:pPr>
        <w:spacing w:after="240"/>
      </w:pPr>
      <w:r>
        <w:t>215.</w:t>
      </w:r>
      <w:r>
        <w:tab/>
        <w:t xml:space="preserve">The Women’s Leadership Centre – launched on the initiative of the Secretariat for Women – has the aim of training women in their civic rights to enable them to attain equality of opportunity to exercise and make decisions and to move into areas of power; and also to help them to create strategic alliances and associations in the pursuit of their common interests. The target for the year was to train 1,000 women in a variety of subjects with a bearing on national realities. The target has been exceeded; 1,800 women belonging to various political parties and social organizations have participated. </w:t>
      </w:r>
    </w:p>
    <w:p w:rsidR="00000000" w:rsidRDefault="00000000">
      <w:pPr>
        <w:spacing w:after="240"/>
      </w:pPr>
      <w:r>
        <w:t>216.</w:t>
      </w:r>
      <w:r>
        <w:tab/>
        <w:t xml:space="preserve">There is also the Women’s Parliament, a forum in which women leaders from all the political parties obtain knowledge of and practice in parliamentary proceedings and of the formulation and submission of drafts. </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GB" w:eastAsia="en-US"/>
        </w:rPr>
      </w:pPr>
      <w:r>
        <w:rPr>
          <w:rFonts w:ascii="Times New Roman" w:eastAsia="Times New Roman" w:hAnsi="Times New Roman" w:cs="Times New Roman"/>
          <w:lang w:val="en-GB" w:eastAsia="en-US"/>
        </w:rPr>
        <w:t>B.  Safety and health at work</w:t>
      </w:r>
    </w:p>
    <w:p w:rsidR="00000000" w:rsidRDefault="00000000">
      <w:pPr>
        <w:widowControl w:val="0"/>
        <w:autoSpaceDE w:val="0"/>
        <w:autoSpaceDN w:val="0"/>
        <w:spacing w:after="240"/>
        <w:rPr>
          <w:lang w:val="en-US"/>
        </w:rPr>
      </w:pPr>
      <w:r>
        <w:t>217.</w:t>
      </w:r>
      <w:r>
        <w:tab/>
        <w:t>As regards the administrative and other measures concerning minimum conditions of health ad safety, reference may be made to the legislation in force, which establishes the mechanisms for ensuring minimum standards of occupational safety and health. Article 91, paragraph 2, of the National Constitution states that “The law shall fix more favourable daily working hours for unhealthy, dangerous, arduous and night work or work performed in continuous or rotating shifts”, while article 92, paragraph 2, speaks of “recognition of a wage higher than the basic wage for time worked in an unhealthy or dangerous environment, overtime work, night work and work on official rest days..” Article 198 of the Labour Code provides that “When work has to be performed in unhealthy places, or by its nature poses a threat to the health or the lives of the workers, or is performed in arduous conditions or in continuous or rotating shifts, it shall not exceed in duration six hours in a day or thirty-six in a week, and the wage corresponding to an eight-hour day shall be paid in respect thereof”; article 272 states that “</w:t>
      </w:r>
      <w:r>
        <w:rPr>
          <w:lang w:val="en-US"/>
        </w:rPr>
        <w:t>in performing their professional services, workers shall be entitled to effective protection of their health, safety and hygiene at work", while article 273 states that “the policy of occupational risk prevention shall be developed through occupational safety, hygiene and medicine…”</w:t>
      </w:r>
    </w:p>
    <w:p w:rsidR="00000000" w:rsidRDefault="00000000">
      <w:pPr>
        <w:spacing w:after="240"/>
        <w:rPr>
          <w:lang w:val="en-US"/>
        </w:rPr>
      </w:pPr>
      <w:r>
        <w:rPr>
          <w:lang w:val="en-US"/>
        </w:rPr>
        <w:t>218.</w:t>
      </w:r>
      <w:r>
        <w:rPr>
          <w:lang w:val="en-US"/>
        </w:rPr>
        <w:tab/>
        <w:t xml:space="preserve">Other legal measures in a similar vein include articles 47, 48 and 49 of the National Constitution, the Labour Code (Act No. 213/93, updated by Act No. 496/95, Title V (“Concerning Safety, Hygiene and Comfort at Work”), articles 272-282, and Act No. 1626/00 concerning the civil service. </w:t>
      </w:r>
    </w:p>
    <w:p w:rsidR="00000000" w:rsidRDefault="00000000">
      <w:pPr>
        <w:spacing w:after="240"/>
        <w:rPr>
          <w:lang w:val="en-US"/>
        </w:rPr>
      </w:pPr>
      <w:r>
        <w:rPr>
          <w:b/>
          <w:bCs/>
          <w:lang w:val="en-US"/>
        </w:rPr>
        <w:t>1.</w:t>
      </w:r>
      <w:r>
        <w:rPr>
          <w:b/>
          <w:bCs/>
          <w:lang w:val="en-US"/>
        </w:rPr>
        <w:tab/>
        <w:t>Special protection of workers</w:t>
      </w:r>
    </w:p>
    <w:p w:rsidR="00000000" w:rsidRDefault="00000000">
      <w:pPr>
        <w:spacing w:after="240"/>
      </w:pPr>
      <w:r>
        <w:rPr>
          <w:lang w:val="en-US"/>
        </w:rPr>
        <w:t>219.</w:t>
      </w:r>
      <w:r>
        <w:rPr>
          <w:lang w:val="en-US"/>
        </w:rPr>
        <w:tab/>
        <w:t xml:space="preserve">The Labour Code contains occupational safety and health provisions specifically concerning women, who may not perform unhealthy or dangerous work, night work in industry, work in commerce or service establishments after 10 p.m. or overtime when there is a risk to the health of a pregnant woman or to the unborn child she is carrying or during the breastfeeding period. They may not perform unhealthy work which by its intrinsic nature, the physical, chemical or biological conditions obtaining in the environment in which the work is performed or on account of the composition of the raw material being used, which may affect the life or the physical or mental health of the woman or her child. The employment of minors under age 18 is prohibited in work such as:  a) the sale of intoxicating beverages for consumption; b) tasks or services of a nature adversely to affect his or her morals or good habits; c) itinerant work (save with special authorization); d) dangerous or unhealthy work; e) work requiring longer hours than those established and exceeding his physical strength or of a nature to impede or retard physical and mental development ; and f) night work. </w:t>
      </w:r>
    </w:p>
    <w:p w:rsidR="00000000" w:rsidRDefault="00000000">
      <w:pPr>
        <w:spacing w:after="240"/>
        <w:rPr>
          <w:lang w:val="en-US"/>
        </w:rPr>
      </w:pPr>
      <w:r>
        <w:rPr>
          <w:lang w:val="en-US"/>
        </w:rPr>
        <w:t>220.</w:t>
      </w:r>
      <w:r>
        <w:rPr>
          <w:lang w:val="en-US"/>
        </w:rPr>
        <w:tab/>
        <w:t>Paraguay has ratified ILO Convention No. 138 concerning minimum age of admission to employment</w:t>
      </w:r>
      <w:r>
        <w:rPr>
          <w:rStyle w:val="FootnoteReference"/>
          <w:b/>
          <w:bCs/>
          <w:lang w:val="en-US"/>
        </w:rPr>
        <w:footnoteReference w:id="18"/>
      </w:r>
      <w:r>
        <w:rPr>
          <w:lang w:val="en-US"/>
        </w:rPr>
        <w:t>, which sets the minimum age at 14 years. Paraguay has also ratified the Convention on the Rights of the Child and its two protocols</w:t>
      </w:r>
      <w:r>
        <w:rPr>
          <w:rStyle w:val="FootnoteReference"/>
          <w:b/>
          <w:bCs/>
          <w:lang w:val="en-US"/>
        </w:rPr>
        <w:footnoteReference w:id="19"/>
      </w:r>
      <w:r>
        <w:rPr>
          <w:lang w:val="en-US"/>
        </w:rPr>
        <w:t xml:space="preserve">, which are in line with the national legal system and thus provide an additional level of protection for children against exploitation at work and the worst forms of work.  With regard to this subject in particular article 58 of the Code on Children and Adolescents also provides a vehicle for protection, stating that “an adolescent worker who has reached the age of 14 years may not work four hours in the day or 24 hours in the week prior to reaching the age of 16 years”. Thus the age up to which paid employment is prohibited is 13 years. </w:t>
      </w:r>
    </w:p>
    <w:p w:rsidR="00000000" w:rsidRDefault="00000000">
      <w:pPr>
        <w:spacing w:after="240"/>
      </w:pPr>
      <w:r>
        <w:t>221.</w:t>
      </w:r>
      <w:r>
        <w:tab/>
        <w:t xml:space="preserve">In addition, there are legal standards and occupational safety and health regulations to guarantee safe and healthy working conditions. There is also a Directorate for Occupational Hygiene, Health and Safety in the Ministry of Justice and Labour. </w:t>
      </w:r>
    </w:p>
    <w:p w:rsidR="00000000" w:rsidRDefault="00000000">
      <w:pPr>
        <w:spacing w:after="240"/>
      </w:pPr>
      <w:r>
        <w:t>222.</w:t>
      </w:r>
      <w:r>
        <w:tab/>
        <w:t>In this connection article 274 of the Labour Code states that “The employer must guarantee the hygiene, health and safety of the workers in the performance of their labour activity. To that end he shall adopt whatever measures are necessary, including information, training and risk prevention activities and the constitution of the necessary organization or media. Occupational safety and hygiene measures shall not involve any financial charge for the workers”, while article 278 stipulates: “Failure by the worker or the employer to comply with their obligations in the area of health, hygiene and safety at work is a serious offence punishable under this Code.”</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GB" w:eastAsia="en-US"/>
        </w:rPr>
      </w:pPr>
      <w:r>
        <w:rPr>
          <w:rFonts w:ascii="Times New Roman" w:eastAsia="Times New Roman" w:hAnsi="Times New Roman" w:cs="Times New Roman"/>
          <w:lang w:val="en-GB" w:eastAsia="en-US"/>
        </w:rPr>
        <w:t>C.  Holidays and rest with pay</w:t>
      </w:r>
    </w:p>
    <w:p w:rsidR="00000000" w:rsidRDefault="00000000">
      <w:pPr>
        <w:spacing w:after="240"/>
        <w:rPr>
          <w:lang w:val="en-US"/>
        </w:rPr>
      </w:pPr>
      <w:r>
        <w:rPr>
          <w:lang w:val="en-US"/>
        </w:rPr>
        <w:t>223.</w:t>
      </w:r>
      <w:r>
        <w:rPr>
          <w:lang w:val="en-US"/>
        </w:rPr>
        <w:tab/>
        <w:t xml:space="preserve">The Labour Code fixes an uninterrupted rest period of at least ten hours between two days of work and states that every worker is entitled to a weekly day of rest, which will normally be Sunday. The Secretariat for Women has been giving continuous advice to the National Secretariat of the Public Service concerning working time not exceeding six hours per day, special leave for women in charge of persons with special needs, heads of households, persons with terminal illnesses, etc. </w:t>
      </w:r>
    </w:p>
    <w:p w:rsidR="00000000" w:rsidRDefault="00000000">
      <w:pPr>
        <w:keepNext/>
        <w:spacing w:after="240"/>
        <w:rPr>
          <w:lang w:val="en-US"/>
        </w:rPr>
      </w:pPr>
      <w:r>
        <w:rPr>
          <w:b/>
          <w:bCs/>
          <w:lang w:val="en-US"/>
        </w:rPr>
        <w:t>1.</w:t>
      </w:r>
      <w:r>
        <w:rPr>
          <w:b/>
          <w:bCs/>
          <w:lang w:val="en-US"/>
        </w:rPr>
        <w:tab/>
        <w:t>Regulations concerning statutory rest</w:t>
      </w:r>
    </w:p>
    <w:p w:rsidR="00000000" w:rsidRDefault="00000000">
      <w:pPr>
        <w:keepNext/>
        <w:spacing w:after="240"/>
        <w:rPr>
          <w:b/>
          <w:bCs/>
          <w:lang w:val="fr-FR"/>
        </w:rPr>
      </w:pPr>
      <w:r>
        <w:rPr>
          <w:b/>
          <w:bCs/>
          <w:lang w:val="fr-FR"/>
        </w:rPr>
        <w:t>1.1.</w:t>
      </w:r>
      <w:r>
        <w:rPr>
          <w:b/>
          <w:bCs/>
          <w:lang w:val="fr-FR"/>
        </w:rPr>
        <w:tab/>
        <w:t xml:space="preserve">Labour Code: </w:t>
      </w:r>
    </w:p>
    <w:p w:rsidR="00000000" w:rsidRDefault="00000000">
      <w:pPr>
        <w:keepNext/>
        <w:spacing w:after="240"/>
        <w:ind w:left="1134" w:hanging="567"/>
        <w:rPr>
          <w:lang w:val="en-US"/>
        </w:rPr>
      </w:pPr>
      <w:r>
        <w:rPr>
          <w:lang w:val="fr-FR"/>
        </w:rPr>
        <w:t>–</w:t>
      </w:r>
      <w:r>
        <w:rPr>
          <w:lang w:val="fr-FR"/>
        </w:rPr>
        <w:tab/>
      </w:r>
      <w:r>
        <w:rPr>
          <w:i/>
          <w:iCs/>
          <w:lang w:val="fr-FR"/>
        </w:rPr>
        <w:t xml:space="preserve">Article 67.  </w:t>
      </w:r>
      <w:r>
        <w:rPr>
          <w:lang w:val="en-US"/>
        </w:rPr>
        <w:t>Workers have the following rights: (…) b) to enjoy the compulsoryweekly rest periods fixed in the present Code;</w:t>
      </w:r>
    </w:p>
    <w:p w:rsidR="00000000" w:rsidRDefault="00000000">
      <w:pPr>
        <w:keepNext/>
        <w:spacing w:after="240"/>
        <w:ind w:firstLine="567"/>
        <w:rPr>
          <w:lang w:val="en-US"/>
        </w:rPr>
      </w:pPr>
      <w:r>
        <w:rPr>
          <w:lang w:val="en-US"/>
        </w:rPr>
        <w:t>–</w:t>
      </w:r>
      <w:r>
        <w:rPr>
          <w:lang w:val="en-US"/>
        </w:rPr>
        <w:tab/>
      </w:r>
      <w:r>
        <w:rPr>
          <w:i/>
          <w:iCs/>
          <w:lang w:val="en-US"/>
        </w:rPr>
        <w:t xml:space="preserve">Article 62.  </w:t>
      </w:r>
      <w:r>
        <w:rPr>
          <w:lang w:val="en-US"/>
        </w:rPr>
        <w:t xml:space="preserve">The following are obligations on employers: </w:t>
      </w:r>
    </w:p>
    <w:p w:rsidR="00000000" w:rsidRDefault="00000000">
      <w:pPr>
        <w:spacing w:after="240"/>
        <w:ind w:left="1701" w:hanging="567"/>
      </w:pPr>
      <w:r>
        <w:t>h)</w:t>
      </w:r>
      <w:r>
        <w:tab/>
        <w:t xml:space="preserve">To give the worker time off to discharge his personal obligations imposed by governmental laws or other provisions; but the employer is not obliged to recognize for such purposes more than two days in any calendar month, and in no case more than fifteen days in any one year; </w:t>
      </w:r>
    </w:p>
    <w:p w:rsidR="00000000" w:rsidRDefault="00000000">
      <w:pPr>
        <w:spacing w:after="240"/>
        <w:ind w:left="1701" w:hanging="567"/>
      </w:pPr>
      <w:r>
        <w:t>j)</w:t>
      </w:r>
      <w:r>
        <w:tab/>
        <w:t xml:space="preserve">At the request of the worker, to grant him three days’ leave with pay to contract marriage; two days in the event of the birth of a child; and four days in the event of the death of a spouse, a child, a parent, a grandparent or a sibling; </w:t>
      </w:r>
    </w:p>
    <w:p w:rsidR="00000000" w:rsidRDefault="00000000">
      <w:pPr>
        <w:widowControl w:val="0"/>
        <w:autoSpaceDE w:val="0"/>
        <w:autoSpaceDN w:val="0"/>
        <w:spacing w:after="240"/>
        <w:ind w:left="1134" w:hanging="567"/>
        <w:rPr>
          <w:lang w:val="en-US"/>
        </w:rPr>
      </w:pPr>
      <w:r>
        <w:t>–</w:t>
      </w:r>
      <w:r>
        <w:tab/>
      </w:r>
      <w:r>
        <w:rPr>
          <w:i/>
          <w:iCs/>
        </w:rPr>
        <w:t xml:space="preserve">Article 133.  </w:t>
      </w:r>
      <w:r>
        <w:t>Every woman worker shall be entitled to cease from working on presentation of a medical certificate issued or visaed by the Social Security Institute or the Ministry of Public Health and Social Welfare to the effect that she will probably give birth during the following six weeks, and shall not be permitted to work during the six weeks following the birth save with medical authorization.  D</w:t>
      </w:r>
      <w:r>
        <w:rPr>
          <w:lang w:val="en-US"/>
        </w:rPr>
        <w:t>uring her absence for maternity rest or during any additional period between the presumed date and the actual date of childbirth, she shall receive sufficient medical assistance and benefits at the expense of the social security system.</w:t>
      </w:r>
    </w:p>
    <w:p w:rsidR="00000000" w:rsidRDefault="00000000">
      <w:pPr>
        <w:spacing w:after="240"/>
        <w:ind w:left="1134" w:hanging="567"/>
        <w:rPr>
          <w:lang w:val="en-US"/>
        </w:rPr>
      </w:pPr>
      <w:r>
        <w:t>–</w:t>
      </w:r>
      <w:r>
        <w:tab/>
      </w:r>
      <w:r>
        <w:rPr>
          <w:i/>
          <w:iCs/>
        </w:rPr>
        <w:t>Article 134.</w:t>
      </w:r>
      <w:r>
        <w:t xml:space="preserve">  During the breastfeeding period working mothers shall be entitled to two special rest periods per day, of half an hour each, to nurse their children. These rest periods shall be deemed to be periods worked with pay. To that end industrial or commercial establishments in which more than 50 women are employed are required to </w:t>
      </w:r>
      <w:r>
        <w:rPr>
          <w:lang w:val="en-US"/>
        </w:rPr>
        <w:t>fit out rooms for children under two years of age, where they will remain under care while their mothers are working. That obligation shall cease if and when such assistance is provided by social security institutions</w:t>
      </w:r>
      <w:r>
        <w:rPr>
          <w:spacing w:val="14"/>
          <w:lang w:val="en-US"/>
        </w:rPr>
        <w:t xml:space="preserve">. </w:t>
      </w:r>
    </w:p>
    <w:p w:rsidR="00000000" w:rsidRDefault="00000000">
      <w:pPr>
        <w:spacing w:after="240"/>
        <w:ind w:left="1134" w:hanging="567"/>
      </w:pPr>
      <w:r>
        <w:t>–</w:t>
      </w:r>
      <w:r>
        <w:tab/>
      </w:r>
      <w:r>
        <w:rPr>
          <w:i/>
          <w:iCs/>
        </w:rPr>
        <w:t>Article 135.</w:t>
      </w:r>
      <w:r>
        <w:t xml:space="preserve">  During the three months preceding childbirth women may not engage in any work requiring considerable physical effort. If during the maternity rest period they become unable to return to work as a consequence of the pregnancy or the birth, they are entitled to leave for all the time necessary for their recovery while keeping their jobs and the rights acquired under the employment contract. </w:t>
      </w:r>
    </w:p>
    <w:p w:rsidR="00000000" w:rsidRDefault="00000000">
      <w:pPr>
        <w:spacing w:after="240"/>
        <w:ind w:left="1134" w:hanging="567"/>
      </w:pPr>
      <w:r>
        <w:t>–</w:t>
      </w:r>
      <w:r>
        <w:tab/>
      </w:r>
      <w:r>
        <w:rPr>
          <w:i/>
          <w:iCs/>
        </w:rPr>
        <w:t xml:space="preserve">Article 136. </w:t>
      </w:r>
      <w:r>
        <w:t xml:space="preserve"> With effect</w:t>
      </w:r>
      <w:r>
        <w:rPr>
          <w:b/>
          <w:bCs/>
        </w:rPr>
        <w:t xml:space="preserve"> </w:t>
      </w:r>
      <w:r>
        <w:t xml:space="preserve">from the moment when the employer is notified of the pregnancy of the woman worker, and while she is enjoying maternity rest, any notice of dismissal or dismissal decided on by the employer shall be null and void. </w:t>
      </w:r>
    </w:p>
    <w:p w:rsidR="00000000" w:rsidRDefault="00000000">
      <w:pPr>
        <w:spacing w:after="240"/>
        <w:ind w:left="1134" w:hanging="567"/>
      </w:pPr>
      <w:r>
        <w:t>–</w:t>
      </w:r>
      <w:r>
        <w:tab/>
      </w:r>
      <w:r>
        <w:rPr>
          <w:i/>
          <w:iCs/>
        </w:rPr>
        <w:t xml:space="preserve">Article 154. </w:t>
      </w:r>
      <w:r>
        <w:t xml:space="preserve"> Domestic workers, by agreement with the employer, may work on public holidays designated by law, but with the following rest periods: </w:t>
      </w:r>
    </w:p>
    <w:p w:rsidR="00000000" w:rsidRDefault="00000000">
      <w:pPr>
        <w:spacing w:after="220"/>
        <w:ind w:left="1701" w:hanging="567"/>
      </w:pPr>
      <w:r>
        <w:t>a)</w:t>
      </w:r>
      <w:r>
        <w:tab/>
        <w:t>A period of absolute rest of 12 hours each day. For persons not having their own private spaces at least 10 hours shall be allowed for sleep and two hours for meals,</w:t>
      </w:r>
    </w:p>
    <w:p w:rsidR="00000000" w:rsidRDefault="00000000">
      <w:pPr>
        <w:spacing w:after="220"/>
        <w:ind w:left="1701" w:hanging="567"/>
      </w:pPr>
      <w:r>
        <w:t>b)</w:t>
      </w:r>
      <w:r>
        <w:tab/>
        <w:t xml:space="preserve">Annual leave with pay like all workers as regards duration and remuneration in cash. </w:t>
      </w:r>
    </w:p>
    <w:p w:rsidR="00000000" w:rsidRDefault="00000000">
      <w:pPr>
        <w:spacing w:after="220"/>
      </w:pPr>
      <w:r>
        <w:t>224.</w:t>
      </w:r>
      <w:r>
        <w:tab/>
        <w:t xml:space="preserve">The Labour Code also contains the following provisions concerning statutory rest periods: </w:t>
      </w:r>
    </w:p>
    <w:p w:rsidR="00000000" w:rsidRDefault="00000000">
      <w:pPr>
        <w:spacing w:after="220"/>
        <w:ind w:left="1134" w:hanging="567"/>
      </w:pPr>
      <w:r>
        <w:t>–</w:t>
      </w:r>
      <w:r>
        <w:tab/>
      </w:r>
      <w:r>
        <w:rPr>
          <w:i/>
          <w:iCs/>
        </w:rPr>
        <w:t xml:space="preserve">Article 212. </w:t>
      </w:r>
      <w:r>
        <w:t xml:space="preserve"> On the conclusion of the working day workers shall be allowed an uninterrupted period of rest of not less than ten hours’ duration. </w:t>
      </w:r>
    </w:p>
    <w:p w:rsidR="00000000" w:rsidRDefault="00000000">
      <w:pPr>
        <w:spacing w:after="220"/>
        <w:ind w:left="1134" w:hanging="567"/>
      </w:pPr>
      <w:r>
        <w:t>–</w:t>
      </w:r>
      <w:r>
        <w:tab/>
      </w:r>
      <w:r>
        <w:rPr>
          <w:i/>
          <w:iCs/>
        </w:rPr>
        <w:t>Article 213.</w:t>
      </w:r>
      <w:r>
        <w:rPr>
          <w:b/>
          <w:bCs/>
        </w:rPr>
        <w:t xml:space="preserve">  </w:t>
      </w:r>
      <w:r>
        <w:t>Every worker shall be entitled to a day of rest each week, which shall normally fall on a Sunday. Exceptionally a full period of rest of at least 24 consecutive hours may be granted on a separate working day and during the following week, in place of the Sunday rest, in the following cases:</w:t>
      </w:r>
    </w:p>
    <w:p w:rsidR="00000000" w:rsidRDefault="00000000">
      <w:pPr>
        <w:spacing w:after="220"/>
        <w:ind w:left="1701" w:hanging="567"/>
      </w:pPr>
      <w:r>
        <w:t>a)</w:t>
      </w:r>
      <w:r>
        <w:tab/>
        <w:t xml:space="preserve">Work which may not be interrupted on account of the nature of the needs it satisfies, for technical reasons or for reasons entailing serious prejudice to the public interest or to the enterprise itself; </w:t>
      </w:r>
    </w:p>
    <w:p w:rsidR="00000000" w:rsidRDefault="00000000">
      <w:pPr>
        <w:spacing w:after="220"/>
        <w:ind w:left="1701" w:hanging="567"/>
      </w:pPr>
      <w:r>
        <w:t>b)</w:t>
      </w:r>
      <w:r>
        <w:tab/>
        <w:t>Tasks relating to the repair and cleaning of machinery, installations or industrial and commercial premises which are essential to avoid interruption of the tasks of the week; and</w:t>
      </w:r>
    </w:p>
    <w:p w:rsidR="00000000" w:rsidRDefault="00000000">
      <w:pPr>
        <w:spacing w:after="220"/>
        <w:ind w:left="1701" w:hanging="567"/>
      </w:pPr>
      <w:r>
        <w:t>c)</w:t>
      </w:r>
      <w:r>
        <w:tab/>
        <w:t>Any tasks which clearly and urgently need to be performed because of the imminence of damage, accidents, acts of God, force majeure or other temporary circumstances which have to be acted upon immediately.</w:t>
      </w:r>
    </w:p>
    <w:p w:rsidR="00000000" w:rsidRDefault="00000000">
      <w:pPr>
        <w:widowControl w:val="0"/>
        <w:autoSpaceDE w:val="0"/>
        <w:autoSpaceDN w:val="0"/>
        <w:spacing w:after="220"/>
        <w:ind w:left="1134" w:hanging="567"/>
        <w:rPr>
          <w:szCs w:val="18"/>
          <w:lang w:val="en-US"/>
        </w:rPr>
      </w:pPr>
      <w:r>
        <w:rPr>
          <w:szCs w:val="18"/>
          <w:lang w:val="en-US"/>
        </w:rPr>
        <w:t>–</w:t>
      </w:r>
      <w:r>
        <w:rPr>
          <w:szCs w:val="18"/>
          <w:lang w:val="en-US"/>
        </w:rPr>
        <w:tab/>
      </w:r>
      <w:r>
        <w:rPr>
          <w:i/>
          <w:iCs/>
          <w:szCs w:val="18"/>
          <w:lang w:val="en-US"/>
        </w:rPr>
        <w:t>Article 217.</w:t>
      </w:r>
      <w:r>
        <w:rPr>
          <w:b/>
          <w:bCs/>
          <w:szCs w:val="18"/>
          <w:lang w:val="en-US"/>
        </w:rPr>
        <w:t xml:space="preserve">  </w:t>
      </w:r>
      <w:r>
        <w:rPr>
          <w:szCs w:val="18"/>
          <w:lang w:val="en-US"/>
        </w:rPr>
        <w:t xml:space="preserve">All public holidays established by law shall also be compulsory rest days. </w:t>
      </w:r>
    </w:p>
    <w:p w:rsidR="00000000" w:rsidRDefault="00000000">
      <w:pPr>
        <w:widowControl w:val="0"/>
        <w:autoSpaceDE w:val="0"/>
        <w:autoSpaceDN w:val="0"/>
        <w:spacing w:after="220"/>
        <w:ind w:left="1134" w:hanging="567"/>
        <w:rPr>
          <w:szCs w:val="18"/>
          <w:lang w:val="en-US"/>
        </w:rPr>
      </w:pPr>
      <w:r>
        <w:rPr>
          <w:szCs w:val="18"/>
          <w:lang w:val="en-US"/>
        </w:rPr>
        <w:t>–</w:t>
      </w:r>
      <w:r>
        <w:rPr>
          <w:szCs w:val="18"/>
          <w:lang w:val="en-US"/>
        </w:rPr>
        <w:tab/>
      </w:r>
      <w:r>
        <w:rPr>
          <w:i/>
          <w:iCs/>
          <w:szCs w:val="18"/>
          <w:lang w:val="en-US"/>
        </w:rPr>
        <w:t xml:space="preserve">Article 218. </w:t>
      </w:r>
      <w:r>
        <w:rPr>
          <w:szCs w:val="18"/>
          <w:lang w:val="en-US"/>
        </w:rPr>
        <w:t xml:space="preserve"> Every worker is entitled to a period of paid holidays after each year of continuous service with the same employer. The minimum duration shall be: a) for workers with up to five years’ seniority, 12 consecutive days; b) for workers with more than five years’ and up to ten years’ seniority, 18 consecutive days; c) for workers with over ten years’ seniority, 30 consecutive days. </w:t>
      </w:r>
    </w:p>
    <w:p w:rsidR="00000000" w:rsidRDefault="00000000">
      <w:pPr>
        <w:pStyle w:val="xl23"/>
        <w:widowControl w:val="0"/>
        <w:autoSpaceDE w:val="0"/>
        <w:autoSpaceDN w:val="0"/>
        <w:spacing w:before="0" w:beforeAutospacing="0" w:after="240" w:afterAutospacing="0"/>
        <w:rPr>
          <w:rFonts w:ascii="Times New Roman" w:hAnsi="Times New Roman" w:cs="Times New Roman"/>
          <w:lang w:val="en-US" w:eastAsia="en-US"/>
        </w:rPr>
      </w:pPr>
      <w:r>
        <w:rPr>
          <w:rFonts w:ascii="Times New Roman" w:hAnsi="Times New Roman" w:cs="Times New Roman"/>
          <w:lang w:val="en-US" w:eastAsia="en-US"/>
        </w:rPr>
        <w:t>1.2.</w:t>
      </w:r>
      <w:r>
        <w:rPr>
          <w:rFonts w:ascii="Times New Roman" w:hAnsi="Times New Roman" w:cs="Times New Roman"/>
          <w:lang w:val="en-US" w:eastAsia="en-US"/>
        </w:rPr>
        <w:tab/>
        <w:t>Difficulties hindering the full achievement of holidays with pay</w:t>
      </w:r>
    </w:p>
    <w:p w:rsidR="00000000" w:rsidRDefault="00000000">
      <w:pPr>
        <w:widowControl w:val="0"/>
        <w:autoSpaceDE w:val="0"/>
        <w:autoSpaceDN w:val="0"/>
        <w:spacing w:after="240"/>
        <w:rPr>
          <w:szCs w:val="18"/>
        </w:rPr>
      </w:pPr>
      <w:r>
        <w:rPr>
          <w:szCs w:val="18"/>
          <w:lang w:val="en-US"/>
        </w:rPr>
        <w:t>225.</w:t>
      </w:r>
      <w:r>
        <w:rPr>
          <w:szCs w:val="18"/>
          <w:lang w:val="en-US"/>
        </w:rPr>
        <w:tab/>
        <w:t xml:space="preserve">Every year reports are received concerning non-payment of holiday pay, although there is a conciliation body; 80% of cases are dealt with by the administrative </w:t>
      </w:r>
      <w:r>
        <w:rPr>
          <w:szCs w:val="18"/>
        </w:rPr>
        <w:t>labour authorities.</w:t>
      </w:r>
    </w:p>
    <w:p w:rsidR="00000000" w:rsidRDefault="00000000">
      <w:pPr>
        <w:widowControl w:val="0"/>
        <w:autoSpaceDE w:val="0"/>
        <w:autoSpaceDN w:val="0"/>
        <w:spacing w:after="240"/>
        <w:rPr>
          <w:spacing w:val="14"/>
          <w:szCs w:val="18"/>
          <w:lang w:val="en-US"/>
        </w:rPr>
      </w:pPr>
      <w:r>
        <w:rPr>
          <w:b/>
          <w:bCs/>
          <w:spacing w:val="14"/>
          <w:szCs w:val="18"/>
          <w:lang w:val="en-US"/>
        </w:rPr>
        <w:t>2.</w:t>
      </w:r>
      <w:r>
        <w:rPr>
          <w:b/>
          <w:bCs/>
          <w:spacing w:val="14"/>
          <w:szCs w:val="18"/>
          <w:lang w:val="en-US"/>
        </w:rPr>
        <w:tab/>
        <w:t xml:space="preserve">Maternity leave </w:t>
      </w:r>
    </w:p>
    <w:p w:rsidR="00000000" w:rsidRDefault="00000000">
      <w:pPr>
        <w:widowControl w:val="0"/>
        <w:autoSpaceDE w:val="0"/>
        <w:autoSpaceDN w:val="0"/>
        <w:spacing w:after="220"/>
        <w:rPr>
          <w:szCs w:val="18"/>
          <w:lang w:val="en-US"/>
        </w:rPr>
      </w:pPr>
      <w:r>
        <w:rPr>
          <w:szCs w:val="18"/>
          <w:lang w:val="en-US"/>
        </w:rPr>
        <w:t>226.</w:t>
      </w:r>
      <w:r>
        <w:rPr>
          <w:szCs w:val="18"/>
          <w:lang w:val="en-US"/>
        </w:rPr>
        <w:tab/>
        <w:t xml:space="preserve">The Labour Code provides for maternity leave of not less than 12 weeks, leave during the breastfeeding period and special daily breaks, all with pay. In addition, during the three months preceding birth the women concerned may not perform any work requiring considerable physical effort. If during the maternity rest period the mother becomes unable to return to work she shall be entitled to leave while keeping her job and the rights acquired under the employment contract. With effect from notification of the pregnancy dismissal or notice of dismissal is prohibited. There is also a obligation to establish children’s centres in workplaces with a minimum of 50 persons. These regulations were laid down in 1993 and amended in 1995. With effect from 2004 the Secretariat for Women has been giving effect to the “proposal submitted concerning maternity leave for women in elective office”, which has so far obtained partial approval in the Chamber of Deputies. </w:t>
      </w:r>
    </w:p>
    <w:p w:rsidR="00000000" w:rsidRDefault="00000000">
      <w:pPr>
        <w:pStyle w:val="xl27"/>
        <w:widowControl w:val="0"/>
        <w:pBdr>
          <w:left w:val="none" w:sz="0" w:space="0" w:color="auto"/>
          <w:bottom w:val="none" w:sz="0" w:space="0" w:color="auto"/>
          <w:right w:val="none" w:sz="0" w:space="0" w:color="auto"/>
        </w:pBdr>
        <w:autoSpaceDE w:val="0"/>
        <w:autoSpaceDN w:val="0"/>
        <w:spacing w:before="0" w:beforeAutospacing="0" w:after="220" w:afterAutospacing="0"/>
        <w:rPr>
          <w:rFonts w:ascii="Times New Roman" w:eastAsia="Times New Roman" w:hAnsi="Times New Roman" w:cs="Times New Roman"/>
          <w:szCs w:val="18"/>
          <w:lang w:val="en-US" w:eastAsia="en-US"/>
        </w:rPr>
      </w:pPr>
      <w:r>
        <w:rPr>
          <w:rFonts w:ascii="Times New Roman" w:eastAsia="Times New Roman" w:hAnsi="Times New Roman" w:cs="Times New Roman"/>
          <w:szCs w:val="18"/>
          <w:lang w:val="en-US" w:eastAsia="en-US"/>
        </w:rPr>
        <w:t>D.  Progress in the field of labour legislation</w:t>
      </w:r>
    </w:p>
    <w:p w:rsidR="00000000" w:rsidRDefault="00000000">
      <w:pPr>
        <w:widowControl w:val="0"/>
        <w:autoSpaceDE w:val="0"/>
        <w:autoSpaceDN w:val="0"/>
        <w:spacing w:after="220"/>
        <w:rPr>
          <w:szCs w:val="18"/>
          <w:lang w:val="en-US"/>
        </w:rPr>
      </w:pPr>
      <w:r>
        <w:rPr>
          <w:szCs w:val="18"/>
          <w:lang w:val="en-US"/>
        </w:rPr>
        <w:t>227.</w:t>
      </w:r>
      <w:r>
        <w:rPr>
          <w:szCs w:val="18"/>
          <w:lang w:val="en-US"/>
        </w:rPr>
        <w:tab/>
        <w:t xml:space="preserve">Since the adoption of the 1992 Constitution there have been changes of interest in current legislation in the field of labour law. The new Labour Code (Act No. 213 of 29 October 1993) was adopted in that year and amended by Act No. 495 of 1995. This legislation has remained in force, with very few amendments, to this day. </w:t>
      </w:r>
    </w:p>
    <w:p w:rsidR="00000000" w:rsidRDefault="00000000">
      <w:pPr>
        <w:widowControl w:val="0"/>
        <w:autoSpaceDE w:val="0"/>
        <w:autoSpaceDN w:val="0"/>
        <w:spacing w:after="220"/>
        <w:rPr>
          <w:b/>
          <w:bCs/>
          <w:szCs w:val="18"/>
          <w:lang w:val="en-US"/>
        </w:rPr>
      </w:pPr>
      <w:r>
        <w:rPr>
          <w:b/>
          <w:bCs/>
          <w:szCs w:val="18"/>
          <w:lang w:val="en-US"/>
        </w:rPr>
        <w:t>1.</w:t>
      </w:r>
      <w:r>
        <w:rPr>
          <w:b/>
          <w:bCs/>
          <w:szCs w:val="18"/>
          <w:lang w:val="en-US"/>
        </w:rPr>
        <w:tab/>
        <w:t>Public sector</w:t>
      </w:r>
    </w:p>
    <w:p w:rsidR="00000000" w:rsidRDefault="00000000">
      <w:pPr>
        <w:widowControl w:val="0"/>
        <w:autoSpaceDE w:val="0"/>
        <w:autoSpaceDN w:val="0"/>
        <w:spacing w:after="220"/>
        <w:rPr>
          <w:szCs w:val="18"/>
          <w:lang w:val="en-US"/>
        </w:rPr>
      </w:pPr>
      <w:r>
        <w:rPr>
          <w:szCs w:val="18"/>
          <w:lang w:val="en-US"/>
        </w:rPr>
        <w:t>228.</w:t>
      </w:r>
      <w:r>
        <w:rPr>
          <w:szCs w:val="18"/>
          <w:lang w:val="en-US"/>
        </w:rPr>
        <w:tab/>
        <w:t xml:space="preserve">The most significant changes effected in the field of labour legislation have been those concerning the public sector, initially with the approval of Act No. 508/94 concerning collective bargaining in the public sector, authorizing the functioning of that process, which was forbidden under the dictatorship, and culminating with the adoption of the new Act concerning the public service (No. 1626/2000), which repealed the old Act No. 200 governing the status of public officials; under that Act public officials were prohibited from engaging in trade union activity and denied the right to strike, to bargain collectively, and other fundamental rights recognized in international conventions on the subject. In practice, since the adoption of the National Constitution of 1992, in which all these fundamental rights are recognized for public officials, a </w:t>
      </w:r>
      <w:r>
        <w:rPr>
          <w:i/>
          <w:iCs/>
          <w:szCs w:val="18"/>
          <w:lang w:val="en-US"/>
        </w:rPr>
        <w:t>de facto</w:t>
      </w:r>
      <w:r>
        <w:rPr>
          <w:szCs w:val="18"/>
          <w:lang w:val="en-US"/>
        </w:rPr>
        <w:t xml:space="preserve"> situation has arisen in which an increase in trade union organizations has occurred in the public sector with the recognition of trade unions, the conclusion of collective agreements and the exercise of the right to strike. All these processes are governed by the Labour Code pending the adoption of the new Act concerning the public service. </w:t>
      </w:r>
    </w:p>
    <w:p w:rsidR="00000000" w:rsidRDefault="00000000">
      <w:pPr>
        <w:widowControl w:val="0"/>
        <w:autoSpaceDE w:val="0"/>
        <w:autoSpaceDN w:val="0"/>
        <w:spacing w:after="220"/>
        <w:rPr>
          <w:szCs w:val="18"/>
          <w:lang w:val="en-US"/>
        </w:rPr>
      </w:pPr>
      <w:r>
        <w:rPr>
          <w:szCs w:val="18"/>
          <w:lang w:val="en-US"/>
        </w:rPr>
        <w:t>229.</w:t>
      </w:r>
      <w:r>
        <w:rPr>
          <w:szCs w:val="18"/>
          <w:lang w:val="en-US"/>
        </w:rPr>
        <w:tab/>
        <w:t xml:space="preserve">Finally, Act No. 1626 of 2000 constitutes the reaction of the government authorities themselves seeking to regulate the exercise of the rights enshrined in the Constitution. Consequently many of the rules included in that Act were objected to as unconstitutional by the trade unions, and the Supreme Court of Justice had to give rulings on the subject in certain cases, in particular with regard to questions of procedure, but without coming to a decision on the substance of the matter. At present there is a strong current of parliamentary opinion seeking to amend the Act, where a new draft is under consideration. </w:t>
      </w:r>
    </w:p>
    <w:p w:rsidR="00000000" w:rsidRDefault="00000000">
      <w:pPr>
        <w:widowControl w:val="0"/>
        <w:autoSpaceDE w:val="0"/>
        <w:autoSpaceDN w:val="0"/>
        <w:spacing w:after="240"/>
        <w:rPr>
          <w:szCs w:val="18"/>
          <w:lang w:val="en-US"/>
        </w:rPr>
      </w:pPr>
      <w:r>
        <w:rPr>
          <w:szCs w:val="18"/>
          <w:lang w:val="en-US"/>
        </w:rPr>
        <w:t>230.</w:t>
      </w:r>
      <w:r>
        <w:rPr>
          <w:szCs w:val="18"/>
          <w:lang w:val="en-US"/>
        </w:rPr>
        <w:tab/>
        <w:t xml:space="preserve">However, it is in this sector of the public service that the implementation of measures to introduce more flexibility in labour legislation has been observed, particularly in the field of collective labour law. </w:t>
      </w:r>
    </w:p>
    <w:p w:rsidR="00000000" w:rsidRDefault="00000000">
      <w:pPr>
        <w:widowControl w:val="0"/>
        <w:autoSpaceDE w:val="0"/>
        <w:autoSpaceDN w:val="0"/>
        <w:spacing w:after="240"/>
        <w:rPr>
          <w:szCs w:val="18"/>
          <w:lang w:val="en-US"/>
        </w:rPr>
      </w:pPr>
      <w:r>
        <w:rPr>
          <w:b/>
          <w:bCs/>
          <w:szCs w:val="18"/>
          <w:lang w:val="en-US"/>
        </w:rPr>
        <w:t>2.</w:t>
      </w:r>
      <w:r>
        <w:rPr>
          <w:b/>
          <w:bCs/>
          <w:szCs w:val="18"/>
          <w:lang w:val="en-US"/>
        </w:rPr>
        <w:tab/>
        <w:t>Amendments to the Labour Code currently in force</w:t>
      </w:r>
    </w:p>
    <w:p w:rsidR="00000000" w:rsidRDefault="00000000">
      <w:pPr>
        <w:widowControl w:val="0"/>
        <w:autoSpaceDE w:val="0"/>
        <w:autoSpaceDN w:val="0"/>
        <w:spacing w:after="240"/>
        <w:rPr>
          <w:szCs w:val="18"/>
          <w:lang w:val="en-US"/>
        </w:rPr>
      </w:pPr>
      <w:r>
        <w:rPr>
          <w:szCs w:val="18"/>
          <w:lang w:val="en-US"/>
        </w:rPr>
        <w:t>231.</w:t>
      </w:r>
      <w:r>
        <w:rPr>
          <w:szCs w:val="18"/>
          <w:lang w:val="en-US"/>
        </w:rPr>
        <w:tab/>
        <w:t>Mention may be made of the following amendments to Act No. 496 of 1995:</w:t>
      </w:r>
    </w:p>
    <w:p w:rsidR="00000000" w:rsidRDefault="00000000">
      <w:pPr>
        <w:widowControl w:val="0"/>
        <w:autoSpaceDE w:val="0"/>
        <w:autoSpaceDN w:val="0"/>
        <w:spacing w:after="180"/>
        <w:ind w:firstLine="567"/>
        <w:rPr>
          <w:szCs w:val="18"/>
          <w:lang w:val="en-US"/>
        </w:rPr>
      </w:pPr>
      <w:r>
        <w:rPr>
          <w:szCs w:val="18"/>
          <w:lang w:val="en-US"/>
        </w:rPr>
        <w:t>–</w:t>
      </w:r>
      <w:r>
        <w:rPr>
          <w:szCs w:val="18"/>
          <w:lang w:val="en-US"/>
        </w:rPr>
        <w:tab/>
        <w:t>Act No. 285 of 1993 regulating article 93 of the National Constitution;</w:t>
      </w:r>
    </w:p>
    <w:p w:rsidR="00000000" w:rsidRDefault="00000000">
      <w:pPr>
        <w:widowControl w:val="0"/>
        <w:autoSpaceDE w:val="0"/>
        <w:autoSpaceDN w:val="0"/>
        <w:spacing w:after="180"/>
        <w:ind w:firstLine="567"/>
        <w:rPr>
          <w:szCs w:val="18"/>
          <w:lang w:val="en-US"/>
        </w:rPr>
      </w:pPr>
      <w:r>
        <w:rPr>
          <w:szCs w:val="18"/>
          <w:lang w:val="en-US"/>
        </w:rPr>
        <w:t>–</w:t>
      </w:r>
      <w:r>
        <w:rPr>
          <w:szCs w:val="18"/>
          <w:lang w:val="en-US"/>
        </w:rPr>
        <w:tab/>
        <w:t>Act No. 1416/99 regulating conditions of work in overland transport;</w:t>
      </w:r>
    </w:p>
    <w:p w:rsidR="00000000" w:rsidRDefault="00000000">
      <w:pPr>
        <w:widowControl w:val="0"/>
        <w:autoSpaceDE w:val="0"/>
        <w:autoSpaceDN w:val="0"/>
        <w:spacing w:after="180"/>
        <w:ind w:firstLine="567"/>
        <w:rPr>
          <w:szCs w:val="18"/>
          <w:lang w:val="en-US"/>
        </w:rPr>
      </w:pPr>
      <w:r>
        <w:rPr>
          <w:szCs w:val="18"/>
          <w:lang w:val="en-US"/>
        </w:rPr>
        <w:t>–</w:t>
      </w:r>
      <w:r>
        <w:rPr>
          <w:szCs w:val="18"/>
          <w:lang w:val="en-US"/>
        </w:rPr>
        <w:tab/>
        <w:t>Act No. 1542/2000 establishing a procedure for the assessment of strikes;</w:t>
      </w:r>
    </w:p>
    <w:p w:rsidR="00000000" w:rsidRDefault="00000000">
      <w:pPr>
        <w:spacing w:after="180"/>
        <w:ind w:left="1134" w:hanging="567"/>
        <w:rPr>
          <w:lang w:val="en-US"/>
        </w:rPr>
      </w:pPr>
      <w:r>
        <w:rPr>
          <w:szCs w:val="18"/>
          <w:lang w:val="en-US"/>
        </w:rPr>
        <w:t>–</w:t>
      </w:r>
      <w:r>
        <w:rPr>
          <w:szCs w:val="18"/>
          <w:lang w:val="en-US"/>
        </w:rPr>
        <w:tab/>
        <w:t>Act No. 1652/2000 establishing a system of training and occupational skills development;</w:t>
      </w:r>
    </w:p>
    <w:p w:rsidR="00000000" w:rsidRDefault="00000000">
      <w:pPr>
        <w:spacing w:after="180"/>
        <w:ind w:left="1134" w:hanging="567"/>
        <w:rPr>
          <w:lang w:val="en-US"/>
        </w:rPr>
      </w:pPr>
      <w:r>
        <w:rPr>
          <w:szCs w:val="18"/>
          <w:lang w:val="en-US"/>
        </w:rPr>
        <w:t>–</w:t>
      </w:r>
      <w:r>
        <w:rPr>
          <w:szCs w:val="18"/>
          <w:lang w:val="en-US"/>
        </w:rPr>
        <w:tab/>
        <w:t xml:space="preserve">Act No. 1680/2001 approving the Code on Children and Adolescents and amending the relevant sections of the Labour Code; </w:t>
      </w:r>
    </w:p>
    <w:p w:rsidR="00000000" w:rsidRDefault="00000000">
      <w:pPr>
        <w:spacing w:after="180"/>
        <w:ind w:left="1134" w:hanging="567"/>
        <w:rPr>
          <w:szCs w:val="18"/>
          <w:lang w:val="en-US"/>
        </w:rPr>
      </w:pPr>
      <w:r>
        <w:rPr>
          <w:szCs w:val="18"/>
          <w:lang w:val="en-US"/>
        </w:rPr>
        <w:t>–</w:t>
      </w:r>
      <w:r>
        <w:rPr>
          <w:szCs w:val="18"/>
          <w:lang w:val="en-US"/>
        </w:rPr>
        <w:tab/>
        <w:t>Act No. 1702/2001 establishing the scope of the terms “child”, “adolescent” and “adult minor”;</w:t>
      </w:r>
    </w:p>
    <w:p w:rsidR="00000000" w:rsidRDefault="00000000">
      <w:pPr>
        <w:spacing w:after="180"/>
        <w:ind w:firstLine="567"/>
        <w:rPr>
          <w:szCs w:val="18"/>
          <w:lang w:val="en-US"/>
        </w:rPr>
      </w:pPr>
      <w:r>
        <w:rPr>
          <w:szCs w:val="18"/>
          <w:lang w:val="en-US"/>
        </w:rPr>
        <w:t>–</w:t>
      </w:r>
      <w:r>
        <w:rPr>
          <w:szCs w:val="18"/>
          <w:lang w:val="en-US"/>
        </w:rPr>
        <w:tab/>
        <w:t>Act No. 1725/2001 establishing the status of teachers;</w:t>
      </w:r>
    </w:p>
    <w:p w:rsidR="00000000" w:rsidRDefault="00000000">
      <w:pPr>
        <w:spacing w:after="180"/>
        <w:ind w:firstLine="567"/>
        <w:rPr>
          <w:lang w:val="en-US"/>
        </w:rPr>
      </w:pPr>
      <w:r>
        <w:rPr>
          <w:szCs w:val="18"/>
          <w:lang w:val="en-US"/>
        </w:rPr>
        <w:t>–</w:t>
      </w:r>
      <w:r>
        <w:rPr>
          <w:szCs w:val="18"/>
          <w:lang w:val="en-US"/>
        </w:rPr>
        <w:tab/>
        <w:t xml:space="preserve">Act No. 1980 of 2002 concerning first employment; </w:t>
      </w:r>
    </w:p>
    <w:p w:rsidR="00000000" w:rsidRDefault="00000000">
      <w:pPr>
        <w:spacing w:after="240"/>
        <w:ind w:left="1134" w:hanging="567"/>
        <w:rPr>
          <w:lang w:val="en-US"/>
        </w:rPr>
      </w:pPr>
      <w:r>
        <w:rPr>
          <w:szCs w:val="18"/>
          <w:lang w:val="en-US"/>
        </w:rPr>
        <w:t>–</w:t>
      </w:r>
      <w:r>
        <w:rPr>
          <w:szCs w:val="18"/>
          <w:lang w:val="en-US"/>
        </w:rPr>
        <w:tab/>
        <w:t xml:space="preserve">Act No. 2332 of 2003 approving ILO Convention No. 138 of 1973 concerning minimum age for admission to employment. Mention may also be made, among others, of Act No. 1626 concerning the public service, which deals with the scope of application of the Code in State enterprises and the collective rights which will henceforth be governed by the new instrument. </w:t>
      </w:r>
    </w:p>
    <w:p w:rsidR="00000000" w:rsidRDefault="00000000">
      <w:pPr>
        <w:pStyle w:val="xl23"/>
        <w:spacing w:before="0" w:beforeAutospacing="0" w:after="240" w:afterAutospacing="0"/>
        <w:rPr>
          <w:rFonts w:ascii="Times New Roman" w:hAnsi="Times New Roman" w:cs="Times New Roman"/>
          <w:lang w:val="en-GB" w:eastAsia="en-US"/>
        </w:rPr>
      </w:pPr>
      <w:r>
        <w:rPr>
          <w:rFonts w:ascii="Times New Roman" w:hAnsi="Times New Roman" w:cs="Times New Roman"/>
          <w:lang w:val="en-GB" w:eastAsia="en-US"/>
        </w:rPr>
        <w:t>3.</w:t>
      </w:r>
      <w:r>
        <w:rPr>
          <w:rFonts w:ascii="Times New Roman" w:hAnsi="Times New Roman" w:cs="Times New Roman"/>
          <w:lang w:val="en-GB" w:eastAsia="en-US"/>
        </w:rPr>
        <w:tab/>
        <w:t>Labour administration sector</w:t>
      </w:r>
    </w:p>
    <w:p w:rsidR="00000000" w:rsidRDefault="00000000">
      <w:pPr>
        <w:spacing w:after="220"/>
      </w:pPr>
      <w:r>
        <w:t>232.</w:t>
      </w:r>
      <w:r>
        <w:tab/>
        <w:t>On the purely labour administration side a number of decrees have been issued, for example, Decree No. 8421 of 1991 regulating the functions of the Under-Secretariat of State for Labour and Social Security: Decree No. 10447 of 1995 regulating registration in the register of employers of the Ministry of Labour; Decree No. 15030 of 2001 establishing the administrative procedures for unemployment through termination, the bodies concerned with central activity and decentralized entities, Decree No. 17781 of 2002 regulating the administrative inquiries provided for in the Act concerning the public service and Decree No. 468 of 2003 regulating the application of the teachers’ statute.</w:t>
      </w:r>
    </w:p>
    <w:p w:rsidR="00000000" w:rsidRDefault="00000000">
      <w:pPr>
        <w:spacing w:after="220"/>
      </w:pPr>
      <w:r>
        <w:t>233.</w:t>
      </w:r>
      <w:r>
        <w:tab/>
        <w:t xml:space="preserve">In addition, regulations have been adopted governing employer registration, the documents to be submitted and the rules governing the application of sanctions. </w:t>
      </w:r>
    </w:p>
    <w:p w:rsidR="00000000" w:rsidRDefault="00000000">
      <w:pPr>
        <w:spacing w:after="220"/>
      </w:pPr>
      <w:r>
        <w:rPr>
          <w:b/>
          <w:bCs/>
        </w:rPr>
        <w:t>4.</w:t>
      </w:r>
      <w:r>
        <w:rPr>
          <w:b/>
          <w:bCs/>
        </w:rPr>
        <w:tab/>
        <w:t>Procedural matters</w:t>
      </w:r>
    </w:p>
    <w:p w:rsidR="00000000" w:rsidRDefault="00000000">
      <w:pPr>
        <w:spacing w:after="220"/>
      </w:pPr>
      <w:r>
        <w:t>234.</w:t>
      </w:r>
      <w:r>
        <w:tab/>
        <w:t xml:space="preserve">In the procedural field the settlement of labour disputes is still governed by the old Code of Procedure in Labour Affairs adopted in 1961. Since then no amendments of interest have been introduced save the disappearance, for practical purposes, of the Permanent Conciliation and Arbitration Board under the authority of the Ministry of Labour, which established compulsory procedures to be followed in cases of labour disputes. The situation was changed by the National Constitution, which abolished the compulsory element and introduced voluntary conciliation and arbitration, assigning responsibility for the settlement of collective labour disputes to the parties. </w:t>
      </w:r>
    </w:p>
    <w:p w:rsidR="00000000" w:rsidRDefault="00000000">
      <w:pPr>
        <w:spacing w:after="220"/>
      </w:pPr>
      <w:r>
        <w:t>235.</w:t>
      </w:r>
      <w:r>
        <w:tab/>
        <w:t xml:space="preserve">The jurisdiction in matters relating to public officials is that of administrative litigation. Act No. 1626 gave rise to a measure of confusion with regard to jurisdiction concerning contract employees not forming part of the permanent staff of the institutions and certain lower-grade officials who in certain cases were subject to the jurisdiction of the labour courts. </w:t>
      </w:r>
    </w:p>
    <w:p w:rsidR="00000000" w:rsidRDefault="00000000">
      <w:pPr>
        <w:spacing w:after="220"/>
      </w:pPr>
      <w:r>
        <w:t>236.</w:t>
      </w:r>
      <w:r>
        <w:tab/>
        <w:t xml:space="preserve">It should also be mentioned that article 296 of the National Constitution makes oral proceedings in labour matters compulsory; but hitherto this provision has not been put into practice except for the proceedings conducted directly by the Second Chamber of the Labour Court in the capital. In addition, the economic crisis has given rise to the maintenance of a high degree of antagonism, which is reflected in the number of proceedings concerning labour matters brought before the labour courts and tribunals. </w:t>
      </w:r>
    </w:p>
    <w:p w:rsidR="00000000" w:rsidRDefault="00000000">
      <w:pPr>
        <w:spacing w:after="220"/>
      </w:pPr>
      <w:r>
        <w:t>237.</w:t>
      </w:r>
      <w:r>
        <w:tab/>
        <w:t xml:space="preserve">As regards the decisions of the judiciary in labour matters, a number of cases have been observed in which strikes have been declared illegal, with the consequence that the workers taking part in them have been dismissed. There is also a tendency among certain judges and courts to introduce a measure of flexibility into labour-management relations. In that connection it should be mentioned that the Constitutional Chamber of the Supreme Court of Justice recently handed down a ruling having the effect of gradually deregulating the right to stability of employment, which is acquired in Paraguay after 10 years’ service. </w:t>
      </w:r>
    </w:p>
    <w:p w:rsidR="00000000" w:rsidRDefault="00000000">
      <w:pPr>
        <w:spacing w:after="220"/>
      </w:pPr>
      <w:r>
        <w:t>238.</w:t>
      </w:r>
      <w:r>
        <w:tab/>
        <w:t xml:space="preserve">However, generally speaking, the labour courts and tribunals are still the bodies which hear cases of violations of legal regulations and collective agreements referred to it in the absence of occupational organizations with the ability to discharge that function or of administrative bodies of State of little practical weight.. </w:t>
      </w:r>
    </w:p>
    <w:p w:rsidR="00000000" w:rsidRDefault="00000000">
      <w:pPr>
        <w:spacing w:after="220"/>
      </w:pPr>
      <w:r>
        <w:rPr>
          <w:b/>
          <w:bCs/>
        </w:rPr>
        <w:t>5.</w:t>
      </w:r>
      <w:r>
        <w:rPr>
          <w:b/>
          <w:bCs/>
        </w:rPr>
        <w:tab/>
        <w:t>Administrative proceedings in labour matters</w:t>
      </w:r>
    </w:p>
    <w:p w:rsidR="00000000" w:rsidRDefault="00000000">
      <w:pPr>
        <w:spacing w:after="220"/>
      </w:pPr>
      <w:r>
        <w:t>239.</w:t>
      </w:r>
      <w:r>
        <w:tab/>
        <w:t xml:space="preserve">A number of positive changes have been made in the administrative field and that of labour policy which are the responsibility of the Ministry of Labour. In this connection conciliation proceedings, which are of practical importance in personal law as workers customarily have recourse to conciliation in cases of dismissal, although they have no legal force, have given rise to the study of draft legislation which would require their participation even before the beginning of any legal proceedings. </w:t>
      </w:r>
    </w:p>
    <w:p w:rsidR="00000000" w:rsidRDefault="00000000">
      <w:pPr>
        <w:spacing w:after="220"/>
        <w:rPr>
          <w:spacing w:val="-2"/>
        </w:rPr>
      </w:pPr>
      <w:r>
        <w:rPr>
          <w:spacing w:val="-2"/>
        </w:rPr>
        <w:t>240.</w:t>
      </w:r>
      <w:r>
        <w:rPr>
          <w:spacing w:val="-2"/>
        </w:rPr>
        <w:tab/>
        <w:t xml:space="preserve">As regards collective law, the elimination of the Permanent Conciliation and Arbitration Board has led to a reduction of its activity to the holding of tripartite conciliation hearings of little practical value. However, these hearings have retained certain powers relating to the suspension of employment contracts and the closure of enterprises, which require, in accordance with the law, prior authorization given by the Ministry of Labour with the participation of the affected parties. </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bCs w:val="0"/>
          <w:sz w:val="22"/>
          <w:szCs w:val="20"/>
          <w:lang w:val="en-GB" w:eastAsia="en-US"/>
        </w:rPr>
      </w:pPr>
      <w:r>
        <w:rPr>
          <w:rFonts w:ascii="Times New Roman" w:eastAsia="Times New Roman" w:hAnsi="Times New Roman" w:cs="Times New Roman"/>
          <w:bCs w:val="0"/>
          <w:szCs w:val="20"/>
          <w:lang w:val="en-GB" w:eastAsia="en-US"/>
        </w:rPr>
        <w:t>S</w:t>
      </w:r>
      <w:r>
        <w:rPr>
          <w:rFonts w:ascii="Times New Roman" w:eastAsia="Times New Roman" w:hAnsi="Times New Roman" w:cs="Times New Roman"/>
          <w:bCs w:val="0"/>
          <w:sz w:val="22"/>
          <w:szCs w:val="20"/>
          <w:lang w:val="en-GB" w:eastAsia="en-US"/>
        </w:rPr>
        <w:t>tatistical data on mediation proceedings</w:t>
      </w:r>
    </w:p>
    <w:tbl>
      <w:tblPr>
        <w:tblW w:w="5000" w:type="pct"/>
        <w:tblInd w:w="-8" w:type="dxa"/>
        <w:tblCellMar>
          <w:left w:w="0" w:type="dxa"/>
          <w:right w:w="0" w:type="dxa"/>
        </w:tblCellMar>
        <w:tblLook w:val="0000" w:firstRow="0" w:lastRow="0" w:firstColumn="0" w:lastColumn="0" w:noHBand="0" w:noVBand="0"/>
      </w:tblPr>
      <w:tblGrid>
        <w:gridCol w:w="4750"/>
        <w:gridCol w:w="1558"/>
        <w:gridCol w:w="1558"/>
        <w:gridCol w:w="1563"/>
      </w:tblGrid>
      <w:tr w:rsidR="00000000">
        <w:trPr>
          <w:tblHeader/>
        </w:trPr>
        <w:tc>
          <w:tcPr>
            <w:tcW w:w="2519" w:type="pct"/>
            <w:tcBorders>
              <w:top w:val="single" w:sz="4" w:space="0" w:color="auto"/>
              <w:bottom w:val="single" w:sz="4" w:space="0" w:color="auto"/>
            </w:tcBorders>
            <w:noWrap/>
            <w:vAlign w:val="bottom"/>
          </w:tcPr>
          <w:p w:rsidR="00000000" w:rsidRDefault="00000000">
            <w:pPr>
              <w:pStyle w:val="Heading5"/>
              <w:spacing w:before="60" w:after="60"/>
              <w:jc w:val="center"/>
              <w:rPr>
                <w:bCs w:val="0"/>
                <w:i/>
                <w:iCs/>
              </w:rPr>
            </w:pPr>
            <w:r>
              <w:rPr>
                <w:bCs w:val="0"/>
                <w:i/>
                <w:iCs/>
              </w:rPr>
              <w:t>References</w:t>
            </w:r>
          </w:p>
        </w:tc>
        <w:tc>
          <w:tcPr>
            <w:tcW w:w="826" w:type="pct"/>
            <w:tcBorders>
              <w:top w:val="single" w:sz="4" w:space="0" w:color="auto"/>
              <w:bottom w:val="single" w:sz="4" w:space="0" w:color="auto"/>
            </w:tcBorders>
            <w:noWrap/>
            <w:vAlign w:val="bottom"/>
          </w:tcPr>
          <w:p w:rsidR="00000000" w:rsidRDefault="00000000">
            <w:pPr>
              <w:spacing w:before="60" w:after="60"/>
              <w:jc w:val="center"/>
              <w:rPr>
                <w:b/>
                <w:i/>
                <w:iCs/>
                <w:sz w:val="20"/>
                <w:szCs w:val="20"/>
              </w:rPr>
            </w:pPr>
            <w:r>
              <w:rPr>
                <w:b/>
                <w:i/>
                <w:iCs/>
                <w:sz w:val="20"/>
                <w:szCs w:val="20"/>
              </w:rPr>
              <w:t>Year 2004</w:t>
            </w:r>
          </w:p>
        </w:tc>
        <w:tc>
          <w:tcPr>
            <w:tcW w:w="826" w:type="pct"/>
            <w:tcBorders>
              <w:top w:val="single" w:sz="4" w:space="0" w:color="auto"/>
              <w:bottom w:val="single" w:sz="4" w:space="0" w:color="auto"/>
            </w:tcBorders>
            <w:noWrap/>
            <w:vAlign w:val="bottom"/>
          </w:tcPr>
          <w:p w:rsidR="00000000" w:rsidRDefault="00000000">
            <w:pPr>
              <w:spacing w:before="60" w:after="60"/>
              <w:jc w:val="center"/>
              <w:rPr>
                <w:b/>
                <w:i/>
                <w:iCs/>
                <w:sz w:val="20"/>
                <w:szCs w:val="20"/>
              </w:rPr>
            </w:pPr>
            <w:r>
              <w:rPr>
                <w:b/>
                <w:i/>
                <w:iCs/>
                <w:sz w:val="20"/>
                <w:szCs w:val="20"/>
              </w:rPr>
              <w:t>Year 2005</w:t>
            </w:r>
          </w:p>
        </w:tc>
        <w:tc>
          <w:tcPr>
            <w:tcW w:w="829" w:type="pct"/>
            <w:tcBorders>
              <w:top w:val="single" w:sz="4" w:space="0" w:color="auto"/>
              <w:bottom w:val="single" w:sz="4" w:space="0" w:color="auto"/>
            </w:tcBorders>
            <w:noWrap/>
            <w:vAlign w:val="bottom"/>
          </w:tcPr>
          <w:p w:rsidR="00000000" w:rsidRDefault="00000000">
            <w:pPr>
              <w:spacing w:before="60" w:after="60"/>
              <w:jc w:val="center"/>
              <w:rPr>
                <w:b/>
                <w:i/>
                <w:iCs/>
                <w:sz w:val="20"/>
                <w:szCs w:val="20"/>
              </w:rPr>
            </w:pPr>
            <w:r>
              <w:rPr>
                <w:b/>
                <w:i/>
                <w:iCs/>
                <w:sz w:val="20"/>
                <w:szCs w:val="20"/>
              </w:rPr>
              <w:t>Year 2006</w:t>
            </w:r>
          </w:p>
        </w:tc>
      </w:tr>
      <w:tr w:rsidR="00000000">
        <w:tc>
          <w:tcPr>
            <w:tcW w:w="2519" w:type="pct"/>
            <w:tcBorders>
              <w:top w:val="single" w:sz="4" w:space="0" w:color="auto"/>
            </w:tcBorders>
            <w:noWrap/>
            <w:vAlign w:val="bottom"/>
          </w:tcPr>
          <w:p w:rsidR="00000000" w:rsidRDefault="00000000">
            <w:pPr>
              <w:pStyle w:val="Heading5"/>
              <w:spacing w:before="60" w:after="60"/>
              <w:rPr>
                <w:bCs w:val="0"/>
              </w:rPr>
            </w:pPr>
            <w:r>
              <w:rPr>
                <w:bCs w:val="0"/>
              </w:rPr>
              <w:t>Complaints</w:t>
            </w:r>
          </w:p>
        </w:tc>
        <w:tc>
          <w:tcPr>
            <w:tcW w:w="826" w:type="pct"/>
            <w:tcBorders>
              <w:top w:val="single" w:sz="4" w:space="0" w:color="auto"/>
            </w:tcBorders>
            <w:noWrap/>
            <w:vAlign w:val="bottom"/>
          </w:tcPr>
          <w:p w:rsidR="00000000" w:rsidRDefault="00000000">
            <w:pPr>
              <w:spacing w:before="60" w:after="60"/>
              <w:ind w:right="510"/>
              <w:jc w:val="right"/>
              <w:rPr>
                <w:sz w:val="20"/>
                <w:szCs w:val="20"/>
              </w:rPr>
            </w:pPr>
            <w:r>
              <w:rPr>
                <w:sz w:val="20"/>
                <w:szCs w:val="20"/>
              </w:rPr>
              <w:t>3108</w:t>
            </w:r>
          </w:p>
        </w:tc>
        <w:tc>
          <w:tcPr>
            <w:tcW w:w="826" w:type="pct"/>
            <w:tcBorders>
              <w:top w:val="single" w:sz="4" w:space="0" w:color="auto"/>
            </w:tcBorders>
            <w:noWrap/>
            <w:vAlign w:val="bottom"/>
          </w:tcPr>
          <w:p w:rsidR="00000000" w:rsidRDefault="00000000">
            <w:pPr>
              <w:spacing w:before="60" w:after="60"/>
              <w:ind w:right="510"/>
              <w:jc w:val="right"/>
              <w:rPr>
                <w:sz w:val="20"/>
                <w:szCs w:val="20"/>
              </w:rPr>
            </w:pPr>
            <w:r>
              <w:rPr>
                <w:sz w:val="20"/>
                <w:szCs w:val="20"/>
              </w:rPr>
              <w:t>3100</w:t>
            </w:r>
          </w:p>
        </w:tc>
        <w:tc>
          <w:tcPr>
            <w:tcW w:w="829" w:type="pct"/>
            <w:tcBorders>
              <w:top w:val="single" w:sz="4" w:space="0" w:color="auto"/>
            </w:tcBorders>
            <w:noWrap/>
            <w:vAlign w:val="bottom"/>
          </w:tcPr>
          <w:p w:rsidR="00000000" w:rsidRDefault="00000000">
            <w:pPr>
              <w:spacing w:before="60" w:after="60"/>
              <w:ind w:right="510"/>
              <w:jc w:val="right"/>
              <w:rPr>
                <w:sz w:val="20"/>
                <w:szCs w:val="20"/>
              </w:rPr>
            </w:pPr>
            <w:r>
              <w:rPr>
                <w:sz w:val="20"/>
                <w:szCs w:val="20"/>
              </w:rPr>
              <w:t>1145</w:t>
            </w:r>
          </w:p>
        </w:tc>
      </w:tr>
      <w:tr w:rsidR="00000000">
        <w:tc>
          <w:tcPr>
            <w:tcW w:w="2519" w:type="pct"/>
            <w:noWrap/>
            <w:vAlign w:val="bottom"/>
          </w:tcPr>
          <w:p w:rsidR="00000000" w:rsidRDefault="00000000">
            <w:pPr>
              <w:spacing w:before="60" w:after="60"/>
              <w:rPr>
                <w:b/>
                <w:sz w:val="20"/>
                <w:szCs w:val="20"/>
              </w:rPr>
            </w:pPr>
            <w:r>
              <w:rPr>
                <w:b/>
                <w:sz w:val="20"/>
                <w:szCs w:val="20"/>
              </w:rPr>
              <w:t>Results of conciliation measures:</w:t>
            </w:r>
          </w:p>
        </w:tc>
        <w:tc>
          <w:tcPr>
            <w:tcW w:w="826" w:type="pct"/>
            <w:noWrap/>
            <w:vAlign w:val="bottom"/>
          </w:tcPr>
          <w:p w:rsidR="00000000" w:rsidRDefault="00000000">
            <w:pPr>
              <w:spacing w:before="60" w:after="60"/>
              <w:ind w:right="510"/>
              <w:jc w:val="right"/>
              <w:rPr>
                <w:sz w:val="20"/>
                <w:szCs w:val="20"/>
              </w:rPr>
            </w:pPr>
            <w:r>
              <w:rPr>
                <w:sz w:val="20"/>
                <w:szCs w:val="20"/>
              </w:rPr>
              <w:t>3108</w:t>
            </w:r>
          </w:p>
        </w:tc>
        <w:tc>
          <w:tcPr>
            <w:tcW w:w="826" w:type="pct"/>
            <w:noWrap/>
            <w:vAlign w:val="bottom"/>
          </w:tcPr>
          <w:p w:rsidR="00000000" w:rsidRDefault="00000000">
            <w:pPr>
              <w:spacing w:before="60" w:after="60"/>
              <w:ind w:right="510"/>
              <w:jc w:val="right"/>
              <w:rPr>
                <w:sz w:val="20"/>
                <w:szCs w:val="20"/>
              </w:rPr>
            </w:pPr>
            <w:r>
              <w:rPr>
                <w:sz w:val="20"/>
                <w:szCs w:val="20"/>
              </w:rPr>
              <w:t>3100</w:t>
            </w:r>
          </w:p>
        </w:tc>
        <w:tc>
          <w:tcPr>
            <w:tcW w:w="829" w:type="pct"/>
            <w:noWrap/>
            <w:vAlign w:val="bottom"/>
          </w:tcPr>
          <w:p w:rsidR="00000000" w:rsidRDefault="00000000">
            <w:pPr>
              <w:spacing w:before="60" w:after="60"/>
              <w:ind w:right="510"/>
              <w:jc w:val="right"/>
              <w:rPr>
                <w:sz w:val="20"/>
                <w:szCs w:val="20"/>
              </w:rPr>
            </w:pPr>
            <w:r>
              <w:rPr>
                <w:sz w:val="20"/>
                <w:szCs w:val="20"/>
              </w:rPr>
              <w:t>1145</w:t>
            </w:r>
          </w:p>
        </w:tc>
      </w:tr>
      <w:tr w:rsidR="00000000">
        <w:tc>
          <w:tcPr>
            <w:tcW w:w="2519" w:type="pct"/>
            <w:noWrap/>
            <w:vAlign w:val="bottom"/>
          </w:tcPr>
          <w:p w:rsidR="00000000" w:rsidRDefault="00000000">
            <w:pPr>
              <w:spacing w:before="60" w:after="60"/>
              <w:ind w:left="284"/>
              <w:rPr>
                <w:b/>
                <w:sz w:val="20"/>
                <w:szCs w:val="20"/>
              </w:rPr>
            </w:pPr>
            <w:r>
              <w:rPr>
                <w:b/>
                <w:sz w:val="20"/>
                <w:szCs w:val="20"/>
              </w:rPr>
              <w:t>Settled</w:t>
            </w:r>
          </w:p>
        </w:tc>
        <w:tc>
          <w:tcPr>
            <w:tcW w:w="826" w:type="pct"/>
            <w:noWrap/>
            <w:vAlign w:val="bottom"/>
          </w:tcPr>
          <w:p w:rsidR="00000000" w:rsidRDefault="00000000">
            <w:pPr>
              <w:spacing w:before="60" w:after="60"/>
              <w:ind w:right="510"/>
              <w:jc w:val="right"/>
              <w:rPr>
                <w:sz w:val="20"/>
                <w:szCs w:val="20"/>
              </w:rPr>
            </w:pPr>
            <w:r>
              <w:rPr>
                <w:sz w:val="20"/>
                <w:szCs w:val="20"/>
              </w:rPr>
              <w:t>636</w:t>
            </w:r>
          </w:p>
        </w:tc>
        <w:tc>
          <w:tcPr>
            <w:tcW w:w="826" w:type="pct"/>
            <w:noWrap/>
            <w:vAlign w:val="bottom"/>
          </w:tcPr>
          <w:p w:rsidR="00000000" w:rsidRDefault="00000000">
            <w:pPr>
              <w:spacing w:before="60" w:after="60"/>
              <w:ind w:right="510"/>
              <w:jc w:val="right"/>
              <w:rPr>
                <w:sz w:val="20"/>
                <w:szCs w:val="20"/>
              </w:rPr>
            </w:pPr>
            <w:r>
              <w:rPr>
                <w:sz w:val="20"/>
                <w:szCs w:val="20"/>
              </w:rPr>
              <w:t>1063</w:t>
            </w:r>
          </w:p>
        </w:tc>
        <w:tc>
          <w:tcPr>
            <w:tcW w:w="829" w:type="pct"/>
            <w:noWrap/>
            <w:vAlign w:val="bottom"/>
          </w:tcPr>
          <w:p w:rsidR="00000000" w:rsidRDefault="00000000">
            <w:pPr>
              <w:spacing w:before="60" w:after="60"/>
              <w:ind w:right="510"/>
              <w:jc w:val="right"/>
              <w:rPr>
                <w:sz w:val="20"/>
                <w:szCs w:val="20"/>
              </w:rPr>
            </w:pPr>
            <w:r>
              <w:rPr>
                <w:sz w:val="20"/>
                <w:szCs w:val="20"/>
              </w:rPr>
              <w:t>388</w:t>
            </w:r>
          </w:p>
        </w:tc>
      </w:tr>
      <w:tr w:rsidR="00000000">
        <w:tc>
          <w:tcPr>
            <w:tcW w:w="2519" w:type="pct"/>
            <w:noWrap/>
            <w:vAlign w:val="bottom"/>
          </w:tcPr>
          <w:p w:rsidR="00000000" w:rsidRDefault="00000000">
            <w:pPr>
              <w:spacing w:before="60" w:after="60"/>
              <w:ind w:left="284"/>
              <w:rPr>
                <w:b/>
                <w:sz w:val="20"/>
                <w:szCs w:val="20"/>
              </w:rPr>
            </w:pPr>
            <w:r>
              <w:rPr>
                <w:b/>
                <w:sz w:val="20"/>
                <w:szCs w:val="20"/>
              </w:rPr>
              <w:t>Not settled</w:t>
            </w:r>
          </w:p>
        </w:tc>
        <w:tc>
          <w:tcPr>
            <w:tcW w:w="826" w:type="pct"/>
            <w:noWrap/>
            <w:vAlign w:val="bottom"/>
          </w:tcPr>
          <w:p w:rsidR="00000000" w:rsidRDefault="00000000">
            <w:pPr>
              <w:spacing w:before="60" w:after="60"/>
              <w:ind w:right="510"/>
              <w:jc w:val="right"/>
              <w:rPr>
                <w:sz w:val="20"/>
                <w:szCs w:val="20"/>
              </w:rPr>
            </w:pPr>
            <w:r>
              <w:rPr>
                <w:sz w:val="20"/>
                <w:szCs w:val="20"/>
              </w:rPr>
              <w:t>566</w:t>
            </w:r>
          </w:p>
        </w:tc>
        <w:tc>
          <w:tcPr>
            <w:tcW w:w="826" w:type="pct"/>
            <w:noWrap/>
            <w:vAlign w:val="bottom"/>
          </w:tcPr>
          <w:p w:rsidR="00000000" w:rsidRDefault="00000000">
            <w:pPr>
              <w:spacing w:before="60" w:after="60"/>
              <w:ind w:right="510"/>
              <w:jc w:val="right"/>
              <w:rPr>
                <w:sz w:val="20"/>
                <w:szCs w:val="20"/>
              </w:rPr>
            </w:pPr>
            <w:r>
              <w:rPr>
                <w:sz w:val="20"/>
                <w:szCs w:val="20"/>
              </w:rPr>
              <w:t>735</w:t>
            </w:r>
          </w:p>
        </w:tc>
        <w:tc>
          <w:tcPr>
            <w:tcW w:w="829" w:type="pct"/>
            <w:noWrap/>
            <w:vAlign w:val="bottom"/>
          </w:tcPr>
          <w:p w:rsidR="00000000" w:rsidRDefault="00000000">
            <w:pPr>
              <w:spacing w:before="60" w:after="60"/>
              <w:ind w:right="510"/>
              <w:jc w:val="right"/>
              <w:rPr>
                <w:sz w:val="20"/>
                <w:szCs w:val="20"/>
              </w:rPr>
            </w:pPr>
            <w:r>
              <w:rPr>
                <w:sz w:val="20"/>
                <w:szCs w:val="20"/>
              </w:rPr>
              <w:t>248</w:t>
            </w:r>
          </w:p>
        </w:tc>
      </w:tr>
      <w:tr w:rsidR="00000000">
        <w:tc>
          <w:tcPr>
            <w:tcW w:w="2519" w:type="pct"/>
            <w:noWrap/>
            <w:vAlign w:val="bottom"/>
          </w:tcPr>
          <w:p w:rsidR="00000000" w:rsidRDefault="00000000">
            <w:pPr>
              <w:spacing w:before="60" w:after="60"/>
              <w:ind w:left="284"/>
              <w:rPr>
                <w:b/>
                <w:sz w:val="20"/>
                <w:szCs w:val="20"/>
              </w:rPr>
            </w:pPr>
            <w:r>
              <w:rPr>
                <w:b/>
                <w:sz w:val="20"/>
                <w:szCs w:val="20"/>
              </w:rPr>
              <w:t>I. Employers’ side</w:t>
            </w:r>
          </w:p>
        </w:tc>
        <w:tc>
          <w:tcPr>
            <w:tcW w:w="826" w:type="pct"/>
            <w:noWrap/>
            <w:vAlign w:val="bottom"/>
          </w:tcPr>
          <w:p w:rsidR="00000000" w:rsidRDefault="00000000">
            <w:pPr>
              <w:spacing w:before="60" w:after="60"/>
              <w:ind w:right="510"/>
              <w:jc w:val="right"/>
              <w:rPr>
                <w:sz w:val="20"/>
                <w:szCs w:val="20"/>
              </w:rPr>
            </w:pPr>
            <w:r>
              <w:rPr>
                <w:sz w:val="20"/>
                <w:szCs w:val="20"/>
              </w:rPr>
              <w:t>1006</w:t>
            </w:r>
          </w:p>
        </w:tc>
        <w:tc>
          <w:tcPr>
            <w:tcW w:w="826" w:type="pct"/>
            <w:noWrap/>
            <w:vAlign w:val="bottom"/>
          </w:tcPr>
          <w:p w:rsidR="00000000" w:rsidRDefault="00000000">
            <w:pPr>
              <w:spacing w:before="60" w:after="60"/>
              <w:ind w:right="510"/>
              <w:jc w:val="right"/>
              <w:rPr>
                <w:sz w:val="20"/>
                <w:szCs w:val="20"/>
              </w:rPr>
            </w:pPr>
            <w:r>
              <w:rPr>
                <w:sz w:val="20"/>
                <w:szCs w:val="20"/>
              </w:rPr>
              <w:t>662</w:t>
            </w:r>
          </w:p>
        </w:tc>
        <w:tc>
          <w:tcPr>
            <w:tcW w:w="829" w:type="pct"/>
            <w:noWrap/>
            <w:vAlign w:val="bottom"/>
          </w:tcPr>
          <w:p w:rsidR="00000000" w:rsidRDefault="00000000">
            <w:pPr>
              <w:spacing w:before="60" w:after="60"/>
              <w:ind w:right="510"/>
              <w:jc w:val="right"/>
              <w:rPr>
                <w:sz w:val="20"/>
                <w:szCs w:val="20"/>
              </w:rPr>
            </w:pPr>
            <w:r>
              <w:rPr>
                <w:sz w:val="20"/>
                <w:szCs w:val="20"/>
              </w:rPr>
              <w:t>247</w:t>
            </w:r>
          </w:p>
        </w:tc>
      </w:tr>
      <w:tr w:rsidR="00000000">
        <w:tc>
          <w:tcPr>
            <w:tcW w:w="2519" w:type="pct"/>
            <w:noWrap/>
            <w:vAlign w:val="bottom"/>
          </w:tcPr>
          <w:p w:rsidR="00000000" w:rsidRDefault="00000000">
            <w:pPr>
              <w:spacing w:before="60" w:after="60"/>
              <w:ind w:left="284"/>
              <w:rPr>
                <w:b/>
                <w:sz w:val="20"/>
                <w:szCs w:val="20"/>
              </w:rPr>
            </w:pPr>
            <w:r>
              <w:rPr>
                <w:b/>
                <w:sz w:val="20"/>
                <w:szCs w:val="20"/>
              </w:rPr>
              <w:t>I. Workers’ side</w:t>
            </w:r>
          </w:p>
        </w:tc>
        <w:tc>
          <w:tcPr>
            <w:tcW w:w="826" w:type="pct"/>
            <w:noWrap/>
            <w:vAlign w:val="bottom"/>
          </w:tcPr>
          <w:p w:rsidR="00000000" w:rsidRDefault="00000000">
            <w:pPr>
              <w:spacing w:before="60" w:after="60"/>
              <w:ind w:right="510"/>
              <w:jc w:val="right"/>
              <w:rPr>
                <w:sz w:val="20"/>
                <w:szCs w:val="20"/>
              </w:rPr>
            </w:pPr>
            <w:r>
              <w:rPr>
                <w:sz w:val="20"/>
                <w:szCs w:val="20"/>
              </w:rPr>
              <w:t>66</w:t>
            </w:r>
          </w:p>
        </w:tc>
        <w:tc>
          <w:tcPr>
            <w:tcW w:w="826" w:type="pct"/>
            <w:noWrap/>
            <w:vAlign w:val="bottom"/>
          </w:tcPr>
          <w:p w:rsidR="00000000" w:rsidRDefault="00000000">
            <w:pPr>
              <w:spacing w:before="60" w:after="60"/>
              <w:ind w:right="510"/>
              <w:jc w:val="right"/>
              <w:rPr>
                <w:sz w:val="20"/>
                <w:szCs w:val="20"/>
              </w:rPr>
            </w:pPr>
            <w:r>
              <w:rPr>
                <w:sz w:val="20"/>
                <w:szCs w:val="20"/>
              </w:rPr>
              <w:t>86</w:t>
            </w:r>
          </w:p>
        </w:tc>
        <w:tc>
          <w:tcPr>
            <w:tcW w:w="829" w:type="pct"/>
            <w:noWrap/>
            <w:vAlign w:val="bottom"/>
          </w:tcPr>
          <w:p w:rsidR="00000000" w:rsidRDefault="00000000">
            <w:pPr>
              <w:spacing w:before="60" w:after="60"/>
              <w:ind w:right="510"/>
              <w:jc w:val="right"/>
              <w:rPr>
                <w:sz w:val="20"/>
                <w:szCs w:val="20"/>
              </w:rPr>
            </w:pPr>
            <w:r>
              <w:rPr>
                <w:sz w:val="20"/>
                <w:szCs w:val="20"/>
              </w:rPr>
              <w:t>32</w:t>
            </w:r>
          </w:p>
        </w:tc>
      </w:tr>
      <w:tr w:rsidR="00000000">
        <w:tc>
          <w:tcPr>
            <w:tcW w:w="2519" w:type="pct"/>
            <w:noWrap/>
            <w:vAlign w:val="bottom"/>
          </w:tcPr>
          <w:p w:rsidR="00000000" w:rsidRDefault="00000000">
            <w:pPr>
              <w:spacing w:before="60" w:after="60"/>
              <w:ind w:left="284"/>
              <w:rPr>
                <w:b/>
                <w:sz w:val="20"/>
                <w:szCs w:val="20"/>
              </w:rPr>
            </w:pPr>
            <w:r>
              <w:rPr>
                <w:b/>
                <w:sz w:val="20"/>
                <w:szCs w:val="20"/>
              </w:rPr>
              <w:t xml:space="preserve">Action </w:t>
            </w:r>
          </w:p>
        </w:tc>
        <w:tc>
          <w:tcPr>
            <w:tcW w:w="826" w:type="pct"/>
            <w:noWrap/>
            <w:vAlign w:val="bottom"/>
          </w:tcPr>
          <w:p w:rsidR="00000000" w:rsidRDefault="00000000">
            <w:pPr>
              <w:spacing w:before="60" w:after="60"/>
              <w:ind w:right="510"/>
              <w:jc w:val="right"/>
              <w:rPr>
                <w:sz w:val="20"/>
                <w:szCs w:val="20"/>
              </w:rPr>
            </w:pPr>
            <w:r>
              <w:rPr>
                <w:sz w:val="20"/>
                <w:szCs w:val="20"/>
              </w:rPr>
              <w:t>189</w:t>
            </w:r>
          </w:p>
        </w:tc>
        <w:tc>
          <w:tcPr>
            <w:tcW w:w="826" w:type="pct"/>
            <w:noWrap/>
            <w:vAlign w:val="bottom"/>
          </w:tcPr>
          <w:p w:rsidR="00000000" w:rsidRDefault="00000000">
            <w:pPr>
              <w:spacing w:before="60" w:after="60"/>
              <w:ind w:right="510"/>
              <w:jc w:val="right"/>
              <w:rPr>
                <w:sz w:val="20"/>
                <w:szCs w:val="20"/>
              </w:rPr>
            </w:pPr>
            <w:r>
              <w:rPr>
                <w:sz w:val="20"/>
                <w:szCs w:val="20"/>
              </w:rPr>
              <w:t>210</w:t>
            </w:r>
          </w:p>
        </w:tc>
        <w:tc>
          <w:tcPr>
            <w:tcW w:w="829" w:type="pct"/>
            <w:noWrap/>
            <w:vAlign w:val="bottom"/>
          </w:tcPr>
          <w:p w:rsidR="00000000" w:rsidRDefault="00000000">
            <w:pPr>
              <w:spacing w:before="60" w:after="60"/>
              <w:ind w:right="510"/>
              <w:jc w:val="right"/>
              <w:rPr>
                <w:sz w:val="20"/>
                <w:szCs w:val="20"/>
              </w:rPr>
            </w:pPr>
            <w:r>
              <w:rPr>
                <w:sz w:val="20"/>
                <w:szCs w:val="20"/>
              </w:rPr>
              <w:t>78</w:t>
            </w:r>
          </w:p>
        </w:tc>
      </w:tr>
      <w:tr w:rsidR="00000000">
        <w:tc>
          <w:tcPr>
            <w:tcW w:w="2519" w:type="pct"/>
            <w:noWrap/>
            <w:vAlign w:val="bottom"/>
          </w:tcPr>
          <w:p w:rsidR="00000000" w:rsidRDefault="00000000">
            <w:pPr>
              <w:spacing w:before="60" w:after="60"/>
              <w:ind w:left="284"/>
              <w:rPr>
                <w:b/>
                <w:sz w:val="20"/>
                <w:szCs w:val="20"/>
              </w:rPr>
            </w:pPr>
            <w:r>
              <w:rPr>
                <w:b/>
                <w:sz w:val="20"/>
                <w:szCs w:val="20"/>
              </w:rPr>
              <w:t>Proceedings</w:t>
            </w:r>
          </w:p>
        </w:tc>
        <w:tc>
          <w:tcPr>
            <w:tcW w:w="826" w:type="pct"/>
            <w:noWrap/>
            <w:vAlign w:val="bottom"/>
          </w:tcPr>
          <w:p w:rsidR="00000000" w:rsidRDefault="00000000">
            <w:pPr>
              <w:spacing w:before="60" w:after="60"/>
              <w:ind w:right="510"/>
              <w:jc w:val="right"/>
              <w:rPr>
                <w:sz w:val="20"/>
                <w:szCs w:val="20"/>
              </w:rPr>
            </w:pPr>
            <w:r>
              <w:rPr>
                <w:sz w:val="20"/>
                <w:szCs w:val="20"/>
              </w:rPr>
              <w:t>645</w:t>
            </w:r>
          </w:p>
        </w:tc>
        <w:tc>
          <w:tcPr>
            <w:tcW w:w="826" w:type="pct"/>
            <w:noWrap/>
            <w:vAlign w:val="bottom"/>
          </w:tcPr>
          <w:p w:rsidR="00000000" w:rsidRDefault="00000000">
            <w:pPr>
              <w:spacing w:before="60" w:after="60"/>
              <w:ind w:right="510"/>
              <w:jc w:val="right"/>
              <w:rPr>
                <w:sz w:val="20"/>
                <w:szCs w:val="20"/>
              </w:rPr>
            </w:pPr>
            <w:r>
              <w:rPr>
                <w:sz w:val="20"/>
                <w:szCs w:val="20"/>
              </w:rPr>
              <w:t>344</w:t>
            </w:r>
          </w:p>
        </w:tc>
        <w:tc>
          <w:tcPr>
            <w:tcW w:w="829" w:type="pct"/>
            <w:noWrap/>
            <w:vAlign w:val="bottom"/>
          </w:tcPr>
          <w:p w:rsidR="00000000" w:rsidRDefault="00000000">
            <w:pPr>
              <w:spacing w:before="60" w:after="60"/>
              <w:ind w:right="510"/>
              <w:jc w:val="right"/>
              <w:rPr>
                <w:sz w:val="20"/>
                <w:szCs w:val="20"/>
              </w:rPr>
            </w:pPr>
            <w:r>
              <w:rPr>
                <w:sz w:val="20"/>
                <w:szCs w:val="20"/>
              </w:rPr>
              <w:t>122</w:t>
            </w:r>
          </w:p>
        </w:tc>
      </w:tr>
      <w:tr w:rsidR="00000000">
        <w:tc>
          <w:tcPr>
            <w:tcW w:w="2519" w:type="pct"/>
            <w:noWrap/>
            <w:vAlign w:val="bottom"/>
          </w:tcPr>
          <w:p w:rsidR="00000000" w:rsidRDefault="00000000">
            <w:pPr>
              <w:spacing w:before="60" w:after="60"/>
              <w:ind w:left="284"/>
              <w:rPr>
                <w:b/>
                <w:sz w:val="20"/>
                <w:szCs w:val="20"/>
              </w:rPr>
            </w:pPr>
            <w:r>
              <w:rPr>
                <w:b/>
                <w:sz w:val="20"/>
                <w:szCs w:val="20"/>
              </w:rPr>
              <w:t>Records not informed</w:t>
            </w:r>
          </w:p>
        </w:tc>
        <w:tc>
          <w:tcPr>
            <w:tcW w:w="826" w:type="pct"/>
            <w:noWrap/>
            <w:vAlign w:val="bottom"/>
          </w:tcPr>
          <w:p w:rsidR="00000000" w:rsidRDefault="00000000">
            <w:pPr>
              <w:spacing w:before="60" w:after="60"/>
              <w:ind w:right="510"/>
              <w:jc w:val="right"/>
              <w:rPr>
                <w:sz w:val="20"/>
                <w:szCs w:val="20"/>
              </w:rPr>
            </w:pPr>
            <w:r>
              <w:rPr>
                <w:sz w:val="20"/>
                <w:szCs w:val="20"/>
              </w:rPr>
              <w:t>0</w:t>
            </w:r>
          </w:p>
        </w:tc>
        <w:tc>
          <w:tcPr>
            <w:tcW w:w="826" w:type="pct"/>
            <w:noWrap/>
            <w:vAlign w:val="bottom"/>
          </w:tcPr>
          <w:p w:rsidR="00000000" w:rsidRDefault="00000000">
            <w:pPr>
              <w:spacing w:before="60" w:after="60"/>
              <w:ind w:right="510"/>
              <w:jc w:val="right"/>
              <w:rPr>
                <w:sz w:val="20"/>
                <w:szCs w:val="20"/>
              </w:rPr>
            </w:pPr>
            <w:r>
              <w:rPr>
                <w:sz w:val="20"/>
                <w:szCs w:val="20"/>
              </w:rPr>
              <w:t>0</w:t>
            </w:r>
          </w:p>
        </w:tc>
        <w:tc>
          <w:tcPr>
            <w:tcW w:w="829" w:type="pct"/>
            <w:noWrap/>
            <w:vAlign w:val="bottom"/>
          </w:tcPr>
          <w:p w:rsidR="00000000" w:rsidRDefault="00000000">
            <w:pPr>
              <w:spacing w:before="60" w:after="60"/>
              <w:ind w:right="510"/>
              <w:jc w:val="right"/>
              <w:rPr>
                <w:sz w:val="20"/>
                <w:szCs w:val="20"/>
              </w:rPr>
            </w:pPr>
            <w:r>
              <w:rPr>
                <w:sz w:val="20"/>
                <w:szCs w:val="20"/>
              </w:rPr>
              <w:t>31</w:t>
            </w:r>
          </w:p>
        </w:tc>
      </w:tr>
      <w:tr w:rsidR="00000000">
        <w:tc>
          <w:tcPr>
            <w:tcW w:w="2519" w:type="pct"/>
            <w:noWrap/>
            <w:vAlign w:val="bottom"/>
          </w:tcPr>
          <w:p w:rsidR="00000000" w:rsidRDefault="00000000">
            <w:pPr>
              <w:spacing w:before="60" w:after="60"/>
              <w:rPr>
                <w:b/>
                <w:sz w:val="20"/>
                <w:szCs w:val="20"/>
              </w:rPr>
            </w:pPr>
            <w:r>
              <w:rPr>
                <w:b/>
                <w:sz w:val="20"/>
                <w:szCs w:val="20"/>
              </w:rPr>
              <w:t xml:space="preserve">Hearings held </w:t>
            </w:r>
          </w:p>
        </w:tc>
        <w:tc>
          <w:tcPr>
            <w:tcW w:w="826" w:type="pct"/>
            <w:noWrap/>
            <w:vAlign w:val="bottom"/>
          </w:tcPr>
          <w:p w:rsidR="00000000" w:rsidRDefault="00000000">
            <w:pPr>
              <w:spacing w:before="60" w:after="60"/>
              <w:ind w:right="510"/>
              <w:jc w:val="right"/>
              <w:rPr>
                <w:sz w:val="20"/>
                <w:szCs w:val="20"/>
              </w:rPr>
            </w:pPr>
            <w:r>
              <w:rPr>
                <w:sz w:val="20"/>
                <w:szCs w:val="20"/>
              </w:rPr>
              <w:t>2359</w:t>
            </w:r>
          </w:p>
        </w:tc>
        <w:tc>
          <w:tcPr>
            <w:tcW w:w="826" w:type="pct"/>
            <w:noWrap/>
            <w:vAlign w:val="bottom"/>
          </w:tcPr>
          <w:p w:rsidR="00000000" w:rsidRDefault="00000000">
            <w:pPr>
              <w:spacing w:before="60" w:after="60"/>
              <w:ind w:right="510"/>
              <w:jc w:val="right"/>
              <w:rPr>
                <w:sz w:val="20"/>
                <w:szCs w:val="20"/>
              </w:rPr>
            </w:pPr>
            <w:r>
              <w:rPr>
                <w:sz w:val="20"/>
                <w:szCs w:val="20"/>
              </w:rPr>
              <w:t>2540</w:t>
            </w:r>
          </w:p>
        </w:tc>
        <w:tc>
          <w:tcPr>
            <w:tcW w:w="829" w:type="pct"/>
            <w:noWrap/>
            <w:vAlign w:val="bottom"/>
          </w:tcPr>
          <w:p w:rsidR="00000000" w:rsidRDefault="00000000">
            <w:pPr>
              <w:spacing w:before="60" w:after="60"/>
              <w:ind w:right="510"/>
              <w:jc w:val="right"/>
              <w:rPr>
                <w:sz w:val="20"/>
                <w:szCs w:val="20"/>
              </w:rPr>
            </w:pPr>
            <w:r>
              <w:rPr>
                <w:sz w:val="20"/>
                <w:szCs w:val="20"/>
              </w:rPr>
              <w:t>938</w:t>
            </w:r>
          </w:p>
        </w:tc>
      </w:tr>
      <w:tr w:rsidR="00000000">
        <w:tc>
          <w:tcPr>
            <w:tcW w:w="2519" w:type="pct"/>
            <w:noWrap/>
            <w:vAlign w:val="bottom"/>
          </w:tcPr>
          <w:p w:rsidR="00000000" w:rsidRDefault="00000000">
            <w:pPr>
              <w:spacing w:before="60" w:after="60"/>
              <w:rPr>
                <w:b/>
                <w:sz w:val="20"/>
                <w:szCs w:val="20"/>
              </w:rPr>
            </w:pPr>
            <w:r>
              <w:rPr>
                <w:b/>
                <w:sz w:val="20"/>
                <w:szCs w:val="20"/>
              </w:rPr>
              <w:t>Preparation 2nd notification</w:t>
            </w:r>
          </w:p>
        </w:tc>
        <w:tc>
          <w:tcPr>
            <w:tcW w:w="826" w:type="pct"/>
            <w:noWrap/>
            <w:vAlign w:val="bottom"/>
          </w:tcPr>
          <w:p w:rsidR="00000000" w:rsidRDefault="00000000">
            <w:pPr>
              <w:spacing w:before="60" w:after="60"/>
              <w:ind w:right="510"/>
              <w:jc w:val="right"/>
              <w:rPr>
                <w:sz w:val="20"/>
                <w:szCs w:val="20"/>
                <w:lang w:val="fr-FR"/>
              </w:rPr>
            </w:pPr>
            <w:r>
              <w:rPr>
                <w:sz w:val="20"/>
                <w:szCs w:val="20"/>
                <w:lang w:val="fr-FR"/>
              </w:rPr>
              <w:t>1657</w:t>
            </w:r>
          </w:p>
        </w:tc>
        <w:tc>
          <w:tcPr>
            <w:tcW w:w="826" w:type="pct"/>
            <w:noWrap/>
            <w:vAlign w:val="bottom"/>
          </w:tcPr>
          <w:p w:rsidR="00000000" w:rsidRDefault="00000000">
            <w:pPr>
              <w:spacing w:before="60" w:after="60"/>
              <w:ind w:right="510"/>
              <w:jc w:val="right"/>
              <w:rPr>
                <w:sz w:val="20"/>
                <w:szCs w:val="20"/>
                <w:lang w:val="fr-FR"/>
              </w:rPr>
            </w:pPr>
            <w:r>
              <w:rPr>
                <w:sz w:val="20"/>
                <w:szCs w:val="20"/>
                <w:lang w:val="fr-FR"/>
              </w:rPr>
              <w:t>882</w:t>
            </w:r>
          </w:p>
        </w:tc>
        <w:tc>
          <w:tcPr>
            <w:tcW w:w="829" w:type="pct"/>
            <w:noWrap/>
            <w:vAlign w:val="bottom"/>
          </w:tcPr>
          <w:p w:rsidR="00000000" w:rsidRDefault="00000000">
            <w:pPr>
              <w:spacing w:before="60" w:after="60"/>
              <w:ind w:right="510"/>
              <w:jc w:val="right"/>
              <w:rPr>
                <w:sz w:val="20"/>
                <w:szCs w:val="20"/>
                <w:lang w:val="fr-FR"/>
              </w:rPr>
            </w:pPr>
            <w:r>
              <w:rPr>
                <w:sz w:val="20"/>
                <w:szCs w:val="20"/>
                <w:lang w:val="fr-FR"/>
              </w:rPr>
              <w:t>326</w:t>
            </w:r>
          </w:p>
        </w:tc>
      </w:tr>
      <w:tr w:rsidR="00000000">
        <w:tc>
          <w:tcPr>
            <w:tcW w:w="2519" w:type="pct"/>
            <w:tcBorders>
              <w:bottom w:val="single" w:sz="4" w:space="0" w:color="auto"/>
            </w:tcBorders>
            <w:noWrap/>
            <w:vAlign w:val="bottom"/>
          </w:tcPr>
          <w:p w:rsidR="00000000" w:rsidRDefault="00000000">
            <w:pPr>
              <w:spacing w:before="60" w:after="60"/>
              <w:rPr>
                <w:b/>
                <w:sz w:val="20"/>
                <w:szCs w:val="20"/>
                <w:lang w:val="fr-FR"/>
              </w:rPr>
            </w:pPr>
            <w:r>
              <w:rPr>
                <w:b/>
                <w:sz w:val="20"/>
                <w:szCs w:val="20"/>
                <w:lang w:val="fr-FR"/>
              </w:rPr>
              <w:t xml:space="preserve">Second notification </w:t>
            </w:r>
          </w:p>
        </w:tc>
        <w:tc>
          <w:tcPr>
            <w:tcW w:w="826" w:type="pct"/>
            <w:tcBorders>
              <w:bottom w:val="single" w:sz="4" w:space="0" w:color="auto"/>
            </w:tcBorders>
            <w:noWrap/>
            <w:vAlign w:val="bottom"/>
          </w:tcPr>
          <w:p w:rsidR="00000000" w:rsidRDefault="00000000">
            <w:pPr>
              <w:spacing w:before="60" w:after="60"/>
              <w:ind w:right="510"/>
              <w:jc w:val="right"/>
              <w:rPr>
                <w:sz w:val="20"/>
                <w:szCs w:val="20"/>
                <w:lang w:val="fr-FR"/>
              </w:rPr>
            </w:pPr>
            <w:r>
              <w:rPr>
                <w:sz w:val="20"/>
                <w:szCs w:val="20"/>
                <w:lang w:val="fr-FR"/>
              </w:rPr>
              <w:t>1657</w:t>
            </w:r>
          </w:p>
        </w:tc>
        <w:tc>
          <w:tcPr>
            <w:tcW w:w="826" w:type="pct"/>
            <w:tcBorders>
              <w:bottom w:val="single" w:sz="4" w:space="0" w:color="auto"/>
            </w:tcBorders>
            <w:noWrap/>
            <w:vAlign w:val="bottom"/>
          </w:tcPr>
          <w:p w:rsidR="00000000" w:rsidRDefault="00000000">
            <w:pPr>
              <w:spacing w:before="60" w:after="60"/>
              <w:ind w:right="510"/>
              <w:jc w:val="right"/>
              <w:rPr>
                <w:sz w:val="20"/>
                <w:szCs w:val="20"/>
                <w:lang w:val="fr-FR"/>
              </w:rPr>
            </w:pPr>
            <w:r>
              <w:rPr>
                <w:sz w:val="20"/>
                <w:szCs w:val="20"/>
                <w:lang w:val="fr-FR"/>
              </w:rPr>
              <w:t>882</w:t>
            </w:r>
          </w:p>
        </w:tc>
        <w:tc>
          <w:tcPr>
            <w:tcW w:w="829" w:type="pct"/>
            <w:tcBorders>
              <w:bottom w:val="single" w:sz="4" w:space="0" w:color="auto"/>
            </w:tcBorders>
            <w:noWrap/>
            <w:vAlign w:val="bottom"/>
          </w:tcPr>
          <w:p w:rsidR="00000000" w:rsidRDefault="00000000">
            <w:pPr>
              <w:spacing w:before="60" w:after="60"/>
              <w:ind w:right="510"/>
              <w:jc w:val="right"/>
              <w:rPr>
                <w:sz w:val="20"/>
                <w:szCs w:val="20"/>
                <w:lang w:val="fr-FR"/>
              </w:rPr>
            </w:pPr>
            <w:r>
              <w:rPr>
                <w:sz w:val="20"/>
                <w:szCs w:val="20"/>
                <w:lang w:val="fr-FR"/>
              </w:rPr>
              <w:t>326</w:t>
            </w:r>
          </w:p>
        </w:tc>
      </w:tr>
    </w:tbl>
    <w:p w:rsidR="00000000" w:rsidRDefault="00000000">
      <w:pPr>
        <w:pStyle w:val="Header"/>
        <w:tabs>
          <w:tab w:val="clear" w:pos="4320"/>
          <w:tab w:val="clear" w:pos="8640"/>
        </w:tabs>
        <w:spacing w:after="240"/>
        <w:rPr>
          <w:lang w:val="fr-FR"/>
        </w:rPr>
      </w:pP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smallCaps/>
          <w:lang w:val="fr-FR" w:eastAsia="en-US"/>
        </w:rPr>
      </w:pPr>
      <w:r>
        <w:rPr>
          <w:rFonts w:ascii="Times New Roman" w:eastAsia="Times New Roman" w:hAnsi="Times New Roman" w:cs="Times New Roman"/>
          <w:smallCaps/>
          <w:lang w:val="fr-FR" w:eastAsia="en-US"/>
        </w:rPr>
        <w:t>Article 8</w:t>
      </w:r>
    </w:p>
    <w:p w:rsidR="00000000" w:rsidRDefault="00000000">
      <w:pPr>
        <w:spacing w:after="240"/>
      </w:pPr>
      <w:r>
        <w:t>241.</w:t>
      </w:r>
      <w:r>
        <w:tab/>
        <w:t xml:space="preserve">The State of Paraguay is a party to the following international instruments concerned with the protection of workers’ rights and with a bearing on the implementation of this article: </w:t>
      </w:r>
    </w:p>
    <w:p w:rsidR="00000000" w:rsidRDefault="00000000">
      <w:pPr>
        <w:spacing w:after="240"/>
        <w:ind w:firstLine="567"/>
        <w:rPr>
          <w:i/>
          <w:iCs/>
        </w:rPr>
      </w:pPr>
      <w:r>
        <w:rPr>
          <w:i/>
          <w:iCs/>
        </w:rPr>
        <w:t>International Covenant on Civil and Political Rights</w:t>
      </w:r>
    </w:p>
    <w:p w:rsidR="00000000" w:rsidRDefault="00000000">
      <w:pPr>
        <w:ind w:left="567"/>
      </w:pPr>
      <w:r>
        <w:t>Accession: 10 June 1992.</w:t>
      </w:r>
    </w:p>
    <w:p w:rsidR="00000000" w:rsidRDefault="00000000">
      <w:pPr>
        <w:ind w:left="567"/>
      </w:pPr>
      <w:r>
        <w:t xml:space="preserve">Ratified by Act No. 5/92 of 9 April 1992. </w:t>
      </w:r>
    </w:p>
    <w:p w:rsidR="00000000" w:rsidRDefault="00000000">
      <w:pPr>
        <w:spacing w:after="240"/>
        <w:ind w:left="567"/>
      </w:pPr>
      <w:r>
        <w:t xml:space="preserve">Entry into force for Paraguay: 10 November 1992. </w:t>
      </w:r>
    </w:p>
    <w:p w:rsidR="00000000" w:rsidRDefault="00000000">
      <w:pPr>
        <w:spacing w:after="240"/>
        <w:ind w:left="567" w:hanging="567"/>
        <w:rPr>
          <w:i/>
          <w:iCs/>
        </w:rPr>
      </w:pPr>
      <w:r>
        <w:tab/>
      </w:r>
      <w:r>
        <w:rPr>
          <w:i/>
          <w:iCs/>
        </w:rPr>
        <w:t>Convention (No. 87) concerning Freedom of Association and Protection of the Right to Organize</w:t>
      </w:r>
    </w:p>
    <w:p w:rsidR="00000000" w:rsidRDefault="00000000">
      <w:pPr>
        <w:ind w:left="567"/>
      </w:pPr>
      <w:r>
        <w:t>Ratified by Act No. 748 of 31 August 1961</w:t>
      </w:r>
    </w:p>
    <w:p w:rsidR="00000000" w:rsidRDefault="00000000">
      <w:pPr>
        <w:ind w:left="567"/>
      </w:pPr>
      <w:r>
        <w:t>Deposit in Geneva on 28 June 1962.</w:t>
      </w:r>
    </w:p>
    <w:p w:rsidR="00000000" w:rsidRDefault="00000000">
      <w:pPr>
        <w:spacing w:after="240"/>
        <w:ind w:left="567"/>
      </w:pPr>
      <w:r>
        <w:t>Entry into force for Paraguay: 28 June 1963.</w:t>
      </w:r>
    </w:p>
    <w:p w:rsidR="00000000" w:rsidRDefault="00000000">
      <w:pPr>
        <w:spacing w:after="240"/>
        <w:rPr>
          <w:i/>
          <w:iCs/>
        </w:rPr>
      </w:pPr>
      <w:r>
        <w:rPr>
          <w:i/>
          <w:iCs/>
        </w:rPr>
        <w:tab/>
        <w:t xml:space="preserve">Convention (No. 98) concerning the Application of the Principles of the </w:t>
      </w:r>
      <w:r>
        <w:rPr>
          <w:i/>
          <w:iCs/>
        </w:rPr>
        <w:tab/>
      </w:r>
      <w:r>
        <w:rPr>
          <w:i/>
          <w:iCs/>
        </w:rPr>
        <w:tab/>
      </w:r>
      <w:r>
        <w:rPr>
          <w:i/>
          <w:iCs/>
        </w:rPr>
        <w:tab/>
        <w:t>Right to Organize and to Bargain Collectively</w:t>
      </w:r>
    </w:p>
    <w:p w:rsidR="00000000" w:rsidRDefault="00000000">
      <w:pPr>
        <w:ind w:left="567"/>
      </w:pPr>
      <w:r>
        <w:t>Ratified by Act No. 977 of 31 August 1964.</w:t>
      </w:r>
    </w:p>
    <w:p w:rsidR="00000000" w:rsidRDefault="00000000">
      <w:pPr>
        <w:ind w:left="567"/>
      </w:pPr>
      <w:r>
        <w:t>Deposit in Geneva on 21 March 1966.</w:t>
      </w:r>
    </w:p>
    <w:p w:rsidR="00000000" w:rsidRDefault="00000000">
      <w:pPr>
        <w:spacing w:after="240"/>
        <w:ind w:left="567"/>
      </w:pPr>
      <w:r>
        <w:t xml:space="preserve">Entry into force for Paraguay: 21 March 1967. </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GB" w:eastAsia="en-US"/>
        </w:rPr>
      </w:pPr>
      <w:r>
        <w:rPr>
          <w:rFonts w:ascii="Times New Roman" w:eastAsia="Times New Roman" w:hAnsi="Times New Roman" w:cs="Times New Roman"/>
          <w:lang w:val="en-GB" w:eastAsia="en-US"/>
        </w:rPr>
        <w:t>A.  Trade union rights</w:t>
      </w:r>
    </w:p>
    <w:p w:rsidR="00000000" w:rsidRDefault="00000000">
      <w:pPr>
        <w:spacing w:after="240"/>
      </w:pPr>
      <w:r>
        <w:t>242.</w:t>
      </w:r>
      <w:r>
        <w:tab/>
        <w:t xml:space="preserve">The following are the formal conditions, as laid down in the Labour Code, for membership of a trade union and the rules governing the establishment of certain categories of trade unions: </w:t>
      </w:r>
    </w:p>
    <w:p w:rsidR="00000000" w:rsidRDefault="00000000">
      <w:pPr>
        <w:spacing w:after="240"/>
      </w:pPr>
      <w:r>
        <w:rPr>
          <w:b/>
          <w:bCs/>
        </w:rPr>
        <w:t>1.</w:t>
      </w:r>
      <w:r>
        <w:rPr>
          <w:b/>
          <w:bCs/>
        </w:rPr>
        <w:tab/>
        <w:t>Freedom of association</w:t>
      </w:r>
    </w:p>
    <w:p w:rsidR="00000000" w:rsidRDefault="00000000">
      <w:pPr>
        <w:spacing w:after="240"/>
        <w:ind w:left="567" w:hanging="567"/>
      </w:pPr>
      <w:r>
        <w:tab/>
      </w:r>
      <w:r>
        <w:rPr>
          <w:i/>
          <w:iCs/>
        </w:rPr>
        <w:t xml:space="preserve">Article 283.  </w:t>
      </w:r>
      <w:r>
        <w:t xml:space="preserve">The law recognizes the right of workers and employers, without distinction with regard to sex or nationality, and without the need for prior authorization, freely to constitute bodies the purpose of which is the study, defence, promotion and protection of their occupational interests and the social, economic, cultural and moral betterment of their members. The right to associate in occupational unions extends to public officials and public-sector workers in accordance with the provisions of article 2 of this Code. </w:t>
      </w:r>
    </w:p>
    <w:p w:rsidR="00000000" w:rsidRDefault="00000000">
      <w:pPr>
        <w:spacing w:after="240"/>
        <w:ind w:left="567"/>
      </w:pPr>
      <w:r>
        <w:t xml:space="preserve"> </w:t>
      </w:r>
      <w:r>
        <w:rPr>
          <w:bCs/>
          <w:i/>
        </w:rPr>
        <w:t xml:space="preserve">Article 284.  </w:t>
      </w:r>
      <w:r>
        <w:t xml:space="preserve">Every employer in private activity, and every employee and public- sector worker, with the stipulated exceptions, has the right to join or to leave the appropriate occupational union. </w:t>
      </w:r>
    </w:p>
    <w:p w:rsidR="00000000" w:rsidRDefault="00000000">
      <w:pPr>
        <w:spacing w:after="240"/>
        <w:ind w:left="567"/>
      </w:pPr>
      <w:r>
        <w:t xml:space="preserve"> </w:t>
      </w:r>
      <w:r>
        <w:rPr>
          <w:bCs/>
          <w:i/>
        </w:rPr>
        <w:t xml:space="preserve">Article 285.  </w:t>
      </w:r>
      <w:r>
        <w:t xml:space="preserve">Occupational unions of employers and workers have the right to draw up their constitutions and administrative rules, freely to elect their authorities and representatives, and to organize their administrations and licit activities. The public authorities shall refrain from any interference of a nature to restrict this right or impede the exercise thereof. </w:t>
      </w:r>
    </w:p>
    <w:p w:rsidR="00000000" w:rsidRDefault="00000000">
      <w:pPr>
        <w:spacing w:after="240"/>
        <w:ind w:left="567"/>
      </w:pPr>
      <w:r>
        <w:rPr>
          <w:bCs/>
          <w:i/>
        </w:rPr>
        <w:t xml:space="preserve">Article 286.  </w:t>
      </w:r>
      <w:r>
        <w:t xml:space="preserve">Occupational organizations of employers and workers shall enjoy adequate protection against any act of interference by one group with the other. </w:t>
      </w:r>
    </w:p>
    <w:p w:rsidR="00000000" w:rsidRDefault="00000000">
      <w:pPr>
        <w:spacing w:after="240"/>
        <w:ind w:left="567" w:firstLine="567"/>
      </w:pPr>
      <w:r>
        <w:t xml:space="preserve">Acts of interference are deemed principally to be measures of a nature to promote the constitution of workers’ organizations dominated by an employer or an organization of employers, or to support, financially or otherwise, organizations of workers with the aim of bringing them under the control of an employer or an organization of employers. </w:t>
      </w:r>
    </w:p>
    <w:p w:rsidR="00000000" w:rsidRDefault="00000000">
      <w:pPr>
        <w:spacing w:after="240"/>
        <w:ind w:left="567"/>
      </w:pPr>
      <w:r>
        <w:rPr>
          <w:i/>
          <w:iCs/>
        </w:rPr>
        <w:t xml:space="preserve">Article 287. </w:t>
      </w:r>
      <w:r>
        <w:t xml:space="preserve"> Organizations of workers and employers shall determine their respective positions vis-à-vis political parties and religious bodies; these shall not jeopardize the economic and social functions of the bodies concerned. </w:t>
      </w:r>
    </w:p>
    <w:p w:rsidR="00000000" w:rsidRDefault="00000000">
      <w:pPr>
        <w:spacing w:after="240"/>
        <w:rPr>
          <w:b/>
          <w:bCs/>
        </w:rPr>
      </w:pPr>
      <w:r>
        <w:rPr>
          <w:b/>
          <w:bCs/>
        </w:rPr>
        <w:t>1.2.</w:t>
      </w:r>
      <w:r>
        <w:rPr>
          <w:b/>
          <w:bCs/>
        </w:rPr>
        <w:tab/>
        <w:t>Constitution of occupational unions</w:t>
      </w:r>
    </w:p>
    <w:p w:rsidR="00000000" w:rsidRDefault="00000000">
      <w:pPr>
        <w:spacing w:after="240"/>
        <w:ind w:left="567" w:hanging="567"/>
      </w:pPr>
      <w:r>
        <w:tab/>
      </w:r>
      <w:r>
        <w:rPr>
          <w:i/>
          <w:iCs/>
        </w:rPr>
        <w:t xml:space="preserve">Article 288. </w:t>
      </w:r>
      <w:r>
        <w:t xml:space="preserve"> An occupational union is an association of persons working in an enterprise, an institution or an industry, exercising the same trade or profession or similar or related professions, established solely for the purposes specified in article 284 of this Code. </w:t>
      </w:r>
    </w:p>
    <w:p w:rsidR="00000000" w:rsidRDefault="00000000">
      <w:pPr>
        <w:spacing w:after="240"/>
        <w:ind w:left="567"/>
        <w:rPr>
          <w:b/>
          <w:bCs/>
        </w:rPr>
      </w:pPr>
      <w:r>
        <w:rPr>
          <w:i/>
          <w:iCs/>
        </w:rPr>
        <w:t xml:space="preserve">Article 289. </w:t>
      </w:r>
      <w:r>
        <w:t xml:space="preserve"> Occupational unions may be unions of workers and of employers. Workers’ unions shall be organized by enterprise, trade or industry. Unions of employers may be for industries in the same branch, for commerce or for services. Company unions in enterprises shall be formed by workers in different professions, trades, occupations or specialities rendering services in the establishment or institution concerned. Craft unions are made up of workers in the same trade, occupation or speciality. Industrial unions are organized by workers rendering services in various enterprises in the same branch of industry. The majority craft union may have a delegate elected by his fellow-workers on the premises. </w:t>
      </w:r>
    </w:p>
    <w:p w:rsidR="00000000" w:rsidRDefault="00000000">
      <w:pPr>
        <w:spacing w:after="240"/>
        <w:ind w:left="567"/>
        <w:rPr>
          <w:b/>
          <w:bCs/>
        </w:rPr>
      </w:pPr>
      <w:r>
        <w:rPr>
          <w:i/>
          <w:iCs/>
        </w:rPr>
        <w:t xml:space="preserve">Article 292. </w:t>
      </w:r>
      <w:r>
        <w:t xml:space="preserve"> Unions of employers may not be constituted with less than three members. Unions of workers may not be constituted with less than 20 founder members in the case of a company union, 30 in the case of a craft union or 300 in the case of an industrial union. Workers’ unions in the public sector may be constituted with a minimum of 20% (twenty per cent) of a workforce of up to 500 employees, 10% (ten per cent ) of employees between 501 and 1,000 in number and 5% (five per cent) where there are over 1,000 employees. </w:t>
      </w:r>
    </w:p>
    <w:p w:rsidR="00000000" w:rsidRDefault="00000000">
      <w:pPr>
        <w:spacing w:after="240"/>
        <w:ind w:left="567"/>
        <w:rPr>
          <w:b/>
          <w:bCs/>
        </w:rPr>
      </w:pPr>
      <w:r>
        <w:rPr>
          <w:i/>
          <w:iCs/>
        </w:rPr>
        <w:t xml:space="preserve">Article 293. </w:t>
      </w:r>
      <w:r>
        <w:t xml:space="preserve"> The following may become members of unions: a) workers, without distinction of sex, aged 18 or over, nationals or aliens; b) all workers other than those acting in the capacity of a representative of the enterprise in accordance with article 25 of this Code; c) every worker may become a member of only one union, be it a company, industrial, professional or craft union or institution; and d) to become an officer in an organization the person concerned must be of full age and an active member of the union. </w:t>
      </w:r>
    </w:p>
    <w:p w:rsidR="00000000" w:rsidRDefault="00000000">
      <w:pPr>
        <w:spacing w:after="240"/>
      </w:pPr>
      <w:r>
        <w:rPr>
          <w:b/>
          <w:bCs/>
        </w:rPr>
        <w:t>1.3.</w:t>
      </w:r>
      <w:r>
        <w:rPr>
          <w:b/>
          <w:bCs/>
        </w:rPr>
        <w:tab/>
        <w:t>Registration of unions</w:t>
      </w:r>
    </w:p>
    <w:p w:rsidR="00000000" w:rsidRDefault="00000000">
      <w:pPr>
        <w:spacing w:after="240"/>
        <w:ind w:left="567"/>
        <w:rPr>
          <w:b/>
          <w:bCs/>
        </w:rPr>
      </w:pPr>
      <w:r>
        <w:rPr>
          <w:i/>
          <w:iCs/>
        </w:rPr>
        <w:t xml:space="preserve">Article 294.   </w:t>
      </w:r>
      <w:r>
        <w:t xml:space="preserve">For purposes of authentification of documents and registration of a union, the promoters or organizers must submit the following documents to the administrative labour authority: a) the original or an authentificated copy of the deed of constitution; b) a copy of the statutes, approved by the general meeting; c) a list of the founder members with their signatures. </w:t>
      </w:r>
    </w:p>
    <w:p w:rsidR="00000000" w:rsidRDefault="00000000">
      <w:pPr>
        <w:pStyle w:val="xl23"/>
        <w:keepNext/>
        <w:spacing w:before="0" w:beforeAutospacing="0" w:after="240" w:afterAutospacing="0"/>
        <w:rPr>
          <w:rFonts w:ascii="Times New Roman" w:hAnsi="Times New Roman" w:cs="Times New Roman"/>
          <w:lang w:val="en-GB" w:eastAsia="en-US"/>
        </w:rPr>
      </w:pPr>
      <w:r>
        <w:rPr>
          <w:rFonts w:ascii="Times New Roman" w:hAnsi="Times New Roman" w:cs="Times New Roman"/>
          <w:lang w:val="en-GB" w:eastAsia="en-US"/>
        </w:rPr>
        <w:t>1.4.</w:t>
      </w:r>
      <w:r>
        <w:rPr>
          <w:rFonts w:ascii="Times New Roman" w:hAnsi="Times New Roman" w:cs="Times New Roman"/>
          <w:lang w:val="en-GB" w:eastAsia="en-US"/>
        </w:rPr>
        <w:tab/>
        <w:t>Federations and confederations of unions</w:t>
      </w:r>
    </w:p>
    <w:p w:rsidR="00000000" w:rsidRDefault="00000000">
      <w:pPr>
        <w:keepNext/>
        <w:spacing w:after="240"/>
        <w:ind w:left="567"/>
      </w:pPr>
      <w:r>
        <w:rPr>
          <w:i/>
          <w:iCs/>
        </w:rPr>
        <w:t xml:space="preserve">Article 306. </w:t>
      </w:r>
      <w:r>
        <w:t xml:space="preserve"> Legally registered unions of employees may form national or international federations and confederations and form part thereof. Unions of public officials and public-sector workers with the right to form unions may also form federations and confederations. </w:t>
      </w:r>
    </w:p>
    <w:p w:rsidR="00000000" w:rsidRDefault="00000000">
      <w:pPr>
        <w:spacing w:after="240"/>
        <w:ind w:left="567"/>
      </w:pPr>
      <w:r>
        <w:rPr>
          <w:i/>
          <w:iCs/>
        </w:rPr>
        <w:t xml:space="preserve">Article 307. </w:t>
      </w:r>
      <w:r>
        <w:t xml:space="preserve"> A</w:t>
      </w:r>
      <w:r>
        <w:rPr>
          <w:lang w:val="en-US"/>
        </w:rPr>
        <w:t>ny member union may withdraw from a federation whenever it wishes, notwithstanding any clause to the contrary. A federation has the same right with regard to a confederation.</w:t>
      </w:r>
    </w:p>
    <w:p w:rsidR="00000000" w:rsidRDefault="00000000">
      <w:pPr>
        <w:spacing w:after="240"/>
        <w:ind w:left="567"/>
      </w:pPr>
      <w:r>
        <w:rPr>
          <w:i/>
          <w:iCs/>
        </w:rPr>
        <w:t xml:space="preserve">Article 308. </w:t>
      </w:r>
      <w:r>
        <w:t xml:space="preserve"> T</w:t>
      </w:r>
      <w:r>
        <w:rPr>
          <w:lang w:val="en-US"/>
        </w:rPr>
        <w:t xml:space="preserve">he provisions of the present Code concerning unions shall apply to federations and confederations wherever possible. </w:t>
      </w:r>
    </w:p>
    <w:p w:rsidR="00000000" w:rsidRDefault="00000000">
      <w:pPr>
        <w:spacing w:after="240"/>
      </w:pPr>
      <w:r>
        <w:rPr>
          <w:b/>
          <w:bCs/>
        </w:rPr>
        <w:t>1.5</w:t>
      </w:r>
      <w:r>
        <w:rPr>
          <w:b/>
          <w:bCs/>
        </w:rPr>
        <w:tab/>
        <w:t>Extinction and dissolution of unions</w:t>
      </w:r>
    </w:p>
    <w:p w:rsidR="00000000" w:rsidRDefault="00000000">
      <w:pPr>
        <w:spacing w:after="240"/>
        <w:ind w:left="567"/>
        <w:rPr>
          <w:b/>
          <w:bCs/>
        </w:rPr>
      </w:pPr>
      <w:r>
        <w:rPr>
          <w:i/>
          <w:iCs/>
        </w:rPr>
        <w:t>Article 309.</w:t>
      </w:r>
      <w:r>
        <w:t xml:space="preserve">  No union may continue to exist without the number of members stipulated for its constitution in article 292 of this Code. </w:t>
      </w:r>
    </w:p>
    <w:p w:rsidR="00000000" w:rsidRDefault="00000000">
      <w:pPr>
        <w:spacing w:after="240"/>
        <w:ind w:left="567"/>
        <w:rPr>
          <w:b/>
          <w:bCs/>
        </w:rPr>
      </w:pPr>
      <w:r>
        <w:rPr>
          <w:i/>
          <w:iCs/>
        </w:rPr>
        <w:t xml:space="preserve">Article 310.  </w:t>
      </w:r>
      <w:r>
        <w:t xml:space="preserve">The dissolution or final closure of an enterprise shall be the cause    of the extinction of any shop union in that enterprise. </w:t>
      </w:r>
    </w:p>
    <w:p w:rsidR="00000000" w:rsidRDefault="00000000">
      <w:pPr>
        <w:spacing w:after="240"/>
        <w:ind w:left="567"/>
        <w:rPr>
          <w:b/>
          <w:bCs/>
        </w:rPr>
      </w:pPr>
      <w:r>
        <w:rPr>
          <w:i/>
          <w:iCs/>
        </w:rPr>
        <w:t xml:space="preserve">Article 311. </w:t>
      </w:r>
      <w:r>
        <w:t xml:space="preserve"> The registration of unions, federations and confederations may be cancelled, with the consequent withdrawal of union personality, when in practice they engage in activities not falling within their statutes or fail to comply with obligations or prohibitions contained in the law or in collective agreements. Application for the withdrawal of union personality shall be made by the Labour Directorate before the labour court then sitting. In the case of a federation or confederation the Ministry of Justice and Labour shall seek a judgement of extinction and dissolution before the courts. </w:t>
      </w:r>
    </w:p>
    <w:p w:rsidR="00000000" w:rsidRDefault="00000000">
      <w:pPr>
        <w:spacing w:after="240"/>
        <w:ind w:left="567"/>
        <w:rPr>
          <w:b/>
          <w:bCs/>
        </w:rPr>
      </w:pPr>
      <w:r>
        <w:rPr>
          <w:i/>
          <w:iCs/>
        </w:rPr>
        <w:t xml:space="preserve">Article 312. </w:t>
      </w:r>
      <w:r>
        <w:t xml:space="preserve"> Occupational organizations of employers and workers may not federate with national or foreign political associations or parties or become members thereof on pain of dissolution in accordance with the law. </w:t>
      </w:r>
    </w:p>
    <w:p w:rsidR="00000000" w:rsidRDefault="00000000">
      <w:pPr>
        <w:spacing w:after="240"/>
        <w:ind w:left="567"/>
        <w:rPr>
          <w:b/>
          <w:bCs/>
        </w:rPr>
      </w:pPr>
      <w:r>
        <w:rPr>
          <w:i/>
          <w:iCs/>
        </w:rPr>
        <w:t xml:space="preserve">Article 313. </w:t>
      </w:r>
      <w:r>
        <w:t xml:space="preserve"> An association shall be deemed to be dissolved on the cancellation of its registration established in a final and executory sentence of the judiciary. </w:t>
      </w:r>
    </w:p>
    <w:p w:rsidR="00000000" w:rsidRDefault="00000000">
      <w:pPr>
        <w:spacing w:after="240"/>
        <w:ind w:left="567"/>
        <w:rPr>
          <w:b/>
          <w:bCs/>
        </w:rPr>
      </w:pPr>
      <w:r>
        <w:rPr>
          <w:i/>
          <w:iCs/>
        </w:rPr>
        <w:t xml:space="preserve">Article 314. </w:t>
      </w:r>
      <w:r>
        <w:t xml:space="preserve"> Unions of employers and workers shall also be dissolved for reasons stipulated in their statutes. </w:t>
      </w:r>
    </w:p>
    <w:p w:rsidR="00000000" w:rsidRDefault="00000000">
      <w:pPr>
        <w:spacing w:after="240"/>
        <w:ind w:left="567"/>
        <w:rPr>
          <w:b/>
          <w:bCs/>
        </w:rPr>
      </w:pPr>
      <w:r>
        <w:rPr>
          <w:i/>
          <w:iCs/>
        </w:rPr>
        <w:t xml:space="preserve">Article 315. </w:t>
      </w:r>
      <w:r>
        <w:t xml:space="preserve"> In the event of the dissolution of a union and in the absence of provisions in its statutes, its assets shall be transferred as a donation to benevolent institutions concerned with social assistance or security or to other legally constituted occupational organizations. </w:t>
      </w:r>
    </w:p>
    <w:p w:rsidR="00000000" w:rsidRDefault="00000000">
      <w:pPr>
        <w:spacing w:after="240"/>
        <w:ind w:left="567"/>
        <w:rPr>
          <w:b/>
          <w:bCs/>
        </w:rPr>
      </w:pPr>
      <w:r>
        <w:rPr>
          <w:i/>
          <w:iCs/>
        </w:rPr>
        <w:t xml:space="preserve">Article 316. </w:t>
      </w:r>
      <w:r>
        <w:t xml:space="preserve"> The liquidation or disposal of the assets of a craft association shall be effected through the courts. </w:t>
      </w:r>
    </w:p>
    <w:p w:rsidR="00000000" w:rsidRDefault="00000000">
      <w:pPr>
        <w:spacing w:after="240"/>
      </w:pPr>
      <w:r>
        <w:rPr>
          <w:b/>
          <w:bCs/>
        </w:rPr>
        <w:t>2.</w:t>
      </w:r>
      <w:r>
        <w:rPr>
          <w:b/>
          <w:bCs/>
        </w:rPr>
        <w:tab/>
        <w:t>The right to strike</w:t>
      </w:r>
    </w:p>
    <w:p w:rsidR="00000000" w:rsidRDefault="00000000">
      <w:pPr>
        <w:spacing w:after="240"/>
      </w:pPr>
      <w:r>
        <w:t>243.</w:t>
      </w:r>
      <w:r>
        <w:tab/>
        <w:t xml:space="preserve">The Labour Code contains the following provisions concerning strikes: </w:t>
      </w:r>
    </w:p>
    <w:p w:rsidR="00000000" w:rsidRDefault="00000000">
      <w:pPr>
        <w:spacing w:after="240"/>
        <w:ind w:left="567"/>
        <w:rPr>
          <w:b/>
          <w:bCs/>
        </w:rPr>
      </w:pPr>
      <w:r>
        <w:rPr>
          <w:i/>
          <w:iCs/>
        </w:rPr>
        <w:t xml:space="preserve">Article 358. </w:t>
      </w:r>
      <w:r>
        <w:t xml:space="preserve"> A</w:t>
      </w:r>
      <w:r>
        <w:rPr>
          <w:lang w:val="en-US"/>
        </w:rPr>
        <w:t xml:space="preserve"> strike is the temporary, collective and agreed suspension of work at the workers’ initiative directly and exclusively in defence of their occupational interests.</w:t>
      </w:r>
    </w:p>
    <w:p w:rsidR="00000000" w:rsidRDefault="00000000">
      <w:pPr>
        <w:spacing w:after="240"/>
        <w:ind w:left="567"/>
      </w:pPr>
      <w:r>
        <w:rPr>
          <w:i/>
          <w:iCs/>
        </w:rPr>
        <w:t xml:space="preserve">Article 359. </w:t>
      </w:r>
      <w:r>
        <w:t xml:space="preserve"> In accordance with the provisions of the National Constitution, all workers have the right to declare themselves on strike. </w:t>
      </w:r>
    </w:p>
    <w:p w:rsidR="00000000" w:rsidRDefault="00000000">
      <w:pPr>
        <w:spacing w:after="240"/>
        <w:ind w:left="567"/>
      </w:pPr>
      <w:r>
        <w:rPr>
          <w:i/>
          <w:iCs/>
        </w:rPr>
        <w:t xml:space="preserve">Article 360. </w:t>
      </w:r>
      <w:r>
        <w:t xml:space="preserve"> F</w:t>
      </w:r>
      <w:r>
        <w:rPr>
          <w:lang w:val="en-US"/>
        </w:rPr>
        <w:t>or the purposes of exercising the right to strike, workers shall be considered to be those in employment. The members of the armed forces and the police do not have this right.</w:t>
      </w:r>
      <w:r>
        <w:rPr>
          <w:szCs w:val="18"/>
          <w:lang w:val="en-US"/>
        </w:rPr>
        <w:t xml:space="preserve"> </w:t>
      </w:r>
    </w:p>
    <w:p w:rsidR="00000000" w:rsidRDefault="00000000">
      <w:pPr>
        <w:spacing w:after="240"/>
        <w:ind w:left="567"/>
      </w:pPr>
      <w:r>
        <w:rPr>
          <w:i/>
          <w:iCs/>
        </w:rPr>
        <w:t xml:space="preserve">Article 361. </w:t>
      </w:r>
      <w:r>
        <w:t xml:space="preserve"> T</w:t>
      </w:r>
      <w:r>
        <w:rPr>
          <w:lang w:val="en-US"/>
        </w:rPr>
        <w:t>he right to strike shall be exercised peacefully and consist in the cessation of the services of the workers concerned, without occupation by them of the places of work or any ancillary premises.</w:t>
      </w:r>
    </w:p>
    <w:p w:rsidR="00000000" w:rsidRDefault="00000000">
      <w:pPr>
        <w:spacing w:after="240"/>
        <w:ind w:left="567"/>
      </w:pPr>
      <w:r>
        <w:rPr>
          <w:i/>
          <w:iCs/>
        </w:rPr>
        <w:t xml:space="preserve">Article 362. </w:t>
      </w:r>
      <w:r>
        <w:t xml:space="preserve"> Workers in public services essential to the community, such as water and electricity supplies and hospitals, must, in the event of a strike, ensure a minimum level of service essential for the population. Hospitals must maintain in operation first aid services and all services necessary to avoid endangering the lives of individuals. </w:t>
      </w:r>
    </w:p>
    <w:p w:rsidR="00000000" w:rsidRDefault="00000000">
      <w:pPr>
        <w:spacing w:after="240"/>
        <w:ind w:left="567"/>
      </w:pPr>
      <w:r>
        <w:rPr>
          <w:i/>
          <w:iCs/>
        </w:rPr>
        <w:t xml:space="preserve">Article 363. </w:t>
      </w:r>
      <w:r>
        <w:t xml:space="preserve"> The power to declare a strike rests with the workers actually employed at the place of work in the form indicated in article 298. The assembly shall decide to declare a strike. In the event that the workers are not organized as a union, the assembly shall appoint a strike committee, consisting of five members, which will take responsibility for the negotiations and the search for a solution to the dispute.</w:t>
      </w:r>
    </w:p>
    <w:p w:rsidR="00000000" w:rsidRDefault="00000000">
      <w:pPr>
        <w:spacing w:after="240"/>
        <w:ind w:left="567"/>
        <w:rPr>
          <w:b/>
          <w:bCs/>
        </w:rPr>
      </w:pPr>
      <w:r>
        <w:rPr>
          <w:i/>
          <w:iCs/>
        </w:rPr>
        <w:t xml:space="preserve">Article 364. </w:t>
      </w:r>
      <w:r>
        <w:t xml:space="preserve"> The competent authority shall be furnished with the decision to declare a strike, the content of the decision and the signatures of the persons present at the assembly, together with the names of the negotiators or the members of the strike committee, at least seventy-two hours before the date on which the strike begins. The declaration of the strike shall be communicated to the employer with the same advance notice together with the names of the negotiators for the union or the members of the strike committee, the object of the strike and its duration. At that time a bipartite committee shall be set up which will seek to reconcile the interests in presence. </w:t>
      </w:r>
    </w:p>
    <w:p w:rsidR="00000000" w:rsidRDefault="00000000">
      <w:pPr>
        <w:spacing w:after="240"/>
        <w:ind w:left="567"/>
      </w:pPr>
      <w:r>
        <w:rPr>
          <w:i/>
          <w:iCs/>
        </w:rPr>
        <w:t xml:space="preserve">Article 365. </w:t>
      </w:r>
      <w:r>
        <w:t xml:space="preserve"> The members of the strike committee shall be exclusively workers at the place of work affected by the strike. They may receive legal or union advice. </w:t>
      </w:r>
    </w:p>
    <w:p w:rsidR="00000000" w:rsidRDefault="00000000">
      <w:pPr>
        <w:widowControl w:val="0"/>
        <w:autoSpaceDE w:val="0"/>
        <w:autoSpaceDN w:val="0"/>
        <w:spacing w:after="240"/>
        <w:ind w:left="567"/>
        <w:rPr>
          <w:spacing w:val="14"/>
          <w:lang w:val="en-US"/>
        </w:rPr>
      </w:pPr>
      <w:r>
        <w:rPr>
          <w:i/>
          <w:iCs/>
        </w:rPr>
        <w:t xml:space="preserve">Article 366. </w:t>
      </w:r>
      <w:r>
        <w:t xml:space="preserve"> A strike shall be declared illegal</w:t>
      </w:r>
      <w:r>
        <w:rPr>
          <w:b/>
          <w:bCs/>
        </w:rPr>
        <w:t xml:space="preserve"> </w:t>
      </w:r>
      <w:r>
        <w:t>i</w:t>
      </w:r>
      <w:r>
        <w:rPr>
          <w:spacing w:val="14"/>
          <w:lang w:val="en-US"/>
        </w:rPr>
        <w:t>f it is declared while a collective contract is in effect and without reference to any failure on the part of the employer to comply with a clause of the contract. Exceptions are solidarity strikes or general strikes.</w:t>
      </w:r>
    </w:p>
    <w:p w:rsidR="00000000" w:rsidRDefault="00000000">
      <w:pPr>
        <w:spacing w:after="240"/>
        <w:ind w:left="567"/>
      </w:pPr>
      <w:r>
        <w:rPr>
          <w:i/>
          <w:iCs/>
        </w:rPr>
        <w:t xml:space="preserve">Article 367. </w:t>
      </w:r>
      <w:r>
        <w:t xml:space="preserve"> It is the responsibility of the union, or, in the absence of a union, of the strike committee to represent the striking workers during the period of the dispute. </w:t>
      </w:r>
    </w:p>
    <w:p w:rsidR="00000000" w:rsidRDefault="00000000">
      <w:pPr>
        <w:spacing w:after="240"/>
        <w:ind w:left="567"/>
      </w:pPr>
      <w:r>
        <w:rPr>
          <w:i/>
          <w:iCs/>
        </w:rPr>
        <w:t xml:space="preserve">Article 368. </w:t>
      </w:r>
      <w:r>
        <w:t xml:space="preserve"> For as long as a strike has not been declared illegal the employer may not replace the striking workers by other workers from outside the enterprise. </w:t>
      </w:r>
    </w:p>
    <w:p w:rsidR="00000000" w:rsidRDefault="00000000">
      <w:pPr>
        <w:spacing w:after="240"/>
        <w:ind w:left="567"/>
      </w:pPr>
      <w:r>
        <w:rPr>
          <w:i/>
          <w:iCs/>
        </w:rPr>
        <w:t xml:space="preserve">Article 369. </w:t>
      </w:r>
      <w:r>
        <w:t xml:space="preserve"> The freedom to work of workers not joining the strike is guaranteed. The employers and workers may use all legal means to ensure the exercise of this constitutional guarantee. Strikers are prohibited from impeding, or attempting to impede, by any means access to the workplaces or the removal of products from the enterprise except where the employer fails to comply with the provisions of article 368.</w:t>
      </w:r>
    </w:p>
    <w:p w:rsidR="00000000" w:rsidRDefault="00000000">
      <w:pPr>
        <w:spacing w:after="240"/>
        <w:ind w:left="567"/>
      </w:pPr>
      <w:r>
        <w:rPr>
          <w:i/>
          <w:iCs/>
        </w:rPr>
        <w:t xml:space="preserve">Article 370. </w:t>
      </w:r>
      <w:r>
        <w:t xml:space="preserve"> The union, or, in the absence of a union, the strike committee shall guarantee the provision of the essential services referred to in the National Constitution when the enterprise in which the dispute occurs is providing them in accordance with article 362.</w:t>
      </w:r>
    </w:p>
    <w:p w:rsidR="00000000" w:rsidRDefault="00000000">
      <w:pPr>
        <w:spacing w:after="240"/>
        <w:ind w:left="567"/>
      </w:pPr>
      <w:r>
        <w:rPr>
          <w:i/>
          <w:iCs/>
        </w:rPr>
        <w:t xml:space="preserve">Article 371. </w:t>
      </w:r>
      <w:r>
        <w:t xml:space="preserve"> Workers on strike may make peaceful publicity for the strike and collect funds for it. They may not compel any worker to contribute against his will. </w:t>
      </w:r>
    </w:p>
    <w:p w:rsidR="00000000" w:rsidRDefault="00000000">
      <w:pPr>
        <w:spacing w:after="240"/>
        <w:ind w:left="567"/>
      </w:pPr>
      <w:r>
        <w:rPr>
          <w:i/>
          <w:iCs/>
        </w:rPr>
        <w:t xml:space="preserve">Article 372. </w:t>
      </w:r>
      <w:r>
        <w:t xml:space="preserve"> The exercise of a strike declared legal shall not terminate the employment relationship and may not give rise to any sanction. </w:t>
      </w:r>
    </w:p>
    <w:p w:rsidR="00000000" w:rsidRDefault="00000000">
      <w:pPr>
        <w:spacing w:after="240"/>
        <w:ind w:left="567"/>
      </w:pPr>
      <w:r>
        <w:rPr>
          <w:i/>
          <w:iCs/>
        </w:rPr>
        <w:t xml:space="preserve">Article 373. </w:t>
      </w:r>
      <w:r>
        <w:t xml:space="preserve"> During the strike the employment relationship shall be suspended; the worker shall not be entitled to receive his wage for the period of duration of the strike. If the parties reach an agreement to put an end to the dispute following the strike, it may be agreed that part or all of the wages not paid during the strike, and part or all of the hours of work lost, may be recovered. </w:t>
      </w:r>
    </w:p>
    <w:p w:rsidR="00000000" w:rsidRDefault="00000000">
      <w:pPr>
        <w:spacing w:after="240"/>
        <w:ind w:left="567"/>
      </w:pPr>
      <w:r>
        <w:rPr>
          <w:i/>
          <w:iCs/>
        </w:rPr>
        <w:t xml:space="preserve">Article 374. </w:t>
      </w:r>
      <w:r>
        <w:t xml:space="preserve"> Once the strike has been declared, the bipartite committee formed in accordance with article 364 shall have seventy-two hours to draw up an agreement between the parties. Its recommendations may be rejected by either party. </w:t>
      </w:r>
    </w:p>
    <w:p w:rsidR="00000000" w:rsidRDefault="00000000">
      <w:pPr>
        <w:spacing w:after="240"/>
        <w:ind w:left="567"/>
      </w:pPr>
      <w:r>
        <w:rPr>
          <w:i/>
          <w:iCs/>
        </w:rPr>
        <w:t xml:space="preserve">Article 375. </w:t>
      </w:r>
      <w:r>
        <w:t xml:space="preserve"> No government authority may declare in general terms that a strike is illegal before it takes place or at the time at which it starts. </w:t>
      </w:r>
    </w:p>
    <w:p w:rsidR="00000000" w:rsidRDefault="00000000">
      <w:pPr>
        <w:spacing w:after="240"/>
        <w:ind w:left="567"/>
        <w:rPr>
          <w:spacing w:val="14"/>
          <w:lang w:val="en-US"/>
        </w:rPr>
      </w:pPr>
      <w:r>
        <w:rPr>
          <w:i/>
          <w:iCs/>
        </w:rPr>
        <w:t xml:space="preserve">Article 376. </w:t>
      </w:r>
      <w:r>
        <w:t xml:space="preserve"> A strike shall be illegal: a) if its purpose or object is not, or is unrelated to, the promotion and defence of the interests of the workers; b) i</w:t>
      </w:r>
      <w:r>
        <w:rPr>
          <w:spacing w:val="14"/>
          <w:lang w:val="en-US"/>
        </w:rPr>
        <w:t>f it is declared or maintained for strictly political reasons or if it is directly aimed at bringing pressure to bear on the powers of the State; c) if workers in essential public services no longer ensure essential minimum services for the public; d) in the situation referred to in article 366.</w:t>
      </w:r>
    </w:p>
    <w:p w:rsidR="00000000" w:rsidRDefault="00000000">
      <w:pPr>
        <w:spacing w:after="240"/>
        <w:ind w:firstLine="567"/>
        <w:rPr>
          <w:lang w:val="en-US"/>
        </w:rPr>
      </w:pPr>
      <w:r>
        <w:rPr>
          <w:i/>
          <w:iCs/>
        </w:rPr>
        <w:t xml:space="preserve">Article 377. </w:t>
      </w:r>
      <w:r>
        <w:t xml:space="preserve"> Any judge in a labour court may declare a strike legal or illegal. </w:t>
      </w:r>
    </w:p>
    <w:p w:rsidR="00000000" w:rsidRDefault="00000000">
      <w:pPr>
        <w:spacing w:after="240"/>
        <w:rPr>
          <w:lang w:val="en-US"/>
        </w:rPr>
      </w:pPr>
      <w:r>
        <w:rPr>
          <w:lang w:val="en-US"/>
        </w:rPr>
        <w:t>244.</w:t>
      </w:r>
      <w:r>
        <w:rPr>
          <w:lang w:val="en-US"/>
        </w:rPr>
        <w:tab/>
        <w:t xml:space="preserve">Similarly, the Labour Code provides for the possibility of lockouts as follows: </w:t>
      </w:r>
    </w:p>
    <w:p w:rsidR="00000000" w:rsidRDefault="00000000">
      <w:pPr>
        <w:spacing w:after="240"/>
        <w:ind w:left="567"/>
        <w:rPr>
          <w:lang w:val="en-US"/>
        </w:rPr>
      </w:pPr>
      <w:r>
        <w:rPr>
          <w:i/>
          <w:iCs/>
        </w:rPr>
        <w:t xml:space="preserve">Article 379. </w:t>
      </w:r>
      <w:r>
        <w:t xml:space="preserve"> The right of employers to call a lockout is guaranteed in accordance with article 97 of the National Constitution. </w:t>
      </w:r>
    </w:p>
    <w:p w:rsidR="00000000" w:rsidRDefault="00000000">
      <w:pPr>
        <w:spacing w:after="240"/>
        <w:ind w:left="567"/>
        <w:rPr>
          <w:lang w:val="en-US"/>
        </w:rPr>
      </w:pPr>
      <w:r>
        <w:rPr>
          <w:i/>
          <w:iCs/>
        </w:rPr>
        <w:t xml:space="preserve">Article 380. </w:t>
      </w:r>
      <w:r>
        <w:t xml:space="preserve"> A lockout shall be legal: a) when imposed to avert the danger of violence to persons or damage to property; b) when imposed to remove persons occupying the enterprise or any of its ancillary premises; c) when it imposed because maintenance of the production process in competitive conditions is impossible; d) when repeated breaches of the collective contract provoked by the workers occur; e) it is declared in the defence of any legitimate interest. </w:t>
      </w:r>
    </w:p>
    <w:p w:rsidR="00000000" w:rsidRDefault="00000000">
      <w:pPr>
        <w:spacing w:after="240"/>
        <w:ind w:left="567"/>
        <w:rPr>
          <w:lang w:val="en-US"/>
        </w:rPr>
      </w:pPr>
      <w:r>
        <w:rPr>
          <w:i/>
          <w:iCs/>
        </w:rPr>
        <w:t xml:space="preserve">Article 381. </w:t>
      </w:r>
      <w:r>
        <w:t xml:space="preserve"> A lockout declared legal by any judge at first instance releases the employer from the obligation to pay wages during its duration. Any illegal lockout declared such in the same manner makes payment of wages during the period in which it is in force obligatory. </w:t>
      </w:r>
    </w:p>
    <w:p w:rsidR="00000000" w:rsidRDefault="00000000">
      <w:pPr>
        <w:spacing w:after="240"/>
        <w:rPr>
          <w:lang w:val="en-US"/>
        </w:rPr>
      </w:pPr>
      <w:r>
        <w:rPr>
          <w:b/>
          <w:bCs/>
          <w:lang w:val="en-US"/>
        </w:rPr>
        <w:t>1.4.</w:t>
      </w:r>
      <w:r>
        <w:rPr>
          <w:b/>
          <w:bCs/>
          <w:lang w:val="en-US"/>
        </w:rPr>
        <w:tab/>
        <w:t>Restrictions on the right to strike in the armed forces and the national police</w:t>
      </w:r>
    </w:p>
    <w:p w:rsidR="00000000" w:rsidRDefault="00000000">
      <w:pPr>
        <w:spacing w:after="240"/>
        <w:rPr>
          <w:lang w:val="en-US"/>
        </w:rPr>
      </w:pPr>
      <w:r>
        <w:rPr>
          <w:lang w:val="en-US"/>
        </w:rPr>
        <w:t>245.</w:t>
      </w:r>
      <w:r>
        <w:rPr>
          <w:lang w:val="en-US"/>
        </w:rPr>
        <w:tab/>
        <w:t>In the same spirit as that of the restrictions of workers’ rights mentioned earlier in article 362 (workers in essential services …), the same restrictions apply to members of the armed forces and the national police. In this connection the National Constitution provides that:</w:t>
      </w:r>
    </w:p>
    <w:p w:rsidR="00000000" w:rsidRDefault="00000000">
      <w:pPr>
        <w:spacing w:after="240"/>
        <w:ind w:left="567"/>
        <w:rPr>
          <w:lang w:val="en-US"/>
        </w:rPr>
      </w:pPr>
      <w:r>
        <w:rPr>
          <w:i/>
          <w:iCs/>
        </w:rPr>
        <w:t>Article 96.</w:t>
      </w:r>
      <w:r>
        <w:rPr>
          <w:b/>
          <w:bCs/>
        </w:rPr>
        <w:t xml:space="preserve">  </w:t>
      </w:r>
      <w:r>
        <w:t xml:space="preserve">Concerning freedom of association: All workers in public or private employment have the right to organize themselves in unions without prior authorization. </w:t>
      </w:r>
      <w:r>
        <w:rPr>
          <w:i/>
          <w:iCs/>
        </w:rPr>
        <w:t xml:space="preserve">This right does not apply to members of the Armed Forces or the Police Forces. </w:t>
      </w:r>
      <w:r>
        <w:t xml:space="preserve">Employers have equal freedom to organize. Nobody may be obliged to join a union. </w:t>
      </w:r>
    </w:p>
    <w:p w:rsidR="00000000" w:rsidRDefault="00000000">
      <w:pPr>
        <w:spacing w:after="240"/>
        <w:ind w:left="567"/>
        <w:rPr>
          <w:lang w:val="en-US"/>
        </w:rPr>
      </w:pPr>
      <w:r>
        <w:rPr>
          <w:i/>
          <w:iCs/>
        </w:rPr>
        <w:t xml:space="preserve">Article 98. </w:t>
      </w:r>
      <w:r>
        <w:t xml:space="preserve"> Concerning the right to strike and to lockout: All workers in the public and private sectors have the right to resort to strike action in the event of a conflict of interests. Employers have the right to impose lockouts in the same circumstances. </w:t>
      </w:r>
      <w:r>
        <w:rPr>
          <w:i/>
          <w:iCs/>
          <w:lang w:val="en-US"/>
        </w:rPr>
        <w:t xml:space="preserve">The right to strike and to lockout is not extended to members of the Armed Forces of the Nation and the police forces. </w:t>
      </w:r>
      <w:r>
        <w:rPr>
          <w:lang w:val="en-US"/>
        </w:rPr>
        <w:t xml:space="preserve"> These rights shall be regulated by law in such a manner as not to affect public services essential to the community. </w:t>
      </w:r>
    </w:p>
    <w:p w:rsidR="00000000" w:rsidRDefault="00000000">
      <w:pPr>
        <w:spacing w:after="240"/>
        <w:rPr>
          <w:lang w:val="en-US"/>
        </w:rPr>
      </w:pPr>
      <w:r>
        <w:rPr>
          <w:lang w:val="en-US"/>
        </w:rPr>
        <w:t>246.</w:t>
      </w:r>
      <w:r>
        <w:rPr>
          <w:lang w:val="en-US"/>
        </w:rPr>
        <w:tab/>
        <w:t xml:space="preserve">These restrictions imposed on members of the armed forces and police officers reflect the need to maintain public order and in no way impose a prejudicial burden on the persons concerned. It can in fact be said that the members of the armed forces and of the national police do not enjoy the right to strike because they are the public forces of the nation and as such are meeting the need to provide society with continuous security. The mission of the Armed Forces is to safeguard territorial integrity and defend the legally constituted authorities. It should also be pointed out that the provisions in the articles mentioned earlier concerning the exercise of the right to strike by members of the armed forces and of the national police are strictly applied, the military and police functions being defined respectively within the framework of the National Constitution. </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smallCaps/>
          <w:lang w:val="en-US" w:eastAsia="en-US"/>
        </w:rPr>
      </w:pPr>
      <w:r>
        <w:rPr>
          <w:rFonts w:ascii="Times New Roman" w:eastAsia="Times New Roman" w:hAnsi="Times New Roman" w:cs="Times New Roman"/>
          <w:smallCaps/>
          <w:lang w:val="en-US" w:eastAsia="en-US"/>
        </w:rPr>
        <w:t>Article 9</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GB" w:eastAsia="en-US"/>
        </w:rPr>
      </w:pPr>
      <w:r>
        <w:rPr>
          <w:rFonts w:ascii="Times New Roman" w:eastAsia="Times New Roman" w:hAnsi="Times New Roman" w:cs="Times New Roman"/>
          <w:lang w:val="en-GB" w:eastAsia="en-US"/>
        </w:rPr>
        <w:t>A.  Social security</w:t>
      </w:r>
    </w:p>
    <w:p w:rsidR="00000000" w:rsidRDefault="00000000">
      <w:pPr>
        <w:spacing w:after="240"/>
      </w:pPr>
      <w:r>
        <w:t>247.</w:t>
      </w:r>
      <w:r>
        <w:tab/>
        <w:t xml:space="preserve">In Paraguay the following aspects of social insurance systems recognized in national legislation exist: </w:t>
      </w:r>
      <w:r>
        <w:rPr>
          <w:rStyle w:val="FootnoteReference"/>
          <w:b/>
          <w:bCs/>
        </w:rPr>
        <w:footnoteReference w:id="20"/>
      </w:r>
    </w:p>
    <w:p w:rsidR="00000000" w:rsidRDefault="00000000">
      <w:pPr>
        <w:spacing w:after="240"/>
        <w:ind w:left="567"/>
      </w:pPr>
      <w:r>
        <w:t>1</w:t>
      </w:r>
      <w:r>
        <w:rPr>
          <w:b/>
          <w:bCs/>
        </w:rPr>
        <w:t>.</w:t>
      </w:r>
      <w:r>
        <w:rPr>
          <w:b/>
          <w:bCs/>
        </w:rPr>
        <w:tab/>
      </w:r>
      <w:r>
        <w:rPr>
          <w:i/>
          <w:iCs/>
        </w:rPr>
        <w:t xml:space="preserve">Medical insurance </w:t>
      </w:r>
      <w:r>
        <w:t>is established in Act No. 2053/05 (General Budget of Expenditures of the Nation), which states: “Gs. 85,000 (eighty-five thousand guaraníes) monthly is fixed as the amount of State aid under the heading of “health benefit” (expenditure item 191) for each official or employee of the Executive, the Judiciary, the Office of the Comptroller-General of the Republic and the decentralized bodies whose salaried employees and manual workers do not enjoy medical insurance coverage by the Social Security Institute or any other special scheme.”</w:t>
      </w:r>
    </w:p>
    <w:p w:rsidR="00000000" w:rsidRDefault="00000000">
      <w:pPr>
        <w:spacing w:after="240"/>
      </w:pPr>
      <w:r>
        <w:t xml:space="preserve">248. Medical insurance is organized on the basis of specific risks: the risk of common sickness or accident; the risk of occupational disease or work accident; the risk of maternity. As regards the risk of common sickness or accident, a common accident is a fortuitous and unforeseeable occurrence occurring outside the workplace causing physical or psychological injury to an insured worker and requiring medical treatment. Common sicknesses are those not caused by conditions at the workplace. They give the insured worker entitlement to medical, surgical and dental treatment, medicaments and hospitalization and to apply for benefit while temporarily unable to work or, if the incapacity is permanent, an invalidity pension paid in respect of a common accident. </w:t>
      </w:r>
    </w:p>
    <w:p w:rsidR="00000000" w:rsidRDefault="00000000">
      <w:pPr>
        <w:spacing w:after="240"/>
        <w:ind w:left="567"/>
      </w:pPr>
      <w:r>
        <w:t>2.</w:t>
      </w:r>
      <w:r>
        <w:rPr>
          <w:b/>
          <w:bCs/>
        </w:rPr>
        <w:tab/>
      </w:r>
      <w:r>
        <w:rPr>
          <w:i/>
          <w:iCs/>
        </w:rPr>
        <w:t>Sickness insurance or benefit.</w:t>
      </w:r>
      <w:r>
        <w:t xml:space="preserve"> Act No. 375/56, as amended by Acts Nos. 1085/65, 427/73 and 98/92, reads (article 30) as follows: “in the event of non-occupational sickness or an accident other than a work accident, the provision of: a) medical, surgical and dental care, medicaments and hospitalization ... b) a money benefit for economically active insured persons undergoing medical treatment with rest on account of sickness ... c) the provision of prosthetic and orthopaedic appliances in accordance with the regulations ... “ Article 32 is concerned with the fixing of the amount of sickness benefit. </w:t>
      </w:r>
    </w:p>
    <w:p w:rsidR="00000000" w:rsidRDefault="00000000">
      <w:pPr>
        <w:spacing w:after="240"/>
      </w:pPr>
      <w:r>
        <w:t>249.</w:t>
      </w:r>
      <w:r>
        <w:tab/>
        <w:t xml:space="preserve">Work accidents are those caused by conditions of work. Work accidents and occupational diseases entitle an insured worker to medical, surgical and dental care, medicaments and hospitalization and to apply for the payment of benefit while temporarily unable to work or, if the incapacity is permanent, an invalidity pension in respect of a work accident or occupational disease (see also Occupational Disease). Benefit is granted to active insured workers undergoing medical treatment with rest in respect of common sickness. It begins on the day following the onset of incapacity and is provided for as long as the incapacity lasts, provided that and while the beneficiary is undergoing medical treatment in the Institute. </w:t>
      </w:r>
    </w:p>
    <w:p w:rsidR="00000000" w:rsidRDefault="00000000">
      <w:pPr>
        <w:spacing w:after="240"/>
        <w:ind w:left="567"/>
      </w:pPr>
      <w:r>
        <w:t>3.</w:t>
      </w:r>
      <w:r>
        <w:tab/>
      </w:r>
      <w:r>
        <w:rPr>
          <w:i/>
          <w:iCs/>
        </w:rPr>
        <w:t>Maternity insurance</w:t>
      </w:r>
      <w:r>
        <w:t>: articles 36-39 of Act No. 375/56, as updated by Acts Nos. 1085/65, 427/73 and 98/92 concerning the Social Security Institute, provide for benefits for women during pregnancy, childbirth and the puerperium; article 37 refers to “... a) a money benefit during the three weeks preceding and the six weeks following the probable date of childbirth; b) the provision of milk for a child whom the woman cannot breastfeed on account of incapacity certified by a doctor ..”</w:t>
      </w:r>
    </w:p>
    <w:p w:rsidR="00000000" w:rsidRDefault="00000000">
      <w:pPr>
        <w:spacing w:after="240"/>
      </w:pPr>
      <w:r>
        <w:t>250.</w:t>
      </w:r>
      <w:r>
        <w:tab/>
        <w:t xml:space="preserve">The maternity risk for an insured woman is the condition of pregnancy, birth and the post-natal period, during which the Social Security Institute provides an insured working woman, or the spouse or cohabitant of an insured worker or a pensioner, with the medical benefits specified in the Act and also the compulsory rest prior to and following the birth, a money benefit and the provision of milk if she cannot breastfeed. The female child of an insured worker or pensioner is not entitled to maternity benefits even if she is a member of the group of insured family members. The maternity risk scheme provides insured women with benefits during pregnancy, childbirth and the puerperium as follows: medical, surgical and dental care, medicaments and hospitalization in accordance with the rules of the Institute. The same entitlements are extended to the spouse of an insured man or the insured woman or, failing them, to the cohabitant with whom the insured person has lived publicly and in a stable and monogamous fashion for two (2) years preceding the contingency. </w:t>
      </w:r>
    </w:p>
    <w:p w:rsidR="00000000" w:rsidRDefault="00000000">
      <w:pPr>
        <w:spacing w:after="240"/>
        <w:ind w:left="567"/>
      </w:pPr>
      <w:r>
        <w:t>4.</w:t>
      </w:r>
      <w:r>
        <w:tab/>
      </w:r>
      <w:r>
        <w:rPr>
          <w:i/>
          <w:iCs/>
        </w:rPr>
        <w:t xml:space="preserve">Family insurance or allowances:  </w:t>
      </w:r>
      <w:r>
        <w:t xml:space="preserve">these are provided for in Act No. 2053/05 (general expenditure budget of the nation), which states:  “Gs. 35,000 (thirty-five thousand guaraníes) per month is fixed as the amount of the family allowance payable in respect of each child under 18 years of age, up to a maximum of three, of a public official who receives Gs. 1,000,000 (one million guaraníes) per month or less”. Articles 261-271 0f the Labour Code lay down the requirements in relation to family allowances. </w:t>
      </w:r>
    </w:p>
    <w:p w:rsidR="00000000" w:rsidRDefault="00000000">
      <w:pPr>
        <w:spacing w:after="240"/>
        <w:ind w:left="567"/>
      </w:pPr>
      <w:r>
        <w:t>5.</w:t>
      </w:r>
      <w:r>
        <w:tab/>
      </w:r>
      <w:r>
        <w:rPr>
          <w:i/>
          <w:iCs/>
        </w:rPr>
        <w:t xml:space="preserve">Old-age insurance or pensions:  </w:t>
      </w:r>
      <w:r>
        <w:t>the National Constitution states (article 103): “(...) within the social security system the law shall regulate the retirement pension scheme for public officials and public employees, it being understood that the autarkic agencies set up for the purpose shall accord contributors and retirees the administration of these bodies under State control. All persons who, in whatever quality, render services to the State shall participate in the same scheme. The law shall guarantee the updating of retirement incomes in a manner equivalent to that accorded to public officials in service.” Under article 60 of Act No. 375/56, as updated by Acts Nos. 1085/65, 427/73 and 98/92, concerning the Social Security Institute, an ordinary pension or old-age insurance scheme is established; the article goes on to state: “An insured person who has reached the age of 60 (sixty) years and has completed a minimum of 25 (twenty-five) years of recognized service ...”</w:t>
      </w:r>
    </w:p>
    <w:p w:rsidR="00000000" w:rsidRDefault="00000000">
      <w:pPr>
        <w:spacing w:after="240"/>
        <w:ind w:left="567"/>
      </w:pPr>
      <w:r>
        <w:t>6.</w:t>
      </w:r>
      <w:r>
        <w:tab/>
      </w:r>
      <w:r>
        <w:rPr>
          <w:i/>
          <w:iCs/>
        </w:rPr>
        <w:t xml:space="preserve">Insurance or pensions in respect of invalidity caused by work accidents: </w:t>
      </w:r>
      <w:r>
        <w:t xml:space="preserve">article 61 of Act No. 375/56, as updated by Acts Nos. 1085/65, 427/73 and 98/92, concerning the Social Security Institute, establishes pensions in respect of invalidity caused by common illness and by work accident or occupational disease as follows: “... it shall consist of a basic amount equal to 50% (fifty) of the average monthly wage during the 36 months preceding the declaration of invalidity ...” (article 61). </w:t>
      </w:r>
    </w:p>
    <w:p w:rsidR="00000000" w:rsidRDefault="00000000">
      <w:pPr>
        <w:spacing w:after="240"/>
        <w:ind w:left="567"/>
      </w:pPr>
      <w:r>
        <w:t>7.</w:t>
      </w:r>
      <w:r>
        <w:tab/>
      </w:r>
      <w:r>
        <w:rPr>
          <w:i/>
          <w:iCs/>
        </w:rPr>
        <w:t xml:space="preserve">Workers’ incapacity insurance: </w:t>
      </w:r>
      <w:r>
        <w:t xml:space="preserve">One consequence of a work accident is that it temporarily or permanently incapacitates the worker for work. Temporary incapacity may last for between three days and 52 weeks and gives entitlement to a money benefit equal to 75% of average earnings during the preceding four months. If as a result of that same accident the worker is permanently incapacitated, or if the incapacity remains at the end of 52 weeks, the worker becomes entitled to a monthly pension calculated in accordance with the injury or the degree of incapacity sustained. This incapacity must not be confused with invalidity. The risk of incapacity is met by a pension determined in accordance with an incapacity valuation table. </w:t>
      </w:r>
    </w:p>
    <w:p w:rsidR="00000000" w:rsidRDefault="00000000">
      <w:pPr>
        <w:spacing w:after="240"/>
        <w:ind w:left="567"/>
        <w:rPr>
          <w:lang w:val="en-US"/>
        </w:rPr>
      </w:pPr>
      <w:r>
        <w:t>8.</w:t>
      </w:r>
      <w:r>
        <w:tab/>
      </w:r>
      <w:r>
        <w:rPr>
          <w:i/>
          <w:iCs/>
        </w:rPr>
        <w:t xml:space="preserve">Invalidity insurance: </w:t>
      </w:r>
      <w:r>
        <w:t xml:space="preserve">the Social Security Institute defines an invalid as an insured person who, as a consequence of a non-occupational disease, of senility or premature old age or of a non-occupational accident, is unable to obtain, by work proportionate to his strength, skills and vocational training, remuneration equivalent to at least one third of the usual remuneration received by a healthy worker of the same sex with similar skills and training in the same region. In such cases the insured person is entitled to an invalidity pension if the following requirements are met: a) a declaration of invalidity in accordance with the definition in the previous article by a board of three doctors of the Institute specially designated for the purpose; b) a minimum of one hundred and fifty (150) weeks’ contributions </w:t>
      </w:r>
      <w:r>
        <w:rPr>
          <w:lang w:val="en-US"/>
        </w:rPr>
        <w:t xml:space="preserve">if the insured person is under 55 years of age at the time of the invalidity, or between one hundred and fifty (150) and two hundred and fifty (250) weeks of contributions if the insured is under 60 years of age, or between two hundred and fifty (250) and four hundred (400) weeks of contributions if the insured is under 65 years of age. No invalidity pension shall be paid if the occurrence of the contingency is the consequence of a deliberate or criminal act committed by the insured person. </w:t>
      </w:r>
    </w:p>
    <w:p w:rsidR="00000000" w:rsidRDefault="00000000">
      <w:pPr>
        <w:spacing w:after="240"/>
        <w:rPr>
          <w:lang w:val="en-US"/>
        </w:rPr>
      </w:pPr>
      <w:r>
        <w:rPr>
          <w:lang w:val="en-US"/>
        </w:rPr>
        <w:t>251.</w:t>
      </w:r>
      <w:r>
        <w:rPr>
          <w:lang w:val="en-US"/>
        </w:rPr>
        <w:tab/>
        <w:t xml:space="preserve">Invalidity pensions are awarded on a provisional basis for a period not exceeding five (5) years, during which beneficiaries are required to undergo medical examinations and receive medical treatment as instructed. If the condition becomes permanent, then at any time, and in any case after five (5) years, the invalidity may be so declared. </w:t>
      </w:r>
    </w:p>
    <w:p w:rsidR="00000000" w:rsidRDefault="00000000">
      <w:pPr>
        <w:spacing w:after="240"/>
        <w:rPr>
          <w:lang w:val="en-US"/>
        </w:rPr>
      </w:pPr>
      <w:r>
        <w:rPr>
          <w:lang w:val="en-US"/>
        </w:rPr>
        <w:t>252.</w:t>
      </w:r>
      <w:r>
        <w:rPr>
          <w:lang w:val="en-US"/>
        </w:rPr>
        <w:tab/>
        <w:t xml:space="preserve">A beneficiary under age sixty (60) who recovers over 50 per cent (50%) of working capacity shall cease to receive an invalidity pension; but the Institute may continue to pay it for six (6) months more if in so doing it facilitates the readaptation of the insured person to work. The Institute may conduct examinations once a year to determine the remaining degree of incapacity if the beneficiary is receiving a final pension; the beneficiary is required to undergo medical treatments prescribed for him. </w:t>
      </w:r>
    </w:p>
    <w:p w:rsidR="00000000" w:rsidRDefault="00000000">
      <w:pPr>
        <w:spacing w:after="240"/>
        <w:rPr>
          <w:lang w:val="en-US"/>
        </w:rPr>
      </w:pPr>
      <w:r>
        <w:rPr>
          <w:lang w:val="en-US"/>
        </w:rPr>
        <w:t>253.</w:t>
      </w:r>
      <w:r>
        <w:rPr>
          <w:lang w:val="en-US"/>
        </w:rPr>
        <w:tab/>
        <w:t xml:space="preserve">Invalidity pensions are paid monthly in arrears and shall be calculated as from the onset of the invalidity, or the date of the application, whichever is the later. </w:t>
      </w:r>
    </w:p>
    <w:p w:rsidR="00000000" w:rsidRDefault="00000000">
      <w:pPr>
        <w:spacing w:after="240"/>
        <w:rPr>
          <w:lang w:val="en-US"/>
        </w:rPr>
      </w:pPr>
      <w:r>
        <w:rPr>
          <w:lang w:val="en-US"/>
        </w:rPr>
        <w:t>254.</w:t>
      </w:r>
      <w:r>
        <w:rPr>
          <w:lang w:val="en-US"/>
        </w:rPr>
        <w:tab/>
        <w:t xml:space="preserve">However, the Institute may defer the starting date for payment while the insured person remains entitled to receive sickness benefit. </w:t>
      </w:r>
    </w:p>
    <w:p w:rsidR="00000000" w:rsidRDefault="00000000">
      <w:pPr>
        <w:spacing w:after="240"/>
        <w:rPr>
          <w:lang w:val="en-US"/>
        </w:rPr>
      </w:pPr>
      <w:r>
        <w:rPr>
          <w:lang w:val="en-US"/>
        </w:rPr>
        <w:t>255.</w:t>
      </w:r>
      <w:r>
        <w:rPr>
          <w:lang w:val="en-US"/>
        </w:rPr>
        <w:tab/>
        <w:t xml:space="preserve">The monthly invalidity pension shall consist of a basic amount equal to forty-two and a half per cent (42.5%) of average earnings during the three (3) months preceding the onset of the invalidity. That amount is increased by one and a half per cent (1.5%) for every fifty (50) weeks of contributions in excess of the first seven hundred and fifty (750) weeks of contributions. </w:t>
      </w:r>
    </w:p>
    <w:p w:rsidR="00000000" w:rsidRDefault="00000000">
      <w:pPr>
        <w:spacing w:after="240"/>
        <w:rPr>
          <w:lang w:val="en-US"/>
        </w:rPr>
      </w:pPr>
      <w:r>
        <w:rPr>
          <w:lang w:val="en-US"/>
        </w:rPr>
        <w:t>256.</w:t>
      </w:r>
      <w:r>
        <w:rPr>
          <w:lang w:val="en-US"/>
        </w:rPr>
        <w:tab/>
        <w:t xml:space="preserve">The average monthly wage shall be calculated by dividing by thirty-six (36) the total wages corresponding to the contributions for the three (3) years mentioned in the previous paragraph. If within that three-year period there are periods during which the insured person received invalidity benefits or pension, the average earnings used as a basis for the calculation of those benefits or pension shall be taken as the earnings for calculation purposes. </w:t>
      </w:r>
    </w:p>
    <w:p w:rsidR="00000000" w:rsidRDefault="00000000">
      <w:pPr>
        <w:spacing w:after="240"/>
        <w:ind w:left="567"/>
        <w:rPr>
          <w:lang w:val="en-US"/>
        </w:rPr>
      </w:pPr>
      <w:r>
        <w:rPr>
          <w:lang w:val="en-US"/>
        </w:rPr>
        <w:t>9.</w:t>
      </w:r>
      <w:r>
        <w:rPr>
          <w:lang w:val="en-US"/>
        </w:rPr>
        <w:tab/>
      </w:r>
      <w:r>
        <w:rPr>
          <w:i/>
          <w:iCs/>
          <w:lang w:val="en-US"/>
        </w:rPr>
        <w:t xml:space="preserve">Insurance against invalidity caused by common illness:  </w:t>
      </w:r>
      <w:r>
        <w:rPr>
          <w:lang w:val="en-US"/>
        </w:rPr>
        <w:t xml:space="preserve">the Social Security Institute pays a monthly invalidity pension in respect of common illness to its insured persons. It consists of a basic amount equal to 50% (fifty per cent) of average monthly earnings during the 36 (thirty-six) months preceding the declaration of invalidity, increased by one and a half per cent (1.5%) for every fifty (50) weeks of contributions in excess of one hundred and fifty (150) weeks of contributions, up to 100% (one hundred per cent) . . </w:t>
      </w:r>
    </w:p>
    <w:p w:rsidR="00000000" w:rsidRDefault="00000000">
      <w:pPr>
        <w:spacing w:after="240"/>
        <w:rPr>
          <w:lang w:val="en-US"/>
        </w:rPr>
      </w:pPr>
      <w:r>
        <w:rPr>
          <w:lang w:val="en-US"/>
        </w:rPr>
        <w:t>257.</w:t>
      </w:r>
      <w:r>
        <w:rPr>
          <w:lang w:val="en-US"/>
        </w:rPr>
        <w:tab/>
        <w:t xml:space="preserve">If within that period of 36 months there are periods during which the insured person received temporary invalidity benefit or pension, the average earnings used as a basis for the calculation of those benefits or pension shall be taken as the earnings for calculation purposes. </w:t>
      </w:r>
    </w:p>
    <w:p w:rsidR="00000000" w:rsidRDefault="00000000">
      <w:pPr>
        <w:widowControl w:val="0"/>
        <w:autoSpaceDE w:val="0"/>
        <w:autoSpaceDN w:val="0"/>
        <w:spacing w:after="240"/>
        <w:rPr>
          <w:lang w:val="en-US"/>
        </w:rPr>
      </w:pPr>
      <w:r>
        <w:rPr>
          <w:lang w:val="en-US"/>
        </w:rPr>
        <w:t>258.</w:t>
      </w:r>
      <w:r>
        <w:rPr>
          <w:lang w:val="en-US"/>
        </w:rPr>
        <w:tab/>
        <w:t xml:space="preserve">As for invalidity pensions payable on account of a work accident or occupational disease, a pension for invalidity payable on this account is determined in accordance with an incapacity valuation table, the </w:t>
      </w:r>
      <w:r>
        <w:rPr>
          <w:spacing w:val="-2"/>
          <w:lang w:val="en-US"/>
        </w:rPr>
        <w:t xml:space="preserve">pension percentage table and the average monthly earnings over the 36 (thirty-six) months preceding the onset </w:t>
      </w:r>
      <w:r>
        <w:rPr>
          <w:lang w:val="en-US"/>
        </w:rPr>
        <w:t xml:space="preserve">of the incapacity. If the work accident occurs before the insured person has received any wage, the pension is calculated on the basis of the statutory minimum wage in force at the time for miscellaneous unspecified activities in the capital of the Republic.  </w:t>
      </w:r>
    </w:p>
    <w:p w:rsidR="00000000" w:rsidRDefault="00000000">
      <w:pPr>
        <w:spacing w:after="240"/>
        <w:rPr>
          <w:lang w:val="en-US"/>
        </w:rPr>
      </w:pPr>
      <w:r>
        <w:rPr>
          <w:lang w:val="en-US"/>
        </w:rPr>
        <w:t>259.</w:t>
      </w:r>
      <w:r>
        <w:rPr>
          <w:lang w:val="en-US"/>
        </w:rPr>
        <w:tab/>
        <w:t xml:space="preserve">If the insured person has been receiving a wage for less than 36 (thirty-six) months, the missing months shall be calculated with the corresponding equivalences in accordance with the statutory minimum wages. </w:t>
      </w:r>
    </w:p>
    <w:p w:rsidR="00000000" w:rsidRDefault="00000000">
      <w:pPr>
        <w:spacing w:after="240"/>
        <w:rPr>
          <w:lang w:val="en-US"/>
        </w:rPr>
      </w:pPr>
      <w:r>
        <w:rPr>
          <w:lang w:val="en-US"/>
        </w:rPr>
        <w:t>260.</w:t>
      </w:r>
      <w:r>
        <w:rPr>
          <w:lang w:val="en-US"/>
        </w:rPr>
        <w:tab/>
        <w:t xml:space="preserve">The incapacity valuation table used in respect of work accidents or occupational diseases established by the board of directors of the Institute and currently applicable is given below. </w:t>
      </w:r>
    </w:p>
    <w:tbl>
      <w:tblPr>
        <w:tblW w:w="5000" w:type="pct"/>
        <w:tblBorders>
          <w:insideV w:val="single" w:sz="4" w:space="0" w:color="auto"/>
        </w:tblBorders>
        <w:tblCellMar>
          <w:left w:w="0" w:type="dxa"/>
          <w:right w:w="0" w:type="dxa"/>
        </w:tblCellMar>
        <w:tblLook w:val="01E0" w:firstRow="1" w:lastRow="1" w:firstColumn="1" w:lastColumn="1" w:noHBand="0" w:noVBand="0"/>
      </w:tblPr>
      <w:tblGrid>
        <w:gridCol w:w="4081"/>
        <w:gridCol w:w="667"/>
        <w:gridCol w:w="669"/>
        <w:gridCol w:w="668"/>
        <w:gridCol w:w="669"/>
        <w:gridCol w:w="669"/>
        <w:gridCol w:w="668"/>
        <w:gridCol w:w="669"/>
        <w:gridCol w:w="669"/>
      </w:tblGrid>
      <w:tr w:rsidR="00000000">
        <w:tc>
          <w:tcPr>
            <w:tcW w:w="4081"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Percentage loss of working capacity (%).</w:t>
            </w:r>
          </w:p>
        </w:tc>
        <w:tc>
          <w:tcPr>
            <w:tcW w:w="667"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100</w:t>
            </w:r>
          </w:p>
        </w:tc>
        <w:tc>
          <w:tcPr>
            <w:tcW w:w="669"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90</w:t>
            </w:r>
          </w:p>
        </w:tc>
        <w:tc>
          <w:tcPr>
            <w:tcW w:w="668"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80</w:t>
            </w:r>
          </w:p>
        </w:tc>
        <w:tc>
          <w:tcPr>
            <w:tcW w:w="669"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70</w:t>
            </w:r>
          </w:p>
        </w:tc>
        <w:tc>
          <w:tcPr>
            <w:tcW w:w="669"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60</w:t>
            </w:r>
          </w:p>
        </w:tc>
        <w:tc>
          <w:tcPr>
            <w:tcW w:w="668"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50</w:t>
            </w:r>
          </w:p>
        </w:tc>
        <w:tc>
          <w:tcPr>
            <w:tcW w:w="669"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40</w:t>
            </w:r>
          </w:p>
        </w:tc>
        <w:tc>
          <w:tcPr>
            <w:tcW w:w="669"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30</w:t>
            </w:r>
          </w:p>
        </w:tc>
      </w:tr>
      <w:tr w:rsidR="00000000">
        <w:tc>
          <w:tcPr>
            <w:tcW w:w="4081"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Years of work</w:t>
            </w:r>
          </w:p>
        </w:tc>
        <w:tc>
          <w:tcPr>
            <w:tcW w:w="5348" w:type="dxa"/>
            <w:gridSpan w:val="8"/>
            <w:tcBorders>
              <w:top w:val="single" w:sz="4" w:space="0" w:color="auto"/>
              <w:bottom w:val="single" w:sz="4" w:space="0" w:color="auto"/>
            </w:tcBorders>
          </w:tcPr>
          <w:p w:rsidR="00000000" w:rsidRDefault="00000000">
            <w:pPr>
              <w:pStyle w:val="Heading4"/>
              <w:rPr>
                <w:szCs w:val="24"/>
                <w:lang w:val="es-ES"/>
              </w:rPr>
            </w:pPr>
            <w:r>
              <w:rPr>
                <w:szCs w:val="24"/>
                <w:lang w:val="es-ES"/>
              </w:rPr>
              <w:t>Pension as percentage of wage</w:t>
            </w:r>
          </w:p>
        </w:tc>
      </w:tr>
      <w:tr w:rsidR="00000000">
        <w:tc>
          <w:tcPr>
            <w:tcW w:w="4081" w:type="dxa"/>
            <w:tcBorders>
              <w:top w:val="single" w:sz="4" w:space="0" w:color="auto"/>
            </w:tcBorders>
          </w:tcPr>
          <w:p w:rsidR="00000000" w:rsidRDefault="00000000">
            <w:pPr>
              <w:spacing w:before="80" w:after="80"/>
              <w:rPr>
                <w:sz w:val="20"/>
                <w:lang w:val="es-ES"/>
              </w:rPr>
            </w:pPr>
            <w:r>
              <w:rPr>
                <w:sz w:val="20"/>
                <w:lang w:val="es-ES"/>
              </w:rPr>
              <w:t>3 - 5</w:t>
            </w:r>
            <w:r>
              <w:rPr>
                <w:sz w:val="20"/>
                <w:lang w:val="es-ES"/>
              </w:rPr>
              <w:tab/>
            </w:r>
          </w:p>
        </w:tc>
        <w:tc>
          <w:tcPr>
            <w:tcW w:w="667" w:type="dxa"/>
            <w:tcBorders>
              <w:top w:val="single" w:sz="4" w:space="0" w:color="auto"/>
            </w:tcBorders>
          </w:tcPr>
          <w:p w:rsidR="00000000" w:rsidRDefault="00000000">
            <w:pPr>
              <w:spacing w:before="80" w:after="80"/>
              <w:jc w:val="center"/>
              <w:rPr>
                <w:sz w:val="20"/>
                <w:lang w:val="es-ES"/>
              </w:rPr>
            </w:pPr>
            <w:r>
              <w:rPr>
                <w:sz w:val="20"/>
                <w:lang w:val="es-ES"/>
              </w:rPr>
              <w:t>75</w:t>
            </w:r>
          </w:p>
        </w:tc>
        <w:tc>
          <w:tcPr>
            <w:tcW w:w="669" w:type="dxa"/>
            <w:tcBorders>
              <w:top w:val="single" w:sz="4" w:space="0" w:color="auto"/>
            </w:tcBorders>
          </w:tcPr>
          <w:p w:rsidR="00000000" w:rsidRDefault="00000000">
            <w:pPr>
              <w:spacing w:before="80" w:after="80"/>
              <w:jc w:val="center"/>
              <w:rPr>
                <w:sz w:val="20"/>
                <w:lang w:val="es-ES"/>
              </w:rPr>
            </w:pPr>
            <w:r>
              <w:rPr>
                <w:sz w:val="20"/>
                <w:lang w:val="es-ES"/>
              </w:rPr>
              <w:t>67.5</w:t>
            </w:r>
          </w:p>
        </w:tc>
        <w:tc>
          <w:tcPr>
            <w:tcW w:w="668" w:type="dxa"/>
            <w:tcBorders>
              <w:top w:val="single" w:sz="4" w:space="0" w:color="auto"/>
            </w:tcBorders>
          </w:tcPr>
          <w:p w:rsidR="00000000" w:rsidRDefault="00000000">
            <w:pPr>
              <w:spacing w:before="80" w:after="80"/>
              <w:jc w:val="center"/>
              <w:rPr>
                <w:sz w:val="20"/>
                <w:lang w:val="es-ES"/>
              </w:rPr>
            </w:pPr>
            <w:r>
              <w:rPr>
                <w:sz w:val="20"/>
                <w:lang w:val="es-ES"/>
              </w:rPr>
              <w:t>60</w:t>
            </w:r>
          </w:p>
        </w:tc>
        <w:tc>
          <w:tcPr>
            <w:tcW w:w="669" w:type="dxa"/>
            <w:tcBorders>
              <w:top w:val="single" w:sz="4" w:space="0" w:color="auto"/>
            </w:tcBorders>
          </w:tcPr>
          <w:p w:rsidR="00000000" w:rsidRDefault="00000000">
            <w:pPr>
              <w:spacing w:before="80" w:after="80"/>
              <w:jc w:val="center"/>
              <w:rPr>
                <w:sz w:val="20"/>
                <w:lang w:val="es-ES"/>
              </w:rPr>
            </w:pPr>
            <w:r>
              <w:rPr>
                <w:sz w:val="20"/>
                <w:lang w:val="es-ES"/>
              </w:rPr>
              <w:t>52.2</w:t>
            </w:r>
          </w:p>
        </w:tc>
        <w:tc>
          <w:tcPr>
            <w:tcW w:w="669" w:type="dxa"/>
            <w:tcBorders>
              <w:top w:val="single" w:sz="4" w:space="0" w:color="auto"/>
            </w:tcBorders>
          </w:tcPr>
          <w:p w:rsidR="00000000" w:rsidRDefault="00000000">
            <w:pPr>
              <w:spacing w:before="80" w:after="80"/>
              <w:jc w:val="center"/>
              <w:rPr>
                <w:sz w:val="20"/>
                <w:lang w:val="es-ES"/>
              </w:rPr>
            </w:pPr>
            <w:r>
              <w:rPr>
                <w:sz w:val="20"/>
                <w:lang w:val="es-ES"/>
              </w:rPr>
              <w:t>45</w:t>
            </w:r>
          </w:p>
        </w:tc>
        <w:tc>
          <w:tcPr>
            <w:tcW w:w="668" w:type="dxa"/>
            <w:tcBorders>
              <w:top w:val="single" w:sz="4" w:space="0" w:color="auto"/>
            </w:tcBorders>
          </w:tcPr>
          <w:p w:rsidR="00000000" w:rsidRDefault="00000000">
            <w:pPr>
              <w:spacing w:before="80" w:after="80"/>
              <w:jc w:val="center"/>
              <w:rPr>
                <w:sz w:val="20"/>
                <w:lang w:val="es-ES"/>
              </w:rPr>
            </w:pPr>
            <w:r>
              <w:rPr>
                <w:sz w:val="20"/>
                <w:lang w:val="es-ES"/>
              </w:rPr>
              <w:t>37.5</w:t>
            </w:r>
          </w:p>
        </w:tc>
        <w:tc>
          <w:tcPr>
            <w:tcW w:w="669" w:type="dxa"/>
            <w:tcBorders>
              <w:top w:val="single" w:sz="4" w:space="0" w:color="auto"/>
            </w:tcBorders>
          </w:tcPr>
          <w:p w:rsidR="00000000" w:rsidRDefault="00000000">
            <w:pPr>
              <w:spacing w:before="80" w:after="80"/>
              <w:jc w:val="center"/>
              <w:rPr>
                <w:sz w:val="20"/>
                <w:lang w:val="es-ES"/>
              </w:rPr>
            </w:pPr>
            <w:r>
              <w:rPr>
                <w:sz w:val="20"/>
                <w:lang w:val="es-ES"/>
              </w:rPr>
              <w:t>30</w:t>
            </w:r>
          </w:p>
        </w:tc>
        <w:tc>
          <w:tcPr>
            <w:tcW w:w="669" w:type="dxa"/>
            <w:tcBorders>
              <w:top w:val="single" w:sz="4" w:space="0" w:color="auto"/>
            </w:tcBorders>
          </w:tcPr>
          <w:p w:rsidR="00000000" w:rsidRDefault="00000000">
            <w:pPr>
              <w:spacing w:before="80" w:after="80"/>
              <w:jc w:val="center"/>
              <w:rPr>
                <w:sz w:val="20"/>
                <w:lang w:val="es-ES"/>
              </w:rPr>
            </w:pPr>
            <w:r>
              <w:rPr>
                <w:sz w:val="20"/>
                <w:lang w:val="es-ES"/>
              </w:rPr>
              <w:t>22.5</w:t>
            </w:r>
          </w:p>
        </w:tc>
      </w:tr>
      <w:tr w:rsidR="00000000">
        <w:tc>
          <w:tcPr>
            <w:tcW w:w="4081" w:type="dxa"/>
          </w:tcPr>
          <w:p w:rsidR="00000000" w:rsidRDefault="00000000">
            <w:pPr>
              <w:spacing w:before="80" w:after="80"/>
              <w:rPr>
                <w:sz w:val="20"/>
                <w:lang w:val="es-ES"/>
              </w:rPr>
            </w:pPr>
            <w:r>
              <w:rPr>
                <w:sz w:val="20"/>
                <w:lang w:val="es-ES"/>
              </w:rPr>
              <w:t xml:space="preserve">6 - 9  </w:t>
            </w:r>
          </w:p>
        </w:tc>
        <w:tc>
          <w:tcPr>
            <w:tcW w:w="667" w:type="dxa"/>
          </w:tcPr>
          <w:p w:rsidR="00000000" w:rsidRDefault="00000000">
            <w:pPr>
              <w:spacing w:before="80" w:after="80"/>
              <w:jc w:val="center"/>
              <w:rPr>
                <w:sz w:val="20"/>
                <w:lang w:val="es-ES"/>
              </w:rPr>
            </w:pPr>
            <w:r>
              <w:rPr>
                <w:sz w:val="20"/>
                <w:lang w:val="es-ES"/>
              </w:rPr>
              <w:t>79.5</w:t>
            </w:r>
          </w:p>
        </w:tc>
        <w:tc>
          <w:tcPr>
            <w:tcW w:w="669" w:type="dxa"/>
          </w:tcPr>
          <w:p w:rsidR="00000000" w:rsidRDefault="00000000">
            <w:pPr>
              <w:spacing w:before="80" w:after="80"/>
              <w:jc w:val="center"/>
              <w:rPr>
                <w:sz w:val="20"/>
                <w:lang w:val="es-ES"/>
              </w:rPr>
            </w:pPr>
            <w:r>
              <w:rPr>
                <w:sz w:val="20"/>
                <w:lang w:val="es-ES"/>
              </w:rPr>
              <w:t>71.5</w:t>
            </w:r>
          </w:p>
        </w:tc>
        <w:tc>
          <w:tcPr>
            <w:tcW w:w="668" w:type="dxa"/>
          </w:tcPr>
          <w:p w:rsidR="00000000" w:rsidRDefault="00000000">
            <w:pPr>
              <w:spacing w:before="80" w:after="80"/>
              <w:jc w:val="center"/>
              <w:rPr>
                <w:sz w:val="20"/>
                <w:lang w:val="es-ES"/>
              </w:rPr>
            </w:pPr>
            <w:r>
              <w:rPr>
                <w:sz w:val="20"/>
                <w:lang w:val="es-ES"/>
              </w:rPr>
              <w:t>63.6</w:t>
            </w:r>
          </w:p>
        </w:tc>
        <w:tc>
          <w:tcPr>
            <w:tcW w:w="669" w:type="dxa"/>
          </w:tcPr>
          <w:p w:rsidR="00000000" w:rsidRDefault="00000000">
            <w:pPr>
              <w:spacing w:before="80" w:after="80"/>
              <w:jc w:val="center"/>
              <w:rPr>
                <w:sz w:val="20"/>
                <w:lang w:val="es-ES"/>
              </w:rPr>
            </w:pPr>
            <w:r>
              <w:rPr>
                <w:sz w:val="20"/>
                <w:lang w:val="es-ES"/>
              </w:rPr>
              <w:t>55.6</w:t>
            </w:r>
          </w:p>
        </w:tc>
        <w:tc>
          <w:tcPr>
            <w:tcW w:w="669" w:type="dxa"/>
          </w:tcPr>
          <w:p w:rsidR="00000000" w:rsidRDefault="00000000">
            <w:pPr>
              <w:spacing w:before="80" w:after="80"/>
              <w:jc w:val="center"/>
              <w:rPr>
                <w:sz w:val="20"/>
                <w:lang w:val="es-ES"/>
              </w:rPr>
            </w:pPr>
            <w:r>
              <w:rPr>
                <w:sz w:val="20"/>
                <w:lang w:val="es-ES"/>
              </w:rPr>
              <w:t>47.7</w:t>
            </w:r>
          </w:p>
        </w:tc>
        <w:tc>
          <w:tcPr>
            <w:tcW w:w="668" w:type="dxa"/>
          </w:tcPr>
          <w:p w:rsidR="00000000" w:rsidRDefault="00000000">
            <w:pPr>
              <w:spacing w:before="80" w:after="80"/>
              <w:jc w:val="center"/>
              <w:rPr>
                <w:sz w:val="20"/>
                <w:lang w:val="es-ES"/>
              </w:rPr>
            </w:pPr>
            <w:r>
              <w:rPr>
                <w:sz w:val="20"/>
                <w:lang w:val="es-ES"/>
              </w:rPr>
              <w:t>39.7</w:t>
            </w:r>
          </w:p>
        </w:tc>
        <w:tc>
          <w:tcPr>
            <w:tcW w:w="669" w:type="dxa"/>
          </w:tcPr>
          <w:p w:rsidR="00000000" w:rsidRDefault="00000000">
            <w:pPr>
              <w:spacing w:before="80" w:after="80"/>
              <w:jc w:val="center"/>
              <w:rPr>
                <w:sz w:val="20"/>
                <w:lang w:val="es-ES"/>
              </w:rPr>
            </w:pPr>
            <w:r>
              <w:rPr>
                <w:sz w:val="20"/>
                <w:lang w:val="es-ES"/>
              </w:rPr>
              <w:t>31.8</w:t>
            </w:r>
          </w:p>
        </w:tc>
        <w:tc>
          <w:tcPr>
            <w:tcW w:w="669" w:type="dxa"/>
          </w:tcPr>
          <w:p w:rsidR="00000000" w:rsidRDefault="00000000">
            <w:pPr>
              <w:spacing w:before="80" w:after="80"/>
              <w:jc w:val="center"/>
              <w:rPr>
                <w:sz w:val="20"/>
                <w:lang w:val="es-ES"/>
              </w:rPr>
            </w:pPr>
            <w:r>
              <w:rPr>
                <w:sz w:val="20"/>
                <w:lang w:val="es-ES"/>
              </w:rPr>
              <w:t>23.9</w:t>
            </w:r>
          </w:p>
        </w:tc>
      </w:tr>
      <w:tr w:rsidR="00000000">
        <w:tc>
          <w:tcPr>
            <w:tcW w:w="4081" w:type="dxa"/>
          </w:tcPr>
          <w:p w:rsidR="00000000" w:rsidRDefault="00000000">
            <w:pPr>
              <w:spacing w:before="80" w:after="80"/>
              <w:rPr>
                <w:sz w:val="20"/>
                <w:lang w:val="es-ES"/>
              </w:rPr>
            </w:pPr>
            <w:r>
              <w:rPr>
                <w:sz w:val="20"/>
                <w:lang w:val="es-ES"/>
              </w:rPr>
              <w:t xml:space="preserve">10 – 14    </w:t>
            </w:r>
          </w:p>
        </w:tc>
        <w:tc>
          <w:tcPr>
            <w:tcW w:w="667" w:type="dxa"/>
          </w:tcPr>
          <w:p w:rsidR="00000000" w:rsidRDefault="00000000">
            <w:pPr>
              <w:spacing w:before="80" w:after="80"/>
              <w:jc w:val="center"/>
              <w:rPr>
                <w:sz w:val="20"/>
                <w:lang w:val="es-ES"/>
              </w:rPr>
            </w:pPr>
            <w:r>
              <w:rPr>
                <w:sz w:val="20"/>
                <w:lang w:val="es-ES"/>
              </w:rPr>
              <w:t>85.5</w:t>
            </w:r>
          </w:p>
        </w:tc>
        <w:tc>
          <w:tcPr>
            <w:tcW w:w="669" w:type="dxa"/>
          </w:tcPr>
          <w:p w:rsidR="00000000" w:rsidRDefault="00000000">
            <w:pPr>
              <w:spacing w:before="80" w:after="80"/>
              <w:jc w:val="center"/>
              <w:rPr>
                <w:sz w:val="20"/>
                <w:lang w:val="es-ES"/>
              </w:rPr>
            </w:pPr>
            <w:r>
              <w:rPr>
                <w:sz w:val="20"/>
                <w:lang w:val="es-ES"/>
              </w:rPr>
              <w:t>76.9</w:t>
            </w:r>
          </w:p>
        </w:tc>
        <w:tc>
          <w:tcPr>
            <w:tcW w:w="668" w:type="dxa"/>
          </w:tcPr>
          <w:p w:rsidR="00000000" w:rsidRDefault="00000000">
            <w:pPr>
              <w:spacing w:before="80" w:after="80"/>
              <w:jc w:val="center"/>
              <w:rPr>
                <w:sz w:val="20"/>
                <w:lang w:val="es-ES"/>
              </w:rPr>
            </w:pPr>
            <w:r>
              <w:rPr>
                <w:sz w:val="20"/>
                <w:lang w:val="es-ES"/>
              </w:rPr>
              <w:t>68.4</w:t>
            </w:r>
          </w:p>
        </w:tc>
        <w:tc>
          <w:tcPr>
            <w:tcW w:w="669" w:type="dxa"/>
          </w:tcPr>
          <w:p w:rsidR="00000000" w:rsidRDefault="00000000">
            <w:pPr>
              <w:spacing w:before="80" w:after="80"/>
              <w:jc w:val="center"/>
              <w:rPr>
                <w:sz w:val="20"/>
                <w:lang w:val="es-ES"/>
              </w:rPr>
            </w:pPr>
            <w:r>
              <w:rPr>
                <w:sz w:val="20"/>
                <w:lang w:val="es-ES"/>
              </w:rPr>
              <w:t>59.8</w:t>
            </w:r>
          </w:p>
        </w:tc>
        <w:tc>
          <w:tcPr>
            <w:tcW w:w="669" w:type="dxa"/>
          </w:tcPr>
          <w:p w:rsidR="00000000" w:rsidRDefault="00000000">
            <w:pPr>
              <w:spacing w:before="80" w:after="80"/>
              <w:jc w:val="center"/>
              <w:rPr>
                <w:sz w:val="20"/>
                <w:lang w:val="es-ES"/>
              </w:rPr>
            </w:pPr>
            <w:r>
              <w:rPr>
                <w:sz w:val="20"/>
                <w:lang w:val="es-ES"/>
              </w:rPr>
              <w:t>51.3</w:t>
            </w:r>
          </w:p>
        </w:tc>
        <w:tc>
          <w:tcPr>
            <w:tcW w:w="668" w:type="dxa"/>
          </w:tcPr>
          <w:p w:rsidR="00000000" w:rsidRDefault="00000000">
            <w:pPr>
              <w:spacing w:before="80" w:after="80"/>
              <w:jc w:val="center"/>
              <w:rPr>
                <w:sz w:val="20"/>
                <w:lang w:val="es-ES"/>
              </w:rPr>
            </w:pPr>
            <w:r>
              <w:rPr>
                <w:sz w:val="20"/>
                <w:lang w:val="es-ES"/>
              </w:rPr>
              <w:t>42.7</w:t>
            </w:r>
          </w:p>
        </w:tc>
        <w:tc>
          <w:tcPr>
            <w:tcW w:w="669" w:type="dxa"/>
          </w:tcPr>
          <w:p w:rsidR="00000000" w:rsidRDefault="00000000">
            <w:pPr>
              <w:spacing w:before="80" w:after="80"/>
              <w:jc w:val="center"/>
              <w:rPr>
                <w:sz w:val="20"/>
                <w:lang w:val="es-ES"/>
              </w:rPr>
            </w:pPr>
            <w:r>
              <w:rPr>
                <w:sz w:val="20"/>
                <w:lang w:val="es-ES"/>
              </w:rPr>
              <w:t>34.2</w:t>
            </w:r>
          </w:p>
        </w:tc>
        <w:tc>
          <w:tcPr>
            <w:tcW w:w="669" w:type="dxa"/>
          </w:tcPr>
          <w:p w:rsidR="00000000" w:rsidRDefault="00000000">
            <w:pPr>
              <w:spacing w:before="80" w:after="80"/>
              <w:jc w:val="center"/>
              <w:rPr>
                <w:sz w:val="20"/>
                <w:lang w:val="es-ES"/>
              </w:rPr>
            </w:pPr>
            <w:r>
              <w:rPr>
                <w:sz w:val="20"/>
                <w:lang w:val="es-ES"/>
              </w:rPr>
              <w:t>25.6</w:t>
            </w:r>
          </w:p>
        </w:tc>
      </w:tr>
      <w:tr w:rsidR="00000000">
        <w:tc>
          <w:tcPr>
            <w:tcW w:w="4081" w:type="dxa"/>
            <w:tcBorders>
              <w:bottom w:val="nil"/>
            </w:tcBorders>
          </w:tcPr>
          <w:p w:rsidR="00000000" w:rsidRDefault="00000000">
            <w:pPr>
              <w:spacing w:before="80" w:after="80"/>
              <w:rPr>
                <w:sz w:val="20"/>
                <w:lang w:val="es-ES"/>
              </w:rPr>
            </w:pPr>
            <w:r>
              <w:rPr>
                <w:sz w:val="20"/>
                <w:lang w:val="es-ES"/>
              </w:rPr>
              <w:t xml:space="preserve">15 – 19    </w:t>
            </w:r>
          </w:p>
        </w:tc>
        <w:tc>
          <w:tcPr>
            <w:tcW w:w="667" w:type="dxa"/>
            <w:tcBorders>
              <w:bottom w:val="nil"/>
            </w:tcBorders>
          </w:tcPr>
          <w:p w:rsidR="00000000" w:rsidRDefault="00000000">
            <w:pPr>
              <w:spacing w:before="80" w:after="80"/>
              <w:jc w:val="center"/>
              <w:rPr>
                <w:sz w:val="20"/>
                <w:lang w:val="es-ES"/>
              </w:rPr>
            </w:pPr>
            <w:r>
              <w:rPr>
                <w:sz w:val="20"/>
                <w:lang w:val="es-ES"/>
              </w:rPr>
              <w:t>93</w:t>
            </w:r>
          </w:p>
        </w:tc>
        <w:tc>
          <w:tcPr>
            <w:tcW w:w="669" w:type="dxa"/>
            <w:tcBorders>
              <w:bottom w:val="nil"/>
            </w:tcBorders>
          </w:tcPr>
          <w:p w:rsidR="00000000" w:rsidRDefault="00000000">
            <w:pPr>
              <w:spacing w:before="80" w:after="80"/>
              <w:jc w:val="center"/>
              <w:rPr>
                <w:sz w:val="20"/>
                <w:lang w:val="es-ES"/>
              </w:rPr>
            </w:pPr>
            <w:r>
              <w:rPr>
                <w:sz w:val="20"/>
                <w:lang w:val="es-ES"/>
              </w:rPr>
              <w:t>83.7</w:t>
            </w:r>
          </w:p>
        </w:tc>
        <w:tc>
          <w:tcPr>
            <w:tcW w:w="668" w:type="dxa"/>
            <w:tcBorders>
              <w:bottom w:val="nil"/>
            </w:tcBorders>
          </w:tcPr>
          <w:p w:rsidR="00000000" w:rsidRDefault="00000000">
            <w:pPr>
              <w:spacing w:before="80" w:after="80"/>
              <w:jc w:val="center"/>
              <w:rPr>
                <w:sz w:val="20"/>
                <w:lang w:val="es-ES"/>
              </w:rPr>
            </w:pPr>
            <w:r>
              <w:rPr>
                <w:sz w:val="20"/>
                <w:lang w:val="es-ES"/>
              </w:rPr>
              <w:t>74.4</w:t>
            </w:r>
          </w:p>
        </w:tc>
        <w:tc>
          <w:tcPr>
            <w:tcW w:w="669" w:type="dxa"/>
            <w:tcBorders>
              <w:bottom w:val="nil"/>
            </w:tcBorders>
          </w:tcPr>
          <w:p w:rsidR="00000000" w:rsidRDefault="00000000">
            <w:pPr>
              <w:spacing w:before="80" w:after="80"/>
              <w:jc w:val="center"/>
              <w:rPr>
                <w:sz w:val="20"/>
                <w:lang w:val="es-ES"/>
              </w:rPr>
            </w:pPr>
            <w:r>
              <w:rPr>
                <w:sz w:val="20"/>
                <w:lang w:val="es-ES"/>
              </w:rPr>
              <w:t>65.1</w:t>
            </w:r>
          </w:p>
        </w:tc>
        <w:tc>
          <w:tcPr>
            <w:tcW w:w="669" w:type="dxa"/>
            <w:tcBorders>
              <w:bottom w:val="nil"/>
            </w:tcBorders>
          </w:tcPr>
          <w:p w:rsidR="00000000" w:rsidRDefault="00000000">
            <w:pPr>
              <w:spacing w:before="80" w:after="80"/>
              <w:jc w:val="center"/>
              <w:rPr>
                <w:sz w:val="20"/>
                <w:lang w:val="es-ES"/>
              </w:rPr>
            </w:pPr>
            <w:r>
              <w:rPr>
                <w:sz w:val="20"/>
                <w:lang w:val="es-ES"/>
              </w:rPr>
              <w:t>55.8</w:t>
            </w:r>
          </w:p>
        </w:tc>
        <w:tc>
          <w:tcPr>
            <w:tcW w:w="668" w:type="dxa"/>
            <w:tcBorders>
              <w:bottom w:val="nil"/>
            </w:tcBorders>
          </w:tcPr>
          <w:p w:rsidR="00000000" w:rsidRDefault="00000000">
            <w:pPr>
              <w:spacing w:before="80" w:after="80"/>
              <w:jc w:val="center"/>
              <w:rPr>
                <w:sz w:val="20"/>
                <w:lang w:val="es-ES"/>
              </w:rPr>
            </w:pPr>
            <w:r>
              <w:rPr>
                <w:sz w:val="20"/>
                <w:lang w:val="es-ES"/>
              </w:rPr>
              <w:t>46.5</w:t>
            </w:r>
          </w:p>
        </w:tc>
        <w:tc>
          <w:tcPr>
            <w:tcW w:w="669" w:type="dxa"/>
            <w:tcBorders>
              <w:bottom w:val="nil"/>
            </w:tcBorders>
          </w:tcPr>
          <w:p w:rsidR="00000000" w:rsidRDefault="00000000">
            <w:pPr>
              <w:spacing w:before="80" w:after="80"/>
              <w:jc w:val="center"/>
              <w:rPr>
                <w:sz w:val="20"/>
                <w:lang w:val="es-ES"/>
              </w:rPr>
            </w:pPr>
            <w:r>
              <w:rPr>
                <w:sz w:val="20"/>
                <w:lang w:val="es-ES"/>
              </w:rPr>
              <w:t>37.2</w:t>
            </w:r>
          </w:p>
        </w:tc>
        <w:tc>
          <w:tcPr>
            <w:tcW w:w="669" w:type="dxa"/>
            <w:tcBorders>
              <w:bottom w:val="nil"/>
            </w:tcBorders>
          </w:tcPr>
          <w:p w:rsidR="00000000" w:rsidRDefault="00000000">
            <w:pPr>
              <w:spacing w:before="80" w:after="80"/>
              <w:jc w:val="center"/>
              <w:rPr>
                <w:sz w:val="20"/>
                <w:lang w:val="es-ES"/>
              </w:rPr>
            </w:pPr>
            <w:r>
              <w:rPr>
                <w:sz w:val="20"/>
                <w:lang w:val="es-ES"/>
              </w:rPr>
              <w:t>27.9</w:t>
            </w:r>
          </w:p>
        </w:tc>
      </w:tr>
      <w:tr w:rsidR="00000000">
        <w:tc>
          <w:tcPr>
            <w:tcW w:w="4081" w:type="dxa"/>
            <w:tcBorders>
              <w:bottom w:val="single" w:sz="4" w:space="0" w:color="auto"/>
            </w:tcBorders>
          </w:tcPr>
          <w:p w:rsidR="00000000" w:rsidRDefault="00000000">
            <w:pPr>
              <w:spacing w:before="80" w:after="80"/>
              <w:rPr>
                <w:sz w:val="20"/>
                <w:lang w:val="es-ES"/>
              </w:rPr>
            </w:pPr>
            <w:r>
              <w:rPr>
                <w:sz w:val="20"/>
                <w:lang w:val="es-ES"/>
              </w:rPr>
              <w:t xml:space="preserve">20 (+)    </w:t>
            </w:r>
          </w:p>
        </w:tc>
        <w:tc>
          <w:tcPr>
            <w:tcW w:w="667" w:type="dxa"/>
            <w:tcBorders>
              <w:bottom w:val="single" w:sz="4" w:space="0" w:color="auto"/>
            </w:tcBorders>
          </w:tcPr>
          <w:p w:rsidR="00000000" w:rsidRDefault="00000000">
            <w:pPr>
              <w:spacing w:before="80" w:after="80"/>
              <w:jc w:val="center"/>
              <w:rPr>
                <w:sz w:val="20"/>
                <w:lang w:val="es-ES"/>
              </w:rPr>
            </w:pPr>
            <w:r>
              <w:rPr>
                <w:sz w:val="20"/>
                <w:lang w:val="es-ES"/>
              </w:rPr>
              <w:t>100</w:t>
            </w:r>
          </w:p>
        </w:tc>
        <w:tc>
          <w:tcPr>
            <w:tcW w:w="669" w:type="dxa"/>
            <w:tcBorders>
              <w:bottom w:val="single" w:sz="4" w:space="0" w:color="auto"/>
            </w:tcBorders>
          </w:tcPr>
          <w:p w:rsidR="00000000" w:rsidRDefault="00000000">
            <w:pPr>
              <w:spacing w:before="80" w:after="80"/>
              <w:jc w:val="center"/>
              <w:rPr>
                <w:sz w:val="20"/>
                <w:lang w:val="es-ES"/>
              </w:rPr>
            </w:pPr>
            <w:r>
              <w:rPr>
                <w:sz w:val="20"/>
                <w:lang w:val="es-ES"/>
              </w:rPr>
              <w:t>90.4</w:t>
            </w:r>
          </w:p>
        </w:tc>
        <w:tc>
          <w:tcPr>
            <w:tcW w:w="668" w:type="dxa"/>
            <w:tcBorders>
              <w:bottom w:val="single" w:sz="4" w:space="0" w:color="auto"/>
            </w:tcBorders>
          </w:tcPr>
          <w:p w:rsidR="00000000" w:rsidRDefault="00000000">
            <w:pPr>
              <w:spacing w:before="80" w:after="80"/>
              <w:jc w:val="center"/>
              <w:rPr>
                <w:sz w:val="20"/>
                <w:lang w:val="es-ES"/>
              </w:rPr>
            </w:pPr>
            <w:r>
              <w:rPr>
                <w:sz w:val="20"/>
                <w:lang w:val="es-ES"/>
              </w:rPr>
              <w:t>80.4</w:t>
            </w:r>
          </w:p>
        </w:tc>
        <w:tc>
          <w:tcPr>
            <w:tcW w:w="669" w:type="dxa"/>
            <w:tcBorders>
              <w:bottom w:val="single" w:sz="4" w:space="0" w:color="auto"/>
            </w:tcBorders>
          </w:tcPr>
          <w:p w:rsidR="00000000" w:rsidRDefault="00000000">
            <w:pPr>
              <w:spacing w:before="80" w:after="80"/>
              <w:jc w:val="center"/>
              <w:rPr>
                <w:sz w:val="20"/>
                <w:lang w:val="es-ES"/>
              </w:rPr>
            </w:pPr>
            <w:r>
              <w:rPr>
                <w:sz w:val="20"/>
                <w:lang w:val="es-ES"/>
              </w:rPr>
              <w:t>70.3</w:t>
            </w:r>
          </w:p>
        </w:tc>
        <w:tc>
          <w:tcPr>
            <w:tcW w:w="669" w:type="dxa"/>
            <w:tcBorders>
              <w:bottom w:val="single" w:sz="4" w:space="0" w:color="auto"/>
            </w:tcBorders>
          </w:tcPr>
          <w:p w:rsidR="00000000" w:rsidRDefault="00000000">
            <w:pPr>
              <w:spacing w:before="80" w:after="80"/>
              <w:jc w:val="center"/>
              <w:rPr>
                <w:sz w:val="20"/>
                <w:lang w:val="es-ES"/>
              </w:rPr>
            </w:pPr>
            <w:r>
              <w:rPr>
                <w:sz w:val="20"/>
                <w:lang w:val="es-ES"/>
              </w:rPr>
              <w:t>60.3</w:t>
            </w:r>
          </w:p>
        </w:tc>
        <w:tc>
          <w:tcPr>
            <w:tcW w:w="668" w:type="dxa"/>
            <w:tcBorders>
              <w:bottom w:val="single" w:sz="4" w:space="0" w:color="auto"/>
            </w:tcBorders>
          </w:tcPr>
          <w:p w:rsidR="00000000" w:rsidRDefault="00000000">
            <w:pPr>
              <w:spacing w:before="80" w:after="80"/>
              <w:jc w:val="center"/>
              <w:rPr>
                <w:sz w:val="20"/>
                <w:lang w:val="es-ES"/>
              </w:rPr>
            </w:pPr>
            <w:r>
              <w:rPr>
                <w:sz w:val="20"/>
                <w:lang w:val="es-ES"/>
              </w:rPr>
              <w:t>50.2</w:t>
            </w:r>
          </w:p>
        </w:tc>
        <w:tc>
          <w:tcPr>
            <w:tcW w:w="669" w:type="dxa"/>
            <w:tcBorders>
              <w:bottom w:val="single" w:sz="4" w:space="0" w:color="auto"/>
            </w:tcBorders>
          </w:tcPr>
          <w:p w:rsidR="00000000" w:rsidRDefault="00000000">
            <w:pPr>
              <w:spacing w:before="80" w:after="80"/>
              <w:jc w:val="center"/>
              <w:rPr>
                <w:sz w:val="20"/>
                <w:lang w:val="es-ES"/>
              </w:rPr>
            </w:pPr>
            <w:r>
              <w:rPr>
                <w:sz w:val="20"/>
                <w:lang w:val="es-ES"/>
              </w:rPr>
              <w:t>40.2</w:t>
            </w:r>
          </w:p>
        </w:tc>
        <w:tc>
          <w:tcPr>
            <w:tcW w:w="669" w:type="dxa"/>
            <w:tcBorders>
              <w:bottom w:val="single" w:sz="4" w:space="0" w:color="auto"/>
            </w:tcBorders>
          </w:tcPr>
          <w:p w:rsidR="00000000" w:rsidRDefault="00000000">
            <w:pPr>
              <w:spacing w:before="80" w:after="80"/>
              <w:jc w:val="center"/>
              <w:rPr>
                <w:sz w:val="20"/>
                <w:lang w:val="es-ES"/>
              </w:rPr>
            </w:pPr>
            <w:r>
              <w:rPr>
                <w:sz w:val="20"/>
                <w:lang w:val="es-ES"/>
              </w:rPr>
              <w:t>30.1</w:t>
            </w:r>
          </w:p>
        </w:tc>
      </w:tr>
    </w:tbl>
    <w:p w:rsidR="00000000" w:rsidRDefault="00000000">
      <w:pPr>
        <w:spacing w:after="240"/>
        <w:rPr>
          <w:lang w:val="es-ES"/>
        </w:rPr>
      </w:pPr>
      <w:r>
        <w:rPr>
          <w:lang w:val="es-ES"/>
        </w:rPr>
        <w:tab/>
      </w:r>
    </w:p>
    <w:p w:rsidR="00000000" w:rsidRDefault="00000000">
      <w:pPr>
        <w:spacing w:after="240"/>
        <w:ind w:left="567"/>
        <w:rPr>
          <w:lang w:val="en-US"/>
        </w:rPr>
      </w:pPr>
      <w:r>
        <w:rPr>
          <w:lang w:val="es-ES"/>
        </w:rPr>
        <w:t>10.</w:t>
      </w:r>
      <w:r>
        <w:rPr>
          <w:b/>
          <w:bCs/>
          <w:lang w:val="es-ES"/>
        </w:rPr>
        <w:tab/>
      </w:r>
      <w:r>
        <w:rPr>
          <w:i/>
          <w:iCs/>
          <w:lang w:val="en-US"/>
        </w:rPr>
        <w:t xml:space="preserve">Survivors’ insurance:  </w:t>
      </w:r>
      <w:r>
        <w:rPr>
          <w:lang w:val="en-US"/>
        </w:rPr>
        <w:t>in the event of the death of a pensioner, or of an insured person in service who has acquired entitlement to a pension, or who has credited to him not less than 750 (seven hundred and fifty) weeks’ contributions but has not reached the minimum retirement age, and whose death is due to a work accident or occupational disease, the surviving family members shall be entitled to receive as a pension 60% (sixty per cent) of the amount of the pension that person was receiving or which would have been due to him or her, in the following order of ranking:</w:t>
      </w:r>
    </w:p>
    <w:p w:rsidR="00000000" w:rsidRDefault="00000000">
      <w:pPr>
        <w:spacing w:after="240"/>
        <w:ind w:left="1134" w:hanging="567"/>
        <w:rPr>
          <w:lang w:val="en-US"/>
        </w:rPr>
      </w:pPr>
      <w:r>
        <w:rPr>
          <w:lang w:val="en-US"/>
        </w:rPr>
        <w:t>a)</w:t>
      </w:r>
      <w:r>
        <w:rPr>
          <w:lang w:val="en-US"/>
        </w:rPr>
        <w:tab/>
        <w:t xml:space="preserve">The widow or widower (or cohabitant) currently with unmarried children up to the age of majority, and persons disabled and declared such by a medical board of the Institute, in such cases half the pension shall be awarded to the widow or widower (or cohabitant) and the other half to the children in question in equal shares; </w:t>
      </w:r>
      <w:r>
        <w:rPr>
          <w:szCs w:val="18"/>
          <w:u w:val="single"/>
          <w:lang w:val="en-US"/>
        </w:rPr>
        <w:t xml:space="preserve"> </w:t>
      </w:r>
    </w:p>
    <w:p w:rsidR="00000000" w:rsidRDefault="00000000">
      <w:pPr>
        <w:spacing w:after="240"/>
        <w:ind w:left="1134" w:hanging="567"/>
        <w:rPr>
          <w:lang w:val="en-US"/>
        </w:rPr>
      </w:pPr>
      <w:r>
        <w:rPr>
          <w:lang w:val="en-US"/>
        </w:rPr>
        <w:t>b)</w:t>
      </w:r>
      <w:r>
        <w:rPr>
          <w:lang w:val="en-US"/>
        </w:rPr>
        <w:tab/>
        <w:t>The widow or widower (or cohabitant) under 40 (forty) years of age shall be entitled to a lump-sum payment equivalent to three annual payments of the pension to which he or she would have been entitled;</w:t>
      </w:r>
    </w:p>
    <w:p w:rsidR="00000000" w:rsidRDefault="00000000">
      <w:pPr>
        <w:spacing w:after="240"/>
        <w:ind w:left="1134" w:hanging="567"/>
        <w:rPr>
          <w:lang w:val="en-US"/>
        </w:rPr>
      </w:pPr>
      <w:r>
        <w:rPr>
          <w:lang w:val="en-US"/>
        </w:rPr>
        <w:t>c)</w:t>
      </w:r>
      <w:r>
        <w:rPr>
          <w:lang w:val="en-US"/>
        </w:rPr>
        <w:tab/>
        <w:t xml:space="preserve">Orphaned children, up to the age of majority; disabled persons declared such by a medical board of the Institute, the total amount of the pension in equal shares; </w:t>
      </w:r>
    </w:p>
    <w:p w:rsidR="00000000" w:rsidRDefault="00000000">
      <w:pPr>
        <w:spacing w:after="240"/>
        <w:ind w:left="1134" w:hanging="567"/>
        <w:rPr>
          <w:lang w:val="en-US"/>
        </w:rPr>
      </w:pPr>
      <w:r>
        <w:rPr>
          <w:lang w:val="en-US"/>
        </w:rPr>
        <w:t>d)</w:t>
      </w:r>
      <w:r>
        <w:rPr>
          <w:lang w:val="en-US"/>
        </w:rPr>
        <w:tab/>
        <w:t xml:space="preserve">Parents, provided they have lived as dependants of the deceased, in equal shares. If only one of them survives, the whole of the pension shall be paid to that one. </w:t>
      </w:r>
    </w:p>
    <w:p w:rsidR="00000000" w:rsidRDefault="00000000">
      <w:pPr>
        <w:spacing w:after="240"/>
        <w:ind w:left="567"/>
        <w:rPr>
          <w:lang w:val="en-US"/>
        </w:rPr>
      </w:pPr>
      <w:r>
        <w:rPr>
          <w:lang w:val="en-US"/>
        </w:rPr>
        <w:t xml:space="preserve">The pensions referred to in sections a) and c) shall be increased proportionately as the concurrent beneficiaries cease to be entitled to them. </w:t>
      </w:r>
    </w:p>
    <w:p w:rsidR="00000000" w:rsidRDefault="00000000">
      <w:pPr>
        <w:spacing w:after="240"/>
        <w:ind w:left="567"/>
        <w:rPr>
          <w:lang w:val="en-US"/>
        </w:rPr>
      </w:pPr>
      <w:r>
        <w:rPr>
          <w:lang w:val="en-US"/>
        </w:rPr>
        <w:t xml:space="preserve">The entitlement to a pension is acquired with effect from the date of death of the insured person, and shall lapse if the widow or widower (or the cohabitant) marries or cohabits; in such cases the person concerned shall receive a payment equivalent to 2 (two) annual pension payments. Pensions payable to disabled children shall continue for the duration of the disability. </w:t>
      </w:r>
    </w:p>
    <w:p w:rsidR="00000000" w:rsidRDefault="00000000">
      <w:pPr>
        <w:spacing w:after="240"/>
        <w:rPr>
          <w:lang w:val="en-US"/>
        </w:rPr>
      </w:pPr>
      <w:r>
        <w:rPr>
          <w:lang w:val="en-US"/>
        </w:rPr>
        <w:t>261.</w:t>
      </w:r>
      <w:r>
        <w:rPr>
          <w:lang w:val="en-US"/>
        </w:rPr>
        <w:tab/>
        <w:t xml:space="preserve">For a cohabitant of either sex to be entitled to the pension, that person must have lived voluntarily in a public, stable and monogamous relationship for a minimum of 2 (two) years if they have children together and 5 (five) years if they have not, and in addition must be registered in the records of the Institute before the death of the insured person. </w:t>
      </w:r>
    </w:p>
    <w:p w:rsidR="00000000" w:rsidRDefault="00000000">
      <w:pPr>
        <w:spacing w:after="240"/>
        <w:ind w:left="567"/>
        <w:rPr>
          <w:b/>
          <w:bCs/>
          <w:lang w:val="en-US"/>
        </w:rPr>
      </w:pPr>
      <w:r>
        <w:rPr>
          <w:lang w:val="en-US"/>
        </w:rPr>
        <w:t>11.</w:t>
      </w:r>
      <w:r>
        <w:rPr>
          <w:lang w:val="en-US"/>
        </w:rPr>
        <w:tab/>
      </w:r>
      <w:r>
        <w:rPr>
          <w:i/>
          <w:iCs/>
          <w:lang w:val="en-US"/>
        </w:rPr>
        <w:t xml:space="preserve">Death of an insured person:  </w:t>
      </w:r>
      <w:r>
        <w:rPr>
          <w:lang w:val="en-US"/>
        </w:rPr>
        <w:t xml:space="preserve">in the event of the death of an insured person the Social Security Institute will pay the following benefits: </w:t>
      </w:r>
      <w:r>
        <w:rPr>
          <w:b/>
          <w:bCs/>
          <w:lang w:val="en-US"/>
        </w:rPr>
        <w:t xml:space="preserve"> </w:t>
      </w:r>
    </w:p>
    <w:p w:rsidR="00000000" w:rsidRDefault="00000000">
      <w:pPr>
        <w:spacing w:after="240"/>
        <w:ind w:left="1134" w:hanging="567"/>
        <w:rPr>
          <w:spacing w:val="14"/>
          <w:lang w:val="en-US"/>
        </w:rPr>
      </w:pPr>
      <w:r>
        <w:rPr>
          <w:lang w:val="en-US"/>
        </w:rPr>
        <w:t>a)</w:t>
      </w:r>
      <w:r>
        <w:rPr>
          <w:lang w:val="en-US"/>
        </w:rPr>
        <w:tab/>
        <w:t>If the deceased insured person had less than 750 (seven hundred and fifty) weeks’ contributions, that person’s survivors or beneficiaries shall receive a single cash payment equivalent to one month’s wage for every year the insured person has worked. For that purpose the basis taken shall be</w:t>
      </w:r>
      <w:r>
        <w:rPr>
          <w:spacing w:val="14"/>
          <w:lang w:val="en-US"/>
        </w:rPr>
        <w:t xml:space="preserve"> </w:t>
      </w:r>
      <w:r>
        <w:rPr>
          <w:lang w:val="en-US"/>
        </w:rPr>
        <w:t>the statutory minimum wage in force for miscellaneous unspecified activities in the capital of the Republic, and payment shall be made in the proportions laid down in article 62 of the Act; and</w:t>
      </w:r>
    </w:p>
    <w:p w:rsidR="00000000" w:rsidRDefault="00000000">
      <w:pPr>
        <w:spacing w:after="240"/>
        <w:ind w:left="1134" w:hanging="567"/>
        <w:rPr>
          <w:spacing w:val="14"/>
          <w:lang w:val="en-US"/>
        </w:rPr>
      </w:pPr>
      <w:r>
        <w:rPr>
          <w:lang w:val="en-US"/>
        </w:rPr>
        <w:t>b)</w:t>
      </w:r>
      <w:r>
        <w:rPr>
          <w:lang w:val="en-US"/>
        </w:rPr>
        <w:tab/>
        <w:t>If there are no heirs or beneficiaries, a payment shall be made to the person or persons who prove that they have paid the funeral expenses of the deceased amounting to up to 75 (seventy-five) times the</w:t>
      </w:r>
      <w:r>
        <w:rPr>
          <w:spacing w:val="14"/>
          <w:lang w:val="en-US"/>
        </w:rPr>
        <w:t xml:space="preserve"> </w:t>
      </w:r>
      <w:r>
        <w:rPr>
          <w:lang w:val="en-US"/>
        </w:rPr>
        <w:t xml:space="preserve">statutory minimum wage in force for miscellaneous unspecified activities in the capital of the Republic. If an heir or beneficiary subsequently appears, the amount of that expenditure shall be deducted from the pension or benefit, according to the case. </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US" w:eastAsia="en-US"/>
        </w:rPr>
      </w:pPr>
      <w:r>
        <w:rPr>
          <w:rFonts w:ascii="Times New Roman" w:eastAsia="Times New Roman" w:hAnsi="Times New Roman" w:cs="Times New Roman"/>
          <w:lang w:val="en-US" w:eastAsia="en-US"/>
        </w:rPr>
        <w:t>B.  Numbers of insured persons</w:t>
      </w:r>
    </w:p>
    <w:p w:rsidR="00000000" w:rsidRDefault="00000000">
      <w:pPr>
        <w:spacing w:after="240"/>
        <w:rPr>
          <w:lang w:val="en-US"/>
        </w:rPr>
      </w:pPr>
      <w:r>
        <w:rPr>
          <w:lang w:val="en-US"/>
        </w:rPr>
        <w:t>262.</w:t>
      </w:r>
      <w:r>
        <w:rPr>
          <w:lang w:val="en-US"/>
        </w:rPr>
        <w:tab/>
        <w:t xml:space="preserve">The total number of titular insured persons in all the schemes (general, teachers, retired teachers, non-contributory, domestic service and inactive persons in the Social Security Institute) is approximately 375,000; if the families are included, the total insured population consists of 1,200,000 persons. In Paraguay there is no unemployment insurance. </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US" w:eastAsia="en-US"/>
        </w:rPr>
      </w:pPr>
      <w:r>
        <w:rPr>
          <w:rFonts w:ascii="Times New Roman" w:eastAsia="Times New Roman" w:hAnsi="Times New Roman" w:cs="Times New Roman"/>
          <w:lang w:val="en-US" w:eastAsia="en-US"/>
        </w:rPr>
        <w:t>C.  Methods of financing</w:t>
      </w:r>
    </w:p>
    <w:p w:rsidR="00000000" w:rsidRDefault="00000000">
      <w:pPr>
        <w:spacing w:after="240"/>
        <w:rPr>
          <w:lang w:val="en-US"/>
        </w:rPr>
      </w:pPr>
      <w:r>
        <w:rPr>
          <w:lang w:val="en-US"/>
        </w:rPr>
        <w:t>263.</w:t>
      </w:r>
      <w:r>
        <w:rPr>
          <w:lang w:val="en-US"/>
        </w:rPr>
        <w:tab/>
        <w:t xml:space="preserve">The provision of short-term healthcare benefits is financed by a pay-as-you-go system based on pure solidarity. The provision of long-term benefits (retirement benefits, pensions) is financed through a collective funding system with defined benefits and with the return on the technical reserves. . </w:t>
      </w:r>
    </w:p>
    <w:p w:rsidR="00000000" w:rsidRDefault="00000000">
      <w:pPr>
        <w:pStyle w:val="xl46"/>
        <w:spacing w:before="0" w:beforeAutospacing="0" w:after="240" w:afterAutospacing="0"/>
        <w:rPr>
          <w:rFonts w:ascii="Times New Roman" w:eastAsia="Times New Roman" w:hAnsi="Times New Roman" w:cs="Times New Roman"/>
          <w:szCs w:val="24"/>
          <w:lang w:val="en-US" w:eastAsia="en-US"/>
        </w:rPr>
      </w:pPr>
      <w:r>
        <w:rPr>
          <w:rFonts w:ascii="Times New Roman" w:eastAsia="Times New Roman" w:hAnsi="Times New Roman" w:cs="Times New Roman"/>
          <w:szCs w:val="24"/>
          <w:lang w:val="en-US" w:eastAsia="en-US"/>
        </w:rPr>
        <w:br w:type="page"/>
        <w:t>Percentage of GDP and the national general expenditure budget</w:t>
      </w:r>
      <w:r>
        <w:rPr>
          <w:rFonts w:ascii="Times New Roman" w:eastAsia="Times New Roman" w:hAnsi="Times New Roman" w:cs="Times New Roman"/>
          <w:szCs w:val="24"/>
          <w:lang w:val="en-US" w:eastAsia="en-US"/>
        </w:rPr>
        <w:br/>
        <w:t>devoted to social insurance</w:t>
      </w:r>
    </w:p>
    <w:tbl>
      <w:tblPr>
        <w:tblW w:w="5000" w:type="pct"/>
        <w:tblLayout w:type="fixed"/>
        <w:tblCellMar>
          <w:left w:w="0" w:type="dxa"/>
          <w:right w:w="0" w:type="dxa"/>
        </w:tblCellMar>
        <w:tblLook w:val="0000" w:firstRow="0" w:lastRow="0" w:firstColumn="0" w:lastColumn="0" w:noHBand="0" w:noVBand="0"/>
      </w:tblPr>
      <w:tblGrid>
        <w:gridCol w:w="1571"/>
        <w:gridCol w:w="2551"/>
        <w:gridCol w:w="1384"/>
        <w:gridCol w:w="1311"/>
        <w:gridCol w:w="1239"/>
        <w:gridCol w:w="68"/>
        <w:gridCol w:w="1305"/>
      </w:tblGrid>
      <w:tr w:rsidR="00000000">
        <w:tblPrEx>
          <w:tblCellMar>
            <w:top w:w="0" w:type="dxa"/>
            <w:bottom w:w="0" w:type="dxa"/>
          </w:tblCellMar>
        </w:tblPrEx>
        <w:trPr>
          <w:cantSplit/>
          <w:trHeight w:val="934"/>
          <w:tblHeader/>
        </w:trPr>
        <w:tc>
          <w:tcPr>
            <w:tcW w:w="833"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lang w:val="en-US" w:eastAsia="es-ES"/>
              </w:rPr>
            </w:pPr>
            <w:r>
              <w:rPr>
                <w:b/>
                <w:bCs/>
                <w:i/>
                <w:iCs/>
                <w:sz w:val="20"/>
                <w:lang w:val="en-US"/>
              </w:rPr>
              <w:br w:type="page"/>
            </w:r>
            <w:r>
              <w:rPr>
                <w:b/>
                <w:bCs/>
                <w:i/>
                <w:iCs/>
                <w:sz w:val="20"/>
              </w:rPr>
              <w:t>Year</w:t>
            </w:r>
          </w:p>
        </w:tc>
        <w:tc>
          <w:tcPr>
            <w:tcW w:w="1353"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lang w:val="es-MX" w:eastAsia="es-ES"/>
              </w:rPr>
            </w:pPr>
            <w:r>
              <w:rPr>
                <w:b/>
                <w:bCs/>
                <w:i/>
                <w:iCs/>
                <w:sz w:val="20"/>
              </w:rPr>
              <w:t>Total GDP (G. ‘000 current)</w:t>
            </w:r>
          </w:p>
        </w:tc>
        <w:tc>
          <w:tcPr>
            <w:tcW w:w="734"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lang w:val="es-MX" w:eastAsia="es-ES"/>
              </w:rPr>
            </w:pPr>
            <w:r>
              <w:rPr>
                <w:b/>
                <w:bCs/>
                <w:i/>
                <w:iCs/>
                <w:sz w:val="20"/>
              </w:rPr>
              <w:t>National budget</w:t>
            </w:r>
            <w:r>
              <w:rPr>
                <w:b/>
                <w:bCs/>
                <w:i/>
                <w:iCs/>
                <w:sz w:val="20"/>
                <w:vertAlign w:val="superscript"/>
              </w:rPr>
              <w:t>1</w:t>
            </w:r>
          </w:p>
        </w:tc>
        <w:tc>
          <w:tcPr>
            <w:tcW w:w="695"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lang w:val="es-MX" w:eastAsia="es-ES"/>
              </w:rPr>
            </w:pPr>
            <w:r>
              <w:rPr>
                <w:b/>
                <w:bCs/>
                <w:i/>
                <w:iCs/>
                <w:sz w:val="20"/>
              </w:rPr>
              <w:t>Social security</w:t>
            </w:r>
            <w:r>
              <w:rPr>
                <w:b/>
                <w:bCs/>
                <w:i/>
                <w:iCs/>
                <w:sz w:val="20"/>
                <w:vertAlign w:val="superscript"/>
              </w:rPr>
              <w:t>2</w:t>
            </w:r>
          </w:p>
        </w:tc>
        <w:tc>
          <w:tcPr>
            <w:tcW w:w="693" w:type="pct"/>
            <w:gridSpan w:val="2"/>
            <w:tcBorders>
              <w:top w:val="single" w:sz="4" w:space="0" w:color="auto"/>
              <w:bottom w:val="single" w:sz="4" w:space="0" w:color="auto"/>
            </w:tcBorders>
            <w:vAlign w:val="center"/>
          </w:tcPr>
          <w:p w:rsidR="00000000" w:rsidRDefault="00000000">
            <w:pPr>
              <w:widowControl w:val="0"/>
              <w:spacing w:before="60" w:after="60"/>
              <w:jc w:val="center"/>
              <w:rPr>
                <w:b/>
                <w:bCs/>
                <w:i/>
                <w:iCs/>
                <w:sz w:val="20"/>
                <w:lang w:val="es-MX" w:eastAsia="es-ES"/>
              </w:rPr>
            </w:pPr>
            <w:r>
              <w:rPr>
                <w:b/>
                <w:bCs/>
                <w:i/>
                <w:iCs/>
                <w:sz w:val="20"/>
              </w:rPr>
              <w:t>% social security/GDP</w:t>
            </w:r>
          </w:p>
        </w:tc>
        <w:tc>
          <w:tcPr>
            <w:tcW w:w="693"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lang w:val="es-MX" w:eastAsia="es-ES"/>
              </w:rPr>
            </w:pPr>
            <w:r>
              <w:rPr>
                <w:b/>
                <w:bCs/>
                <w:i/>
                <w:iCs/>
                <w:sz w:val="20"/>
              </w:rPr>
              <w:t>% social security/budget</w:t>
            </w:r>
          </w:p>
        </w:tc>
      </w:tr>
      <w:tr w:rsidR="00000000">
        <w:tblPrEx>
          <w:tblCellMar>
            <w:top w:w="0" w:type="dxa"/>
            <w:bottom w:w="0" w:type="dxa"/>
          </w:tblCellMar>
        </w:tblPrEx>
        <w:tc>
          <w:tcPr>
            <w:tcW w:w="833" w:type="pct"/>
            <w:tcBorders>
              <w:top w:val="single" w:sz="4" w:space="0" w:color="auto"/>
            </w:tcBorders>
          </w:tcPr>
          <w:p w:rsidR="00000000" w:rsidRDefault="00000000">
            <w:pPr>
              <w:widowControl w:val="0"/>
              <w:spacing w:before="60" w:after="60"/>
              <w:jc w:val="center"/>
              <w:rPr>
                <w:bCs/>
                <w:sz w:val="20"/>
                <w:lang w:val="es-MX" w:eastAsia="es-ES"/>
              </w:rPr>
            </w:pPr>
            <w:r>
              <w:rPr>
                <w:bCs/>
                <w:sz w:val="20"/>
                <w:lang w:val="es-MX" w:eastAsia="es-ES"/>
              </w:rPr>
              <w:t>1994</w:t>
            </w:r>
          </w:p>
        </w:tc>
        <w:tc>
          <w:tcPr>
            <w:tcW w:w="1353" w:type="pct"/>
            <w:tcBorders>
              <w:top w:val="single" w:sz="4" w:space="0" w:color="auto"/>
            </w:tcBorders>
          </w:tcPr>
          <w:p w:rsidR="00000000" w:rsidRDefault="00000000">
            <w:pPr>
              <w:widowControl w:val="0"/>
              <w:spacing w:before="60" w:after="60"/>
              <w:jc w:val="center"/>
              <w:rPr>
                <w:bCs/>
                <w:sz w:val="20"/>
                <w:lang w:val="es-MX" w:eastAsia="es-ES"/>
              </w:rPr>
            </w:pPr>
            <w:r>
              <w:rPr>
                <w:bCs/>
                <w:sz w:val="20"/>
                <w:lang w:val="es-MX" w:eastAsia="es-ES"/>
              </w:rPr>
              <w:t>13 220 624</w:t>
            </w:r>
          </w:p>
        </w:tc>
        <w:tc>
          <w:tcPr>
            <w:tcW w:w="734" w:type="pct"/>
            <w:tcBorders>
              <w:top w:val="single" w:sz="4" w:space="0" w:color="auto"/>
            </w:tcBorders>
          </w:tcPr>
          <w:p w:rsidR="00000000" w:rsidRDefault="00000000">
            <w:pPr>
              <w:widowControl w:val="0"/>
              <w:tabs>
                <w:tab w:val="decimal" w:pos="1130"/>
              </w:tabs>
              <w:spacing w:before="60" w:after="60"/>
              <w:jc w:val="center"/>
              <w:rPr>
                <w:bCs/>
                <w:sz w:val="20"/>
                <w:lang w:val="es-MX" w:eastAsia="es-ES"/>
              </w:rPr>
            </w:pPr>
            <w:r>
              <w:rPr>
                <w:bCs/>
                <w:sz w:val="20"/>
                <w:lang w:val="es-MX" w:eastAsia="es-ES"/>
              </w:rPr>
              <w:t>2 253 329</w:t>
            </w:r>
          </w:p>
        </w:tc>
        <w:tc>
          <w:tcPr>
            <w:tcW w:w="695" w:type="pct"/>
            <w:tcBorders>
              <w:top w:val="single" w:sz="4" w:space="0" w:color="auto"/>
            </w:tcBorders>
          </w:tcPr>
          <w:p w:rsidR="00000000" w:rsidRDefault="00000000">
            <w:pPr>
              <w:widowControl w:val="0"/>
              <w:tabs>
                <w:tab w:val="decimal" w:pos="1056"/>
              </w:tabs>
              <w:spacing w:before="60" w:after="60"/>
              <w:jc w:val="center"/>
              <w:rPr>
                <w:bCs/>
                <w:sz w:val="20"/>
                <w:lang w:val="es-MX" w:eastAsia="es-ES"/>
              </w:rPr>
            </w:pPr>
            <w:r>
              <w:rPr>
                <w:bCs/>
                <w:sz w:val="20"/>
                <w:lang w:val="es-MX" w:eastAsia="es-ES"/>
              </w:rPr>
              <w:t>18 435</w:t>
            </w:r>
          </w:p>
        </w:tc>
        <w:tc>
          <w:tcPr>
            <w:tcW w:w="657" w:type="pct"/>
            <w:tcBorders>
              <w:top w:val="single" w:sz="4" w:space="0" w:color="auto"/>
            </w:tcBorders>
          </w:tcPr>
          <w:p w:rsidR="00000000" w:rsidRDefault="00000000">
            <w:pPr>
              <w:widowControl w:val="0"/>
              <w:spacing w:before="60" w:after="60"/>
              <w:jc w:val="center"/>
              <w:rPr>
                <w:bCs/>
                <w:sz w:val="20"/>
                <w:lang w:val="es-MX" w:eastAsia="es-ES"/>
              </w:rPr>
            </w:pPr>
            <w:r>
              <w:rPr>
                <w:bCs/>
                <w:sz w:val="20"/>
                <w:lang w:val="es-MX" w:eastAsia="es-ES"/>
              </w:rPr>
              <w:t>0.14</w:t>
            </w:r>
          </w:p>
        </w:tc>
        <w:tc>
          <w:tcPr>
            <w:tcW w:w="728" w:type="pct"/>
            <w:gridSpan w:val="2"/>
            <w:tcBorders>
              <w:top w:val="single" w:sz="4" w:space="0" w:color="auto"/>
            </w:tcBorders>
          </w:tcPr>
          <w:p w:rsidR="00000000" w:rsidRDefault="00000000">
            <w:pPr>
              <w:widowControl w:val="0"/>
              <w:tabs>
                <w:tab w:val="decimal" w:pos="634"/>
              </w:tabs>
              <w:spacing w:before="60" w:after="60"/>
              <w:jc w:val="center"/>
              <w:rPr>
                <w:bCs/>
                <w:sz w:val="20"/>
                <w:lang w:val="es-MX" w:eastAsia="es-ES"/>
              </w:rPr>
            </w:pPr>
            <w:r>
              <w:rPr>
                <w:bCs/>
                <w:sz w:val="20"/>
                <w:lang w:val="es-MX" w:eastAsia="es-ES"/>
              </w:rPr>
              <w:t>0.82</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es-MX" w:eastAsia="es-ES"/>
              </w:rPr>
            </w:pPr>
            <w:r>
              <w:rPr>
                <w:bCs/>
                <w:sz w:val="20"/>
                <w:lang w:val="es-MX" w:eastAsia="es-ES"/>
              </w:rPr>
              <w:t>1995</w:t>
            </w:r>
          </w:p>
        </w:tc>
        <w:tc>
          <w:tcPr>
            <w:tcW w:w="1353" w:type="pct"/>
          </w:tcPr>
          <w:p w:rsidR="00000000" w:rsidRDefault="00000000">
            <w:pPr>
              <w:widowControl w:val="0"/>
              <w:spacing w:before="60" w:after="60"/>
              <w:jc w:val="center"/>
              <w:rPr>
                <w:bCs/>
                <w:sz w:val="20"/>
                <w:lang w:val="es-MX" w:eastAsia="es-ES"/>
              </w:rPr>
            </w:pPr>
            <w:r>
              <w:rPr>
                <w:bCs/>
                <w:sz w:val="20"/>
                <w:lang w:val="es-MX" w:eastAsia="es-ES"/>
              </w:rPr>
              <w:t>15 833 186</w:t>
            </w:r>
          </w:p>
        </w:tc>
        <w:tc>
          <w:tcPr>
            <w:tcW w:w="734" w:type="pct"/>
          </w:tcPr>
          <w:p w:rsidR="00000000" w:rsidRDefault="00000000">
            <w:pPr>
              <w:widowControl w:val="0"/>
              <w:tabs>
                <w:tab w:val="decimal" w:pos="1130"/>
              </w:tabs>
              <w:spacing w:before="60" w:after="60"/>
              <w:jc w:val="center"/>
              <w:rPr>
                <w:bCs/>
                <w:sz w:val="20"/>
                <w:lang w:val="es-MX" w:eastAsia="es-ES"/>
              </w:rPr>
            </w:pPr>
            <w:r>
              <w:rPr>
                <w:bCs/>
                <w:sz w:val="20"/>
                <w:lang w:val="es-MX" w:eastAsia="es-ES"/>
              </w:rPr>
              <w:t>3 042 601</w:t>
            </w:r>
          </w:p>
        </w:tc>
        <w:tc>
          <w:tcPr>
            <w:tcW w:w="695" w:type="pct"/>
          </w:tcPr>
          <w:p w:rsidR="00000000" w:rsidRDefault="00000000">
            <w:pPr>
              <w:widowControl w:val="0"/>
              <w:tabs>
                <w:tab w:val="decimal" w:pos="1056"/>
              </w:tabs>
              <w:spacing w:before="60" w:after="60"/>
              <w:jc w:val="center"/>
              <w:rPr>
                <w:bCs/>
                <w:sz w:val="20"/>
                <w:lang w:val="es-MX" w:eastAsia="es-ES"/>
              </w:rPr>
            </w:pPr>
            <w:r>
              <w:rPr>
                <w:bCs/>
                <w:sz w:val="20"/>
                <w:lang w:val="es-MX" w:eastAsia="es-ES"/>
              </w:rPr>
              <w:t>32 169</w:t>
            </w:r>
          </w:p>
        </w:tc>
        <w:tc>
          <w:tcPr>
            <w:tcW w:w="657" w:type="pct"/>
          </w:tcPr>
          <w:p w:rsidR="00000000" w:rsidRDefault="00000000">
            <w:pPr>
              <w:widowControl w:val="0"/>
              <w:spacing w:before="60" w:after="60"/>
              <w:jc w:val="center"/>
              <w:rPr>
                <w:bCs/>
                <w:sz w:val="20"/>
                <w:lang w:val="es-MX" w:eastAsia="es-ES"/>
              </w:rPr>
            </w:pPr>
            <w:r>
              <w:rPr>
                <w:bCs/>
                <w:sz w:val="20"/>
                <w:lang w:val="es-MX" w:eastAsia="es-ES"/>
              </w:rPr>
              <w:t>0.20</w:t>
            </w:r>
          </w:p>
        </w:tc>
        <w:tc>
          <w:tcPr>
            <w:tcW w:w="728" w:type="pct"/>
            <w:gridSpan w:val="2"/>
          </w:tcPr>
          <w:p w:rsidR="00000000" w:rsidRDefault="00000000">
            <w:pPr>
              <w:widowControl w:val="0"/>
              <w:tabs>
                <w:tab w:val="decimal" w:pos="634"/>
              </w:tabs>
              <w:spacing w:before="60" w:after="60"/>
              <w:jc w:val="center"/>
              <w:rPr>
                <w:bCs/>
                <w:sz w:val="20"/>
                <w:lang w:val="es-MX" w:eastAsia="es-ES"/>
              </w:rPr>
            </w:pPr>
            <w:r>
              <w:rPr>
                <w:bCs/>
                <w:sz w:val="20"/>
                <w:lang w:val="es-MX" w:eastAsia="es-ES"/>
              </w:rPr>
              <w:t>1.06</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es-MX" w:eastAsia="es-ES"/>
              </w:rPr>
            </w:pPr>
            <w:r>
              <w:rPr>
                <w:bCs/>
                <w:sz w:val="20"/>
                <w:lang w:val="es-MX" w:eastAsia="es-ES"/>
              </w:rPr>
              <w:t>1996</w:t>
            </w:r>
          </w:p>
        </w:tc>
        <w:tc>
          <w:tcPr>
            <w:tcW w:w="1353" w:type="pct"/>
          </w:tcPr>
          <w:p w:rsidR="00000000" w:rsidRDefault="00000000">
            <w:pPr>
              <w:widowControl w:val="0"/>
              <w:spacing w:before="60" w:after="60"/>
              <w:jc w:val="center"/>
              <w:rPr>
                <w:bCs/>
                <w:sz w:val="20"/>
                <w:lang w:val="es-MX" w:eastAsia="es-ES"/>
              </w:rPr>
            </w:pPr>
            <w:r>
              <w:rPr>
                <w:bCs/>
                <w:sz w:val="20"/>
                <w:lang w:val="es-MX" w:eastAsia="es-ES"/>
              </w:rPr>
              <w:t>18 004 374</w:t>
            </w:r>
          </w:p>
        </w:tc>
        <w:tc>
          <w:tcPr>
            <w:tcW w:w="734" w:type="pct"/>
          </w:tcPr>
          <w:p w:rsidR="00000000" w:rsidRDefault="00000000">
            <w:pPr>
              <w:widowControl w:val="0"/>
              <w:tabs>
                <w:tab w:val="decimal" w:pos="1130"/>
              </w:tabs>
              <w:spacing w:before="60" w:after="60"/>
              <w:jc w:val="center"/>
              <w:rPr>
                <w:bCs/>
                <w:sz w:val="20"/>
                <w:lang w:val="es-MX" w:eastAsia="es-ES"/>
              </w:rPr>
            </w:pPr>
            <w:r>
              <w:rPr>
                <w:bCs/>
                <w:sz w:val="20"/>
                <w:lang w:val="es-MX" w:eastAsia="es-ES"/>
              </w:rPr>
              <w:t>3 416 260</w:t>
            </w:r>
          </w:p>
        </w:tc>
        <w:tc>
          <w:tcPr>
            <w:tcW w:w="695" w:type="pct"/>
          </w:tcPr>
          <w:p w:rsidR="00000000" w:rsidRDefault="00000000">
            <w:pPr>
              <w:widowControl w:val="0"/>
              <w:tabs>
                <w:tab w:val="decimal" w:pos="1056"/>
              </w:tabs>
              <w:spacing w:before="60" w:after="60"/>
              <w:jc w:val="center"/>
              <w:rPr>
                <w:bCs/>
                <w:sz w:val="20"/>
                <w:lang w:val="es-MX" w:eastAsia="es-ES"/>
              </w:rPr>
            </w:pPr>
            <w:r>
              <w:rPr>
                <w:bCs/>
                <w:sz w:val="20"/>
                <w:lang w:val="es-MX" w:eastAsia="es-ES"/>
              </w:rPr>
              <w:t>28 217</w:t>
            </w:r>
          </w:p>
        </w:tc>
        <w:tc>
          <w:tcPr>
            <w:tcW w:w="657" w:type="pct"/>
          </w:tcPr>
          <w:p w:rsidR="00000000" w:rsidRDefault="00000000">
            <w:pPr>
              <w:widowControl w:val="0"/>
              <w:spacing w:before="60" w:after="60"/>
              <w:jc w:val="center"/>
              <w:rPr>
                <w:bCs/>
                <w:sz w:val="20"/>
                <w:lang w:val="es-MX" w:eastAsia="es-ES"/>
              </w:rPr>
            </w:pPr>
            <w:r>
              <w:rPr>
                <w:bCs/>
                <w:sz w:val="20"/>
                <w:lang w:val="es-MX" w:eastAsia="es-ES"/>
              </w:rPr>
              <w:t>0.16</w:t>
            </w:r>
          </w:p>
        </w:tc>
        <w:tc>
          <w:tcPr>
            <w:tcW w:w="728" w:type="pct"/>
            <w:gridSpan w:val="2"/>
          </w:tcPr>
          <w:p w:rsidR="00000000" w:rsidRDefault="00000000">
            <w:pPr>
              <w:widowControl w:val="0"/>
              <w:tabs>
                <w:tab w:val="decimal" w:pos="634"/>
              </w:tabs>
              <w:spacing w:before="60" w:after="60"/>
              <w:jc w:val="center"/>
              <w:rPr>
                <w:bCs/>
                <w:sz w:val="20"/>
                <w:lang w:val="es-MX" w:eastAsia="es-ES"/>
              </w:rPr>
            </w:pPr>
            <w:r>
              <w:rPr>
                <w:bCs/>
                <w:sz w:val="20"/>
                <w:lang w:val="es-MX" w:eastAsia="es-ES"/>
              </w:rPr>
              <w:t>0.83</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es-MX" w:eastAsia="es-ES"/>
              </w:rPr>
            </w:pPr>
            <w:r>
              <w:rPr>
                <w:bCs/>
                <w:sz w:val="20"/>
                <w:lang w:val="es-MX" w:eastAsia="es-ES"/>
              </w:rPr>
              <w:t>1997</w:t>
            </w:r>
          </w:p>
        </w:tc>
        <w:tc>
          <w:tcPr>
            <w:tcW w:w="1353" w:type="pct"/>
          </w:tcPr>
          <w:p w:rsidR="00000000" w:rsidRDefault="00000000">
            <w:pPr>
              <w:widowControl w:val="0"/>
              <w:spacing w:before="60" w:after="60"/>
              <w:jc w:val="center"/>
              <w:rPr>
                <w:bCs/>
                <w:sz w:val="20"/>
                <w:lang w:val="es-MX" w:eastAsia="es-ES"/>
              </w:rPr>
            </w:pPr>
            <w:r>
              <w:rPr>
                <w:bCs/>
                <w:sz w:val="20"/>
                <w:lang w:val="es-MX" w:eastAsia="es-ES"/>
              </w:rPr>
              <w:t>19 322 537</w:t>
            </w:r>
          </w:p>
        </w:tc>
        <w:tc>
          <w:tcPr>
            <w:tcW w:w="734" w:type="pct"/>
          </w:tcPr>
          <w:p w:rsidR="00000000" w:rsidRDefault="00000000">
            <w:pPr>
              <w:widowControl w:val="0"/>
              <w:tabs>
                <w:tab w:val="decimal" w:pos="1130"/>
              </w:tabs>
              <w:spacing w:before="60" w:after="60"/>
              <w:jc w:val="center"/>
              <w:rPr>
                <w:bCs/>
                <w:sz w:val="20"/>
                <w:lang w:val="es-MX" w:eastAsia="es-ES"/>
              </w:rPr>
            </w:pPr>
            <w:r>
              <w:rPr>
                <w:bCs/>
                <w:sz w:val="20"/>
                <w:lang w:val="es-MX" w:eastAsia="es-ES"/>
              </w:rPr>
              <w:t>9 896 024</w:t>
            </w:r>
          </w:p>
        </w:tc>
        <w:tc>
          <w:tcPr>
            <w:tcW w:w="695" w:type="pct"/>
          </w:tcPr>
          <w:p w:rsidR="00000000" w:rsidRDefault="00000000">
            <w:pPr>
              <w:widowControl w:val="0"/>
              <w:tabs>
                <w:tab w:val="decimal" w:pos="1056"/>
              </w:tabs>
              <w:spacing w:before="60" w:after="60"/>
              <w:jc w:val="center"/>
              <w:rPr>
                <w:bCs/>
                <w:sz w:val="20"/>
                <w:lang w:val="es-MX" w:eastAsia="es-ES"/>
              </w:rPr>
            </w:pPr>
            <w:r>
              <w:rPr>
                <w:bCs/>
                <w:sz w:val="20"/>
                <w:lang w:val="es-MX" w:eastAsia="es-ES"/>
              </w:rPr>
              <w:t>230 510</w:t>
            </w:r>
          </w:p>
        </w:tc>
        <w:tc>
          <w:tcPr>
            <w:tcW w:w="657" w:type="pct"/>
          </w:tcPr>
          <w:p w:rsidR="00000000" w:rsidRDefault="00000000">
            <w:pPr>
              <w:widowControl w:val="0"/>
              <w:spacing w:before="60" w:after="60"/>
              <w:jc w:val="center"/>
              <w:rPr>
                <w:bCs/>
                <w:sz w:val="20"/>
                <w:lang w:val="es-MX" w:eastAsia="es-ES"/>
              </w:rPr>
            </w:pPr>
            <w:r>
              <w:rPr>
                <w:bCs/>
                <w:sz w:val="20"/>
                <w:lang w:val="es-MX" w:eastAsia="es-ES"/>
              </w:rPr>
              <w:t>1.19</w:t>
            </w:r>
          </w:p>
        </w:tc>
        <w:tc>
          <w:tcPr>
            <w:tcW w:w="728" w:type="pct"/>
            <w:gridSpan w:val="2"/>
          </w:tcPr>
          <w:p w:rsidR="00000000" w:rsidRDefault="00000000">
            <w:pPr>
              <w:widowControl w:val="0"/>
              <w:tabs>
                <w:tab w:val="decimal" w:pos="634"/>
              </w:tabs>
              <w:spacing w:before="60" w:after="60"/>
              <w:jc w:val="center"/>
              <w:rPr>
                <w:bCs/>
                <w:sz w:val="20"/>
                <w:lang w:val="es-MX" w:eastAsia="es-ES"/>
              </w:rPr>
            </w:pPr>
            <w:r>
              <w:rPr>
                <w:bCs/>
                <w:sz w:val="20"/>
                <w:lang w:val="es-MX" w:eastAsia="es-ES"/>
              </w:rPr>
              <w:t>2.33</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es-MX" w:eastAsia="es-ES"/>
              </w:rPr>
            </w:pPr>
            <w:r>
              <w:rPr>
                <w:bCs/>
                <w:sz w:val="20"/>
                <w:lang w:val="es-MX" w:eastAsia="es-ES"/>
              </w:rPr>
              <w:t>1998</w:t>
            </w:r>
          </w:p>
        </w:tc>
        <w:tc>
          <w:tcPr>
            <w:tcW w:w="1353" w:type="pct"/>
          </w:tcPr>
          <w:p w:rsidR="00000000" w:rsidRDefault="00000000">
            <w:pPr>
              <w:widowControl w:val="0"/>
              <w:spacing w:before="60" w:after="60"/>
              <w:jc w:val="center"/>
              <w:rPr>
                <w:bCs/>
                <w:sz w:val="20"/>
                <w:lang w:val="es-MX" w:eastAsia="es-ES"/>
              </w:rPr>
            </w:pPr>
            <w:r>
              <w:rPr>
                <w:bCs/>
                <w:sz w:val="20"/>
                <w:lang w:val="es-MX" w:eastAsia="es-ES"/>
              </w:rPr>
              <w:t>21 580 611</w:t>
            </w:r>
          </w:p>
        </w:tc>
        <w:tc>
          <w:tcPr>
            <w:tcW w:w="734" w:type="pct"/>
          </w:tcPr>
          <w:p w:rsidR="00000000" w:rsidRDefault="00000000">
            <w:pPr>
              <w:widowControl w:val="0"/>
              <w:tabs>
                <w:tab w:val="decimal" w:pos="1130"/>
              </w:tabs>
              <w:spacing w:before="60" w:after="60"/>
              <w:jc w:val="center"/>
              <w:rPr>
                <w:bCs/>
                <w:sz w:val="20"/>
                <w:lang w:val="es-MX" w:eastAsia="es-ES"/>
              </w:rPr>
            </w:pPr>
            <w:r>
              <w:rPr>
                <w:bCs/>
                <w:sz w:val="20"/>
                <w:lang w:val="es-MX" w:eastAsia="es-ES"/>
              </w:rPr>
              <w:t>11 077 222</w:t>
            </w:r>
          </w:p>
        </w:tc>
        <w:tc>
          <w:tcPr>
            <w:tcW w:w="695" w:type="pct"/>
          </w:tcPr>
          <w:p w:rsidR="00000000" w:rsidRDefault="00000000">
            <w:pPr>
              <w:widowControl w:val="0"/>
              <w:tabs>
                <w:tab w:val="decimal" w:pos="1056"/>
              </w:tabs>
              <w:spacing w:before="60" w:after="60"/>
              <w:jc w:val="center"/>
              <w:rPr>
                <w:bCs/>
                <w:sz w:val="20"/>
                <w:lang w:val="es-MX" w:eastAsia="es-ES"/>
              </w:rPr>
            </w:pPr>
            <w:r>
              <w:rPr>
                <w:bCs/>
                <w:sz w:val="20"/>
                <w:lang w:val="es-MX" w:eastAsia="es-ES"/>
              </w:rPr>
              <w:t>508 992</w:t>
            </w:r>
          </w:p>
        </w:tc>
        <w:tc>
          <w:tcPr>
            <w:tcW w:w="657" w:type="pct"/>
          </w:tcPr>
          <w:p w:rsidR="00000000" w:rsidRDefault="00000000">
            <w:pPr>
              <w:widowControl w:val="0"/>
              <w:spacing w:before="60" w:after="60"/>
              <w:jc w:val="center"/>
              <w:rPr>
                <w:bCs/>
                <w:sz w:val="20"/>
                <w:lang w:val="es-MX" w:eastAsia="es-ES"/>
              </w:rPr>
            </w:pPr>
            <w:r>
              <w:rPr>
                <w:bCs/>
                <w:sz w:val="20"/>
                <w:lang w:val="es-MX" w:eastAsia="es-ES"/>
              </w:rPr>
              <w:t>2.36</w:t>
            </w:r>
          </w:p>
        </w:tc>
        <w:tc>
          <w:tcPr>
            <w:tcW w:w="728" w:type="pct"/>
            <w:gridSpan w:val="2"/>
          </w:tcPr>
          <w:p w:rsidR="00000000" w:rsidRDefault="00000000">
            <w:pPr>
              <w:widowControl w:val="0"/>
              <w:tabs>
                <w:tab w:val="decimal" w:pos="634"/>
              </w:tabs>
              <w:spacing w:before="60" w:after="60"/>
              <w:jc w:val="center"/>
              <w:rPr>
                <w:bCs/>
                <w:sz w:val="20"/>
                <w:lang w:val="es-MX" w:eastAsia="es-ES"/>
              </w:rPr>
            </w:pPr>
            <w:r>
              <w:rPr>
                <w:bCs/>
                <w:sz w:val="20"/>
                <w:lang w:val="es-MX" w:eastAsia="es-ES"/>
              </w:rPr>
              <w:t>4.59</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es-MX" w:eastAsia="es-ES"/>
              </w:rPr>
            </w:pPr>
            <w:r>
              <w:rPr>
                <w:bCs/>
                <w:sz w:val="20"/>
                <w:lang w:val="es-MX" w:eastAsia="es-ES"/>
              </w:rPr>
              <w:t>1999</w:t>
            </w:r>
          </w:p>
        </w:tc>
        <w:tc>
          <w:tcPr>
            <w:tcW w:w="1353" w:type="pct"/>
          </w:tcPr>
          <w:p w:rsidR="00000000" w:rsidRDefault="00000000">
            <w:pPr>
              <w:widowControl w:val="0"/>
              <w:spacing w:before="60" w:after="60"/>
              <w:jc w:val="center"/>
              <w:rPr>
                <w:bCs/>
                <w:sz w:val="20"/>
                <w:lang w:val="es-MX" w:eastAsia="es-ES"/>
              </w:rPr>
            </w:pPr>
            <w:r>
              <w:rPr>
                <w:bCs/>
                <w:sz w:val="20"/>
                <w:lang w:val="es-MX" w:eastAsia="es-ES"/>
              </w:rPr>
              <w:t>22 771 596</w:t>
            </w:r>
          </w:p>
        </w:tc>
        <w:tc>
          <w:tcPr>
            <w:tcW w:w="734" w:type="pct"/>
          </w:tcPr>
          <w:p w:rsidR="00000000" w:rsidRDefault="00000000">
            <w:pPr>
              <w:widowControl w:val="0"/>
              <w:tabs>
                <w:tab w:val="decimal" w:pos="1130"/>
              </w:tabs>
              <w:spacing w:before="60" w:after="60"/>
              <w:jc w:val="center"/>
              <w:rPr>
                <w:bCs/>
                <w:sz w:val="20"/>
                <w:lang w:val="es-MX" w:eastAsia="es-ES"/>
              </w:rPr>
            </w:pPr>
            <w:r>
              <w:rPr>
                <w:bCs/>
                <w:sz w:val="20"/>
                <w:lang w:val="es-MX" w:eastAsia="es-ES"/>
              </w:rPr>
              <w:t>12 255 602</w:t>
            </w:r>
          </w:p>
        </w:tc>
        <w:tc>
          <w:tcPr>
            <w:tcW w:w="695" w:type="pct"/>
          </w:tcPr>
          <w:p w:rsidR="00000000" w:rsidRDefault="00000000">
            <w:pPr>
              <w:widowControl w:val="0"/>
              <w:tabs>
                <w:tab w:val="decimal" w:pos="1056"/>
              </w:tabs>
              <w:spacing w:before="60" w:after="60"/>
              <w:jc w:val="center"/>
              <w:rPr>
                <w:bCs/>
                <w:sz w:val="20"/>
                <w:lang w:val="es-MX" w:eastAsia="es-ES"/>
              </w:rPr>
            </w:pPr>
            <w:r>
              <w:rPr>
                <w:bCs/>
                <w:sz w:val="20"/>
                <w:lang w:val="es-MX" w:eastAsia="es-ES"/>
              </w:rPr>
              <w:t>670 137</w:t>
            </w:r>
          </w:p>
        </w:tc>
        <w:tc>
          <w:tcPr>
            <w:tcW w:w="657" w:type="pct"/>
          </w:tcPr>
          <w:p w:rsidR="00000000" w:rsidRDefault="00000000">
            <w:pPr>
              <w:widowControl w:val="0"/>
              <w:spacing w:before="60" w:after="60"/>
              <w:jc w:val="center"/>
              <w:rPr>
                <w:bCs/>
                <w:sz w:val="20"/>
                <w:lang w:val="es-MX" w:eastAsia="es-ES"/>
              </w:rPr>
            </w:pPr>
            <w:r>
              <w:rPr>
                <w:bCs/>
                <w:sz w:val="20"/>
                <w:lang w:val="es-MX" w:eastAsia="es-ES"/>
              </w:rPr>
              <w:t>2.94</w:t>
            </w:r>
          </w:p>
        </w:tc>
        <w:tc>
          <w:tcPr>
            <w:tcW w:w="728" w:type="pct"/>
            <w:gridSpan w:val="2"/>
          </w:tcPr>
          <w:p w:rsidR="00000000" w:rsidRDefault="00000000">
            <w:pPr>
              <w:widowControl w:val="0"/>
              <w:tabs>
                <w:tab w:val="decimal" w:pos="634"/>
              </w:tabs>
              <w:spacing w:before="60" w:after="60"/>
              <w:jc w:val="center"/>
              <w:rPr>
                <w:bCs/>
                <w:sz w:val="20"/>
                <w:lang w:val="es-MX" w:eastAsia="es-ES"/>
              </w:rPr>
            </w:pPr>
            <w:r>
              <w:rPr>
                <w:bCs/>
                <w:sz w:val="20"/>
                <w:lang w:val="es-MX" w:eastAsia="es-ES"/>
              </w:rPr>
              <w:t>5.47</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es-MX" w:eastAsia="es-ES"/>
              </w:rPr>
            </w:pPr>
            <w:r>
              <w:rPr>
                <w:bCs/>
                <w:sz w:val="20"/>
                <w:lang w:val="es-MX" w:eastAsia="es-ES"/>
              </w:rPr>
              <w:t>2000</w:t>
            </w:r>
          </w:p>
        </w:tc>
        <w:tc>
          <w:tcPr>
            <w:tcW w:w="1353" w:type="pct"/>
          </w:tcPr>
          <w:p w:rsidR="00000000" w:rsidRDefault="00000000">
            <w:pPr>
              <w:widowControl w:val="0"/>
              <w:spacing w:before="60" w:after="60"/>
              <w:jc w:val="center"/>
              <w:rPr>
                <w:bCs/>
                <w:sz w:val="20"/>
                <w:lang w:val="es-MX" w:eastAsia="es-ES"/>
              </w:rPr>
            </w:pPr>
            <w:r>
              <w:rPr>
                <w:bCs/>
                <w:sz w:val="20"/>
                <w:lang w:val="es-MX" w:eastAsia="es-ES"/>
              </w:rPr>
              <w:t>24 736 526</w:t>
            </w:r>
          </w:p>
        </w:tc>
        <w:tc>
          <w:tcPr>
            <w:tcW w:w="734" w:type="pct"/>
          </w:tcPr>
          <w:p w:rsidR="00000000" w:rsidRDefault="00000000">
            <w:pPr>
              <w:widowControl w:val="0"/>
              <w:tabs>
                <w:tab w:val="decimal" w:pos="1130"/>
              </w:tabs>
              <w:spacing w:before="60" w:after="60"/>
              <w:jc w:val="center"/>
              <w:rPr>
                <w:bCs/>
                <w:sz w:val="20"/>
                <w:lang w:val="es-MX" w:eastAsia="es-ES"/>
              </w:rPr>
            </w:pPr>
            <w:r>
              <w:rPr>
                <w:bCs/>
                <w:sz w:val="20"/>
                <w:lang w:val="es-MX" w:eastAsia="es-ES"/>
              </w:rPr>
              <w:t>13 128 124</w:t>
            </w:r>
          </w:p>
        </w:tc>
        <w:tc>
          <w:tcPr>
            <w:tcW w:w="695" w:type="pct"/>
          </w:tcPr>
          <w:p w:rsidR="00000000" w:rsidRDefault="00000000">
            <w:pPr>
              <w:widowControl w:val="0"/>
              <w:tabs>
                <w:tab w:val="decimal" w:pos="1056"/>
              </w:tabs>
              <w:spacing w:before="60" w:after="60"/>
              <w:jc w:val="center"/>
              <w:rPr>
                <w:bCs/>
                <w:sz w:val="20"/>
                <w:lang w:val="es-MX" w:eastAsia="es-ES"/>
              </w:rPr>
            </w:pPr>
            <w:r>
              <w:rPr>
                <w:bCs/>
                <w:sz w:val="20"/>
                <w:lang w:val="es-MX" w:eastAsia="es-ES"/>
              </w:rPr>
              <w:t>1 150 935</w:t>
            </w:r>
          </w:p>
        </w:tc>
        <w:tc>
          <w:tcPr>
            <w:tcW w:w="657" w:type="pct"/>
          </w:tcPr>
          <w:p w:rsidR="00000000" w:rsidRDefault="00000000">
            <w:pPr>
              <w:widowControl w:val="0"/>
              <w:spacing w:before="60" w:after="60"/>
              <w:jc w:val="center"/>
              <w:rPr>
                <w:bCs/>
                <w:sz w:val="20"/>
                <w:lang w:val="es-MX" w:eastAsia="es-ES"/>
              </w:rPr>
            </w:pPr>
            <w:r>
              <w:rPr>
                <w:bCs/>
                <w:sz w:val="20"/>
                <w:lang w:val="es-MX" w:eastAsia="es-ES"/>
              </w:rPr>
              <w:t>4.65</w:t>
            </w:r>
          </w:p>
        </w:tc>
        <w:tc>
          <w:tcPr>
            <w:tcW w:w="728" w:type="pct"/>
            <w:gridSpan w:val="2"/>
          </w:tcPr>
          <w:p w:rsidR="00000000" w:rsidRDefault="00000000">
            <w:pPr>
              <w:widowControl w:val="0"/>
              <w:tabs>
                <w:tab w:val="decimal" w:pos="634"/>
              </w:tabs>
              <w:spacing w:before="60" w:after="60"/>
              <w:jc w:val="center"/>
              <w:rPr>
                <w:bCs/>
                <w:sz w:val="20"/>
                <w:lang w:val="es-MX" w:eastAsia="es-ES"/>
              </w:rPr>
            </w:pPr>
            <w:r>
              <w:rPr>
                <w:bCs/>
                <w:sz w:val="20"/>
                <w:lang w:val="es-MX" w:eastAsia="es-ES"/>
              </w:rPr>
              <w:t>8.77</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es-MX" w:eastAsia="es-ES"/>
              </w:rPr>
            </w:pPr>
            <w:r>
              <w:rPr>
                <w:bCs/>
                <w:sz w:val="20"/>
                <w:lang w:val="es-MX" w:eastAsia="es-ES"/>
              </w:rPr>
              <w:t>2001</w:t>
            </w:r>
          </w:p>
        </w:tc>
        <w:tc>
          <w:tcPr>
            <w:tcW w:w="1353" w:type="pct"/>
          </w:tcPr>
          <w:p w:rsidR="00000000" w:rsidRDefault="00000000">
            <w:pPr>
              <w:widowControl w:val="0"/>
              <w:spacing w:before="60" w:after="60"/>
              <w:jc w:val="center"/>
              <w:rPr>
                <w:bCs/>
                <w:sz w:val="20"/>
                <w:lang w:val="es-MX" w:eastAsia="es-ES"/>
              </w:rPr>
            </w:pPr>
            <w:r>
              <w:rPr>
                <w:bCs/>
                <w:sz w:val="20"/>
                <w:lang w:val="es-MX" w:eastAsia="es-ES"/>
              </w:rPr>
              <w:t>26 465 663</w:t>
            </w:r>
          </w:p>
        </w:tc>
        <w:tc>
          <w:tcPr>
            <w:tcW w:w="734" w:type="pct"/>
          </w:tcPr>
          <w:p w:rsidR="00000000" w:rsidRDefault="00000000">
            <w:pPr>
              <w:widowControl w:val="0"/>
              <w:tabs>
                <w:tab w:val="decimal" w:pos="1130"/>
              </w:tabs>
              <w:spacing w:before="60" w:after="60"/>
              <w:jc w:val="center"/>
              <w:rPr>
                <w:bCs/>
                <w:sz w:val="20"/>
                <w:lang w:val="es-MX" w:eastAsia="es-ES"/>
              </w:rPr>
            </w:pPr>
            <w:r>
              <w:rPr>
                <w:bCs/>
                <w:sz w:val="20"/>
                <w:lang w:val="es-MX" w:eastAsia="es-ES"/>
              </w:rPr>
              <w:t>15 357 915</w:t>
            </w:r>
          </w:p>
        </w:tc>
        <w:tc>
          <w:tcPr>
            <w:tcW w:w="695" w:type="pct"/>
          </w:tcPr>
          <w:p w:rsidR="00000000" w:rsidRDefault="00000000">
            <w:pPr>
              <w:widowControl w:val="0"/>
              <w:tabs>
                <w:tab w:val="decimal" w:pos="1056"/>
              </w:tabs>
              <w:spacing w:before="60" w:after="60"/>
              <w:jc w:val="center"/>
              <w:rPr>
                <w:bCs/>
                <w:sz w:val="20"/>
                <w:lang w:val="es-MX" w:eastAsia="es-ES"/>
              </w:rPr>
            </w:pPr>
            <w:r>
              <w:rPr>
                <w:bCs/>
                <w:sz w:val="20"/>
                <w:lang w:val="es-MX" w:eastAsia="es-ES"/>
              </w:rPr>
              <w:t>1 244 987</w:t>
            </w:r>
          </w:p>
        </w:tc>
        <w:tc>
          <w:tcPr>
            <w:tcW w:w="657" w:type="pct"/>
          </w:tcPr>
          <w:p w:rsidR="00000000" w:rsidRDefault="00000000">
            <w:pPr>
              <w:widowControl w:val="0"/>
              <w:spacing w:before="60" w:after="60"/>
              <w:jc w:val="center"/>
              <w:rPr>
                <w:bCs/>
                <w:sz w:val="20"/>
                <w:lang w:val="es-MX" w:eastAsia="es-ES"/>
              </w:rPr>
            </w:pPr>
            <w:r>
              <w:rPr>
                <w:bCs/>
                <w:sz w:val="20"/>
                <w:lang w:val="es-MX" w:eastAsia="es-ES"/>
              </w:rPr>
              <w:t>4.70</w:t>
            </w:r>
          </w:p>
        </w:tc>
        <w:tc>
          <w:tcPr>
            <w:tcW w:w="728" w:type="pct"/>
            <w:gridSpan w:val="2"/>
          </w:tcPr>
          <w:p w:rsidR="00000000" w:rsidRDefault="00000000">
            <w:pPr>
              <w:widowControl w:val="0"/>
              <w:tabs>
                <w:tab w:val="decimal" w:pos="634"/>
              </w:tabs>
              <w:spacing w:before="60" w:after="60"/>
              <w:jc w:val="center"/>
              <w:rPr>
                <w:bCs/>
                <w:sz w:val="20"/>
                <w:lang w:val="es-MX" w:eastAsia="es-ES"/>
              </w:rPr>
            </w:pPr>
            <w:r>
              <w:rPr>
                <w:bCs/>
                <w:sz w:val="20"/>
                <w:lang w:val="es-MX" w:eastAsia="es-ES"/>
              </w:rPr>
              <w:t>8.11</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es-MX" w:eastAsia="es-ES"/>
              </w:rPr>
            </w:pPr>
            <w:r>
              <w:rPr>
                <w:bCs/>
                <w:sz w:val="20"/>
                <w:lang w:val="es-MX" w:eastAsia="es-ES"/>
              </w:rPr>
              <w:t>2002</w:t>
            </w:r>
          </w:p>
        </w:tc>
        <w:tc>
          <w:tcPr>
            <w:tcW w:w="1353" w:type="pct"/>
          </w:tcPr>
          <w:p w:rsidR="00000000" w:rsidRDefault="00000000">
            <w:pPr>
              <w:widowControl w:val="0"/>
              <w:spacing w:before="60" w:after="60"/>
              <w:jc w:val="center"/>
              <w:rPr>
                <w:bCs/>
                <w:sz w:val="20"/>
                <w:lang w:val="es-MX" w:eastAsia="es-ES"/>
              </w:rPr>
            </w:pPr>
            <w:r>
              <w:rPr>
                <w:bCs/>
                <w:sz w:val="20"/>
                <w:lang w:val="es-MX" w:eastAsia="es-ES"/>
              </w:rPr>
              <w:t>29 104 530</w:t>
            </w:r>
          </w:p>
        </w:tc>
        <w:tc>
          <w:tcPr>
            <w:tcW w:w="734" w:type="pct"/>
          </w:tcPr>
          <w:p w:rsidR="00000000" w:rsidRDefault="00000000">
            <w:pPr>
              <w:widowControl w:val="0"/>
              <w:tabs>
                <w:tab w:val="decimal" w:pos="1130"/>
              </w:tabs>
              <w:spacing w:before="60" w:after="60"/>
              <w:jc w:val="center"/>
              <w:rPr>
                <w:bCs/>
                <w:sz w:val="20"/>
                <w:lang w:val="es-MX" w:eastAsia="es-ES"/>
              </w:rPr>
            </w:pPr>
            <w:r>
              <w:rPr>
                <w:bCs/>
                <w:sz w:val="20"/>
                <w:lang w:val="es-MX" w:eastAsia="es-ES"/>
              </w:rPr>
              <w:t>15 306 971</w:t>
            </w:r>
          </w:p>
        </w:tc>
        <w:tc>
          <w:tcPr>
            <w:tcW w:w="695" w:type="pct"/>
          </w:tcPr>
          <w:p w:rsidR="00000000" w:rsidRDefault="00000000">
            <w:pPr>
              <w:widowControl w:val="0"/>
              <w:tabs>
                <w:tab w:val="decimal" w:pos="1056"/>
              </w:tabs>
              <w:spacing w:before="60" w:after="60"/>
              <w:jc w:val="center"/>
              <w:rPr>
                <w:bCs/>
                <w:sz w:val="20"/>
                <w:lang w:val="es-MX" w:eastAsia="es-ES"/>
              </w:rPr>
            </w:pPr>
            <w:r>
              <w:rPr>
                <w:bCs/>
                <w:sz w:val="20"/>
                <w:lang w:val="es-MX" w:eastAsia="es-ES"/>
              </w:rPr>
              <w:t>744 328</w:t>
            </w:r>
          </w:p>
        </w:tc>
        <w:tc>
          <w:tcPr>
            <w:tcW w:w="657" w:type="pct"/>
          </w:tcPr>
          <w:p w:rsidR="00000000" w:rsidRDefault="00000000">
            <w:pPr>
              <w:widowControl w:val="0"/>
              <w:spacing w:before="60" w:after="60"/>
              <w:jc w:val="center"/>
              <w:rPr>
                <w:bCs/>
                <w:sz w:val="20"/>
                <w:lang w:val="es-MX" w:eastAsia="es-ES"/>
              </w:rPr>
            </w:pPr>
            <w:r>
              <w:rPr>
                <w:bCs/>
                <w:sz w:val="20"/>
                <w:lang w:val="es-MX" w:eastAsia="es-ES"/>
              </w:rPr>
              <w:t>2.56</w:t>
            </w:r>
          </w:p>
        </w:tc>
        <w:tc>
          <w:tcPr>
            <w:tcW w:w="728" w:type="pct"/>
            <w:gridSpan w:val="2"/>
          </w:tcPr>
          <w:p w:rsidR="00000000" w:rsidRDefault="00000000">
            <w:pPr>
              <w:widowControl w:val="0"/>
              <w:tabs>
                <w:tab w:val="decimal" w:pos="634"/>
              </w:tabs>
              <w:spacing w:before="60" w:after="60"/>
              <w:jc w:val="center"/>
              <w:rPr>
                <w:bCs/>
                <w:sz w:val="20"/>
                <w:lang w:val="es-MX" w:eastAsia="es-ES"/>
              </w:rPr>
            </w:pPr>
            <w:r>
              <w:rPr>
                <w:bCs/>
                <w:sz w:val="20"/>
                <w:lang w:val="es-MX" w:eastAsia="es-ES"/>
              </w:rPr>
              <w:t>4.86</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es-MX" w:eastAsia="es-ES"/>
              </w:rPr>
            </w:pPr>
            <w:r>
              <w:rPr>
                <w:bCs/>
                <w:sz w:val="20"/>
                <w:lang w:val="es-MX" w:eastAsia="es-ES"/>
              </w:rPr>
              <w:t>2003</w:t>
            </w:r>
          </w:p>
        </w:tc>
        <w:tc>
          <w:tcPr>
            <w:tcW w:w="1353" w:type="pct"/>
          </w:tcPr>
          <w:p w:rsidR="00000000" w:rsidRDefault="00000000">
            <w:pPr>
              <w:widowControl w:val="0"/>
              <w:spacing w:before="60" w:after="60"/>
              <w:jc w:val="center"/>
              <w:rPr>
                <w:bCs/>
                <w:sz w:val="20"/>
                <w:lang w:val="es-MX" w:eastAsia="es-ES"/>
              </w:rPr>
            </w:pPr>
            <w:r>
              <w:rPr>
                <w:bCs/>
                <w:sz w:val="20"/>
                <w:lang w:val="es-MX" w:eastAsia="es-ES"/>
              </w:rPr>
              <w:t>35 713 137</w:t>
            </w:r>
          </w:p>
        </w:tc>
        <w:tc>
          <w:tcPr>
            <w:tcW w:w="734" w:type="pct"/>
          </w:tcPr>
          <w:p w:rsidR="00000000" w:rsidRDefault="00000000">
            <w:pPr>
              <w:widowControl w:val="0"/>
              <w:tabs>
                <w:tab w:val="decimal" w:pos="1130"/>
              </w:tabs>
              <w:spacing w:before="60" w:after="60"/>
              <w:jc w:val="center"/>
              <w:rPr>
                <w:bCs/>
                <w:sz w:val="20"/>
                <w:lang w:val="es-MX" w:eastAsia="es-ES"/>
              </w:rPr>
            </w:pPr>
            <w:r>
              <w:rPr>
                <w:bCs/>
                <w:sz w:val="20"/>
                <w:lang w:val="es-MX" w:eastAsia="es-ES"/>
              </w:rPr>
              <w:t>18 246 180</w:t>
            </w:r>
          </w:p>
        </w:tc>
        <w:tc>
          <w:tcPr>
            <w:tcW w:w="695" w:type="pct"/>
          </w:tcPr>
          <w:p w:rsidR="00000000" w:rsidRDefault="00000000">
            <w:pPr>
              <w:widowControl w:val="0"/>
              <w:tabs>
                <w:tab w:val="decimal" w:pos="1056"/>
              </w:tabs>
              <w:spacing w:before="60" w:after="60"/>
              <w:jc w:val="center"/>
              <w:rPr>
                <w:bCs/>
                <w:sz w:val="20"/>
                <w:lang w:val="es-MX" w:eastAsia="es-ES"/>
              </w:rPr>
            </w:pPr>
            <w:r>
              <w:rPr>
                <w:bCs/>
                <w:sz w:val="20"/>
                <w:lang w:val="es-MX" w:eastAsia="es-ES"/>
              </w:rPr>
              <w:t>1 693 496</w:t>
            </w:r>
          </w:p>
        </w:tc>
        <w:tc>
          <w:tcPr>
            <w:tcW w:w="657" w:type="pct"/>
          </w:tcPr>
          <w:p w:rsidR="00000000" w:rsidRDefault="00000000">
            <w:pPr>
              <w:widowControl w:val="0"/>
              <w:spacing w:before="60" w:after="60"/>
              <w:jc w:val="center"/>
              <w:rPr>
                <w:bCs/>
                <w:sz w:val="20"/>
                <w:lang w:val="es-MX" w:eastAsia="es-ES"/>
              </w:rPr>
            </w:pPr>
            <w:r>
              <w:rPr>
                <w:bCs/>
                <w:sz w:val="20"/>
                <w:lang w:val="es-MX" w:eastAsia="es-ES"/>
              </w:rPr>
              <w:t>4.74</w:t>
            </w:r>
          </w:p>
        </w:tc>
        <w:tc>
          <w:tcPr>
            <w:tcW w:w="728" w:type="pct"/>
            <w:gridSpan w:val="2"/>
          </w:tcPr>
          <w:p w:rsidR="00000000" w:rsidRDefault="00000000">
            <w:pPr>
              <w:widowControl w:val="0"/>
              <w:tabs>
                <w:tab w:val="decimal" w:pos="634"/>
              </w:tabs>
              <w:spacing w:before="60" w:after="60"/>
              <w:jc w:val="center"/>
              <w:rPr>
                <w:bCs/>
                <w:sz w:val="20"/>
                <w:lang w:val="es-MX" w:eastAsia="es-ES"/>
              </w:rPr>
            </w:pPr>
            <w:r>
              <w:rPr>
                <w:bCs/>
                <w:sz w:val="20"/>
                <w:lang w:val="es-MX" w:eastAsia="es-ES"/>
              </w:rPr>
              <w:t>9.28</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es-MX" w:eastAsia="es-ES"/>
              </w:rPr>
            </w:pPr>
            <w:r>
              <w:rPr>
                <w:bCs/>
                <w:sz w:val="20"/>
                <w:lang w:val="es-MX" w:eastAsia="es-ES"/>
              </w:rPr>
              <w:t>2004</w:t>
            </w:r>
          </w:p>
        </w:tc>
        <w:tc>
          <w:tcPr>
            <w:tcW w:w="1353" w:type="pct"/>
          </w:tcPr>
          <w:p w:rsidR="00000000" w:rsidRDefault="00000000">
            <w:pPr>
              <w:widowControl w:val="0"/>
              <w:spacing w:before="60" w:after="60"/>
              <w:jc w:val="center"/>
              <w:rPr>
                <w:bCs/>
                <w:sz w:val="20"/>
                <w:lang w:val="es-MX" w:eastAsia="es-ES"/>
              </w:rPr>
            </w:pPr>
            <w:r>
              <w:rPr>
                <w:bCs/>
                <w:sz w:val="20"/>
                <w:lang w:val="es-MX" w:eastAsia="es-ES"/>
              </w:rPr>
              <w:t>41 400 770</w:t>
            </w:r>
          </w:p>
        </w:tc>
        <w:tc>
          <w:tcPr>
            <w:tcW w:w="734" w:type="pct"/>
          </w:tcPr>
          <w:p w:rsidR="00000000" w:rsidRDefault="00000000">
            <w:pPr>
              <w:widowControl w:val="0"/>
              <w:tabs>
                <w:tab w:val="decimal" w:pos="1130"/>
              </w:tabs>
              <w:spacing w:before="60" w:after="60"/>
              <w:jc w:val="center"/>
              <w:rPr>
                <w:bCs/>
                <w:sz w:val="20"/>
                <w:lang w:val="es-MX" w:eastAsia="es-ES"/>
              </w:rPr>
            </w:pPr>
            <w:r>
              <w:rPr>
                <w:bCs/>
                <w:sz w:val="20"/>
                <w:lang w:val="es-MX" w:eastAsia="es-ES"/>
              </w:rPr>
              <w:t>18 915 114</w:t>
            </w:r>
          </w:p>
        </w:tc>
        <w:tc>
          <w:tcPr>
            <w:tcW w:w="695" w:type="pct"/>
          </w:tcPr>
          <w:p w:rsidR="00000000" w:rsidRDefault="00000000">
            <w:pPr>
              <w:widowControl w:val="0"/>
              <w:tabs>
                <w:tab w:val="decimal" w:pos="1056"/>
              </w:tabs>
              <w:spacing w:before="60" w:after="60"/>
              <w:jc w:val="center"/>
              <w:rPr>
                <w:bCs/>
                <w:sz w:val="20"/>
                <w:lang w:val="es-MX" w:eastAsia="es-ES"/>
              </w:rPr>
            </w:pPr>
            <w:r>
              <w:rPr>
                <w:bCs/>
                <w:sz w:val="20"/>
                <w:lang w:val="es-MX" w:eastAsia="es-ES"/>
              </w:rPr>
              <w:t>1 550 558</w:t>
            </w:r>
          </w:p>
        </w:tc>
        <w:tc>
          <w:tcPr>
            <w:tcW w:w="657" w:type="pct"/>
          </w:tcPr>
          <w:p w:rsidR="00000000" w:rsidRDefault="00000000">
            <w:pPr>
              <w:widowControl w:val="0"/>
              <w:spacing w:before="60" w:after="60"/>
              <w:jc w:val="center"/>
              <w:rPr>
                <w:bCs/>
                <w:sz w:val="20"/>
                <w:lang w:val="es-MX" w:eastAsia="es-ES"/>
              </w:rPr>
            </w:pPr>
            <w:r>
              <w:rPr>
                <w:bCs/>
                <w:sz w:val="20"/>
                <w:lang w:val="es-MX" w:eastAsia="es-ES"/>
              </w:rPr>
              <w:t>3.75</w:t>
            </w:r>
          </w:p>
        </w:tc>
        <w:tc>
          <w:tcPr>
            <w:tcW w:w="728" w:type="pct"/>
            <w:gridSpan w:val="2"/>
          </w:tcPr>
          <w:p w:rsidR="00000000" w:rsidRDefault="00000000">
            <w:pPr>
              <w:widowControl w:val="0"/>
              <w:tabs>
                <w:tab w:val="decimal" w:pos="634"/>
              </w:tabs>
              <w:spacing w:before="60" w:after="60"/>
              <w:jc w:val="center"/>
              <w:rPr>
                <w:bCs/>
                <w:sz w:val="20"/>
                <w:lang w:val="es-MX" w:eastAsia="es-ES"/>
              </w:rPr>
            </w:pPr>
            <w:r>
              <w:rPr>
                <w:bCs/>
                <w:sz w:val="20"/>
                <w:lang w:val="es-MX" w:eastAsia="es-ES"/>
              </w:rPr>
              <w:t>8.20</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es-MX" w:eastAsia="es-ES"/>
              </w:rPr>
            </w:pPr>
            <w:r>
              <w:rPr>
                <w:bCs/>
                <w:sz w:val="20"/>
                <w:lang w:val="es-MX" w:eastAsia="es-ES"/>
              </w:rPr>
              <w:t>2005</w:t>
            </w:r>
          </w:p>
        </w:tc>
        <w:tc>
          <w:tcPr>
            <w:tcW w:w="1353" w:type="pct"/>
          </w:tcPr>
          <w:p w:rsidR="00000000" w:rsidRDefault="00000000">
            <w:pPr>
              <w:widowControl w:val="0"/>
              <w:spacing w:before="60" w:after="60"/>
              <w:jc w:val="center"/>
              <w:rPr>
                <w:bCs/>
                <w:sz w:val="20"/>
                <w:lang w:val="es-MX" w:eastAsia="es-ES"/>
              </w:rPr>
            </w:pPr>
            <w:r>
              <w:rPr>
                <w:bCs/>
                <w:sz w:val="20"/>
                <w:lang w:val="es-MX" w:eastAsia="es-ES"/>
              </w:rPr>
              <w:t>45 737 176</w:t>
            </w:r>
          </w:p>
        </w:tc>
        <w:tc>
          <w:tcPr>
            <w:tcW w:w="734" w:type="pct"/>
          </w:tcPr>
          <w:p w:rsidR="00000000" w:rsidRDefault="00000000">
            <w:pPr>
              <w:widowControl w:val="0"/>
              <w:tabs>
                <w:tab w:val="decimal" w:pos="1130"/>
              </w:tabs>
              <w:spacing w:before="60" w:after="60"/>
              <w:jc w:val="center"/>
              <w:rPr>
                <w:bCs/>
                <w:sz w:val="20"/>
                <w:lang w:val="es-MX" w:eastAsia="es-ES"/>
              </w:rPr>
            </w:pPr>
            <w:r>
              <w:rPr>
                <w:bCs/>
                <w:sz w:val="20"/>
                <w:lang w:val="es-MX" w:eastAsia="es-ES"/>
              </w:rPr>
              <w:t>21 809 827</w:t>
            </w:r>
          </w:p>
        </w:tc>
        <w:tc>
          <w:tcPr>
            <w:tcW w:w="695" w:type="pct"/>
          </w:tcPr>
          <w:p w:rsidR="00000000" w:rsidRDefault="00000000">
            <w:pPr>
              <w:widowControl w:val="0"/>
              <w:tabs>
                <w:tab w:val="decimal" w:pos="1056"/>
              </w:tabs>
              <w:spacing w:before="60" w:after="60"/>
              <w:jc w:val="center"/>
              <w:rPr>
                <w:bCs/>
                <w:sz w:val="20"/>
                <w:lang w:val="es-MX" w:eastAsia="es-ES"/>
              </w:rPr>
            </w:pPr>
            <w:r>
              <w:rPr>
                <w:bCs/>
                <w:sz w:val="20"/>
                <w:lang w:val="es-MX" w:eastAsia="es-ES"/>
              </w:rPr>
              <w:t>2 330 027</w:t>
            </w:r>
          </w:p>
        </w:tc>
        <w:tc>
          <w:tcPr>
            <w:tcW w:w="657" w:type="pct"/>
          </w:tcPr>
          <w:p w:rsidR="00000000" w:rsidRDefault="00000000">
            <w:pPr>
              <w:widowControl w:val="0"/>
              <w:spacing w:before="60" w:after="60"/>
              <w:jc w:val="center"/>
              <w:rPr>
                <w:bCs/>
                <w:sz w:val="20"/>
                <w:lang w:val="es-MX" w:eastAsia="es-ES"/>
              </w:rPr>
            </w:pPr>
            <w:r>
              <w:rPr>
                <w:bCs/>
                <w:sz w:val="20"/>
                <w:lang w:val="es-MX" w:eastAsia="es-ES"/>
              </w:rPr>
              <w:t>5.09</w:t>
            </w:r>
          </w:p>
        </w:tc>
        <w:tc>
          <w:tcPr>
            <w:tcW w:w="728" w:type="pct"/>
            <w:gridSpan w:val="2"/>
          </w:tcPr>
          <w:p w:rsidR="00000000" w:rsidRDefault="00000000">
            <w:pPr>
              <w:widowControl w:val="0"/>
              <w:tabs>
                <w:tab w:val="decimal" w:pos="634"/>
              </w:tabs>
              <w:spacing w:before="60" w:after="60"/>
              <w:jc w:val="center"/>
              <w:rPr>
                <w:bCs/>
                <w:sz w:val="20"/>
                <w:lang w:val="es-MX" w:eastAsia="es-ES"/>
              </w:rPr>
            </w:pPr>
            <w:r>
              <w:rPr>
                <w:bCs/>
                <w:sz w:val="20"/>
                <w:lang w:val="es-MX" w:eastAsia="es-ES"/>
              </w:rPr>
              <w:t>10.68</w:t>
            </w:r>
          </w:p>
        </w:tc>
      </w:tr>
      <w:tr w:rsidR="00000000">
        <w:tblPrEx>
          <w:tblCellMar>
            <w:top w:w="0" w:type="dxa"/>
            <w:bottom w:w="0" w:type="dxa"/>
          </w:tblCellMar>
        </w:tblPrEx>
        <w:tc>
          <w:tcPr>
            <w:tcW w:w="833" w:type="pct"/>
            <w:tcBorders>
              <w:bottom w:val="single" w:sz="4" w:space="0" w:color="auto"/>
            </w:tcBorders>
          </w:tcPr>
          <w:p w:rsidR="00000000" w:rsidRDefault="00000000">
            <w:pPr>
              <w:widowControl w:val="0"/>
              <w:spacing w:before="60" w:after="60"/>
              <w:jc w:val="center"/>
              <w:rPr>
                <w:bCs/>
                <w:sz w:val="20"/>
                <w:lang w:val="es-MX" w:eastAsia="es-ES"/>
              </w:rPr>
            </w:pPr>
            <w:r>
              <w:rPr>
                <w:bCs/>
                <w:sz w:val="20"/>
                <w:lang w:val="es-MX" w:eastAsia="es-ES"/>
              </w:rPr>
              <w:t>2006</w:t>
            </w:r>
            <w:r>
              <w:rPr>
                <w:b/>
                <w:sz w:val="22"/>
                <w:vertAlign w:val="superscript"/>
                <w:lang w:val="es-MX" w:eastAsia="es-ES"/>
              </w:rPr>
              <w:t>*</w:t>
            </w:r>
          </w:p>
        </w:tc>
        <w:tc>
          <w:tcPr>
            <w:tcW w:w="1353" w:type="pct"/>
            <w:tcBorders>
              <w:bottom w:val="single" w:sz="4" w:space="0" w:color="auto"/>
            </w:tcBorders>
          </w:tcPr>
          <w:p w:rsidR="00000000" w:rsidRDefault="00000000">
            <w:pPr>
              <w:widowControl w:val="0"/>
              <w:spacing w:before="60" w:after="60"/>
              <w:jc w:val="center"/>
              <w:rPr>
                <w:bCs/>
                <w:sz w:val="20"/>
                <w:lang w:val="es-MX" w:eastAsia="es-ES"/>
              </w:rPr>
            </w:pPr>
            <w:r>
              <w:rPr>
                <w:bCs/>
                <w:sz w:val="20"/>
                <w:lang w:val="es-MX" w:eastAsia="es-ES"/>
              </w:rPr>
              <w:t>50 585 316</w:t>
            </w:r>
          </w:p>
        </w:tc>
        <w:tc>
          <w:tcPr>
            <w:tcW w:w="734" w:type="pct"/>
            <w:tcBorders>
              <w:bottom w:val="single" w:sz="4" w:space="0" w:color="auto"/>
            </w:tcBorders>
          </w:tcPr>
          <w:p w:rsidR="00000000" w:rsidRDefault="00000000">
            <w:pPr>
              <w:widowControl w:val="0"/>
              <w:tabs>
                <w:tab w:val="decimal" w:pos="1130"/>
              </w:tabs>
              <w:spacing w:before="60" w:after="60"/>
              <w:jc w:val="center"/>
              <w:rPr>
                <w:bCs/>
                <w:sz w:val="20"/>
                <w:lang w:val="es-MX" w:eastAsia="es-ES"/>
              </w:rPr>
            </w:pPr>
            <w:r>
              <w:rPr>
                <w:bCs/>
                <w:sz w:val="20"/>
                <w:lang w:val="es-MX" w:eastAsia="es-ES"/>
              </w:rPr>
              <w:t>21 255 118</w:t>
            </w:r>
          </w:p>
        </w:tc>
        <w:tc>
          <w:tcPr>
            <w:tcW w:w="695" w:type="pct"/>
            <w:tcBorders>
              <w:bottom w:val="single" w:sz="4" w:space="0" w:color="auto"/>
            </w:tcBorders>
          </w:tcPr>
          <w:p w:rsidR="00000000" w:rsidRDefault="00000000">
            <w:pPr>
              <w:widowControl w:val="0"/>
              <w:tabs>
                <w:tab w:val="decimal" w:pos="1056"/>
              </w:tabs>
              <w:spacing w:before="60" w:after="60"/>
              <w:jc w:val="center"/>
              <w:rPr>
                <w:bCs/>
                <w:sz w:val="20"/>
                <w:lang w:val="es-MX" w:eastAsia="es-ES"/>
              </w:rPr>
            </w:pPr>
            <w:r>
              <w:rPr>
                <w:bCs/>
                <w:sz w:val="20"/>
                <w:lang w:val="es-MX" w:eastAsia="es-ES"/>
              </w:rPr>
              <w:t>2 391 342</w:t>
            </w:r>
          </w:p>
        </w:tc>
        <w:tc>
          <w:tcPr>
            <w:tcW w:w="657" w:type="pct"/>
            <w:tcBorders>
              <w:bottom w:val="single" w:sz="4" w:space="0" w:color="auto"/>
            </w:tcBorders>
          </w:tcPr>
          <w:p w:rsidR="00000000" w:rsidRDefault="00000000">
            <w:pPr>
              <w:widowControl w:val="0"/>
              <w:spacing w:before="60" w:after="60"/>
              <w:jc w:val="center"/>
              <w:rPr>
                <w:bCs/>
                <w:sz w:val="20"/>
                <w:lang w:val="es-MX" w:eastAsia="es-ES"/>
              </w:rPr>
            </w:pPr>
            <w:r>
              <w:rPr>
                <w:bCs/>
                <w:sz w:val="20"/>
                <w:lang w:val="es-MX" w:eastAsia="es-ES"/>
              </w:rPr>
              <w:t>4.73</w:t>
            </w:r>
          </w:p>
        </w:tc>
        <w:tc>
          <w:tcPr>
            <w:tcW w:w="728" w:type="pct"/>
            <w:gridSpan w:val="2"/>
            <w:tcBorders>
              <w:bottom w:val="single" w:sz="4" w:space="0" w:color="auto"/>
            </w:tcBorders>
          </w:tcPr>
          <w:p w:rsidR="00000000" w:rsidRDefault="00000000">
            <w:pPr>
              <w:widowControl w:val="0"/>
              <w:tabs>
                <w:tab w:val="decimal" w:pos="634"/>
              </w:tabs>
              <w:spacing w:before="60" w:after="60"/>
              <w:jc w:val="center"/>
              <w:rPr>
                <w:bCs/>
                <w:sz w:val="20"/>
                <w:lang w:val="es-MX" w:eastAsia="es-ES"/>
              </w:rPr>
            </w:pPr>
            <w:r>
              <w:rPr>
                <w:bCs/>
                <w:sz w:val="20"/>
                <w:lang w:val="es-MX" w:eastAsia="es-ES"/>
              </w:rPr>
              <w:t>11.25</w:t>
            </w:r>
          </w:p>
        </w:tc>
      </w:tr>
    </w:tbl>
    <w:p w:rsidR="00000000" w:rsidRDefault="00000000">
      <w:pPr>
        <w:spacing w:before="120" w:after="80"/>
        <w:ind w:left="567"/>
        <w:rPr>
          <w:sz w:val="20"/>
          <w:lang w:val="en-US"/>
        </w:rPr>
      </w:pPr>
      <w:r>
        <w:rPr>
          <w:i/>
          <w:iCs/>
          <w:sz w:val="20"/>
          <w:lang w:val="en-US"/>
        </w:rPr>
        <w:t xml:space="preserve">Source: </w:t>
      </w:r>
      <w:r>
        <w:rPr>
          <w:sz w:val="20"/>
          <w:lang w:val="en-US"/>
        </w:rPr>
        <w:t>accounting system (SICO). Figures in million guaraníes.</w:t>
      </w:r>
    </w:p>
    <w:p w:rsidR="00000000" w:rsidRDefault="00000000">
      <w:pPr>
        <w:spacing w:after="80"/>
        <w:ind w:firstLine="567"/>
        <w:rPr>
          <w:sz w:val="20"/>
          <w:lang w:val="en-US"/>
        </w:rPr>
      </w:pPr>
      <w:r>
        <w:rPr>
          <w:b/>
          <w:bCs/>
          <w:sz w:val="22"/>
          <w:vertAlign w:val="superscript"/>
          <w:lang w:val="en-US"/>
        </w:rPr>
        <w:t>1</w:t>
      </w:r>
      <w:r>
        <w:rPr>
          <w:sz w:val="20"/>
          <w:lang w:val="en-US"/>
        </w:rPr>
        <w:t xml:space="preserve">  Up to 1996: adjusted budget for central administration.  From 1997 onwards: budget of central administration and decentralized entities. </w:t>
      </w:r>
    </w:p>
    <w:p w:rsidR="00000000" w:rsidRDefault="00000000">
      <w:pPr>
        <w:spacing w:after="80"/>
        <w:ind w:firstLine="567"/>
        <w:rPr>
          <w:sz w:val="20"/>
          <w:lang w:val="en-US"/>
        </w:rPr>
      </w:pPr>
      <w:r>
        <w:rPr>
          <w:b/>
          <w:bCs/>
          <w:sz w:val="22"/>
          <w:vertAlign w:val="superscript"/>
          <w:lang w:val="en-US"/>
        </w:rPr>
        <w:t>2</w:t>
      </w:r>
      <w:r>
        <w:rPr>
          <w:sz w:val="20"/>
          <w:lang w:val="en-US"/>
        </w:rPr>
        <w:t xml:space="preserve">  Allocation by functional classification. Includes all bodies providing social security benefits of any kind. IPS plus 4 old-age and retirement pension assistance funds. </w:t>
      </w:r>
    </w:p>
    <w:p w:rsidR="00000000" w:rsidRDefault="00000000">
      <w:pPr>
        <w:spacing w:after="240"/>
        <w:ind w:firstLine="567"/>
        <w:rPr>
          <w:sz w:val="20"/>
          <w:lang w:val="en-US"/>
        </w:rPr>
      </w:pPr>
      <w:r>
        <w:rPr>
          <w:sz w:val="22"/>
          <w:vertAlign w:val="superscript"/>
          <w:lang w:val="en-US"/>
        </w:rPr>
        <w:t>*</w:t>
      </w:r>
      <w:r>
        <w:rPr>
          <w:sz w:val="20"/>
          <w:lang w:val="en-US"/>
        </w:rPr>
        <w:t xml:space="preserve">  For 2006 an estimate of GDP is given. Source: Central Bank of Paraguay. </w:t>
      </w:r>
    </w:p>
    <w:p w:rsidR="00000000" w:rsidRDefault="00000000">
      <w:pPr>
        <w:pStyle w:val="xl46"/>
        <w:spacing w:before="0" w:beforeAutospacing="0" w:after="240" w:afterAutospacing="0"/>
        <w:rPr>
          <w:rFonts w:ascii="Times New Roman" w:eastAsia="Times New Roman" w:hAnsi="Times New Roman" w:cs="Times New Roman"/>
          <w:szCs w:val="24"/>
          <w:lang w:val="en-US" w:eastAsia="en-US"/>
        </w:rPr>
      </w:pPr>
      <w:r>
        <w:rPr>
          <w:rFonts w:ascii="Times New Roman" w:eastAsia="Times New Roman" w:hAnsi="Times New Roman" w:cs="Times New Roman"/>
          <w:szCs w:val="24"/>
          <w:lang w:val="en-US" w:eastAsia="en-US"/>
        </w:rPr>
        <w:t>Trends in social insurance expenditure of the Social Security Institute (IPS)</w:t>
      </w:r>
    </w:p>
    <w:tbl>
      <w:tblPr>
        <w:tblW w:w="5000" w:type="pct"/>
        <w:tblLayout w:type="fixed"/>
        <w:tblCellMar>
          <w:left w:w="0" w:type="dxa"/>
          <w:right w:w="0" w:type="dxa"/>
        </w:tblCellMar>
        <w:tblLook w:val="0000" w:firstRow="0" w:lastRow="0" w:firstColumn="0" w:lastColumn="0" w:noHBand="0" w:noVBand="0"/>
      </w:tblPr>
      <w:tblGrid>
        <w:gridCol w:w="2732"/>
        <w:gridCol w:w="843"/>
        <w:gridCol w:w="843"/>
        <w:gridCol w:w="843"/>
        <w:gridCol w:w="843"/>
        <w:gridCol w:w="843"/>
        <w:gridCol w:w="843"/>
        <w:gridCol w:w="843"/>
        <w:gridCol w:w="796"/>
      </w:tblGrid>
      <w:tr w:rsidR="00000000">
        <w:trPr>
          <w:cantSplit/>
          <w:tblHeader/>
        </w:trPr>
        <w:tc>
          <w:tcPr>
            <w:tcW w:w="1449" w:type="pct"/>
            <w:vMerge w:val="restart"/>
            <w:tcBorders>
              <w:top w:val="single" w:sz="4" w:space="0" w:color="auto"/>
              <w:bottom w:val="single" w:sz="4" w:space="0" w:color="auto"/>
            </w:tcBorders>
            <w:noWrap/>
            <w:vAlign w:val="center"/>
          </w:tcPr>
          <w:p w:rsidR="00000000" w:rsidRDefault="00000000">
            <w:pPr>
              <w:widowControl w:val="0"/>
              <w:spacing w:before="80" w:after="80"/>
              <w:jc w:val="center"/>
              <w:rPr>
                <w:i/>
                <w:iCs/>
                <w:sz w:val="18"/>
                <w:szCs w:val="14"/>
                <w:lang w:val="en-US"/>
              </w:rPr>
            </w:pPr>
            <w:r>
              <w:rPr>
                <w:b/>
                <w:bCs/>
                <w:sz w:val="18"/>
                <w:szCs w:val="14"/>
              </w:rPr>
              <w:t>Total IPS budget</w:t>
            </w:r>
          </w:p>
        </w:tc>
        <w:tc>
          <w:tcPr>
            <w:tcW w:w="447" w:type="pct"/>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14"/>
                <w:lang w:val="en-US"/>
              </w:rPr>
            </w:pPr>
            <w:r>
              <w:rPr>
                <w:b/>
                <w:bCs/>
                <w:i/>
                <w:iCs/>
                <w:sz w:val="18"/>
                <w:szCs w:val="14"/>
                <w:lang w:val="en-US"/>
              </w:rPr>
              <w:t>1997</w:t>
            </w:r>
          </w:p>
        </w:tc>
        <w:tc>
          <w:tcPr>
            <w:tcW w:w="447" w:type="pct"/>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14"/>
                <w:lang w:val="en-US"/>
              </w:rPr>
            </w:pPr>
            <w:r>
              <w:rPr>
                <w:b/>
                <w:bCs/>
                <w:i/>
                <w:iCs/>
                <w:sz w:val="18"/>
                <w:szCs w:val="14"/>
                <w:lang w:val="en-US"/>
              </w:rPr>
              <w:t>1998</w:t>
            </w:r>
          </w:p>
        </w:tc>
        <w:tc>
          <w:tcPr>
            <w:tcW w:w="447" w:type="pct"/>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14"/>
                <w:lang w:val="en-US"/>
              </w:rPr>
            </w:pPr>
            <w:r>
              <w:rPr>
                <w:b/>
                <w:bCs/>
                <w:i/>
                <w:iCs/>
                <w:sz w:val="18"/>
                <w:szCs w:val="14"/>
                <w:lang w:val="en-US"/>
              </w:rPr>
              <w:t>1999</w:t>
            </w:r>
          </w:p>
        </w:tc>
        <w:tc>
          <w:tcPr>
            <w:tcW w:w="447" w:type="pct"/>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14"/>
                <w:lang w:val="en-US"/>
              </w:rPr>
            </w:pPr>
            <w:r>
              <w:rPr>
                <w:b/>
                <w:bCs/>
                <w:i/>
                <w:iCs/>
                <w:sz w:val="18"/>
                <w:szCs w:val="14"/>
                <w:lang w:val="en-US"/>
              </w:rPr>
              <w:t>2000</w:t>
            </w:r>
          </w:p>
        </w:tc>
        <w:tc>
          <w:tcPr>
            <w:tcW w:w="447" w:type="pct"/>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14"/>
                <w:lang w:val="en-US"/>
              </w:rPr>
            </w:pPr>
            <w:r>
              <w:rPr>
                <w:b/>
                <w:bCs/>
                <w:i/>
                <w:iCs/>
                <w:sz w:val="18"/>
                <w:szCs w:val="14"/>
                <w:lang w:val="en-US"/>
              </w:rPr>
              <w:t>2001</w:t>
            </w:r>
          </w:p>
        </w:tc>
        <w:tc>
          <w:tcPr>
            <w:tcW w:w="447" w:type="pct"/>
            <w:tcBorders>
              <w:top w:val="single" w:sz="4" w:space="0" w:color="auto"/>
              <w:bottom w:val="single" w:sz="4" w:space="0" w:color="auto"/>
            </w:tcBorders>
            <w:vAlign w:val="center"/>
          </w:tcPr>
          <w:p w:rsidR="00000000" w:rsidRDefault="00000000">
            <w:pPr>
              <w:widowControl w:val="0"/>
              <w:spacing w:before="80" w:after="80"/>
              <w:jc w:val="center"/>
              <w:rPr>
                <w:b/>
                <w:bCs/>
                <w:i/>
                <w:iCs/>
                <w:sz w:val="18"/>
                <w:szCs w:val="14"/>
                <w:lang w:val="en-US"/>
              </w:rPr>
            </w:pPr>
            <w:r>
              <w:rPr>
                <w:b/>
                <w:bCs/>
                <w:i/>
                <w:iCs/>
                <w:sz w:val="18"/>
                <w:szCs w:val="14"/>
                <w:lang w:val="en-US"/>
              </w:rPr>
              <w:t>2002</w:t>
            </w:r>
          </w:p>
        </w:tc>
        <w:tc>
          <w:tcPr>
            <w:tcW w:w="447" w:type="pct"/>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14"/>
                <w:lang w:val="en-US"/>
              </w:rPr>
            </w:pPr>
            <w:r>
              <w:rPr>
                <w:b/>
                <w:bCs/>
                <w:i/>
                <w:iCs/>
                <w:sz w:val="18"/>
                <w:szCs w:val="14"/>
                <w:lang w:val="en-US"/>
              </w:rPr>
              <w:t>2003</w:t>
            </w:r>
          </w:p>
        </w:tc>
        <w:tc>
          <w:tcPr>
            <w:tcW w:w="422" w:type="pct"/>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14"/>
                <w:lang w:val="en-US"/>
              </w:rPr>
            </w:pPr>
            <w:r>
              <w:rPr>
                <w:b/>
                <w:bCs/>
                <w:i/>
                <w:iCs/>
                <w:sz w:val="18"/>
                <w:szCs w:val="14"/>
                <w:lang w:val="en-US"/>
              </w:rPr>
              <w:t>2004</w:t>
            </w:r>
          </w:p>
        </w:tc>
      </w:tr>
      <w:tr w:rsidR="00000000">
        <w:trPr>
          <w:cantSplit/>
          <w:tblHeader/>
        </w:trPr>
        <w:tc>
          <w:tcPr>
            <w:tcW w:w="1449" w:type="pct"/>
            <w:vMerge/>
            <w:tcBorders>
              <w:top w:val="single" w:sz="4" w:space="0" w:color="auto"/>
              <w:bottom w:val="single" w:sz="4" w:space="0" w:color="auto"/>
            </w:tcBorders>
            <w:noWrap/>
            <w:vAlign w:val="bottom"/>
          </w:tcPr>
          <w:p w:rsidR="00000000" w:rsidRDefault="00000000">
            <w:pPr>
              <w:widowControl w:val="0"/>
              <w:spacing w:before="80" w:after="80"/>
              <w:jc w:val="center"/>
              <w:rPr>
                <w:b/>
                <w:bCs/>
                <w:i/>
                <w:iCs/>
                <w:sz w:val="18"/>
                <w:szCs w:val="14"/>
                <w:lang w:val="en-US"/>
              </w:rPr>
            </w:pPr>
          </w:p>
        </w:tc>
        <w:tc>
          <w:tcPr>
            <w:tcW w:w="447" w:type="pct"/>
            <w:tcBorders>
              <w:top w:val="single" w:sz="4" w:space="0" w:color="auto"/>
              <w:bottom w:val="single" w:sz="4" w:space="0" w:color="auto"/>
            </w:tcBorders>
            <w:noWrap/>
            <w:vAlign w:val="bottom"/>
          </w:tcPr>
          <w:p w:rsidR="00000000" w:rsidRDefault="00000000">
            <w:pPr>
              <w:widowControl w:val="0"/>
              <w:spacing w:before="80" w:after="80"/>
              <w:jc w:val="center"/>
              <w:rPr>
                <w:b/>
                <w:bCs/>
                <w:i/>
                <w:iCs/>
                <w:sz w:val="18"/>
                <w:szCs w:val="14"/>
                <w:lang w:val="en-US"/>
              </w:rPr>
            </w:pPr>
            <w:r>
              <w:rPr>
                <w:b/>
                <w:bCs/>
                <w:i/>
                <w:iCs/>
                <w:sz w:val="18"/>
                <w:szCs w:val="14"/>
                <w:lang w:val="en-US"/>
              </w:rPr>
              <w:t>726 917</w:t>
            </w:r>
          </w:p>
        </w:tc>
        <w:tc>
          <w:tcPr>
            <w:tcW w:w="447" w:type="pct"/>
            <w:tcBorders>
              <w:top w:val="single" w:sz="4" w:space="0" w:color="auto"/>
              <w:bottom w:val="single" w:sz="4" w:space="0" w:color="auto"/>
            </w:tcBorders>
            <w:noWrap/>
            <w:vAlign w:val="bottom"/>
          </w:tcPr>
          <w:p w:rsidR="00000000" w:rsidRDefault="00000000">
            <w:pPr>
              <w:widowControl w:val="0"/>
              <w:spacing w:before="80" w:after="80"/>
              <w:jc w:val="center"/>
              <w:rPr>
                <w:b/>
                <w:bCs/>
                <w:i/>
                <w:iCs/>
                <w:sz w:val="18"/>
                <w:szCs w:val="14"/>
                <w:lang w:val="en-US"/>
              </w:rPr>
            </w:pPr>
            <w:r>
              <w:rPr>
                <w:b/>
                <w:bCs/>
                <w:i/>
                <w:iCs/>
                <w:sz w:val="18"/>
                <w:szCs w:val="14"/>
                <w:lang w:val="en-US"/>
              </w:rPr>
              <w:t>700 767</w:t>
            </w:r>
          </w:p>
        </w:tc>
        <w:tc>
          <w:tcPr>
            <w:tcW w:w="447" w:type="pct"/>
            <w:tcBorders>
              <w:top w:val="single" w:sz="4" w:space="0" w:color="auto"/>
              <w:bottom w:val="single" w:sz="4" w:space="0" w:color="auto"/>
            </w:tcBorders>
            <w:noWrap/>
            <w:vAlign w:val="bottom"/>
          </w:tcPr>
          <w:p w:rsidR="00000000" w:rsidRDefault="00000000">
            <w:pPr>
              <w:widowControl w:val="0"/>
              <w:spacing w:before="80" w:after="80"/>
              <w:jc w:val="center"/>
              <w:rPr>
                <w:b/>
                <w:bCs/>
                <w:i/>
                <w:iCs/>
                <w:sz w:val="18"/>
                <w:szCs w:val="14"/>
                <w:lang w:val="en-US"/>
              </w:rPr>
            </w:pPr>
            <w:r>
              <w:rPr>
                <w:b/>
                <w:bCs/>
                <w:i/>
                <w:iCs/>
                <w:sz w:val="18"/>
                <w:szCs w:val="14"/>
                <w:lang w:val="en-US"/>
              </w:rPr>
              <w:t>450 499</w:t>
            </w:r>
          </w:p>
        </w:tc>
        <w:tc>
          <w:tcPr>
            <w:tcW w:w="447" w:type="pct"/>
            <w:tcBorders>
              <w:top w:val="single" w:sz="4" w:space="0" w:color="auto"/>
              <w:bottom w:val="single" w:sz="4" w:space="0" w:color="auto"/>
            </w:tcBorders>
            <w:noWrap/>
            <w:vAlign w:val="bottom"/>
          </w:tcPr>
          <w:p w:rsidR="00000000" w:rsidRDefault="00000000">
            <w:pPr>
              <w:widowControl w:val="0"/>
              <w:spacing w:before="80" w:after="80"/>
              <w:jc w:val="center"/>
              <w:rPr>
                <w:b/>
                <w:bCs/>
                <w:i/>
                <w:iCs/>
                <w:sz w:val="18"/>
                <w:szCs w:val="14"/>
                <w:lang w:val="en-US"/>
              </w:rPr>
            </w:pPr>
            <w:r>
              <w:rPr>
                <w:b/>
                <w:bCs/>
                <w:i/>
                <w:iCs/>
                <w:sz w:val="18"/>
                <w:szCs w:val="14"/>
                <w:lang w:val="en-US"/>
              </w:rPr>
              <w:t>539 735</w:t>
            </w:r>
          </w:p>
        </w:tc>
        <w:tc>
          <w:tcPr>
            <w:tcW w:w="447" w:type="pct"/>
            <w:tcBorders>
              <w:top w:val="single" w:sz="4" w:space="0" w:color="auto"/>
              <w:bottom w:val="single" w:sz="4" w:space="0" w:color="auto"/>
            </w:tcBorders>
            <w:noWrap/>
            <w:vAlign w:val="bottom"/>
          </w:tcPr>
          <w:p w:rsidR="00000000" w:rsidRDefault="00000000">
            <w:pPr>
              <w:widowControl w:val="0"/>
              <w:spacing w:before="80" w:after="80"/>
              <w:jc w:val="center"/>
              <w:rPr>
                <w:b/>
                <w:bCs/>
                <w:i/>
                <w:iCs/>
                <w:sz w:val="18"/>
                <w:szCs w:val="14"/>
                <w:lang w:val="en-US"/>
              </w:rPr>
            </w:pPr>
            <w:r>
              <w:rPr>
                <w:b/>
                <w:bCs/>
                <w:i/>
                <w:iCs/>
                <w:sz w:val="18"/>
                <w:szCs w:val="14"/>
                <w:lang w:val="en-US"/>
              </w:rPr>
              <w:t>672 637</w:t>
            </w:r>
          </w:p>
        </w:tc>
        <w:tc>
          <w:tcPr>
            <w:tcW w:w="447" w:type="pct"/>
            <w:tcBorders>
              <w:top w:val="single" w:sz="4" w:space="0" w:color="auto"/>
              <w:bottom w:val="single" w:sz="4" w:space="0" w:color="auto"/>
            </w:tcBorders>
            <w:vAlign w:val="bottom"/>
          </w:tcPr>
          <w:p w:rsidR="00000000" w:rsidRDefault="00000000">
            <w:pPr>
              <w:widowControl w:val="0"/>
              <w:spacing w:before="80" w:after="80"/>
              <w:jc w:val="center"/>
              <w:rPr>
                <w:b/>
                <w:bCs/>
                <w:i/>
                <w:iCs/>
                <w:sz w:val="18"/>
                <w:szCs w:val="14"/>
                <w:lang w:val="en-US"/>
              </w:rPr>
            </w:pPr>
            <w:r>
              <w:rPr>
                <w:b/>
                <w:bCs/>
                <w:i/>
                <w:iCs/>
                <w:sz w:val="18"/>
                <w:szCs w:val="14"/>
                <w:lang w:val="en-US"/>
              </w:rPr>
              <w:t>853 903</w:t>
            </w:r>
          </w:p>
        </w:tc>
        <w:tc>
          <w:tcPr>
            <w:tcW w:w="447" w:type="pct"/>
            <w:tcBorders>
              <w:top w:val="single" w:sz="4" w:space="0" w:color="auto"/>
              <w:bottom w:val="single" w:sz="4" w:space="0" w:color="auto"/>
            </w:tcBorders>
            <w:noWrap/>
            <w:vAlign w:val="bottom"/>
          </w:tcPr>
          <w:p w:rsidR="00000000" w:rsidRDefault="00000000">
            <w:pPr>
              <w:widowControl w:val="0"/>
              <w:spacing w:before="80" w:after="80"/>
              <w:jc w:val="center"/>
              <w:rPr>
                <w:b/>
                <w:bCs/>
                <w:i/>
                <w:iCs/>
                <w:sz w:val="18"/>
                <w:szCs w:val="14"/>
                <w:lang w:val="en-US"/>
              </w:rPr>
            </w:pPr>
            <w:r>
              <w:rPr>
                <w:b/>
                <w:bCs/>
                <w:i/>
                <w:iCs/>
                <w:sz w:val="18"/>
                <w:szCs w:val="14"/>
                <w:lang w:val="en-US"/>
              </w:rPr>
              <w:t>705 514</w:t>
            </w:r>
          </w:p>
        </w:tc>
        <w:tc>
          <w:tcPr>
            <w:tcW w:w="422" w:type="pct"/>
            <w:tcBorders>
              <w:top w:val="single" w:sz="4" w:space="0" w:color="auto"/>
              <w:bottom w:val="single" w:sz="4" w:space="0" w:color="auto"/>
            </w:tcBorders>
            <w:noWrap/>
            <w:vAlign w:val="bottom"/>
          </w:tcPr>
          <w:p w:rsidR="00000000" w:rsidRDefault="00000000">
            <w:pPr>
              <w:widowControl w:val="0"/>
              <w:spacing w:before="80" w:after="80"/>
              <w:jc w:val="center"/>
              <w:rPr>
                <w:b/>
                <w:bCs/>
                <w:i/>
                <w:iCs/>
                <w:sz w:val="18"/>
                <w:szCs w:val="14"/>
                <w:lang w:val="en-US"/>
              </w:rPr>
            </w:pPr>
            <w:r>
              <w:rPr>
                <w:b/>
                <w:bCs/>
                <w:i/>
                <w:iCs/>
                <w:sz w:val="18"/>
                <w:szCs w:val="14"/>
                <w:lang w:val="en-US"/>
              </w:rPr>
              <w:t>830 230</w:t>
            </w:r>
          </w:p>
        </w:tc>
      </w:tr>
      <w:tr w:rsidR="00000000">
        <w:tc>
          <w:tcPr>
            <w:tcW w:w="1449" w:type="pct"/>
            <w:tcBorders>
              <w:top w:val="single" w:sz="4" w:space="0" w:color="auto"/>
            </w:tcBorders>
            <w:noWrap/>
            <w:vAlign w:val="bottom"/>
          </w:tcPr>
          <w:p w:rsidR="00000000" w:rsidRDefault="00000000">
            <w:pPr>
              <w:widowControl w:val="0"/>
              <w:spacing w:before="80" w:after="80"/>
              <w:rPr>
                <w:sz w:val="18"/>
                <w:szCs w:val="14"/>
                <w:lang w:val="en-US"/>
              </w:rPr>
            </w:pPr>
            <w:r>
              <w:rPr>
                <w:sz w:val="18"/>
                <w:szCs w:val="14"/>
              </w:rPr>
              <w:t>Health expenditure</w:t>
            </w:r>
          </w:p>
        </w:tc>
        <w:tc>
          <w:tcPr>
            <w:tcW w:w="447" w:type="pct"/>
            <w:tcBorders>
              <w:top w:val="single" w:sz="4" w:space="0" w:color="auto"/>
            </w:tcBorders>
            <w:noWrap/>
            <w:vAlign w:val="bottom"/>
          </w:tcPr>
          <w:p w:rsidR="00000000" w:rsidRDefault="00000000">
            <w:pPr>
              <w:widowControl w:val="0"/>
              <w:spacing w:before="80" w:after="80"/>
              <w:jc w:val="right"/>
              <w:rPr>
                <w:sz w:val="18"/>
                <w:szCs w:val="14"/>
                <w:lang w:val="en-US"/>
              </w:rPr>
            </w:pPr>
            <w:r>
              <w:rPr>
                <w:sz w:val="18"/>
                <w:szCs w:val="14"/>
                <w:lang w:val="en-US"/>
              </w:rPr>
              <w:t>240 617</w:t>
            </w:r>
          </w:p>
        </w:tc>
        <w:tc>
          <w:tcPr>
            <w:tcW w:w="447" w:type="pct"/>
            <w:tcBorders>
              <w:top w:val="single" w:sz="4" w:space="0" w:color="auto"/>
            </w:tcBorders>
            <w:noWrap/>
            <w:vAlign w:val="bottom"/>
          </w:tcPr>
          <w:p w:rsidR="00000000" w:rsidRDefault="00000000">
            <w:pPr>
              <w:widowControl w:val="0"/>
              <w:spacing w:before="80" w:after="80"/>
              <w:jc w:val="right"/>
              <w:rPr>
                <w:sz w:val="18"/>
                <w:szCs w:val="14"/>
                <w:lang w:val="en-US"/>
              </w:rPr>
            </w:pPr>
            <w:r>
              <w:rPr>
                <w:sz w:val="18"/>
                <w:szCs w:val="14"/>
                <w:lang w:val="en-US"/>
              </w:rPr>
              <w:t>350 725</w:t>
            </w:r>
          </w:p>
        </w:tc>
        <w:tc>
          <w:tcPr>
            <w:tcW w:w="447" w:type="pct"/>
            <w:tcBorders>
              <w:top w:val="single" w:sz="4" w:space="0" w:color="auto"/>
            </w:tcBorders>
            <w:noWrap/>
            <w:vAlign w:val="bottom"/>
          </w:tcPr>
          <w:p w:rsidR="00000000" w:rsidRDefault="00000000">
            <w:pPr>
              <w:widowControl w:val="0"/>
              <w:spacing w:before="80" w:after="80"/>
              <w:jc w:val="right"/>
              <w:rPr>
                <w:sz w:val="18"/>
                <w:szCs w:val="14"/>
                <w:lang w:val="en-US"/>
              </w:rPr>
            </w:pPr>
            <w:r>
              <w:rPr>
                <w:sz w:val="18"/>
                <w:szCs w:val="14"/>
                <w:lang w:val="en-US"/>
              </w:rPr>
              <w:t>377 540</w:t>
            </w:r>
          </w:p>
        </w:tc>
        <w:tc>
          <w:tcPr>
            <w:tcW w:w="447" w:type="pct"/>
            <w:tcBorders>
              <w:top w:val="single" w:sz="4" w:space="0" w:color="auto"/>
            </w:tcBorders>
            <w:noWrap/>
            <w:vAlign w:val="bottom"/>
          </w:tcPr>
          <w:p w:rsidR="00000000" w:rsidRDefault="00000000">
            <w:pPr>
              <w:widowControl w:val="0"/>
              <w:spacing w:before="80" w:after="80"/>
              <w:jc w:val="right"/>
              <w:rPr>
                <w:sz w:val="18"/>
                <w:szCs w:val="14"/>
                <w:lang w:val="en-US"/>
              </w:rPr>
            </w:pPr>
            <w:r>
              <w:rPr>
                <w:sz w:val="18"/>
                <w:szCs w:val="14"/>
                <w:lang w:val="en-US"/>
              </w:rPr>
              <w:t>483 677</w:t>
            </w:r>
          </w:p>
        </w:tc>
        <w:tc>
          <w:tcPr>
            <w:tcW w:w="447" w:type="pct"/>
            <w:tcBorders>
              <w:top w:val="single" w:sz="4" w:space="0" w:color="auto"/>
            </w:tcBorders>
            <w:noWrap/>
            <w:vAlign w:val="bottom"/>
          </w:tcPr>
          <w:p w:rsidR="00000000" w:rsidRDefault="00000000">
            <w:pPr>
              <w:widowControl w:val="0"/>
              <w:spacing w:before="80" w:after="80"/>
              <w:jc w:val="right"/>
              <w:rPr>
                <w:sz w:val="18"/>
                <w:szCs w:val="14"/>
                <w:lang w:val="en-US"/>
              </w:rPr>
            </w:pPr>
            <w:r>
              <w:rPr>
                <w:sz w:val="18"/>
                <w:szCs w:val="14"/>
                <w:lang w:val="en-US"/>
              </w:rPr>
              <w:t>394 746</w:t>
            </w:r>
          </w:p>
        </w:tc>
        <w:tc>
          <w:tcPr>
            <w:tcW w:w="447" w:type="pct"/>
            <w:tcBorders>
              <w:top w:val="single" w:sz="4" w:space="0" w:color="auto"/>
            </w:tcBorders>
            <w:vAlign w:val="bottom"/>
          </w:tcPr>
          <w:p w:rsidR="00000000" w:rsidRDefault="00000000">
            <w:pPr>
              <w:widowControl w:val="0"/>
              <w:spacing w:before="80" w:after="80"/>
              <w:jc w:val="right"/>
              <w:rPr>
                <w:sz w:val="18"/>
                <w:szCs w:val="14"/>
                <w:lang w:val="en-US"/>
              </w:rPr>
            </w:pPr>
            <w:r>
              <w:rPr>
                <w:sz w:val="18"/>
                <w:szCs w:val="14"/>
                <w:lang w:val="en-US"/>
              </w:rPr>
              <w:t>318 576</w:t>
            </w:r>
          </w:p>
        </w:tc>
        <w:tc>
          <w:tcPr>
            <w:tcW w:w="447" w:type="pct"/>
            <w:tcBorders>
              <w:top w:val="single" w:sz="4" w:space="0" w:color="auto"/>
            </w:tcBorders>
            <w:noWrap/>
            <w:vAlign w:val="bottom"/>
          </w:tcPr>
          <w:p w:rsidR="00000000" w:rsidRDefault="00000000">
            <w:pPr>
              <w:widowControl w:val="0"/>
              <w:spacing w:before="80" w:after="80"/>
              <w:jc w:val="right"/>
              <w:rPr>
                <w:sz w:val="18"/>
                <w:szCs w:val="14"/>
                <w:lang w:val="en-US"/>
              </w:rPr>
            </w:pPr>
            <w:r>
              <w:rPr>
                <w:sz w:val="18"/>
                <w:szCs w:val="14"/>
                <w:lang w:val="en-US"/>
              </w:rPr>
              <w:t>352 792</w:t>
            </w:r>
          </w:p>
        </w:tc>
        <w:tc>
          <w:tcPr>
            <w:tcW w:w="422" w:type="pct"/>
            <w:tcBorders>
              <w:top w:val="single" w:sz="4" w:space="0" w:color="auto"/>
            </w:tcBorders>
            <w:noWrap/>
            <w:vAlign w:val="bottom"/>
          </w:tcPr>
          <w:p w:rsidR="00000000" w:rsidRDefault="00000000">
            <w:pPr>
              <w:widowControl w:val="0"/>
              <w:spacing w:before="80" w:after="80"/>
              <w:jc w:val="right"/>
              <w:rPr>
                <w:sz w:val="18"/>
                <w:szCs w:val="14"/>
                <w:lang w:val="en-US"/>
              </w:rPr>
            </w:pPr>
            <w:r>
              <w:rPr>
                <w:sz w:val="18"/>
                <w:szCs w:val="14"/>
                <w:lang w:val="en-US"/>
              </w:rPr>
              <w:t>401 069</w:t>
            </w:r>
          </w:p>
        </w:tc>
      </w:tr>
      <w:tr w:rsidR="00000000">
        <w:tc>
          <w:tcPr>
            <w:tcW w:w="1449" w:type="pct"/>
            <w:noWrap/>
            <w:vAlign w:val="bottom"/>
          </w:tcPr>
          <w:p w:rsidR="00000000" w:rsidRDefault="00000000">
            <w:pPr>
              <w:widowControl w:val="0"/>
              <w:spacing w:before="80" w:after="80"/>
              <w:rPr>
                <w:sz w:val="18"/>
                <w:szCs w:val="14"/>
                <w:lang w:val="en-US"/>
              </w:rPr>
            </w:pPr>
            <w:r>
              <w:rPr>
                <w:sz w:val="18"/>
                <w:szCs w:val="14"/>
              </w:rPr>
              <w:t>Pension and retirement benefit expenditure</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vAlign w:val="bottom"/>
          </w:tcPr>
          <w:p w:rsidR="00000000" w:rsidRDefault="00000000">
            <w:pPr>
              <w:widowControl w:val="0"/>
              <w:spacing w:before="80" w:after="80"/>
              <w:jc w:val="right"/>
              <w:rPr>
                <w:sz w:val="18"/>
                <w:szCs w:val="14"/>
                <w:lang w:val="en-US"/>
              </w:rPr>
            </w:pPr>
            <w:r>
              <w:rPr>
                <w:sz w:val="18"/>
                <w:szCs w:val="14"/>
                <w:lang w:val="en-US"/>
              </w:rPr>
              <w:t>271 791</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338 616</w:t>
            </w:r>
          </w:p>
        </w:tc>
        <w:tc>
          <w:tcPr>
            <w:tcW w:w="422" w:type="pct"/>
            <w:noWrap/>
            <w:vAlign w:val="bottom"/>
          </w:tcPr>
          <w:p w:rsidR="00000000" w:rsidRDefault="00000000">
            <w:pPr>
              <w:widowControl w:val="0"/>
              <w:spacing w:before="80" w:after="80"/>
              <w:jc w:val="right"/>
              <w:rPr>
                <w:sz w:val="18"/>
                <w:szCs w:val="14"/>
                <w:lang w:val="en-US"/>
              </w:rPr>
            </w:pPr>
            <w:r>
              <w:rPr>
                <w:sz w:val="18"/>
                <w:szCs w:val="14"/>
                <w:lang w:val="en-US"/>
              </w:rPr>
              <w:t>409 773</w:t>
            </w:r>
          </w:p>
        </w:tc>
      </w:tr>
      <w:tr w:rsidR="00000000">
        <w:tc>
          <w:tcPr>
            <w:tcW w:w="1449" w:type="pct"/>
            <w:noWrap/>
            <w:vAlign w:val="bottom"/>
          </w:tcPr>
          <w:p w:rsidR="00000000" w:rsidRDefault="00000000">
            <w:pPr>
              <w:widowControl w:val="0"/>
              <w:spacing w:before="80" w:after="80"/>
              <w:rPr>
                <w:sz w:val="18"/>
                <w:szCs w:val="14"/>
                <w:lang w:val="en-US"/>
              </w:rPr>
            </w:pPr>
            <w:r>
              <w:rPr>
                <w:sz w:val="18"/>
                <w:szCs w:val="14"/>
              </w:rPr>
              <w:t>Other expenditure</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350 042</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72 959</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56 058</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277 891</w:t>
            </w:r>
          </w:p>
        </w:tc>
        <w:tc>
          <w:tcPr>
            <w:tcW w:w="447" w:type="pct"/>
            <w:vAlign w:val="bottom"/>
          </w:tcPr>
          <w:p w:rsidR="00000000" w:rsidRDefault="00000000">
            <w:pPr>
              <w:widowControl w:val="0"/>
              <w:spacing w:before="80" w:after="80"/>
              <w:jc w:val="right"/>
              <w:rPr>
                <w:sz w:val="18"/>
                <w:szCs w:val="14"/>
                <w:lang w:val="en-US"/>
              </w:rPr>
            </w:pPr>
            <w:r>
              <w:rPr>
                <w:sz w:val="18"/>
                <w:szCs w:val="14"/>
                <w:lang w:val="en-US"/>
              </w:rPr>
              <w:t>263 536</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14 106</w:t>
            </w:r>
          </w:p>
        </w:tc>
        <w:tc>
          <w:tcPr>
            <w:tcW w:w="422" w:type="pct"/>
            <w:noWrap/>
            <w:vAlign w:val="bottom"/>
          </w:tcPr>
          <w:p w:rsidR="00000000" w:rsidRDefault="00000000">
            <w:pPr>
              <w:widowControl w:val="0"/>
              <w:spacing w:before="80" w:after="80"/>
              <w:jc w:val="right"/>
              <w:rPr>
                <w:sz w:val="18"/>
                <w:szCs w:val="14"/>
                <w:lang w:val="en-US"/>
              </w:rPr>
            </w:pPr>
            <w:r>
              <w:rPr>
                <w:sz w:val="18"/>
                <w:szCs w:val="14"/>
                <w:lang w:val="en-US"/>
              </w:rPr>
              <w:t>19 388</w:t>
            </w:r>
          </w:p>
        </w:tc>
      </w:tr>
      <w:tr w:rsidR="00000000">
        <w:tc>
          <w:tcPr>
            <w:tcW w:w="1449" w:type="pct"/>
            <w:noWrap/>
            <w:vAlign w:val="bottom"/>
          </w:tcPr>
          <w:p w:rsidR="00000000" w:rsidRDefault="00000000">
            <w:pPr>
              <w:widowControl w:val="0"/>
              <w:spacing w:before="80" w:after="80"/>
              <w:rPr>
                <w:sz w:val="18"/>
                <w:szCs w:val="14"/>
                <w:lang w:val="en-US"/>
              </w:rPr>
            </w:pPr>
            <w:r>
              <w:rPr>
                <w:sz w:val="18"/>
                <w:szCs w:val="14"/>
              </w:rPr>
              <w:t>Total public expenditure</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10 014 255</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10 142 171</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9 748 383</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11 226 571</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11 475 031</w:t>
            </w:r>
          </w:p>
        </w:tc>
        <w:tc>
          <w:tcPr>
            <w:tcW w:w="447" w:type="pct"/>
            <w:vAlign w:val="bottom"/>
          </w:tcPr>
          <w:p w:rsidR="00000000" w:rsidRDefault="00000000">
            <w:pPr>
              <w:widowControl w:val="0"/>
              <w:spacing w:before="80" w:after="80"/>
              <w:jc w:val="right"/>
              <w:rPr>
                <w:sz w:val="18"/>
                <w:szCs w:val="14"/>
                <w:lang w:val="en-US"/>
              </w:rPr>
            </w:pPr>
            <w:r>
              <w:rPr>
                <w:sz w:val="18"/>
                <w:szCs w:val="14"/>
                <w:lang w:val="en-US"/>
              </w:rPr>
              <w:t>14 292 510</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15 546 136</w:t>
            </w:r>
          </w:p>
        </w:tc>
        <w:tc>
          <w:tcPr>
            <w:tcW w:w="422" w:type="pct"/>
            <w:noWrap/>
            <w:vAlign w:val="bottom"/>
          </w:tcPr>
          <w:p w:rsidR="00000000" w:rsidRDefault="00000000">
            <w:pPr>
              <w:widowControl w:val="0"/>
              <w:spacing w:before="80" w:after="80"/>
              <w:jc w:val="right"/>
              <w:rPr>
                <w:sz w:val="18"/>
                <w:szCs w:val="14"/>
                <w:lang w:val="en-US"/>
              </w:rPr>
            </w:pPr>
            <w:r>
              <w:rPr>
                <w:sz w:val="18"/>
                <w:szCs w:val="14"/>
                <w:lang w:val="en-US"/>
              </w:rPr>
              <w:t>16 564 956</w:t>
            </w:r>
          </w:p>
        </w:tc>
      </w:tr>
      <w:tr w:rsidR="00000000">
        <w:tc>
          <w:tcPr>
            <w:tcW w:w="1449" w:type="pct"/>
            <w:noWrap/>
            <w:vAlign w:val="bottom"/>
          </w:tcPr>
          <w:p w:rsidR="00000000" w:rsidRDefault="00000000">
            <w:pPr>
              <w:widowControl w:val="0"/>
              <w:spacing w:before="80" w:after="80"/>
              <w:rPr>
                <w:sz w:val="18"/>
                <w:szCs w:val="14"/>
                <w:lang w:val="en-US"/>
              </w:rPr>
            </w:pPr>
            <w:r>
              <w:rPr>
                <w:sz w:val="18"/>
                <w:szCs w:val="14"/>
                <w:lang w:val="sv-SE"/>
              </w:rPr>
              <w:t>Total national health expenditure</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1 324 732</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1 526 484</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1 747 512</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2 273 199</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2 351 880</w:t>
            </w:r>
          </w:p>
        </w:tc>
        <w:tc>
          <w:tcPr>
            <w:tcW w:w="447" w:type="pct"/>
            <w:vAlign w:val="bottom"/>
          </w:tcPr>
          <w:p w:rsidR="00000000" w:rsidRDefault="00000000">
            <w:pPr>
              <w:widowControl w:val="0"/>
              <w:spacing w:before="80" w:after="80"/>
              <w:jc w:val="right"/>
              <w:rPr>
                <w:sz w:val="18"/>
                <w:szCs w:val="14"/>
                <w:lang w:val="en-US"/>
              </w:rPr>
            </w:pPr>
            <w:r>
              <w:rPr>
                <w:sz w:val="18"/>
                <w:szCs w:val="14"/>
                <w:lang w:val="en-US"/>
              </w:rPr>
              <w:t>2 640 589</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2 813 799</w:t>
            </w:r>
          </w:p>
        </w:tc>
        <w:tc>
          <w:tcPr>
            <w:tcW w:w="422" w:type="pct"/>
            <w:noWrap/>
            <w:vAlign w:val="bottom"/>
          </w:tcPr>
          <w:p w:rsidR="00000000" w:rsidRDefault="00000000">
            <w:pPr>
              <w:widowControl w:val="0"/>
              <w:spacing w:before="80" w:after="80"/>
              <w:jc w:val="right"/>
              <w:rPr>
                <w:sz w:val="18"/>
                <w:szCs w:val="14"/>
                <w:lang w:val="en-US"/>
              </w:rPr>
            </w:pPr>
            <w:r>
              <w:rPr>
                <w:sz w:val="18"/>
                <w:szCs w:val="14"/>
                <w:lang w:val="en-US"/>
              </w:rPr>
              <w:t>3 178 524</w:t>
            </w:r>
          </w:p>
        </w:tc>
      </w:tr>
      <w:tr w:rsidR="00000000">
        <w:tc>
          <w:tcPr>
            <w:tcW w:w="1449" w:type="pct"/>
            <w:noWrap/>
            <w:vAlign w:val="bottom"/>
          </w:tcPr>
          <w:p w:rsidR="00000000" w:rsidRDefault="00000000">
            <w:pPr>
              <w:widowControl w:val="0"/>
              <w:spacing w:before="80" w:after="80"/>
              <w:rPr>
                <w:sz w:val="18"/>
                <w:szCs w:val="14"/>
                <w:lang w:val="en-US"/>
              </w:rPr>
            </w:pPr>
            <w:r>
              <w:rPr>
                <w:sz w:val="18"/>
                <w:szCs w:val="14"/>
              </w:rPr>
              <w:t>% Social security expenditure on pensions and retirement benefits/Gross domestic product</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noWrap/>
            <w:vAlign w:val="bottom"/>
          </w:tcPr>
          <w:p w:rsidR="00000000" w:rsidRDefault="00000000">
            <w:pPr>
              <w:widowControl w:val="0"/>
              <w:spacing w:before="80" w:after="80"/>
              <w:jc w:val="right"/>
              <w:rPr>
                <w:sz w:val="18"/>
                <w:lang w:val="en-US"/>
              </w:rPr>
            </w:pPr>
            <w:r>
              <w:rPr>
                <w:sz w:val="18"/>
                <w:szCs w:val="14"/>
                <w:lang w:val="en-US"/>
              </w:rPr>
              <w:t>-</w:t>
            </w:r>
          </w:p>
        </w:tc>
        <w:tc>
          <w:tcPr>
            <w:tcW w:w="447" w:type="pct"/>
            <w:vAlign w:val="bottom"/>
          </w:tcPr>
          <w:p w:rsidR="00000000" w:rsidRDefault="00000000">
            <w:pPr>
              <w:widowControl w:val="0"/>
              <w:tabs>
                <w:tab w:val="decimal" w:pos="368"/>
              </w:tabs>
              <w:spacing w:before="80" w:after="80"/>
              <w:jc w:val="right"/>
              <w:rPr>
                <w:sz w:val="18"/>
                <w:szCs w:val="14"/>
                <w:lang w:val="en-US"/>
              </w:rPr>
            </w:pPr>
            <w:r>
              <w:rPr>
                <w:sz w:val="18"/>
                <w:szCs w:val="14"/>
                <w:lang w:val="en-US"/>
              </w:rPr>
              <w:t>0.8</w:t>
            </w:r>
          </w:p>
        </w:tc>
        <w:tc>
          <w:tcPr>
            <w:tcW w:w="447" w:type="pct"/>
            <w:noWrap/>
            <w:vAlign w:val="bottom"/>
          </w:tcPr>
          <w:p w:rsidR="00000000" w:rsidRDefault="00000000">
            <w:pPr>
              <w:widowControl w:val="0"/>
              <w:tabs>
                <w:tab w:val="decimal" w:pos="368"/>
              </w:tabs>
              <w:spacing w:before="80" w:after="80"/>
              <w:jc w:val="right"/>
              <w:rPr>
                <w:sz w:val="18"/>
                <w:szCs w:val="14"/>
                <w:lang w:val="en-US"/>
              </w:rPr>
            </w:pPr>
            <w:r>
              <w:rPr>
                <w:sz w:val="18"/>
                <w:szCs w:val="14"/>
                <w:lang w:val="en-US"/>
              </w:rPr>
              <w:t>0.9</w:t>
            </w:r>
          </w:p>
        </w:tc>
        <w:tc>
          <w:tcPr>
            <w:tcW w:w="422" w:type="pct"/>
            <w:noWrap/>
            <w:vAlign w:val="bottom"/>
          </w:tcPr>
          <w:p w:rsidR="00000000" w:rsidRDefault="00000000">
            <w:pPr>
              <w:widowControl w:val="0"/>
              <w:tabs>
                <w:tab w:val="decimal" w:pos="368"/>
              </w:tabs>
              <w:spacing w:before="80" w:after="80"/>
              <w:jc w:val="right"/>
              <w:rPr>
                <w:sz w:val="18"/>
                <w:szCs w:val="14"/>
                <w:lang w:val="en-US"/>
              </w:rPr>
            </w:pPr>
            <w:r>
              <w:rPr>
                <w:sz w:val="18"/>
                <w:szCs w:val="14"/>
                <w:lang w:val="en-US"/>
              </w:rPr>
              <w:t>1.0</w:t>
            </w:r>
          </w:p>
        </w:tc>
      </w:tr>
      <w:tr w:rsidR="00000000">
        <w:tc>
          <w:tcPr>
            <w:tcW w:w="1449" w:type="pct"/>
            <w:noWrap/>
            <w:vAlign w:val="bottom"/>
          </w:tcPr>
          <w:p w:rsidR="00000000" w:rsidRDefault="00000000">
            <w:pPr>
              <w:widowControl w:val="0"/>
              <w:spacing w:before="80" w:after="80"/>
              <w:rPr>
                <w:sz w:val="18"/>
                <w:szCs w:val="14"/>
                <w:lang w:val="en-US"/>
              </w:rPr>
            </w:pPr>
            <w:r>
              <w:rPr>
                <w:sz w:val="18"/>
                <w:szCs w:val="14"/>
              </w:rPr>
              <w:t>% % Social security expenditure on pensions and retirement benefits / expenditure of central administration</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noWrap/>
            <w:vAlign w:val="bottom"/>
          </w:tcPr>
          <w:p w:rsidR="00000000" w:rsidRDefault="00000000">
            <w:pPr>
              <w:widowControl w:val="0"/>
              <w:spacing w:before="80" w:after="80"/>
              <w:jc w:val="right"/>
              <w:rPr>
                <w:sz w:val="18"/>
                <w:lang w:val="en-US"/>
              </w:rPr>
            </w:pPr>
            <w:r>
              <w:rPr>
                <w:sz w:val="18"/>
                <w:szCs w:val="14"/>
                <w:lang w:val="en-US"/>
              </w:rPr>
              <w:t>-</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vAlign w:val="bottom"/>
          </w:tcPr>
          <w:p w:rsidR="00000000" w:rsidRDefault="00000000">
            <w:pPr>
              <w:widowControl w:val="0"/>
              <w:tabs>
                <w:tab w:val="decimal" w:pos="368"/>
              </w:tabs>
              <w:spacing w:before="80" w:after="80"/>
              <w:jc w:val="right"/>
              <w:rPr>
                <w:sz w:val="18"/>
                <w:szCs w:val="14"/>
                <w:lang w:val="en-US"/>
              </w:rPr>
            </w:pPr>
            <w:r>
              <w:rPr>
                <w:sz w:val="18"/>
                <w:szCs w:val="14"/>
                <w:lang w:val="en-US"/>
              </w:rPr>
              <w:t>3.7</w:t>
            </w:r>
          </w:p>
        </w:tc>
        <w:tc>
          <w:tcPr>
            <w:tcW w:w="447" w:type="pct"/>
            <w:noWrap/>
            <w:vAlign w:val="bottom"/>
          </w:tcPr>
          <w:p w:rsidR="00000000" w:rsidRDefault="00000000">
            <w:pPr>
              <w:widowControl w:val="0"/>
              <w:tabs>
                <w:tab w:val="decimal" w:pos="368"/>
              </w:tabs>
              <w:spacing w:before="80" w:after="80"/>
              <w:jc w:val="right"/>
              <w:rPr>
                <w:sz w:val="18"/>
                <w:szCs w:val="14"/>
                <w:lang w:val="en-US"/>
              </w:rPr>
            </w:pPr>
            <w:r>
              <w:rPr>
                <w:sz w:val="18"/>
                <w:szCs w:val="14"/>
                <w:lang w:val="en-US"/>
              </w:rPr>
              <w:t>4.2</w:t>
            </w:r>
          </w:p>
        </w:tc>
        <w:tc>
          <w:tcPr>
            <w:tcW w:w="422" w:type="pct"/>
            <w:noWrap/>
            <w:vAlign w:val="bottom"/>
          </w:tcPr>
          <w:p w:rsidR="00000000" w:rsidRDefault="00000000">
            <w:pPr>
              <w:widowControl w:val="0"/>
              <w:tabs>
                <w:tab w:val="decimal" w:pos="368"/>
              </w:tabs>
              <w:spacing w:before="80" w:after="80"/>
              <w:jc w:val="right"/>
              <w:rPr>
                <w:sz w:val="18"/>
                <w:szCs w:val="14"/>
                <w:lang w:val="en-US"/>
              </w:rPr>
            </w:pPr>
            <w:r>
              <w:rPr>
                <w:sz w:val="18"/>
                <w:szCs w:val="14"/>
                <w:lang w:val="en-US"/>
              </w:rPr>
              <w:t>4.7</w:t>
            </w:r>
          </w:p>
        </w:tc>
      </w:tr>
      <w:tr w:rsidR="00000000">
        <w:tc>
          <w:tcPr>
            <w:tcW w:w="1449" w:type="pct"/>
            <w:noWrap/>
            <w:vAlign w:val="bottom"/>
          </w:tcPr>
          <w:p w:rsidR="00000000" w:rsidRDefault="00000000">
            <w:pPr>
              <w:widowControl w:val="0"/>
              <w:spacing w:before="80" w:after="80"/>
              <w:rPr>
                <w:sz w:val="18"/>
                <w:szCs w:val="14"/>
                <w:lang w:val="en-US"/>
              </w:rPr>
            </w:pPr>
            <w:r>
              <w:rPr>
                <w:sz w:val="18"/>
                <w:szCs w:val="14"/>
              </w:rPr>
              <w:t>% % Social security expenditure on pensions and retirement benefits / total public expenditure</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noWrap/>
            <w:vAlign w:val="bottom"/>
          </w:tcPr>
          <w:p w:rsidR="00000000" w:rsidRDefault="00000000">
            <w:pPr>
              <w:widowControl w:val="0"/>
              <w:spacing w:before="80" w:after="80"/>
              <w:jc w:val="right"/>
              <w:rPr>
                <w:sz w:val="18"/>
                <w:szCs w:val="14"/>
                <w:lang w:val="en-US"/>
              </w:rPr>
            </w:pPr>
            <w:r>
              <w:rPr>
                <w:sz w:val="18"/>
                <w:szCs w:val="14"/>
                <w:lang w:val="en-US"/>
              </w:rPr>
              <w:t>-</w:t>
            </w:r>
          </w:p>
        </w:tc>
        <w:tc>
          <w:tcPr>
            <w:tcW w:w="447" w:type="pct"/>
            <w:vAlign w:val="bottom"/>
          </w:tcPr>
          <w:p w:rsidR="00000000" w:rsidRDefault="00000000">
            <w:pPr>
              <w:widowControl w:val="0"/>
              <w:tabs>
                <w:tab w:val="decimal" w:pos="368"/>
              </w:tabs>
              <w:spacing w:before="80" w:after="80"/>
              <w:jc w:val="right"/>
              <w:rPr>
                <w:sz w:val="18"/>
                <w:szCs w:val="14"/>
                <w:lang w:val="en-US"/>
              </w:rPr>
            </w:pPr>
            <w:r>
              <w:rPr>
                <w:sz w:val="18"/>
                <w:szCs w:val="14"/>
                <w:lang w:val="en-US"/>
              </w:rPr>
              <w:t>1.9</w:t>
            </w:r>
          </w:p>
        </w:tc>
        <w:tc>
          <w:tcPr>
            <w:tcW w:w="447" w:type="pct"/>
            <w:noWrap/>
            <w:vAlign w:val="bottom"/>
          </w:tcPr>
          <w:p w:rsidR="00000000" w:rsidRDefault="00000000">
            <w:pPr>
              <w:widowControl w:val="0"/>
              <w:tabs>
                <w:tab w:val="decimal" w:pos="368"/>
              </w:tabs>
              <w:spacing w:before="80" w:after="80"/>
              <w:jc w:val="right"/>
              <w:rPr>
                <w:sz w:val="18"/>
                <w:szCs w:val="14"/>
                <w:lang w:val="en-US"/>
              </w:rPr>
            </w:pPr>
            <w:r>
              <w:rPr>
                <w:sz w:val="18"/>
                <w:szCs w:val="14"/>
                <w:lang w:val="en-US"/>
              </w:rPr>
              <w:t>2.2</w:t>
            </w:r>
          </w:p>
        </w:tc>
        <w:tc>
          <w:tcPr>
            <w:tcW w:w="422" w:type="pct"/>
            <w:noWrap/>
            <w:vAlign w:val="bottom"/>
          </w:tcPr>
          <w:p w:rsidR="00000000" w:rsidRDefault="00000000">
            <w:pPr>
              <w:widowControl w:val="0"/>
              <w:tabs>
                <w:tab w:val="decimal" w:pos="368"/>
              </w:tabs>
              <w:spacing w:before="80" w:after="80"/>
              <w:jc w:val="right"/>
              <w:rPr>
                <w:sz w:val="18"/>
                <w:szCs w:val="14"/>
                <w:lang w:val="en-US"/>
              </w:rPr>
            </w:pPr>
            <w:r>
              <w:rPr>
                <w:sz w:val="18"/>
                <w:szCs w:val="14"/>
                <w:lang w:val="en-US"/>
              </w:rPr>
              <w:t>2.5</w:t>
            </w:r>
          </w:p>
        </w:tc>
      </w:tr>
      <w:tr w:rsidR="00000000">
        <w:tc>
          <w:tcPr>
            <w:tcW w:w="1449" w:type="pct"/>
            <w:noWrap/>
            <w:vAlign w:val="bottom"/>
          </w:tcPr>
          <w:p w:rsidR="00000000" w:rsidRDefault="00000000">
            <w:pPr>
              <w:widowControl w:val="0"/>
              <w:spacing w:before="80" w:after="80"/>
              <w:rPr>
                <w:sz w:val="18"/>
                <w:szCs w:val="14"/>
                <w:lang w:val="en-US"/>
              </w:rPr>
            </w:pPr>
            <w:r>
              <w:rPr>
                <w:sz w:val="18"/>
                <w:szCs w:val="14"/>
              </w:rPr>
              <w:t>% Social security expenditure on health / total social security expenditure</w:t>
            </w:r>
          </w:p>
        </w:tc>
        <w:tc>
          <w:tcPr>
            <w:tcW w:w="447" w:type="pct"/>
            <w:noWrap/>
            <w:vAlign w:val="bottom"/>
          </w:tcPr>
          <w:p w:rsidR="00000000" w:rsidRDefault="00000000">
            <w:pPr>
              <w:widowControl w:val="0"/>
              <w:tabs>
                <w:tab w:val="decimal" w:pos="368"/>
              </w:tabs>
              <w:spacing w:before="80" w:after="80"/>
              <w:jc w:val="right"/>
              <w:rPr>
                <w:sz w:val="18"/>
                <w:szCs w:val="14"/>
                <w:lang w:val="en-US"/>
              </w:rPr>
            </w:pPr>
            <w:r>
              <w:rPr>
                <w:sz w:val="18"/>
                <w:szCs w:val="14"/>
                <w:lang w:val="en-US"/>
              </w:rPr>
              <w:t>33.1</w:t>
            </w:r>
          </w:p>
        </w:tc>
        <w:tc>
          <w:tcPr>
            <w:tcW w:w="447" w:type="pct"/>
            <w:noWrap/>
            <w:vAlign w:val="bottom"/>
          </w:tcPr>
          <w:p w:rsidR="00000000" w:rsidRDefault="00000000">
            <w:pPr>
              <w:widowControl w:val="0"/>
              <w:tabs>
                <w:tab w:val="decimal" w:pos="368"/>
              </w:tabs>
              <w:spacing w:before="80" w:after="80"/>
              <w:jc w:val="right"/>
              <w:rPr>
                <w:sz w:val="18"/>
                <w:szCs w:val="14"/>
                <w:lang w:val="en-US"/>
              </w:rPr>
            </w:pPr>
            <w:r>
              <w:rPr>
                <w:sz w:val="18"/>
                <w:szCs w:val="14"/>
                <w:lang w:val="en-US"/>
              </w:rPr>
              <w:t>50.0</w:t>
            </w:r>
          </w:p>
        </w:tc>
        <w:tc>
          <w:tcPr>
            <w:tcW w:w="447" w:type="pct"/>
            <w:noWrap/>
            <w:vAlign w:val="bottom"/>
          </w:tcPr>
          <w:p w:rsidR="00000000" w:rsidRDefault="00000000">
            <w:pPr>
              <w:widowControl w:val="0"/>
              <w:tabs>
                <w:tab w:val="decimal" w:pos="368"/>
              </w:tabs>
              <w:spacing w:before="80" w:after="80"/>
              <w:jc w:val="right"/>
              <w:rPr>
                <w:sz w:val="18"/>
                <w:szCs w:val="14"/>
                <w:lang w:val="en-US"/>
              </w:rPr>
            </w:pPr>
            <w:r>
              <w:rPr>
                <w:sz w:val="18"/>
                <w:szCs w:val="14"/>
                <w:lang w:val="en-US"/>
              </w:rPr>
              <w:t>83.8</w:t>
            </w:r>
          </w:p>
        </w:tc>
        <w:tc>
          <w:tcPr>
            <w:tcW w:w="447" w:type="pct"/>
            <w:noWrap/>
            <w:vAlign w:val="bottom"/>
          </w:tcPr>
          <w:p w:rsidR="00000000" w:rsidRDefault="00000000">
            <w:pPr>
              <w:widowControl w:val="0"/>
              <w:tabs>
                <w:tab w:val="decimal" w:pos="368"/>
              </w:tabs>
              <w:spacing w:before="80" w:after="80"/>
              <w:jc w:val="right"/>
              <w:rPr>
                <w:sz w:val="18"/>
                <w:szCs w:val="14"/>
                <w:lang w:val="en-US"/>
              </w:rPr>
            </w:pPr>
            <w:r>
              <w:rPr>
                <w:sz w:val="18"/>
                <w:szCs w:val="14"/>
                <w:lang w:val="en-US"/>
              </w:rPr>
              <w:t>89.6</w:t>
            </w:r>
          </w:p>
        </w:tc>
        <w:tc>
          <w:tcPr>
            <w:tcW w:w="447" w:type="pct"/>
            <w:noWrap/>
            <w:vAlign w:val="bottom"/>
          </w:tcPr>
          <w:p w:rsidR="00000000" w:rsidRDefault="00000000">
            <w:pPr>
              <w:widowControl w:val="0"/>
              <w:tabs>
                <w:tab w:val="decimal" w:pos="368"/>
              </w:tabs>
              <w:spacing w:before="80" w:after="80"/>
              <w:jc w:val="right"/>
              <w:rPr>
                <w:sz w:val="18"/>
                <w:szCs w:val="14"/>
                <w:lang w:val="en-US"/>
              </w:rPr>
            </w:pPr>
            <w:r>
              <w:rPr>
                <w:sz w:val="18"/>
                <w:szCs w:val="14"/>
                <w:lang w:val="en-US"/>
              </w:rPr>
              <w:t>58.7</w:t>
            </w:r>
          </w:p>
        </w:tc>
        <w:tc>
          <w:tcPr>
            <w:tcW w:w="447" w:type="pct"/>
            <w:vAlign w:val="bottom"/>
          </w:tcPr>
          <w:p w:rsidR="00000000" w:rsidRDefault="00000000">
            <w:pPr>
              <w:widowControl w:val="0"/>
              <w:tabs>
                <w:tab w:val="decimal" w:pos="368"/>
              </w:tabs>
              <w:spacing w:before="80" w:after="80"/>
              <w:jc w:val="right"/>
              <w:rPr>
                <w:sz w:val="18"/>
                <w:szCs w:val="14"/>
                <w:lang w:val="en-US"/>
              </w:rPr>
            </w:pPr>
            <w:r>
              <w:rPr>
                <w:sz w:val="18"/>
                <w:szCs w:val="14"/>
                <w:lang w:val="en-US"/>
              </w:rPr>
              <w:t>37.3</w:t>
            </w:r>
          </w:p>
        </w:tc>
        <w:tc>
          <w:tcPr>
            <w:tcW w:w="447" w:type="pct"/>
            <w:noWrap/>
            <w:vAlign w:val="bottom"/>
          </w:tcPr>
          <w:p w:rsidR="00000000" w:rsidRDefault="00000000">
            <w:pPr>
              <w:widowControl w:val="0"/>
              <w:tabs>
                <w:tab w:val="decimal" w:pos="368"/>
              </w:tabs>
              <w:spacing w:before="80" w:after="80"/>
              <w:jc w:val="right"/>
              <w:rPr>
                <w:sz w:val="18"/>
                <w:szCs w:val="14"/>
                <w:lang w:val="en-US"/>
              </w:rPr>
            </w:pPr>
            <w:r>
              <w:rPr>
                <w:sz w:val="18"/>
                <w:szCs w:val="14"/>
                <w:lang w:val="en-US"/>
              </w:rPr>
              <w:t>50.0</w:t>
            </w:r>
          </w:p>
        </w:tc>
        <w:tc>
          <w:tcPr>
            <w:tcW w:w="422" w:type="pct"/>
            <w:noWrap/>
            <w:vAlign w:val="bottom"/>
          </w:tcPr>
          <w:p w:rsidR="00000000" w:rsidRDefault="00000000">
            <w:pPr>
              <w:widowControl w:val="0"/>
              <w:tabs>
                <w:tab w:val="decimal" w:pos="368"/>
              </w:tabs>
              <w:spacing w:before="80" w:after="80"/>
              <w:jc w:val="right"/>
              <w:rPr>
                <w:sz w:val="18"/>
                <w:szCs w:val="14"/>
                <w:lang w:val="en-US"/>
              </w:rPr>
            </w:pPr>
            <w:r>
              <w:rPr>
                <w:sz w:val="18"/>
                <w:szCs w:val="14"/>
                <w:lang w:val="en-US"/>
              </w:rPr>
              <w:t>48.3</w:t>
            </w:r>
          </w:p>
        </w:tc>
      </w:tr>
      <w:tr w:rsidR="00000000">
        <w:tc>
          <w:tcPr>
            <w:tcW w:w="1449" w:type="pct"/>
            <w:tcBorders>
              <w:bottom w:val="single" w:sz="4" w:space="0" w:color="auto"/>
            </w:tcBorders>
            <w:noWrap/>
            <w:vAlign w:val="bottom"/>
          </w:tcPr>
          <w:p w:rsidR="00000000" w:rsidRDefault="00000000">
            <w:pPr>
              <w:widowControl w:val="0"/>
              <w:spacing w:before="80" w:after="80"/>
              <w:rPr>
                <w:sz w:val="18"/>
                <w:szCs w:val="14"/>
                <w:lang w:val="en-US"/>
              </w:rPr>
            </w:pPr>
            <w:r>
              <w:rPr>
                <w:sz w:val="18"/>
                <w:szCs w:val="14"/>
              </w:rPr>
              <w:t>% % Social security expenditure on pensions and retirement benefits / total social security expenditure</w:t>
            </w:r>
          </w:p>
        </w:tc>
        <w:tc>
          <w:tcPr>
            <w:tcW w:w="447" w:type="pct"/>
            <w:tcBorders>
              <w:bottom w:val="single" w:sz="4" w:space="0" w:color="auto"/>
            </w:tcBorders>
            <w:noWrap/>
            <w:vAlign w:val="bottom"/>
          </w:tcPr>
          <w:p w:rsidR="00000000" w:rsidRDefault="00000000">
            <w:pPr>
              <w:widowControl w:val="0"/>
              <w:spacing w:before="80" w:after="80"/>
              <w:jc w:val="right"/>
              <w:rPr>
                <w:sz w:val="18"/>
                <w:szCs w:val="14"/>
              </w:rPr>
            </w:pPr>
            <w:r>
              <w:rPr>
                <w:sz w:val="18"/>
                <w:szCs w:val="14"/>
              </w:rPr>
              <w:t>-</w:t>
            </w:r>
          </w:p>
        </w:tc>
        <w:tc>
          <w:tcPr>
            <w:tcW w:w="447" w:type="pct"/>
            <w:tcBorders>
              <w:bottom w:val="single" w:sz="4" w:space="0" w:color="auto"/>
            </w:tcBorders>
            <w:noWrap/>
            <w:vAlign w:val="bottom"/>
          </w:tcPr>
          <w:p w:rsidR="00000000" w:rsidRDefault="00000000">
            <w:pPr>
              <w:widowControl w:val="0"/>
              <w:spacing w:before="80" w:after="80"/>
              <w:jc w:val="right"/>
              <w:rPr>
                <w:sz w:val="18"/>
                <w:szCs w:val="14"/>
              </w:rPr>
            </w:pPr>
            <w:r>
              <w:rPr>
                <w:sz w:val="18"/>
                <w:szCs w:val="14"/>
              </w:rPr>
              <w:t>-</w:t>
            </w:r>
          </w:p>
        </w:tc>
        <w:tc>
          <w:tcPr>
            <w:tcW w:w="447" w:type="pct"/>
            <w:tcBorders>
              <w:bottom w:val="single" w:sz="4" w:space="0" w:color="auto"/>
            </w:tcBorders>
            <w:noWrap/>
            <w:vAlign w:val="bottom"/>
          </w:tcPr>
          <w:p w:rsidR="00000000" w:rsidRDefault="00000000">
            <w:pPr>
              <w:widowControl w:val="0"/>
              <w:spacing w:before="80" w:after="80"/>
              <w:jc w:val="right"/>
              <w:rPr>
                <w:sz w:val="18"/>
                <w:szCs w:val="14"/>
              </w:rPr>
            </w:pPr>
            <w:r>
              <w:rPr>
                <w:sz w:val="18"/>
                <w:szCs w:val="14"/>
              </w:rPr>
              <w:t>-</w:t>
            </w:r>
          </w:p>
        </w:tc>
        <w:tc>
          <w:tcPr>
            <w:tcW w:w="447" w:type="pct"/>
            <w:tcBorders>
              <w:bottom w:val="single" w:sz="4" w:space="0" w:color="auto"/>
            </w:tcBorders>
            <w:noWrap/>
            <w:vAlign w:val="bottom"/>
          </w:tcPr>
          <w:p w:rsidR="00000000" w:rsidRDefault="00000000">
            <w:pPr>
              <w:widowControl w:val="0"/>
              <w:spacing w:before="80" w:after="80"/>
              <w:jc w:val="right"/>
              <w:rPr>
                <w:sz w:val="18"/>
                <w:szCs w:val="14"/>
              </w:rPr>
            </w:pPr>
            <w:r>
              <w:rPr>
                <w:sz w:val="18"/>
                <w:szCs w:val="14"/>
              </w:rPr>
              <w:t>-</w:t>
            </w:r>
          </w:p>
        </w:tc>
        <w:tc>
          <w:tcPr>
            <w:tcW w:w="447" w:type="pct"/>
            <w:tcBorders>
              <w:bottom w:val="single" w:sz="4" w:space="0" w:color="auto"/>
            </w:tcBorders>
            <w:noWrap/>
            <w:vAlign w:val="bottom"/>
          </w:tcPr>
          <w:p w:rsidR="00000000" w:rsidRDefault="00000000">
            <w:pPr>
              <w:widowControl w:val="0"/>
              <w:spacing w:before="80" w:after="80"/>
              <w:jc w:val="right"/>
              <w:rPr>
                <w:sz w:val="18"/>
                <w:szCs w:val="14"/>
              </w:rPr>
            </w:pPr>
            <w:r>
              <w:rPr>
                <w:sz w:val="18"/>
                <w:szCs w:val="14"/>
              </w:rPr>
              <w:t>-</w:t>
            </w:r>
          </w:p>
        </w:tc>
        <w:tc>
          <w:tcPr>
            <w:tcW w:w="447" w:type="pct"/>
            <w:tcBorders>
              <w:bottom w:val="single" w:sz="4" w:space="0" w:color="auto"/>
            </w:tcBorders>
            <w:vAlign w:val="bottom"/>
          </w:tcPr>
          <w:p w:rsidR="00000000" w:rsidRDefault="00000000">
            <w:pPr>
              <w:widowControl w:val="0"/>
              <w:tabs>
                <w:tab w:val="decimal" w:pos="368"/>
              </w:tabs>
              <w:spacing w:before="80" w:after="80"/>
              <w:jc w:val="right"/>
              <w:rPr>
                <w:sz w:val="18"/>
                <w:szCs w:val="14"/>
              </w:rPr>
            </w:pPr>
            <w:r>
              <w:rPr>
                <w:sz w:val="18"/>
                <w:szCs w:val="14"/>
              </w:rPr>
              <w:t>31.8</w:t>
            </w:r>
          </w:p>
        </w:tc>
        <w:tc>
          <w:tcPr>
            <w:tcW w:w="447" w:type="pct"/>
            <w:tcBorders>
              <w:bottom w:val="single" w:sz="4" w:space="0" w:color="auto"/>
            </w:tcBorders>
            <w:noWrap/>
            <w:vAlign w:val="bottom"/>
          </w:tcPr>
          <w:p w:rsidR="00000000" w:rsidRDefault="00000000">
            <w:pPr>
              <w:widowControl w:val="0"/>
              <w:tabs>
                <w:tab w:val="decimal" w:pos="368"/>
              </w:tabs>
              <w:spacing w:before="80" w:after="80"/>
              <w:jc w:val="right"/>
              <w:rPr>
                <w:sz w:val="18"/>
                <w:szCs w:val="14"/>
              </w:rPr>
            </w:pPr>
            <w:r>
              <w:rPr>
                <w:sz w:val="18"/>
                <w:szCs w:val="14"/>
              </w:rPr>
              <w:t>48.0</w:t>
            </w:r>
          </w:p>
        </w:tc>
        <w:tc>
          <w:tcPr>
            <w:tcW w:w="422" w:type="pct"/>
            <w:tcBorders>
              <w:bottom w:val="single" w:sz="4" w:space="0" w:color="auto"/>
            </w:tcBorders>
            <w:noWrap/>
            <w:vAlign w:val="bottom"/>
          </w:tcPr>
          <w:p w:rsidR="00000000" w:rsidRDefault="00000000">
            <w:pPr>
              <w:widowControl w:val="0"/>
              <w:tabs>
                <w:tab w:val="decimal" w:pos="368"/>
              </w:tabs>
              <w:spacing w:before="80" w:after="80"/>
              <w:jc w:val="right"/>
              <w:rPr>
                <w:sz w:val="18"/>
                <w:szCs w:val="14"/>
              </w:rPr>
            </w:pPr>
            <w:r>
              <w:rPr>
                <w:sz w:val="18"/>
                <w:szCs w:val="14"/>
              </w:rPr>
              <w:t>49.4</w:t>
            </w:r>
          </w:p>
        </w:tc>
      </w:tr>
    </w:tbl>
    <w:p w:rsidR="00000000" w:rsidRDefault="00000000">
      <w:pPr>
        <w:spacing w:before="120" w:after="80"/>
        <w:ind w:firstLine="567"/>
        <w:rPr>
          <w:sz w:val="20"/>
          <w:szCs w:val="16"/>
        </w:rPr>
      </w:pPr>
      <w:r>
        <w:rPr>
          <w:i/>
          <w:iCs/>
          <w:sz w:val="20"/>
          <w:szCs w:val="16"/>
        </w:rPr>
        <w:t>Source :</w:t>
      </w:r>
      <w:r>
        <w:rPr>
          <w:sz w:val="20"/>
          <w:szCs w:val="16"/>
        </w:rPr>
        <w:t xml:space="preserve"> National Health Accounts Dept., 2005.</w:t>
      </w:r>
    </w:p>
    <w:p w:rsidR="00000000" w:rsidRDefault="00000000">
      <w:pPr>
        <w:spacing w:after="80"/>
        <w:ind w:firstLine="567"/>
        <w:rPr>
          <w:sz w:val="20"/>
          <w:szCs w:val="14"/>
        </w:rPr>
      </w:pPr>
      <w:r>
        <w:rPr>
          <w:sz w:val="20"/>
          <w:szCs w:val="14"/>
        </w:rPr>
        <w:t>* Balance-sheet data : Directorate-General of Planning and Evaluation - MSPyBS.</w:t>
      </w:r>
    </w:p>
    <w:p w:rsidR="00000000" w:rsidRDefault="00000000">
      <w:pPr>
        <w:spacing w:after="80"/>
        <w:ind w:left="567"/>
        <w:rPr>
          <w:sz w:val="20"/>
        </w:rPr>
      </w:pPr>
      <w:r>
        <w:rPr>
          <w:sz w:val="20"/>
          <w:szCs w:val="14"/>
        </w:rPr>
        <w:t>Social security expenditure of IPS. – Compulsory budget (million guaraníes)</w:t>
      </w:r>
    </w:p>
    <w:p w:rsidR="00000000" w:rsidRDefault="00000000">
      <w:pPr>
        <w:spacing w:after="80"/>
        <w:ind w:firstLine="567"/>
        <w:rPr>
          <w:sz w:val="20"/>
          <w:lang w:val="en-US"/>
        </w:rPr>
      </w:pPr>
      <w:r>
        <w:rPr>
          <w:sz w:val="20"/>
          <w:szCs w:val="14"/>
        </w:rPr>
        <w:t>1996 - 1997 = Current budget.</w:t>
      </w:r>
    </w:p>
    <w:p w:rsidR="00000000" w:rsidRDefault="00000000">
      <w:pPr>
        <w:pStyle w:val="xl46"/>
        <w:spacing w:before="0" w:beforeAutospacing="0" w:after="240" w:afterAutospacing="0"/>
        <w:rPr>
          <w:rFonts w:ascii="Times New Roman" w:eastAsia="Times New Roman" w:hAnsi="Times New Roman" w:cs="Times New Roman"/>
          <w:szCs w:val="24"/>
          <w:lang w:eastAsia="en-US"/>
        </w:rPr>
      </w:pPr>
      <w:r>
        <w:rPr>
          <w:rFonts w:ascii="Times New Roman" w:eastAsia="Times New Roman" w:hAnsi="Times New Roman" w:cs="Times New Roman"/>
          <w:szCs w:val="24"/>
          <w:lang w:eastAsia="en-US"/>
        </w:rPr>
        <w:t>Distribution of budget of Ministry of Public Health and Social Welfare</w:t>
      </w:r>
    </w:p>
    <w:tbl>
      <w:tblPr>
        <w:tblW w:w="5004" w:type="pct"/>
        <w:tblInd w:w="-8" w:type="dxa"/>
        <w:tblCellMar>
          <w:left w:w="0" w:type="dxa"/>
          <w:right w:w="0" w:type="dxa"/>
        </w:tblCellMar>
        <w:tblLook w:val="0000" w:firstRow="0" w:lastRow="0" w:firstColumn="0" w:lastColumn="0" w:noHBand="0" w:noVBand="0"/>
      </w:tblPr>
      <w:tblGrid>
        <w:gridCol w:w="4423"/>
        <w:gridCol w:w="1150"/>
        <w:gridCol w:w="1015"/>
        <w:gridCol w:w="988"/>
        <w:gridCol w:w="1107"/>
        <w:gridCol w:w="842"/>
      </w:tblGrid>
      <w:tr w:rsidR="00000000">
        <w:tc>
          <w:tcPr>
            <w:tcW w:w="4407" w:type="dxa"/>
            <w:tcBorders>
              <w:top w:val="single" w:sz="4" w:space="0" w:color="auto"/>
              <w:bottom w:val="single" w:sz="4" w:space="0" w:color="auto"/>
            </w:tcBorders>
            <w:noWrap/>
            <w:vAlign w:val="bottom"/>
          </w:tcPr>
          <w:p w:rsidR="00000000" w:rsidRDefault="00000000">
            <w:pPr>
              <w:spacing w:before="80" w:after="80"/>
              <w:jc w:val="center"/>
              <w:rPr>
                <w:b/>
                <w:i/>
                <w:iCs/>
                <w:sz w:val="20"/>
                <w:szCs w:val="20"/>
              </w:rPr>
            </w:pPr>
            <w:r>
              <w:rPr>
                <w:b/>
                <w:i/>
                <w:iCs/>
                <w:sz w:val="20"/>
                <w:szCs w:val="20"/>
              </w:rPr>
              <w:t>Function / health services</w:t>
            </w:r>
          </w:p>
        </w:tc>
        <w:tc>
          <w:tcPr>
            <w:tcW w:w="1134"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2000</w:t>
            </w:r>
          </w:p>
        </w:tc>
        <w:tc>
          <w:tcPr>
            <w:tcW w:w="999"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2001</w:t>
            </w:r>
          </w:p>
        </w:tc>
        <w:tc>
          <w:tcPr>
            <w:tcW w:w="972"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2002</w:t>
            </w:r>
          </w:p>
        </w:tc>
        <w:tc>
          <w:tcPr>
            <w:tcW w:w="1091"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2003</w:t>
            </w:r>
          </w:p>
        </w:tc>
        <w:tc>
          <w:tcPr>
            <w:tcW w:w="826" w:type="dxa"/>
            <w:tcBorders>
              <w:top w:val="single" w:sz="4" w:space="0" w:color="auto"/>
              <w:bottom w:val="single" w:sz="4" w:space="0" w:color="auto"/>
            </w:tcBorders>
            <w:noWrap/>
            <w:vAlign w:val="bottom"/>
          </w:tcPr>
          <w:p w:rsidR="00000000" w:rsidRDefault="00000000">
            <w:pPr>
              <w:spacing w:before="80" w:after="80"/>
              <w:jc w:val="center"/>
              <w:rPr>
                <w:b/>
                <w:bCs/>
                <w:i/>
                <w:iCs/>
                <w:sz w:val="20"/>
                <w:szCs w:val="20"/>
              </w:rPr>
            </w:pPr>
            <w:r>
              <w:rPr>
                <w:b/>
                <w:bCs/>
                <w:i/>
                <w:iCs/>
                <w:sz w:val="20"/>
                <w:szCs w:val="20"/>
              </w:rPr>
              <w:t>2004</w:t>
            </w:r>
          </w:p>
        </w:tc>
      </w:tr>
      <w:tr w:rsidR="00000000">
        <w:tc>
          <w:tcPr>
            <w:tcW w:w="4407" w:type="dxa"/>
            <w:tcBorders>
              <w:top w:val="single" w:sz="4" w:space="0" w:color="auto"/>
            </w:tcBorders>
            <w:noWrap/>
            <w:vAlign w:val="bottom"/>
          </w:tcPr>
          <w:p w:rsidR="00000000" w:rsidRDefault="00000000">
            <w:pPr>
              <w:spacing w:before="80" w:after="80"/>
              <w:rPr>
                <w:b/>
                <w:sz w:val="20"/>
                <w:szCs w:val="20"/>
              </w:rPr>
            </w:pPr>
            <w:r>
              <w:rPr>
                <w:b/>
                <w:sz w:val="20"/>
                <w:szCs w:val="20"/>
              </w:rPr>
              <w:t>Compulsory budget (million guaranies)</w:t>
            </w:r>
          </w:p>
        </w:tc>
        <w:tc>
          <w:tcPr>
            <w:tcW w:w="1134" w:type="dxa"/>
            <w:tcBorders>
              <w:top w:val="single" w:sz="4" w:space="0" w:color="auto"/>
            </w:tcBorders>
            <w:noWrap/>
            <w:vAlign w:val="bottom"/>
          </w:tcPr>
          <w:p w:rsidR="00000000" w:rsidRDefault="00000000">
            <w:pPr>
              <w:spacing w:before="80" w:after="80"/>
              <w:ind w:right="340"/>
              <w:jc w:val="right"/>
              <w:rPr>
                <w:sz w:val="20"/>
                <w:szCs w:val="20"/>
              </w:rPr>
            </w:pPr>
            <w:r>
              <w:rPr>
                <w:sz w:val="20"/>
                <w:szCs w:val="20"/>
              </w:rPr>
              <w:t>35.0</w:t>
            </w:r>
          </w:p>
        </w:tc>
        <w:tc>
          <w:tcPr>
            <w:tcW w:w="999" w:type="dxa"/>
            <w:tcBorders>
              <w:top w:val="single" w:sz="4" w:space="0" w:color="auto"/>
            </w:tcBorders>
            <w:noWrap/>
            <w:vAlign w:val="bottom"/>
          </w:tcPr>
          <w:p w:rsidR="00000000" w:rsidRDefault="00000000">
            <w:pPr>
              <w:spacing w:before="80" w:after="80"/>
              <w:ind w:right="340"/>
              <w:jc w:val="right"/>
              <w:rPr>
                <w:sz w:val="20"/>
                <w:szCs w:val="20"/>
              </w:rPr>
            </w:pPr>
            <w:r>
              <w:rPr>
                <w:sz w:val="20"/>
                <w:szCs w:val="20"/>
              </w:rPr>
              <w:t>34.8</w:t>
            </w:r>
          </w:p>
        </w:tc>
        <w:tc>
          <w:tcPr>
            <w:tcW w:w="972" w:type="dxa"/>
            <w:tcBorders>
              <w:top w:val="single" w:sz="4" w:space="0" w:color="auto"/>
            </w:tcBorders>
            <w:noWrap/>
            <w:vAlign w:val="bottom"/>
          </w:tcPr>
          <w:p w:rsidR="00000000" w:rsidRDefault="00000000">
            <w:pPr>
              <w:spacing w:before="80" w:after="80"/>
              <w:ind w:right="340"/>
              <w:jc w:val="right"/>
              <w:rPr>
                <w:sz w:val="20"/>
                <w:szCs w:val="20"/>
              </w:rPr>
            </w:pPr>
            <w:r>
              <w:rPr>
                <w:sz w:val="20"/>
                <w:szCs w:val="20"/>
              </w:rPr>
              <w:t>35.1</w:t>
            </w:r>
          </w:p>
        </w:tc>
        <w:tc>
          <w:tcPr>
            <w:tcW w:w="1091" w:type="dxa"/>
            <w:tcBorders>
              <w:top w:val="single" w:sz="4" w:space="0" w:color="auto"/>
            </w:tcBorders>
            <w:noWrap/>
            <w:vAlign w:val="bottom"/>
          </w:tcPr>
          <w:p w:rsidR="00000000" w:rsidRDefault="00000000">
            <w:pPr>
              <w:spacing w:before="80" w:after="80"/>
              <w:ind w:right="340"/>
              <w:jc w:val="right"/>
              <w:rPr>
                <w:sz w:val="20"/>
                <w:szCs w:val="20"/>
              </w:rPr>
            </w:pPr>
            <w:r>
              <w:rPr>
                <w:sz w:val="20"/>
                <w:szCs w:val="20"/>
              </w:rPr>
              <w:t>35.4</w:t>
            </w:r>
          </w:p>
        </w:tc>
        <w:tc>
          <w:tcPr>
            <w:tcW w:w="826" w:type="dxa"/>
            <w:tcBorders>
              <w:top w:val="single" w:sz="4" w:space="0" w:color="auto"/>
            </w:tcBorders>
            <w:noWrap/>
            <w:vAlign w:val="bottom"/>
          </w:tcPr>
          <w:p w:rsidR="00000000" w:rsidRDefault="00000000">
            <w:pPr>
              <w:spacing w:before="80" w:after="80"/>
              <w:ind w:right="340"/>
              <w:jc w:val="right"/>
              <w:rPr>
                <w:sz w:val="20"/>
                <w:szCs w:val="20"/>
              </w:rPr>
            </w:pPr>
            <w:r>
              <w:rPr>
                <w:sz w:val="20"/>
                <w:szCs w:val="20"/>
              </w:rPr>
              <w:t>35.3</w:t>
            </w:r>
          </w:p>
        </w:tc>
      </w:tr>
      <w:tr w:rsidR="00000000">
        <w:tc>
          <w:tcPr>
            <w:tcW w:w="4407" w:type="dxa"/>
            <w:noWrap/>
            <w:vAlign w:val="bottom"/>
          </w:tcPr>
          <w:p w:rsidR="00000000" w:rsidRDefault="00000000">
            <w:pPr>
              <w:spacing w:before="80" w:after="80"/>
              <w:rPr>
                <w:sz w:val="20"/>
                <w:szCs w:val="20"/>
              </w:rPr>
            </w:pPr>
            <w:r>
              <w:rPr>
                <w:sz w:val="20"/>
                <w:szCs w:val="20"/>
              </w:rPr>
              <w:t>% Curative health care (ambulatory)</w:t>
            </w:r>
          </w:p>
        </w:tc>
        <w:tc>
          <w:tcPr>
            <w:tcW w:w="1134" w:type="dxa"/>
            <w:noWrap/>
            <w:vAlign w:val="bottom"/>
          </w:tcPr>
          <w:p w:rsidR="00000000" w:rsidRDefault="00000000">
            <w:pPr>
              <w:spacing w:before="80" w:after="80"/>
              <w:ind w:right="340"/>
              <w:jc w:val="right"/>
              <w:rPr>
                <w:sz w:val="20"/>
                <w:szCs w:val="20"/>
              </w:rPr>
            </w:pPr>
            <w:r>
              <w:rPr>
                <w:sz w:val="20"/>
                <w:szCs w:val="20"/>
              </w:rPr>
              <w:t>24.0</w:t>
            </w:r>
          </w:p>
        </w:tc>
        <w:tc>
          <w:tcPr>
            <w:tcW w:w="999" w:type="dxa"/>
            <w:noWrap/>
            <w:vAlign w:val="bottom"/>
          </w:tcPr>
          <w:p w:rsidR="00000000" w:rsidRDefault="00000000">
            <w:pPr>
              <w:spacing w:before="80" w:after="80"/>
              <w:ind w:right="340"/>
              <w:jc w:val="right"/>
              <w:rPr>
                <w:sz w:val="20"/>
                <w:szCs w:val="20"/>
              </w:rPr>
            </w:pPr>
            <w:r>
              <w:rPr>
                <w:sz w:val="20"/>
                <w:szCs w:val="20"/>
              </w:rPr>
              <w:t>23.2</w:t>
            </w:r>
          </w:p>
        </w:tc>
        <w:tc>
          <w:tcPr>
            <w:tcW w:w="972" w:type="dxa"/>
            <w:noWrap/>
            <w:vAlign w:val="bottom"/>
          </w:tcPr>
          <w:p w:rsidR="00000000" w:rsidRDefault="00000000">
            <w:pPr>
              <w:spacing w:before="80" w:after="80"/>
              <w:ind w:right="340"/>
              <w:jc w:val="right"/>
              <w:rPr>
                <w:sz w:val="20"/>
                <w:szCs w:val="20"/>
              </w:rPr>
            </w:pPr>
            <w:r>
              <w:rPr>
                <w:sz w:val="20"/>
                <w:szCs w:val="20"/>
              </w:rPr>
              <w:t>23.4</w:t>
            </w:r>
          </w:p>
        </w:tc>
        <w:tc>
          <w:tcPr>
            <w:tcW w:w="1091" w:type="dxa"/>
            <w:noWrap/>
            <w:vAlign w:val="bottom"/>
          </w:tcPr>
          <w:p w:rsidR="00000000" w:rsidRDefault="00000000">
            <w:pPr>
              <w:spacing w:before="80" w:after="80"/>
              <w:ind w:right="340"/>
              <w:jc w:val="right"/>
              <w:rPr>
                <w:sz w:val="20"/>
                <w:szCs w:val="20"/>
              </w:rPr>
            </w:pPr>
            <w:r>
              <w:rPr>
                <w:sz w:val="20"/>
                <w:szCs w:val="20"/>
              </w:rPr>
              <w:t>26.1</w:t>
            </w:r>
          </w:p>
        </w:tc>
        <w:tc>
          <w:tcPr>
            <w:tcW w:w="826" w:type="dxa"/>
            <w:noWrap/>
            <w:vAlign w:val="bottom"/>
          </w:tcPr>
          <w:p w:rsidR="00000000" w:rsidRDefault="00000000">
            <w:pPr>
              <w:spacing w:before="80" w:after="80"/>
              <w:ind w:right="340"/>
              <w:jc w:val="right"/>
              <w:rPr>
                <w:sz w:val="20"/>
                <w:szCs w:val="20"/>
              </w:rPr>
            </w:pPr>
            <w:r>
              <w:rPr>
                <w:sz w:val="20"/>
                <w:szCs w:val="20"/>
              </w:rPr>
              <w:t>24.4</w:t>
            </w:r>
          </w:p>
        </w:tc>
      </w:tr>
      <w:tr w:rsidR="00000000">
        <w:tc>
          <w:tcPr>
            <w:tcW w:w="4407" w:type="dxa"/>
            <w:noWrap/>
            <w:vAlign w:val="bottom"/>
          </w:tcPr>
          <w:p w:rsidR="00000000" w:rsidRDefault="00000000">
            <w:pPr>
              <w:spacing w:before="80" w:after="80"/>
              <w:rPr>
                <w:sz w:val="20"/>
                <w:szCs w:val="20"/>
              </w:rPr>
            </w:pPr>
            <w:r>
              <w:rPr>
                <w:sz w:val="20"/>
                <w:szCs w:val="20"/>
              </w:rPr>
              <w:t xml:space="preserve">% Sub-total curative care </w:t>
            </w:r>
          </w:p>
        </w:tc>
        <w:tc>
          <w:tcPr>
            <w:tcW w:w="1134" w:type="dxa"/>
            <w:noWrap/>
            <w:vAlign w:val="bottom"/>
          </w:tcPr>
          <w:p w:rsidR="00000000" w:rsidRDefault="00000000">
            <w:pPr>
              <w:spacing w:before="80" w:after="80"/>
              <w:ind w:right="340"/>
              <w:jc w:val="right"/>
              <w:rPr>
                <w:sz w:val="20"/>
                <w:szCs w:val="20"/>
              </w:rPr>
            </w:pPr>
            <w:r>
              <w:rPr>
                <w:sz w:val="20"/>
                <w:szCs w:val="20"/>
              </w:rPr>
              <w:t>59.0</w:t>
            </w:r>
          </w:p>
        </w:tc>
        <w:tc>
          <w:tcPr>
            <w:tcW w:w="999" w:type="dxa"/>
            <w:noWrap/>
            <w:vAlign w:val="bottom"/>
          </w:tcPr>
          <w:p w:rsidR="00000000" w:rsidRDefault="00000000">
            <w:pPr>
              <w:spacing w:before="80" w:after="80"/>
              <w:ind w:right="340"/>
              <w:jc w:val="right"/>
              <w:rPr>
                <w:sz w:val="20"/>
                <w:szCs w:val="20"/>
              </w:rPr>
            </w:pPr>
            <w:r>
              <w:rPr>
                <w:sz w:val="20"/>
                <w:szCs w:val="20"/>
              </w:rPr>
              <w:t>58.0</w:t>
            </w:r>
          </w:p>
        </w:tc>
        <w:tc>
          <w:tcPr>
            <w:tcW w:w="972" w:type="dxa"/>
            <w:noWrap/>
            <w:vAlign w:val="bottom"/>
          </w:tcPr>
          <w:p w:rsidR="00000000" w:rsidRDefault="00000000">
            <w:pPr>
              <w:spacing w:before="80" w:after="80"/>
              <w:ind w:right="340"/>
              <w:jc w:val="right"/>
              <w:rPr>
                <w:sz w:val="20"/>
                <w:szCs w:val="20"/>
              </w:rPr>
            </w:pPr>
            <w:r>
              <w:rPr>
                <w:sz w:val="20"/>
                <w:szCs w:val="20"/>
              </w:rPr>
              <w:t>58.5</w:t>
            </w:r>
          </w:p>
        </w:tc>
        <w:tc>
          <w:tcPr>
            <w:tcW w:w="1091" w:type="dxa"/>
            <w:noWrap/>
            <w:vAlign w:val="bottom"/>
          </w:tcPr>
          <w:p w:rsidR="00000000" w:rsidRDefault="00000000">
            <w:pPr>
              <w:spacing w:before="80" w:after="80"/>
              <w:ind w:right="340"/>
              <w:jc w:val="right"/>
              <w:rPr>
                <w:sz w:val="20"/>
                <w:szCs w:val="20"/>
              </w:rPr>
            </w:pPr>
            <w:r>
              <w:rPr>
                <w:sz w:val="20"/>
                <w:szCs w:val="20"/>
              </w:rPr>
              <w:t>61.5</w:t>
            </w:r>
          </w:p>
        </w:tc>
        <w:tc>
          <w:tcPr>
            <w:tcW w:w="826" w:type="dxa"/>
            <w:noWrap/>
            <w:vAlign w:val="bottom"/>
          </w:tcPr>
          <w:p w:rsidR="00000000" w:rsidRDefault="00000000">
            <w:pPr>
              <w:spacing w:before="80" w:after="80"/>
              <w:ind w:right="340"/>
              <w:jc w:val="right"/>
              <w:rPr>
                <w:sz w:val="20"/>
                <w:szCs w:val="20"/>
              </w:rPr>
            </w:pPr>
            <w:r>
              <w:rPr>
                <w:sz w:val="20"/>
                <w:szCs w:val="20"/>
              </w:rPr>
              <w:t>59.7</w:t>
            </w:r>
          </w:p>
        </w:tc>
      </w:tr>
      <w:tr w:rsidR="00000000">
        <w:tc>
          <w:tcPr>
            <w:tcW w:w="4407" w:type="dxa"/>
            <w:noWrap/>
            <w:vAlign w:val="bottom"/>
          </w:tcPr>
          <w:p w:rsidR="00000000" w:rsidRDefault="00000000">
            <w:pPr>
              <w:spacing w:before="80" w:after="80"/>
              <w:rPr>
                <w:sz w:val="20"/>
                <w:szCs w:val="20"/>
              </w:rPr>
            </w:pPr>
            <w:r>
              <w:rPr>
                <w:sz w:val="20"/>
                <w:szCs w:val="20"/>
              </w:rPr>
              <w:t>% Emergencies</w:t>
            </w:r>
          </w:p>
        </w:tc>
        <w:tc>
          <w:tcPr>
            <w:tcW w:w="1134" w:type="dxa"/>
            <w:noWrap/>
            <w:vAlign w:val="bottom"/>
          </w:tcPr>
          <w:p w:rsidR="00000000" w:rsidRDefault="00000000">
            <w:pPr>
              <w:spacing w:before="80" w:after="80"/>
              <w:ind w:right="340"/>
              <w:jc w:val="right"/>
              <w:rPr>
                <w:sz w:val="20"/>
                <w:szCs w:val="20"/>
              </w:rPr>
            </w:pPr>
            <w:r>
              <w:rPr>
                <w:sz w:val="20"/>
                <w:szCs w:val="20"/>
              </w:rPr>
              <w:t>3.7</w:t>
            </w:r>
          </w:p>
        </w:tc>
        <w:tc>
          <w:tcPr>
            <w:tcW w:w="999" w:type="dxa"/>
            <w:noWrap/>
            <w:vAlign w:val="bottom"/>
          </w:tcPr>
          <w:p w:rsidR="00000000" w:rsidRDefault="00000000">
            <w:pPr>
              <w:spacing w:before="80" w:after="80"/>
              <w:ind w:right="340"/>
              <w:jc w:val="right"/>
              <w:rPr>
                <w:sz w:val="20"/>
                <w:szCs w:val="20"/>
              </w:rPr>
            </w:pPr>
            <w:r>
              <w:rPr>
                <w:sz w:val="20"/>
                <w:szCs w:val="20"/>
              </w:rPr>
              <w:t>4.6</w:t>
            </w:r>
          </w:p>
        </w:tc>
        <w:tc>
          <w:tcPr>
            <w:tcW w:w="972" w:type="dxa"/>
            <w:noWrap/>
            <w:vAlign w:val="bottom"/>
          </w:tcPr>
          <w:p w:rsidR="00000000" w:rsidRDefault="00000000">
            <w:pPr>
              <w:spacing w:before="80" w:after="80"/>
              <w:ind w:right="340"/>
              <w:jc w:val="right"/>
              <w:rPr>
                <w:sz w:val="20"/>
                <w:szCs w:val="20"/>
              </w:rPr>
            </w:pPr>
            <w:r>
              <w:rPr>
                <w:sz w:val="20"/>
                <w:szCs w:val="20"/>
              </w:rPr>
              <w:t>4.9</w:t>
            </w:r>
          </w:p>
        </w:tc>
        <w:tc>
          <w:tcPr>
            <w:tcW w:w="1091" w:type="dxa"/>
            <w:noWrap/>
            <w:vAlign w:val="bottom"/>
          </w:tcPr>
          <w:p w:rsidR="00000000" w:rsidRDefault="00000000">
            <w:pPr>
              <w:spacing w:before="80" w:after="80"/>
              <w:ind w:right="340"/>
              <w:jc w:val="right"/>
              <w:rPr>
                <w:sz w:val="20"/>
                <w:szCs w:val="20"/>
              </w:rPr>
            </w:pPr>
            <w:r>
              <w:rPr>
                <w:sz w:val="20"/>
                <w:szCs w:val="20"/>
              </w:rPr>
              <w:t>5.4</w:t>
            </w:r>
          </w:p>
        </w:tc>
        <w:tc>
          <w:tcPr>
            <w:tcW w:w="826" w:type="dxa"/>
            <w:noWrap/>
            <w:vAlign w:val="bottom"/>
          </w:tcPr>
          <w:p w:rsidR="00000000" w:rsidRDefault="00000000">
            <w:pPr>
              <w:spacing w:before="80" w:after="80"/>
              <w:ind w:right="340"/>
              <w:jc w:val="right"/>
              <w:rPr>
                <w:sz w:val="20"/>
                <w:szCs w:val="20"/>
              </w:rPr>
            </w:pPr>
            <w:r>
              <w:rPr>
                <w:sz w:val="20"/>
                <w:szCs w:val="20"/>
              </w:rPr>
              <w:t>4.7</w:t>
            </w:r>
          </w:p>
        </w:tc>
      </w:tr>
      <w:tr w:rsidR="00000000">
        <w:tc>
          <w:tcPr>
            <w:tcW w:w="4407" w:type="dxa"/>
            <w:noWrap/>
            <w:vAlign w:val="bottom"/>
          </w:tcPr>
          <w:p w:rsidR="00000000" w:rsidRDefault="00000000">
            <w:pPr>
              <w:spacing w:before="80" w:after="80"/>
              <w:rPr>
                <w:sz w:val="20"/>
                <w:szCs w:val="20"/>
              </w:rPr>
            </w:pPr>
            <w:r>
              <w:rPr>
                <w:sz w:val="20"/>
                <w:szCs w:val="20"/>
              </w:rPr>
              <w:t>% Prevention and public health services</w:t>
            </w:r>
          </w:p>
        </w:tc>
        <w:tc>
          <w:tcPr>
            <w:tcW w:w="1134" w:type="dxa"/>
            <w:noWrap/>
            <w:vAlign w:val="bottom"/>
          </w:tcPr>
          <w:p w:rsidR="00000000" w:rsidRDefault="00000000">
            <w:pPr>
              <w:spacing w:before="80" w:after="80"/>
              <w:ind w:right="340"/>
              <w:jc w:val="right"/>
              <w:rPr>
                <w:sz w:val="20"/>
                <w:szCs w:val="20"/>
              </w:rPr>
            </w:pPr>
            <w:r>
              <w:rPr>
                <w:sz w:val="20"/>
                <w:szCs w:val="20"/>
              </w:rPr>
              <w:t>10.2</w:t>
            </w:r>
          </w:p>
        </w:tc>
        <w:tc>
          <w:tcPr>
            <w:tcW w:w="999" w:type="dxa"/>
            <w:noWrap/>
            <w:vAlign w:val="bottom"/>
          </w:tcPr>
          <w:p w:rsidR="00000000" w:rsidRDefault="00000000">
            <w:pPr>
              <w:spacing w:before="80" w:after="80"/>
              <w:ind w:right="340"/>
              <w:jc w:val="right"/>
              <w:rPr>
                <w:sz w:val="20"/>
                <w:szCs w:val="20"/>
              </w:rPr>
            </w:pPr>
            <w:r>
              <w:rPr>
                <w:sz w:val="20"/>
                <w:szCs w:val="20"/>
              </w:rPr>
              <w:t>10.6</w:t>
            </w:r>
          </w:p>
        </w:tc>
        <w:tc>
          <w:tcPr>
            <w:tcW w:w="972" w:type="dxa"/>
            <w:noWrap/>
            <w:vAlign w:val="bottom"/>
          </w:tcPr>
          <w:p w:rsidR="00000000" w:rsidRDefault="00000000">
            <w:pPr>
              <w:spacing w:before="80" w:after="80"/>
              <w:ind w:right="340"/>
              <w:jc w:val="right"/>
              <w:rPr>
                <w:sz w:val="20"/>
                <w:szCs w:val="20"/>
              </w:rPr>
            </w:pPr>
            <w:r>
              <w:rPr>
                <w:sz w:val="20"/>
                <w:szCs w:val="20"/>
              </w:rPr>
              <w:t>11.3</w:t>
            </w:r>
          </w:p>
        </w:tc>
        <w:tc>
          <w:tcPr>
            <w:tcW w:w="1091" w:type="dxa"/>
            <w:noWrap/>
            <w:vAlign w:val="bottom"/>
          </w:tcPr>
          <w:p w:rsidR="00000000" w:rsidRDefault="00000000">
            <w:pPr>
              <w:spacing w:before="80" w:after="80"/>
              <w:ind w:right="340"/>
              <w:jc w:val="right"/>
              <w:rPr>
                <w:sz w:val="20"/>
                <w:szCs w:val="20"/>
              </w:rPr>
            </w:pPr>
            <w:r>
              <w:rPr>
                <w:sz w:val="20"/>
                <w:szCs w:val="20"/>
              </w:rPr>
              <w:t>12.9</w:t>
            </w:r>
          </w:p>
        </w:tc>
        <w:tc>
          <w:tcPr>
            <w:tcW w:w="826" w:type="dxa"/>
            <w:noWrap/>
            <w:vAlign w:val="bottom"/>
          </w:tcPr>
          <w:p w:rsidR="00000000" w:rsidRDefault="00000000">
            <w:pPr>
              <w:spacing w:before="80" w:after="80"/>
              <w:ind w:right="340"/>
              <w:jc w:val="right"/>
              <w:rPr>
                <w:sz w:val="20"/>
                <w:szCs w:val="20"/>
              </w:rPr>
            </w:pPr>
            <w:r>
              <w:rPr>
                <w:sz w:val="20"/>
                <w:szCs w:val="20"/>
              </w:rPr>
              <w:t>11.5</w:t>
            </w:r>
          </w:p>
        </w:tc>
      </w:tr>
      <w:tr w:rsidR="00000000">
        <w:tc>
          <w:tcPr>
            <w:tcW w:w="4407" w:type="dxa"/>
            <w:noWrap/>
            <w:vAlign w:val="bottom"/>
          </w:tcPr>
          <w:p w:rsidR="00000000" w:rsidRDefault="00000000">
            <w:pPr>
              <w:spacing w:before="80" w:after="80"/>
              <w:rPr>
                <w:sz w:val="20"/>
                <w:szCs w:val="20"/>
              </w:rPr>
            </w:pPr>
            <w:r>
              <w:rPr>
                <w:sz w:val="20"/>
                <w:szCs w:val="20"/>
              </w:rPr>
              <w:t xml:space="preserve">% Administration of health and health insurance </w:t>
            </w:r>
          </w:p>
        </w:tc>
        <w:tc>
          <w:tcPr>
            <w:tcW w:w="1134" w:type="dxa"/>
            <w:noWrap/>
            <w:vAlign w:val="bottom"/>
          </w:tcPr>
          <w:p w:rsidR="00000000" w:rsidRDefault="00000000">
            <w:pPr>
              <w:spacing w:before="80" w:after="80"/>
              <w:ind w:right="340"/>
              <w:jc w:val="right"/>
              <w:rPr>
                <w:sz w:val="20"/>
                <w:szCs w:val="20"/>
              </w:rPr>
            </w:pPr>
            <w:r>
              <w:rPr>
                <w:sz w:val="20"/>
                <w:szCs w:val="20"/>
              </w:rPr>
              <w:t>15.0</w:t>
            </w:r>
          </w:p>
        </w:tc>
        <w:tc>
          <w:tcPr>
            <w:tcW w:w="999" w:type="dxa"/>
            <w:noWrap/>
            <w:vAlign w:val="bottom"/>
          </w:tcPr>
          <w:p w:rsidR="00000000" w:rsidRDefault="00000000">
            <w:pPr>
              <w:spacing w:before="80" w:after="80"/>
              <w:ind w:right="340"/>
              <w:jc w:val="right"/>
              <w:rPr>
                <w:sz w:val="20"/>
                <w:szCs w:val="20"/>
              </w:rPr>
            </w:pPr>
            <w:r>
              <w:rPr>
                <w:sz w:val="20"/>
                <w:szCs w:val="20"/>
              </w:rPr>
              <w:t>15.3</w:t>
            </w:r>
          </w:p>
        </w:tc>
        <w:tc>
          <w:tcPr>
            <w:tcW w:w="972" w:type="dxa"/>
            <w:noWrap/>
            <w:vAlign w:val="bottom"/>
          </w:tcPr>
          <w:p w:rsidR="00000000" w:rsidRDefault="00000000">
            <w:pPr>
              <w:spacing w:before="80" w:after="80"/>
              <w:ind w:right="340"/>
              <w:jc w:val="right"/>
              <w:rPr>
                <w:sz w:val="20"/>
                <w:szCs w:val="20"/>
              </w:rPr>
            </w:pPr>
            <w:r>
              <w:rPr>
                <w:sz w:val="20"/>
                <w:szCs w:val="20"/>
              </w:rPr>
              <w:t>12.6</w:t>
            </w:r>
          </w:p>
        </w:tc>
        <w:tc>
          <w:tcPr>
            <w:tcW w:w="1091" w:type="dxa"/>
            <w:noWrap/>
            <w:vAlign w:val="bottom"/>
          </w:tcPr>
          <w:p w:rsidR="00000000" w:rsidRDefault="00000000">
            <w:pPr>
              <w:spacing w:before="80" w:after="80"/>
              <w:ind w:right="340"/>
              <w:jc w:val="right"/>
              <w:rPr>
                <w:sz w:val="20"/>
                <w:szCs w:val="20"/>
              </w:rPr>
            </w:pPr>
            <w:r>
              <w:rPr>
                <w:sz w:val="20"/>
                <w:szCs w:val="20"/>
              </w:rPr>
              <w:t>12.1</w:t>
            </w:r>
          </w:p>
        </w:tc>
        <w:tc>
          <w:tcPr>
            <w:tcW w:w="826" w:type="dxa"/>
            <w:noWrap/>
            <w:vAlign w:val="bottom"/>
          </w:tcPr>
          <w:p w:rsidR="00000000" w:rsidRDefault="00000000">
            <w:pPr>
              <w:spacing w:before="80" w:after="80"/>
              <w:ind w:right="340"/>
              <w:jc w:val="right"/>
              <w:rPr>
                <w:sz w:val="20"/>
                <w:szCs w:val="20"/>
              </w:rPr>
            </w:pPr>
            <w:r>
              <w:rPr>
                <w:sz w:val="20"/>
                <w:szCs w:val="20"/>
              </w:rPr>
              <w:t>13.8</w:t>
            </w:r>
          </w:p>
        </w:tc>
      </w:tr>
      <w:tr w:rsidR="00000000">
        <w:tc>
          <w:tcPr>
            <w:tcW w:w="4407" w:type="dxa"/>
            <w:noWrap/>
            <w:vAlign w:val="bottom"/>
          </w:tcPr>
          <w:p w:rsidR="00000000" w:rsidRDefault="00000000">
            <w:pPr>
              <w:spacing w:before="80" w:after="80"/>
              <w:rPr>
                <w:sz w:val="20"/>
                <w:szCs w:val="20"/>
              </w:rPr>
            </w:pPr>
            <w:r>
              <w:rPr>
                <w:sz w:val="20"/>
                <w:szCs w:val="20"/>
              </w:rPr>
              <w:t xml:space="preserve">% Training of health personnel </w:t>
            </w:r>
          </w:p>
        </w:tc>
        <w:tc>
          <w:tcPr>
            <w:tcW w:w="1134" w:type="dxa"/>
            <w:noWrap/>
            <w:vAlign w:val="bottom"/>
          </w:tcPr>
          <w:p w:rsidR="00000000" w:rsidRDefault="00000000">
            <w:pPr>
              <w:spacing w:before="80" w:after="80"/>
              <w:ind w:right="340"/>
              <w:jc w:val="right"/>
              <w:rPr>
                <w:sz w:val="20"/>
                <w:szCs w:val="20"/>
              </w:rPr>
            </w:pPr>
            <w:r>
              <w:rPr>
                <w:sz w:val="20"/>
                <w:szCs w:val="20"/>
              </w:rPr>
              <w:t>0.9</w:t>
            </w:r>
          </w:p>
        </w:tc>
        <w:tc>
          <w:tcPr>
            <w:tcW w:w="999" w:type="dxa"/>
            <w:noWrap/>
            <w:vAlign w:val="bottom"/>
          </w:tcPr>
          <w:p w:rsidR="00000000" w:rsidRDefault="00000000">
            <w:pPr>
              <w:spacing w:before="80" w:after="80"/>
              <w:ind w:right="340"/>
              <w:jc w:val="right"/>
              <w:rPr>
                <w:sz w:val="20"/>
                <w:szCs w:val="20"/>
              </w:rPr>
            </w:pPr>
            <w:r>
              <w:rPr>
                <w:sz w:val="20"/>
                <w:szCs w:val="20"/>
              </w:rPr>
              <w:t>1.0</w:t>
            </w:r>
          </w:p>
        </w:tc>
        <w:tc>
          <w:tcPr>
            <w:tcW w:w="972" w:type="dxa"/>
            <w:noWrap/>
            <w:vAlign w:val="bottom"/>
          </w:tcPr>
          <w:p w:rsidR="00000000" w:rsidRDefault="00000000">
            <w:pPr>
              <w:spacing w:before="80" w:after="80"/>
              <w:ind w:right="340"/>
              <w:jc w:val="right"/>
              <w:rPr>
                <w:sz w:val="20"/>
                <w:szCs w:val="20"/>
              </w:rPr>
            </w:pPr>
            <w:r>
              <w:rPr>
                <w:sz w:val="20"/>
                <w:szCs w:val="20"/>
              </w:rPr>
              <w:t>0.8</w:t>
            </w:r>
          </w:p>
        </w:tc>
        <w:tc>
          <w:tcPr>
            <w:tcW w:w="1091" w:type="dxa"/>
            <w:noWrap/>
            <w:vAlign w:val="bottom"/>
          </w:tcPr>
          <w:p w:rsidR="00000000" w:rsidRDefault="00000000">
            <w:pPr>
              <w:spacing w:before="80" w:after="80"/>
              <w:ind w:right="340"/>
              <w:jc w:val="right"/>
              <w:rPr>
                <w:sz w:val="20"/>
                <w:szCs w:val="20"/>
              </w:rPr>
            </w:pPr>
            <w:r>
              <w:rPr>
                <w:sz w:val="20"/>
                <w:szCs w:val="20"/>
              </w:rPr>
              <w:t>0.9</w:t>
            </w:r>
          </w:p>
        </w:tc>
        <w:tc>
          <w:tcPr>
            <w:tcW w:w="826" w:type="dxa"/>
            <w:noWrap/>
            <w:vAlign w:val="bottom"/>
          </w:tcPr>
          <w:p w:rsidR="00000000" w:rsidRDefault="00000000">
            <w:pPr>
              <w:spacing w:before="80" w:after="80"/>
              <w:ind w:right="340"/>
              <w:jc w:val="right"/>
              <w:rPr>
                <w:sz w:val="20"/>
                <w:szCs w:val="20"/>
              </w:rPr>
            </w:pPr>
            <w:r>
              <w:rPr>
                <w:sz w:val="20"/>
                <w:szCs w:val="20"/>
              </w:rPr>
              <w:t>1.0</w:t>
            </w:r>
          </w:p>
        </w:tc>
      </w:tr>
      <w:tr w:rsidR="00000000">
        <w:tc>
          <w:tcPr>
            <w:tcW w:w="4407" w:type="dxa"/>
            <w:tcBorders>
              <w:bottom w:val="single" w:sz="4" w:space="0" w:color="auto"/>
            </w:tcBorders>
            <w:noWrap/>
            <w:vAlign w:val="bottom"/>
          </w:tcPr>
          <w:p w:rsidR="00000000" w:rsidRDefault="00000000">
            <w:pPr>
              <w:spacing w:before="80" w:after="80"/>
              <w:rPr>
                <w:sz w:val="20"/>
                <w:szCs w:val="20"/>
              </w:rPr>
            </w:pPr>
            <w:r>
              <w:rPr>
                <w:sz w:val="20"/>
                <w:szCs w:val="20"/>
              </w:rPr>
              <w:t>% Gross capital formation</w:t>
            </w:r>
          </w:p>
        </w:tc>
        <w:tc>
          <w:tcPr>
            <w:tcW w:w="1134" w:type="dxa"/>
            <w:tcBorders>
              <w:bottom w:val="single" w:sz="4" w:space="0" w:color="auto"/>
            </w:tcBorders>
            <w:noWrap/>
            <w:vAlign w:val="bottom"/>
          </w:tcPr>
          <w:p w:rsidR="00000000" w:rsidRDefault="00000000">
            <w:pPr>
              <w:spacing w:before="80" w:after="80"/>
              <w:ind w:right="340"/>
              <w:jc w:val="right"/>
              <w:rPr>
                <w:sz w:val="20"/>
                <w:szCs w:val="20"/>
              </w:rPr>
            </w:pPr>
            <w:r>
              <w:rPr>
                <w:sz w:val="20"/>
                <w:szCs w:val="20"/>
              </w:rPr>
              <w:t>8.6</w:t>
            </w:r>
          </w:p>
        </w:tc>
        <w:tc>
          <w:tcPr>
            <w:tcW w:w="999" w:type="dxa"/>
            <w:tcBorders>
              <w:bottom w:val="single" w:sz="4" w:space="0" w:color="auto"/>
            </w:tcBorders>
            <w:noWrap/>
            <w:vAlign w:val="bottom"/>
          </w:tcPr>
          <w:p w:rsidR="00000000" w:rsidRDefault="00000000">
            <w:pPr>
              <w:spacing w:before="80" w:after="80"/>
              <w:ind w:right="340"/>
              <w:jc w:val="right"/>
              <w:rPr>
                <w:sz w:val="20"/>
                <w:szCs w:val="20"/>
              </w:rPr>
            </w:pPr>
            <w:r>
              <w:rPr>
                <w:sz w:val="20"/>
                <w:szCs w:val="20"/>
              </w:rPr>
              <w:t>9.3</w:t>
            </w:r>
          </w:p>
        </w:tc>
        <w:tc>
          <w:tcPr>
            <w:tcW w:w="972" w:type="dxa"/>
            <w:tcBorders>
              <w:bottom w:val="single" w:sz="4" w:space="0" w:color="auto"/>
            </w:tcBorders>
            <w:noWrap/>
            <w:vAlign w:val="bottom"/>
          </w:tcPr>
          <w:p w:rsidR="00000000" w:rsidRDefault="00000000">
            <w:pPr>
              <w:spacing w:before="80" w:after="80"/>
              <w:ind w:right="340"/>
              <w:jc w:val="right"/>
              <w:rPr>
                <w:sz w:val="20"/>
                <w:szCs w:val="20"/>
              </w:rPr>
            </w:pPr>
            <w:r>
              <w:rPr>
                <w:sz w:val="20"/>
                <w:szCs w:val="20"/>
              </w:rPr>
              <w:t>11.8</w:t>
            </w:r>
          </w:p>
        </w:tc>
        <w:tc>
          <w:tcPr>
            <w:tcW w:w="1091" w:type="dxa"/>
            <w:tcBorders>
              <w:bottom w:val="single" w:sz="4" w:space="0" w:color="auto"/>
            </w:tcBorders>
            <w:noWrap/>
            <w:vAlign w:val="bottom"/>
          </w:tcPr>
          <w:p w:rsidR="00000000" w:rsidRDefault="00000000">
            <w:pPr>
              <w:spacing w:before="80" w:after="80"/>
              <w:ind w:right="340"/>
              <w:jc w:val="right"/>
              <w:rPr>
                <w:sz w:val="20"/>
                <w:szCs w:val="20"/>
              </w:rPr>
            </w:pPr>
            <w:r>
              <w:rPr>
                <w:sz w:val="20"/>
                <w:szCs w:val="20"/>
              </w:rPr>
              <w:t>7.2</w:t>
            </w:r>
          </w:p>
        </w:tc>
        <w:tc>
          <w:tcPr>
            <w:tcW w:w="826" w:type="dxa"/>
            <w:tcBorders>
              <w:bottom w:val="single" w:sz="4" w:space="0" w:color="auto"/>
            </w:tcBorders>
            <w:noWrap/>
            <w:vAlign w:val="bottom"/>
          </w:tcPr>
          <w:p w:rsidR="00000000" w:rsidRDefault="00000000">
            <w:pPr>
              <w:spacing w:before="80" w:after="80"/>
              <w:ind w:right="340"/>
              <w:jc w:val="right"/>
              <w:rPr>
                <w:sz w:val="20"/>
                <w:szCs w:val="20"/>
              </w:rPr>
            </w:pPr>
            <w:r>
              <w:rPr>
                <w:sz w:val="20"/>
                <w:szCs w:val="20"/>
              </w:rPr>
              <w:t>9.3</w:t>
            </w:r>
          </w:p>
        </w:tc>
      </w:tr>
    </w:tbl>
    <w:p w:rsidR="00000000" w:rsidRDefault="00000000">
      <w:pPr>
        <w:spacing w:after="240"/>
      </w:pPr>
    </w:p>
    <w:p w:rsidR="00000000" w:rsidRDefault="00000000">
      <w:pPr>
        <w:spacing w:after="240"/>
      </w:pPr>
      <w:r>
        <w:t>264.</w:t>
      </w:r>
      <w:r>
        <w:tab/>
        <w:t xml:space="preserve">For purposes of changes in the budget a decree is issued annually giving guidelines for the formulation and programming of the budget. It stipulates that the budget must be prepared taking into account the Plan of the National Government, economic policy, the development strategies, the monetary programme and the annual public investment plan. Any change in the budget is principally based on, or principally derives its origin from, the need to cover a deficit in one sector by means of a surplus in another. This happens principally by transfers from the retirement pensions sector to that of health. </w:t>
      </w:r>
    </w:p>
    <w:p w:rsidR="00000000" w:rsidRDefault="00000000">
      <w:pPr>
        <w:spacing w:after="240"/>
      </w:pPr>
      <w:r>
        <w:t>265.</w:t>
      </w:r>
      <w:r>
        <w:tab/>
        <w:t xml:space="preserve">In Paraguay the social insurance scheme administered by the Social Security Institute is not complemented by or coordinated with any private insurance scheme or with social insurance schemes administered by the other funds in the system (banks, prosecutor’s department, municipal, ITAIPU, etc.) with the exceptions of the Pension Fund of the National Electricity Administration (ANDE) and of the Parliamentary Pension Fund. </w:t>
      </w:r>
    </w:p>
    <w:p w:rsidR="00000000" w:rsidRDefault="00000000">
      <w:pPr>
        <w:spacing w:after="240"/>
      </w:pPr>
      <w:r>
        <w:t>266.</w:t>
      </w:r>
      <w:r>
        <w:tab/>
        <w:t xml:space="preserve">The Social Security Institute is required by law (Decree-Law 17701/43) to provide a complete range of services. If it is unable to meet demand or obtain the services required of its </w:t>
      </w:r>
    </w:p>
    <w:p w:rsidR="00000000" w:rsidRDefault="00000000">
      <w:pPr>
        <w:spacing w:after="240"/>
      </w:pPr>
      <w:r>
        <w:t xml:space="preserve">members it purchases services such as health care, intensive-care in-patient services and diagnostic and pharmaceutical services from the private sector. During recent years such purchases have accounted for more than 10% of its medical programme. In such cases payment is made by act or by package of services supplied. Some 20% of Paraguayans have some form of medical insurance; the proportion is higher (27%) in urban areas, while in rural areas it is of the order of 7%. According to the Integrated Household Survey 2000/2001, on the average, 49% of the insured population in the public sector (military and police health services, IPS) use the services of their insurance schemes; in the private sector the percentage is higher (83.2%). Of the population with no insurance of any kind, 41.7% are assisted by public institutions. </w:t>
      </w:r>
    </w:p>
    <w:p w:rsidR="00000000" w:rsidRDefault="00000000">
      <w:pPr>
        <w:spacing w:after="240"/>
      </w:pPr>
      <w:r>
        <w:t>267.</w:t>
      </w:r>
      <w:r>
        <w:tab/>
        <w:t xml:space="preserve">The persons insured with the Social Security Institute make up 10.9% of the population; the private sector has 6.5%, the health services 11% and external services 0.4%; 81.1% of the population has no insurance of any kind. </w:t>
      </w:r>
    </w:p>
    <w:p w:rsidR="00000000" w:rsidRDefault="00000000">
      <w:pPr>
        <w:spacing w:after="240"/>
      </w:pPr>
      <w:r>
        <w:t>268.</w:t>
      </w:r>
      <w:r>
        <w:tab/>
        <w:t xml:space="preserve">The other group of private actors are non-profit-making bodies founded, inter alia, by NGOs, community service organizations, purveyors of traditional medicine and community systems (micro-insurance). These sectors are principally concerned with meeting the health needs of the fringe of the population living in extreme poverty; they are financed by donations from honorary members, fund-raising events and small – often occasional – contributions from users of the services. Their financial bases are by their nature unstable and generally limited; this restricts their ability to offer services. </w:t>
      </w:r>
    </w:p>
    <w:p w:rsidR="00000000" w:rsidRDefault="00000000">
      <w:pPr>
        <w:spacing w:after="240"/>
      </w:pPr>
      <w:r>
        <w:t>269.</w:t>
      </w:r>
      <w:r>
        <w:tab/>
        <w:t xml:space="preserve">NGOs provide services in this subsector; most of them offer, not medical care, but complementary assistance to health programmes and surveys, together with medicines and consumable items for insolvent patients. In the Mennonite settlements in the Chaco a mutual health insurance scheme has been developed. The members (15,000 persons) pay 5-6% of family incomes into the insurance scheme. They also pay 30% of the cost of consultations , of medical care and of medicines prescribed in medical centres up to an amount of 2.5 times minimum wages; all additional expenditure beyond that amount is covered by the mutual-aid insurance. In additional, the approximately 18,000 indigenous workers in these settlements have the benefit of the Mutual Hospital Scheme, an insurance scheme for temporary workers. The indigenous workers pay 5% of their wages to the scheme and the employer 10%. The scheme covers the cost of consultations, in-patient care and medicines for the worker and his family as well as one month’s sick leave. </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bCs w:val="0"/>
          <w:lang w:val="en-GB" w:eastAsia="en-US"/>
        </w:rPr>
      </w:pPr>
      <w:r>
        <w:rPr>
          <w:rFonts w:ascii="Times New Roman" w:eastAsia="Times New Roman" w:hAnsi="Times New Roman" w:cs="Times New Roman"/>
          <w:bCs w:val="0"/>
          <w:lang w:val="en-GB" w:eastAsia="en-US"/>
        </w:rPr>
        <w:t>D.  Social groups excluded from social security</w:t>
      </w:r>
    </w:p>
    <w:p w:rsidR="00000000" w:rsidRDefault="00000000">
      <w:pPr>
        <w:spacing w:after="240"/>
      </w:pPr>
      <w:r>
        <w:t>270.</w:t>
      </w:r>
      <w:r>
        <w:tab/>
        <w:t xml:space="preserve">In Paraguay the population groups excluded from any kind of social security are the informal sectors of the economy. This is due to the fact that all the funds are organized on the basis of particular groups or collectivities (bank employees, public officials, municipal employees, officials of Itaipú, officials of ANDE). The Social Security Institute is the only fund with a broader mandate of providing benefits to employees generally. Consequently the greatest heterogeneity of groups of workers is to be found in the system administered by the Institute; it includes teachers, both in service and retired, domestic employees and veterans of the Chaco war as well as their respective family groups. </w:t>
      </w:r>
    </w:p>
    <w:p w:rsidR="00000000" w:rsidRDefault="00000000">
      <w:pPr>
        <w:spacing w:after="240"/>
      </w:pPr>
      <w:r>
        <w:t>271.</w:t>
      </w:r>
      <w:r>
        <w:tab/>
        <w:t xml:space="preserve">Hitherto the Institute has not been able to implement regulations permitting the formal admission of independent workers, that is to say, persons who are self-employed or working in a single-family group. </w:t>
      </w:r>
    </w:p>
    <w:p w:rsidR="00000000" w:rsidRDefault="00000000">
      <w:pPr>
        <w:pStyle w:val="xl27"/>
        <w:pBdr>
          <w:left w:val="none" w:sz="0" w:space="0" w:color="auto"/>
          <w:bottom w:val="none" w:sz="0" w:space="0" w:color="auto"/>
          <w:right w:val="none" w:sz="0" w:space="0" w:color="auto"/>
        </w:pBdr>
        <w:spacing w:before="0" w:beforeAutospacing="0" w:after="220" w:afterAutospacing="0"/>
        <w:rPr>
          <w:rFonts w:ascii="Times New Roman" w:eastAsia="Times New Roman" w:hAnsi="Times New Roman" w:cs="Times New Roman"/>
          <w:bCs w:val="0"/>
          <w:lang w:val="en-GB" w:eastAsia="en-US"/>
        </w:rPr>
      </w:pPr>
      <w:r>
        <w:rPr>
          <w:rFonts w:ascii="Times New Roman" w:eastAsia="Times New Roman" w:hAnsi="Times New Roman" w:cs="Times New Roman"/>
          <w:bCs w:val="0"/>
          <w:lang w:val="en-GB" w:eastAsia="en-US"/>
        </w:rPr>
        <w:t>E.  Measures taken for the benefit of vulnerable groups</w:t>
      </w:r>
      <w:r>
        <w:rPr>
          <w:rFonts w:ascii="Times New Roman" w:eastAsia="Times New Roman" w:hAnsi="Times New Roman" w:cs="Times New Roman"/>
          <w:bCs w:val="0"/>
          <w:lang w:val="en-GB" w:eastAsia="en-US"/>
        </w:rPr>
        <w:br/>
        <w:t>in the field of social security</w:t>
      </w:r>
    </w:p>
    <w:p w:rsidR="00000000" w:rsidRDefault="00000000">
      <w:pPr>
        <w:spacing w:after="220"/>
        <w:rPr>
          <w:spacing w:val="-2"/>
        </w:rPr>
      </w:pPr>
      <w:r>
        <w:rPr>
          <w:spacing w:val="-2"/>
        </w:rPr>
        <w:t>272.</w:t>
      </w:r>
      <w:r>
        <w:rPr>
          <w:spacing w:val="-2"/>
        </w:rPr>
        <w:tab/>
        <w:t>The National Government considers it necessary to extend insurance through the Progressive Insurance Programme (PNAMI), in which priority is in principle given to mothers and children. In addition, the Ministry of Public Health, by Decision No. 19 of 2005, exempted children under age 10 from charges for out-patient consultations and in-patient care in the country’s public assistance centres. Previously, in pursuance of ministerial decision No. 198/2003, exemption from charges existed for care provided to pregnant women and children under age 5 and medicines and consumables were distributed without charge for care in respect of births in institutions.</w:t>
      </w:r>
    </w:p>
    <w:p w:rsidR="00000000" w:rsidRDefault="00000000">
      <w:pPr>
        <w:spacing w:after="220"/>
        <w:rPr>
          <w:spacing w:val="-2"/>
        </w:rPr>
      </w:pPr>
      <w:r>
        <w:rPr>
          <w:spacing w:val="-2"/>
        </w:rPr>
        <w:t>273.</w:t>
      </w:r>
      <w:r>
        <w:rPr>
          <w:spacing w:val="-2"/>
        </w:rPr>
        <w:tab/>
        <w:t xml:space="preserve">Similarly, the Ministry of Public Health, through the agency of the Development of the National Programme of Insurance for Mothers and Children (NAMI), is implementing a strategy associating health protection and equity in access to services. The project (Health Project II: project for the insurance of mothers and children (PNAMI)) has been approved by the Board of Directors of the World Bank; it will cover 353,711 children aged 0-4 years and 563,089 women of child-bearing age, making a total of 916,800 persons. The project will extend to 10 health regions. </w:t>
      </w:r>
    </w:p>
    <w:p w:rsidR="00000000" w:rsidRDefault="00000000">
      <w:pPr>
        <w:spacing w:after="220"/>
      </w:pPr>
      <w:r>
        <w:rPr>
          <w:b/>
        </w:rPr>
        <w:t>1.</w:t>
      </w:r>
      <w:r>
        <w:rPr>
          <w:b/>
        </w:rPr>
        <w:tab/>
        <w:t>Implementation of the Basic Healthcare Programme</w:t>
      </w:r>
    </w:p>
    <w:p w:rsidR="00000000" w:rsidRDefault="00000000">
      <w:pPr>
        <w:spacing w:after="220"/>
      </w:pPr>
      <w:r>
        <w:t>274.</w:t>
      </w:r>
      <w:r>
        <w:tab/>
        <w:t xml:space="preserve">This is a strategy which is being taken up by the Ministry of Public Health and Social Welfare through the programme of reforms to the primary healthcare scheme; it will provide basic essential medicines and consumables for 20 items of care and 13 diseases. The programme is directed towards all pregnant women and children of either sex under 5 years of age attending health posts and centres, district, regional and maternity and children’s hospitals under the authority of the Ministry of Public Health and Social Welfare throughout the country. The services are guaranteed to be free of charge. </w:t>
      </w:r>
    </w:p>
    <w:p w:rsidR="00000000" w:rsidRDefault="00000000">
      <w:pPr>
        <w:spacing w:after="220"/>
      </w:pPr>
      <w:r>
        <w:t>275.</w:t>
      </w:r>
      <w:r>
        <w:tab/>
        <w:t xml:space="preserve">One of the observed effects of these measures has been that the provision of free care to pregnant women and children under age 10, together with the provision of birth kits, kits for obstetric emergencies, anaesthetic kits and essential medicines, has led to a substantial reduction in the numbers of deaths in childbirth. </w:t>
      </w:r>
    </w:p>
    <w:p w:rsidR="00000000" w:rsidRDefault="00000000">
      <w:pPr>
        <w:spacing w:after="220"/>
        <w:rPr>
          <w:i/>
          <w:iCs/>
        </w:rPr>
      </w:pPr>
      <w:r>
        <w:tab/>
      </w:r>
      <w:r>
        <w:rPr>
          <w:i/>
          <w:iCs/>
        </w:rPr>
        <w:t>Total deaths in childbirth:</w:t>
      </w:r>
    </w:p>
    <w:p w:rsidR="00000000" w:rsidRDefault="00000000">
      <w:pPr>
        <w:ind w:left="567"/>
      </w:pPr>
      <w:r>
        <w:t>2002:   182 per 100,000</w:t>
      </w:r>
    </w:p>
    <w:p w:rsidR="00000000" w:rsidRDefault="00000000">
      <w:pPr>
        <w:ind w:left="567"/>
      </w:pPr>
      <w:r>
        <w:t>2003:</w:t>
      </w:r>
      <w:r>
        <w:tab/>
        <w:t>174 per 100,000</w:t>
      </w:r>
      <w:r>
        <w:tab/>
      </w:r>
      <w:r>
        <w:tab/>
      </w:r>
    </w:p>
    <w:p w:rsidR="00000000" w:rsidRDefault="00000000">
      <w:pPr>
        <w:spacing w:after="240"/>
        <w:ind w:left="567"/>
      </w:pPr>
      <w:r>
        <w:t>2004:</w:t>
      </w:r>
      <w:r>
        <w:tab/>
        <w:t>155 per 100,000.</w:t>
      </w:r>
    </w:p>
    <w:p w:rsidR="00000000" w:rsidRDefault="00000000">
      <w:pPr>
        <w:spacing w:after="240"/>
      </w:pPr>
      <w:r>
        <w:t xml:space="preserve">189. There was an improvement in the denominator (Register of Live Births). </w:t>
      </w:r>
    </w:p>
    <w:p w:rsidR="00000000" w:rsidRDefault="00000000">
      <w:pPr>
        <w:spacing w:after="240"/>
        <w:rPr>
          <w:bCs/>
          <w:i/>
          <w:iCs/>
        </w:rPr>
      </w:pPr>
      <w:r>
        <w:tab/>
      </w:r>
      <w:r>
        <w:rPr>
          <w:bCs/>
          <w:i/>
          <w:iCs/>
        </w:rPr>
        <w:t>Trend in reduction of gross numbers of women dying in childbirth (2005)</w:t>
      </w:r>
    </w:p>
    <w:p w:rsidR="00000000" w:rsidRDefault="00000000">
      <w:pPr>
        <w:ind w:left="567"/>
      </w:pPr>
      <w:r>
        <w:t>Number of women dying in childbirth up to 11 December 2005:  108</w:t>
      </w:r>
    </w:p>
    <w:p w:rsidR="00000000" w:rsidRDefault="00000000">
      <w:pPr>
        <w:ind w:left="567"/>
      </w:pPr>
      <w:r>
        <w:t>Number of women dying in childbirth during the same period in 2004:  138</w:t>
      </w:r>
    </w:p>
    <w:p w:rsidR="00000000" w:rsidRDefault="00000000">
      <w:pPr>
        <w:ind w:left="567"/>
      </w:pPr>
      <w:r>
        <w:t>Difference:</w:t>
      </w:r>
      <w:r>
        <w:tab/>
        <w:t>30 deaths in childbirth (partial)</w:t>
      </w:r>
    </w:p>
    <w:p w:rsidR="00000000" w:rsidRDefault="00000000">
      <w:pPr>
        <w:ind w:left="567"/>
      </w:pPr>
      <w:r>
        <w:t>Departments in which impact greatest:</w:t>
      </w:r>
    </w:p>
    <w:p w:rsidR="00000000" w:rsidRDefault="00000000">
      <w:pPr>
        <w:ind w:left="1134"/>
      </w:pPr>
      <w:r>
        <w:t>Concepción:  from 11 to 4</w:t>
      </w:r>
    </w:p>
    <w:p w:rsidR="00000000" w:rsidRDefault="00000000">
      <w:pPr>
        <w:ind w:left="567"/>
      </w:pPr>
      <w:r>
        <w:tab/>
        <w:t>San Pedro:  from 20 to 11</w:t>
      </w:r>
    </w:p>
    <w:p w:rsidR="00000000" w:rsidRDefault="00000000">
      <w:pPr>
        <w:ind w:left="567"/>
      </w:pPr>
      <w:r>
        <w:tab/>
        <w:t>Caguazú:  from 18 to 9</w:t>
      </w:r>
    </w:p>
    <w:p w:rsidR="00000000" w:rsidRDefault="00000000">
      <w:pPr>
        <w:spacing w:after="240"/>
        <w:ind w:left="567"/>
      </w:pPr>
      <w:r>
        <w:tab/>
        <w:t xml:space="preserve">Amambay:  from 4 to 1 </w:t>
      </w:r>
    </w:p>
    <w:p w:rsidR="00000000" w:rsidRDefault="00000000">
      <w:pPr>
        <w:spacing w:after="240"/>
      </w:pPr>
      <w:r>
        <w:t>276.</w:t>
      </w:r>
      <w:r>
        <w:tab/>
        <w:t xml:space="preserve">Infant mortality: there has been a reduction of less than 1 % (19 per 1,000 live births), 60% of which are cases of neonatal mortality. The principal causes of death were: lesions caused by birth, sepsis, premature birth. </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bCs w:val="0"/>
          <w:lang w:val="en-GB" w:eastAsia="en-US"/>
        </w:rPr>
      </w:pPr>
      <w:r>
        <w:rPr>
          <w:rFonts w:ascii="Times New Roman" w:eastAsia="Times New Roman" w:hAnsi="Times New Roman" w:cs="Times New Roman"/>
          <w:bCs w:val="0"/>
          <w:lang w:val="en-GB" w:eastAsia="en-US"/>
        </w:rPr>
        <w:t>F.  Analysis of social security in Paraguay</w:t>
      </w:r>
    </w:p>
    <w:p w:rsidR="00000000" w:rsidRDefault="00000000">
      <w:pPr>
        <w:spacing w:after="240"/>
      </w:pPr>
      <w:r>
        <w:t>277.</w:t>
      </w:r>
      <w:r>
        <w:tab/>
        <w:t xml:space="preserve">The Republic of Paraguay has subscribed to two international agreements on social security, one with Spain. It has also subscribed to an agreement with the Kingdom of the Netherlands and with the member countries of MERCOSUR, A social security agreement with Chile is also in course of examination. In all these agreements the Institute is the managing body, i.e., the body coordinating the application of the benefits provided for in the relevant agreement to foreign nationals resident in Paraguay and Paraguayan nationals resident in Spain, Argentina, Uruguay, Brazil and, in the near future, Chile. </w:t>
      </w:r>
    </w:p>
    <w:p w:rsidR="00000000" w:rsidRDefault="00000000">
      <w:pPr>
        <w:spacing w:after="240"/>
      </w:pPr>
      <w:r>
        <w:t>278.</w:t>
      </w:r>
      <w:r>
        <w:tab/>
        <w:t xml:space="preserve">To sum up, social security has recently come under review in the country, especially in connection with groups deemed to be vulnerable. The institutions have once again undertaken to improve the situation due to the difficulty of resorting to subsidies; this has given rise to an analysis of other methods of maintaining the system and a radical restructuring with a view to arriving at sustainability of the system and developing ways and means of extending the present coverage. </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bCs w:val="0"/>
          <w:smallCaps/>
          <w:lang w:val="en-GB" w:eastAsia="en-US"/>
        </w:rPr>
      </w:pPr>
      <w:r>
        <w:rPr>
          <w:rFonts w:ascii="Times New Roman" w:eastAsia="Times New Roman" w:hAnsi="Times New Roman" w:cs="Times New Roman"/>
          <w:bCs w:val="0"/>
          <w:smallCaps/>
          <w:lang w:val="en-GB" w:eastAsia="en-US"/>
        </w:rPr>
        <w:t>Article 10</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bCs w:val="0"/>
          <w:lang w:val="en-GB" w:eastAsia="en-US"/>
        </w:rPr>
      </w:pPr>
      <w:r>
        <w:rPr>
          <w:rFonts w:ascii="Times New Roman" w:eastAsia="Times New Roman" w:hAnsi="Times New Roman" w:cs="Times New Roman"/>
          <w:bCs w:val="0"/>
          <w:lang w:val="en-GB" w:eastAsia="en-US"/>
        </w:rPr>
        <w:t>A.  The family in Paraguayan society</w:t>
      </w:r>
    </w:p>
    <w:p w:rsidR="00000000" w:rsidRDefault="00000000">
      <w:pPr>
        <w:spacing w:after="240"/>
      </w:pPr>
      <w:r>
        <w:t>279.</w:t>
      </w:r>
      <w:r>
        <w:tab/>
        <w:t xml:space="preserve">The significance of the term “family” in the context of Paraguayan society is specified in the National Constitution. It is deemed to be the foundation of national society and as such is guaranteed full protection. Today there are other concepts of the family going beyond the traditional one; the Magna Carta now recognizes a stable de facto union of a man and a woman and the children and the community they form together with any of the parents and their descendants. </w:t>
      </w:r>
    </w:p>
    <w:p w:rsidR="00000000" w:rsidRDefault="00000000">
      <w:pPr>
        <w:spacing w:after="240"/>
        <w:rPr>
          <w:spacing w:val="-2"/>
        </w:rPr>
      </w:pPr>
      <w:r>
        <w:rPr>
          <w:spacing w:val="-2"/>
        </w:rPr>
        <w:t>280.</w:t>
      </w:r>
      <w:r>
        <w:rPr>
          <w:spacing w:val="-2"/>
        </w:rPr>
        <w:tab/>
        <w:t xml:space="preserve">The 1992 National Constitution contains an entire chapter devoted to the rights of the family (Chapter IV: Concerning the rights of the family (articles 49-61)); in it the full protection of the family is guaranteed. It lays down the right to form a family; marriage and de facto unions enjoy the same constitutional ranking; the children, the protection of the child (art. 54), responsible parenthood, juveniles, the aged, the rights of persons with special needs, family property, protection against violence (art. 60) and family planning and mother and child health (art. 61).  </w:t>
      </w:r>
    </w:p>
    <w:p w:rsidR="00000000" w:rsidRDefault="00000000">
      <w:pPr>
        <w:spacing w:after="240"/>
      </w:pPr>
      <w:r>
        <w:rPr>
          <w:spacing w:val="-2"/>
        </w:rPr>
        <w:t>281.</w:t>
      </w:r>
      <w:r>
        <w:rPr>
          <w:spacing w:val="-2"/>
        </w:rPr>
        <w:tab/>
        <w:t>Another constitutional protection directed towards the strengthening of the family as the basis of all social structures is that contained in article 115, which lays down the basis for agrarian reform and rural development. Section 9 refers to: “support for peasant women, especially those who are heads of households” (in line with the provisions of article 53). This provision is complemented by the content of section 10 of the same article, which refers to: “the participation of peasant women in plans for agrarian reform on an equal footing with peasant men.”</w:t>
      </w:r>
    </w:p>
    <w:p w:rsidR="00000000" w:rsidRDefault="00000000">
      <w:pPr>
        <w:spacing w:after="240"/>
      </w:pPr>
      <w:r>
        <w:t>282.</w:t>
      </w:r>
      <w:r>
        <w:tab/>
        <w:t xml:space="preserve">Act No. 1,680 of 2001 gave approval to the new Code on Children and Adolescents  envisaged in the Doctrine of Comprehensive Protection, which recognizes children as subjects of law with the capacity to live; to enjoy health, education, life within a family,  identity and the right to participate in all matters concerning them. As regards the right to contract marriage the law fixes a minimum age of 16 years for both men and women. The law also lays down certain restrictions, requiring the consent of the parents or guardian to the marriage. In the absence or incapacity of one parent the consent of the other shall suffice. If both are incapacitated or have lost parental authority the court of guardianship shall make the decision. Children born out of wedlock require the consent of the father or mother who recognized them or, where appropriate, of both parents. In their absence the decision is made by the court. There are exceptional cases in which the court of guardianship will authorize the marriage of minors between 14 and 16 years of age. The minimum age for obtaining a driving licence is 18 years for both men and women. Act No. 2169/03 fixes the minimum age for the purchase of property and for the acquisition of citizenship at 18 years. For criminal liability the minimum age is set at 14 years; from that age onwards an adolescent may be charged with offences committed. </w:t>
      </w:r>
    </w:p>
    <w:p w:rsidR="00000000" w:rsidRDefault="00000000">
      <w:pPr>
        <w:spacing w:after="240"/>
        <w:rPr>
          <w:b/>
          <w:bCs/>
        </w:rPr>
      </w:pPr>
      <w:r>
        <w:rPr>
          <w:b/>
          <w:bCs/>
        </w:rPr>
        <w:t>1.</w:t>
      </w:r>
      <w:r>
        <w:rPr>
          <w:b/>
          <w:bCs/>
        </w:rPr>
        <w:tab/>
        <w:t>System of protection of the family</w:t>
      </w:r>
    </w:p>
    <w:p w:rsidR="00000000" w:rsidRDefault="00000000">
      <w:pPr>
        <w:spacing w:after="240"/>
      </w:pPr>
      <w:r>
        <w:t>283.</w:t>
      </w:r>
      <w:r>
        <w:tab/>
        <w:t xml:space="preserve">The State guarantees the right of every man and every woman to contract marriage provided that they have freely expressed their consent. Both the Constitution and the Civil Code as amended by Act No 1/92 recognize a de facto union between a man and a woman voluntarily living together in a stable, public and monogamous  fashion, provided that both have reached the minimum age to contract marriage. A union with the characteristics mentioned above which has lasted for at least four consecutive years will give rise to joint ownership of property between the partners which may be dissolved during the lifetime of both or by death; in both cases the assets must be distributed in equal shares between the cohabitants or between the survivor and the heirs of the other. If children of the two partners are born of the union, the waiting period shall be considered completed on the date of birth of the first child. </w:t>
      </w:r>
    </w:p>
    <w:p w:rsidR="00000000" w:rsidRDefault="00000000">
      <w:pPr>
        <w:spacing w:after="240"/>
      </w:pPr>
      <w:r>
        <w:t>284.</w:t>
      </w:r>
      <w:r>
        <w:tab/>
        <w:t xml:space="preserve">One aspect which may, in a sense, be considered a retrograde step in the exercise of the rights of the family on equal terms is to be found in a change in the provisions of Act No. 1/92, introducing a partial reform of the Civil Code, which stipulated that the order of the surnames of children born both within and outside marriage was to be determined by joint agreement between the two spouses. The amending Act (No. 985/96) stipulates that in the absence of agreement the surname of the father shall come first. Once an order has been established for the first child, the same order shall be used for all other children. However, the impact of this measure does not imply major complications with regard to access to other rights guaranteed to everyone – men, women and children – without discrimination of any kind. </w:t>
      </w:r>
    </w:p>
    <w:p w:rsidR="00000000" w:rsidRDefault="00000000">
      <w:pPr>
        <w:spacing w:after="240"/>
      </w:pPr>
      <w:r>
        <w:rPr>
          <w:b/>
          <w:bCs/>
        </w:rPr>
        <w:t>1.2.</w:t>
      </w:r>
      <w:r>
        <w:rPr>
          <w:b/>
          <w:bCs/>
        </w:rPr>
        <w:tab/>
        <w:t>Concrete measures for the protection of the family</w:t>
      </w:r>
    </w:p>
    <w:p w:rsidR="00000000" w:rsidRDefault="00000000">
      <w:pPr>
        <w:spacing w:after="240"/>
      </w:pPr>
      <w:r>
        <w:t>285.</w:t>
      </w:r>
      <w:r>
        <w:tab/>
        <w:t xml:space="preserve">The State of Paraguay has taken a variety of measures for the protection of the family. In a context of strategies for cultural change the Secretariat for Women has submitted proposals for the amendment of legislative instruments as follows: </w:t>
      </w:r>
    </w:p>
    <w:p w:rsidR="00000000" w:rsidRDefault="00000000">
      <w:pPr>
        <w:spacing w:after="240"/>
        <w:ind w:left="1134" w:hanging="567"/>
      </w:pPr>
      <w:r>
        <w:t>–</w:t>
      </w:r>
      <w:r>
        <w:tab/>
        <w:t xml:space="preserve">A draft Act concerning maternity leave for women in elective office was submitted in December 2004 and has now been partially approved; </w:t>
      </w:r>
    </w:p>
    <w:p w:rsidR="00000000" w:rsidRDefault="00000000">
      <w:pPr>
        <w:spacing w:after="240"/>
        <w:ind w:firstLine="567"/>
      </w:pPr>
      <w:r>
        <w:t>–</w:t>
      </w:r>
      <w:r>
        <w:tab/>
        <w:t xml:space="preserve">A draft Act concerning responsible parenthood was submitted on 2 January 2003. </w:t>
      </w:r>
    </w:p>
    <w:p w:rsidR="00000000" w:rsidRDefault="00000000">
      <w:pPr>
        <w:spacing w:after="240"/>
      </w:pPr>
      <w:r>
        <w:t>286.</w:t>
      </w:r>
      <w:r>
        <w:tab/>
        <w:t xml:space="preserve">The Secretariat for Women exercises influence on public policies on education relating to framing of study programmes, training and investigations into sexist practices through the Programme of Equality of Opportunities and Achievements for Women in Education (PRIOME). It also exercises influence in the environmental sector in the framing of legislative proposals and a gender-based approach in public policies in the area. </w:t>
      </w:r>
    </w:p>
    <w:p w:rsidR="00000000" w:rsidRDefault="00000000">
      <w:pPr>
        <w:spacing w:after="240"/>
      </w:pPr>
      <w:r>
        <w:t>287.</w:t>
      </w:r>
      <w:r>
        <w:tab/>
        <w:t xml:space="preserve">In addition, there are a number of institutions concerned in a sector-specific manner with measures designed to protect the family through access to financial resources, State social benefits and access to ownership of land and credit. </w:t>
      </w:r>
    </w:p>
    <w:p w:rsidR="00000000" w:rsidRDefault="00000000">
      <w:pPr>
        <w:spacing w:after="240"/>
      </w:pPr>
      <w:r>
        <w:rPr>
          <w:b/>
          <w:bCs/>
        </w:rPr>
        <w:t>1.2.1.  The Protection and Social Promotion Network</w:t>
      </w:r>
    </w:p>
    <w:p w:rsidR="00000000" w:rsidRDefault="00000000">
      <w:pPr>
        <w:spacing w:after="240"/>
      </w:pPr>
      <w:r>
        <w:t>288.</w:t>
      </w:r>
      <w:r>
        <w:tab/>
        <w:t>Within the framework of the National Strategy to Combat Poverty the Secretariat for Social Action has recourse to the Protection and Social Promotion Network</w:t>
      </w:r>
      <w:r>
        <w:rPr>
          <w:b/>
          <w:bCs/>
        </w:rPr>
        <w:t xml:space="preserve">. </w:t>
      </w:r>
      <w:r>
        <w:t xml:space="preserve">This consists of a range of coordinated measures and programmes designed to prevent, alleviate and overcome the adverse effects of poverty on each population group, with emphasis on the most vulnerable groups. The Network concentrates basically on the family; it seeks to reinforce and reconstitute its protective role and improving the human, economic and social capacities of its members, in this way ending the transmission of poverty from generation to generation. Its priority concern is to prevent and overcome the risks associated with the development of the individual in terms of opportunities for access to education, health and participation in economic, social and political activity. </w:t>
      </w:r>
    </w:p>
    <w:p w:rsidR="00000000" w:rsidRDefault="00000000">
      <w:pPr>
        <w:spacing w:after="240"/>
      </w:pPr>
      <w:r>
        <w:t>289.</w:t>
      </w:r>
      <w:r>
        <w:tab/>
        <w:t xml:space="preserve">The Network conducts a number of forms of activity: the programme known as “Teko Porã” (a Native term meaning “well-being”) for families in rural areas; the Abrazo programme, designed for the protection of boys and girls at risk; and the Ñopytyvo (“Let us help ourselves”) programme for families in the Puerto Casado region of the Chaco. These three programmes are designed to strengthen the protective role of the family, facilitating access for the most vulnerable members to State social benefits with emphasis on health, education, identity, socio-family support and the strengthening of subsistence activities. They operate by means of solidarity vouchers, issued subject to the discharge of joint responsibilities by the family. Women heads of families in selected households are given direct financial support in exchange for the fulfilment of verifiable commitments relating to nutrition, health and school attendance. It is considered that the institutional legitimation of the woman as the subject of the transfers will imply a change in the situation of economic dependence of the woman on the man and that that change will bring with it an increase in the participation of the woman in decision-making within families. Capacity development and organization are the key areas which will be approached with women who are mothers. </w:t>
      </w:r>
    </w:p>
    <w:p w:rsidR="00000000" w:rsidRDefault="00000000">
      <w:pPr>
        <w:spacing w:after="240"/>
      </w:pPr>
      <w:r>
        <w:t>290.</w:t>
      </w:r>
      <w:r>
        <w:tab/>
        <w:t xml:space="preserve">The Protection and Social Promotion Network coordinates its activities with various agencies in the public and private sectors to attain its higher objectives, which include Improvement of Nutrition and Health; Prevention of School Dropouts and Improvement of Basic Health and Eating Patterns; Return to School and Improvement of Basic Health; Prevention of Dropouts and Return to School for Juveniles; Improvement of Basic Health, Employability and Entrepreneurship Qualities. Health, education and nutrition are considered to be the principal factors in the perpetuation of poverty, and victory in these areas is strategic to break the process of transmission of extreme poverty from generation to generation. The programmes forming part of the Network enable persons in extreme poverty to obtain complementary incomes helping them to meet their basic needs. They also enable those persons to improve their human capital in terms of education, health and work skills. </w:t>
      </w:r>
    </w:p>
    <w:p w:rsidR="00000000" w:rsidRDefault="00000000">
      <w:pPr>
        <w:keepNext/>
        <w:spacing w:after="200"/>
      </w:pPr>
      <w:r>
        <w:rPr>
          <w:b/>
          <w:bCs/>
        </w:rPr>
        <w:t>1.2.2.  Community Improvement Programme</w:t>
      </w:r>
    </w:p>
    <w:p w:rsidR="00000000" w:rsidRDefault="00000000">
      <w:pPr>
        <w:keepNext/>
        <w:spacing w:after="200"/>
      </w:pPr>
      <w:r>
        <w:t>291.</w:t>
      </w:r>
      <w:r>
        <w:tab/>
        <w:t xml:space="preserve">This programme is designed for families living in precarious (unhealthy and overcrowded) conditions and poverty and extreme poverty. Their dwellings are made of discarded materials, and they cannot obtain access to decent housing through the credit mechanisms on the market. The National Housing Council has undertaken, with a donation from the Government of Taiwan, the task of meeting, to the extent of its abilities, part of the need in this area. </w:t>
      </w:r>
    </w:p>
    <w:p w:rsidR="00000000" w:rsidRDefault="00000000">
      <w:pPr>
        <w:keepNext/>
        <w:spacing w:after="200"/>
      </w:pPr>
      <w:r>
        <w:t>292.</w:t>
      </w:r>
      <w:r>
        <w:tab/>
        <w:t xml:space="preserve">In addition, with the support of the channels for applications (municipalities, various institutions and non-governmental organizations assisting with obtaining land), the agencies organizing demand  put out invitations to tender for the construction of UBH (Basic Housing Unit)-type housing blocks together with a dormitory and infrastructure with drinking water, drainage, electricity and access to roads and other necessary equipment. All the work is performed under the supervision of this institution (CONAVI – FUNDAPUEBLOS AND CONAVI – REDINSA agreements). </w:t>
      </w:r>
    </w:p>
    <w:p w:rsidR="00000000" w:rsidRDefault="00000000">
      <w:pPr>
        <w:keepNext/>
        <w:spacing w:after="200"/>
      </w:pPr>
      <w:r>
        <w:t>293.</w:t>
      </w:r>
      <w:r>
        <w:tab/>
        <w:t xml:space="preserve">The operating method consists of the provision of a housing subsidy. The selection of applications is based on eligibility criteria such as priority in the need for housing, the interest shown by the potential beneficiaries, their ability to organize themselves and the obtainability of suitable land. Coverage of the entire country is envisaged. </w:t>
      </w:r>
    </w:p>
    <w:p w:rsidR="00000000" w:rsidRDefault="00000000">
      <w:pPr>
        <w:keepNext/>
        <w:spacing w:after="200"/>
      </w:pPr>
      <w:r>
        <w:t xml:space="preserve">294. </w:t>
      </w:r>
      <w:r>
        <w:tab/>
        <w:t xml:space="preserve">Within the framework of the Community Improvement Programme CONAVI is building social housing with a high level of participation by construction companies and the community. With the execution of these projects CONAVI expects to meet the housing and social needs of the most disadvantaged sectors of our society and, in addition, to contribute to economic revival, generating sources of employment and distributing work to enterprises in the construction and related sectors. </w:t>
      </w:r>
    </w:p>
    <w:p w:rsidR="00000000" w:rsidRDefault="00000000">
      <w:pPr>
        <w:keepNext/>
        <w:spacing w:after="200"/>
      </w:pPr>
      <w:r>
        <w:t>295.</w:t>
      </w:r>
      <w:r>
        <w:tab/>
        <w:t xml:space="preserve">Within this programme, in addition to the investments effected in housing and basic infrastructure services, some US$ 156,397 has been invested in creating sources of employment and incomes through 487 households. </w:t>
      </w:r>
    </w:p>
    <w:p w:rsidR="00000000" w:rsidRDefault="00000000">
      <w:pPr>
        <w:keepNext/>
        <w:spacing w:after="200"/>
      </w:pPr>
      <w:r>
        <w:t>296.</w:t>
      </w:r>
      <w:r>
        <w:tab/>
        <w:t xml:space="preserve">Production centres for bread, soy milk, dressmaking, ceramic tiles and other products have been established. </w:t>
      </w:r>
    </w:p>
    <w:tbl>
      <w:tblPr>
        <w:tblW w:w="5000" w:type="pct"/>
        <w:tblCellMar>
          <w:left w:w="0" w:type="dxa"/>
          <w:right w:w="0" w:type="dxa"/>
        </w:tblCellMar>
        <w:tblLook w:val="0000" w:firstRow="0" w:lastRow="0" w:firstColumn="0" w:lastColumn="0" w:noHBand="0" w:noVBand="0"/>
      </w:tblPr>
      <w:tblGrid>
        <w:gridCol w:w="2081"/>
        <w:gridCol w:w="2829"/>
        <w:gridCol w:w="2822"/>
        <w:gridCol w:w="1697"/>
      </w:tblGrid>
      <w:tr w:rsidR="00000000">
        <w:tblPrEx>
          <w:tblCellMar>
            <w:top w:w="0" w:type="dxa"/>
            <w:bottom w:w="0" w:type="dxa"/>
          </w:tblCellMar>
        </w:tblPrEx>
        <w:tc>
          <w:tcPr>
            <w:tcW w:w="2081" w:type="dxa"/>
            <w:tcBorders>
              <w:top w:val="single" w:sz="4" w:space="0" w:color="auto"/>
              <w:bottom w:val="single" w:sz="4" w:space="0" w:color="auto"/>
            </w:tcBorders>
            <w:vAlign w:val="center"/>
          </w:tcPr>
          <w:p w:rsidR="00000000" w:rsidRDefault="00000000">
            <w:pPr>
              <w:pStyle w:val="Heading4"/>
              <w:spacing w:before="60" w:after="60"/>
              <w:rPr>
                <w:szCs w:val="24"/>
                <w:lang w:eastAsia="es-ES"/>
              </w:rPr>
            </w:pPr>
            <w:r>
              <w:rPr>
                <w:szCs w:val="24"/>
              </w:rPr>
              <w:t>Place</w:t>
            </w:r>
          </w:p>
        </w:tc>
        <w:tc>
          <w:tcPr>
            <w:tcW w:w="2829" w:type="dxa"/>
            <w:tcBorders>
              <w:top w:val="single" w:sz="4" w:space="0" w:color="auto"/>
              <w:bottom w:val="single" w:sz="4" w:space="0" w:color="auto"/>
            </w:tcBorders>
            <w:vAlign w:val="center"/>
          </w:tcPr>
          <w:p w:rsidR="00000000" w:rsidRDefault="00000000">
            <w:pPr>
              <w:spacing w:before="60" w:after="60"/>
              <w:jc w:val="center"/>
              <w:rPr>
                <w:b/>
                <w:bCs/>
                <w:i/>
                <w:iCs/>
                <w:sz w:val="20"/>
                <w:lang w:eastAsia="es-ES"/>
              </w:rPr>
            </w:pPr>
            <w:r>
              <w:rPr>
                <w:b/>
                <w:bCs/>
                <w:i/>
                <w:iCs/>
                <w:sz w:val="20"/>
              </w:rPr>
              <w:t>Name of project</w:t>
            </w:r>
          </w:p>
        </w:tc>
        <w:tc>
          <w:tcPr>
            <w:tcW w:w="2822" w:type="dxa"/>
            <w:tcBorders>
              <w:top w:val="single" w:sz="4" w:space="0" w:color="auto"/>
              <w:bottom w:val="single" w:sz="4" w:space="0" w:color="auto"/>
            </w:tcBorders>
            <w:vAlign w:val="center"/>
          </w:tcPr>
          <w:p w:rsidR="00000000" w:rsidRDefault="00000000">
            <w:pPr>
              <w:spacing w:before="60" w:after="60"/>
              <w:jc w:val="center"/>
              <w:rPr>
                <w:b/>
                <w:bCs/>
                <w:i/>
                <w:iCs/>
                <w:sz w:val="20"/>
                <w:lang w:eastAsia="es-ES"/>
              </w:rPr>
            </w:pPr>
            <w:r>
              <w:rPr>
                <w:b/>
                <w:bCs/>
                <w:i/>
                <w:iCs/>
                <w:sz w:val="20"/>
              </w:rPr>
              <w:t>Community centre</w:t>
            </w:r>
          </w:p>
        </w:tc>
        <w:tc>
          <w:tcPr>
            <w:tcW w:w="1697" w:type="dxa"/>
            <w:tcBorders>
              <w:top w:val="single" w:sz="4" w:space="0" w:color="auto"/>
              <w:bottom w:val="single" w:sz="4" w:space="0" w:color="auto"/>
            </w:tcBorders>
            <w:vAlign w:val="center"/>
          </w:tcPr>
          <w:p w:rsidR="00000000" w:rsidRDefault="00000000">
            <w:pPr>
              <w:spacing w:before="60" w:after="60"/>
              <w:jc w:val="center"/>
              <w:rPr>
                <w:b/>
                <w:bCs/>
                <w:i/>
                <w:iCs/>
                <w:sz w:val="20"/>
                <w:lang w:eastAsia="es-ES"/>
              </w:rPr>
            </w:pPr>
            <w:r>
              <w:rPr>
                <w:b/>
                <w:bCs/>
                <w:i/>
                <w:iCs/>
                <w:sz w:val="20"/>
              </w:rPr>
              <w:t>No. of beneficiary families</w:t>
            </w:r>
          </w:p>
        </w:tc>
      </w:tr>
      <w:tr w:rsidR="00000000">
        <w:tblPrEx>
          <w:tblCellMar>
            <w:top w:w="0" w:type="dxa"/>
            <w:bottom w:w="0" w:type="dxa"/>
          </w:tblCellMar>
        </w:tblPrEx>
        <w:tc>
          <w:tcPr>
            <w:tcW w:w="2081" w:type="dxa"/>
            <w:tcBorders>
              <w:top w:val="single" w:sz="4" w:space="0" w:color="auto"/>
            </w:tcBorders>
          </w:tcPr>
          <w:p w:rsidR="00000000" w:rsidRDefault="00000000">
            <w:pPr>
              <w:spacing w:before="60" w:after="60"/>
              <w:rPr>
                <w:sz w:val="20"/>
                <w:lang w:eastAsia="es-ES"/>
              </w:rPr>
            </w:pPr>
            <w:r>
              <w:rPr>
                <w:sz w:val="20"/>
                <w:lang w:eastAsia="es-ES"/>
              </w:rPr>
              <w:t>Coronel Oviedo</w:t>
            </w:r>
          </w:p>
        </w:tc>
        <w:tc>
          <w:tcPr>
            <w:tcW w:w="2829" w:type="dxa"/>
            <w:tcBorders>
              <w:top w:val="single" w:sz="4" w:space="0" w:color="auto"/>
            </w:tcBorders>
          </w:tcPr>
          <w:p w:rsidR="00000000" w:rsidRDefault="00000000">
            <w:pPr>
              <w:spacing w:before="60" w:after="60"/>
              <w:rPr>
                <w:sz w:val="20"/>
                <w:lang w:eastAsia="es-ES"/>
              </w:rPr>
            </w:pPr>
            <w:r>
              <w:rPr>
                <w:sz w:val="20"/>
                <w:lang w:eastAsia="es-ES"/>
              </w:rPr>
              <w:t>Ciudad Nueva</w:t>
            </w:r>
          </w:p>
        </w:tc>
        <w:tc>
          <w:tcPr>
            <w:tcW w:w="2822" w:type="dxa"/>
            <w:tcBorders>
              <w:top w:val="single" w:sz="4" w:space="0" w:color="auto"/>
            </w:tcBorders>
          </w:tcPr>
          <w:p w:rsidR="00000000" w:rsidRDefault="00000000">
            <w:pPr>
              <w:pStyle w:val="FootnoteText"/>
              <w:spacing w:before="60" w:after="60"/>
              <w:rPr>
                <w:szCs w:val="24"/>
                <w:lang w:eastAsia="es-ES"/>
              </w:rPr>
            </w:pPr>
            <w:r>
              <w:rPr>
                <w:szCs w:val="24"/>
                <w:lang w:eastAsia="es-ES"/>
              </w:rPr>
              <w:t xml:space="preserve">Sustainable production and earthenware with furnace and drying plant </w:t>
            </w:r>
          </w:p>
        </w:tc>
        <w:tc>
          <w:tcPr>
            <w:tcW w:w="1697" w:type="dxa"/>
            <w:tcBorders>
              <w:top w:val="single" w:sz="4" w:space="0" w:color="auto"/>
            </w:tcBorders>
          </w:tcPr>
          <w:p w:rsidR="00000000" w:rsidRDefault="00000000">
            <w:pPr>
              <w:spacing w:before="60" w:after="60"/>
              <w:jc w:val="center"/>
              <w:rPr>
                <w:sz w:val="20"/>
                <w:lang w:val="pt-BR" w:eastAsia="es-ES"/>
              </w:rPr>
            </w:pPr>
            <w:r>
              <w:rPr>
                <w:sz w:val="20"/>
                <w:lang w:val="pt-BR" w:eastAsia="es-ES"/>
              </w:rPr>
              <w:t>120</w:t>
            </w:r>
          </w:p>
        </w:tc>
      </w:tr>
      <w:tr w:rsidR="00000000">
        <w:tblPrEx>
          <w:tblCellMar>
            <w:top w:w="0" w:type="dxa"/>
            <w:bottom w:w="0" w:type="dxa"/>
          </w:tblCellMar>
        </w:tblPrEx>
        <w:tc>
          <w:tcPr>
            <w:tcW w:w="2081" w:type="dxa"/>
          </w:tcPr>
          <w:p w:rsidR="00000000" w:rsidRDefault="00000000">
            <w:pPr>
              <w:spacing w:before="60" w:after="60"/>
              <w:rPr>
                <w:sz w:val="20"/>
                <w:lang w:val="pt-BR" w:eastAsia="es-ES"/>
              </w:rPr>
            </w:pPr>
            <w:r>
              <w:rPr>
                <w:sz w:val="20"/>
                <w:lang w:val="pt-BR" w:eastAsia="es-ES"/>
              </w:rPr>
              <w:t xml:space="preserve">Itá </w:t>
            </w:r>
          </w:p>
        </w:tc>
        <w:tc>
          <w:tcPr>
            <w:tcW w:w="2829" w:type="dxa"/>
          </w:tcPr>
          <w:p w:rsidR="00000000" w:rsidRDefault="00000000">
            <w:pPr>
              <w:spacing w:before="60" w:after="60"/>
              <w:rPr>
                <w:sz w:val="20"/>
                <w:lang w:val="pt-BR" w:eastAsia="es-ES"/>
              </w:rPr>
            </w:pPr>
            <w:r>
              <w:rPr>
                <w:sz w:val="20"/>
                <w:lang w:val="pt-BR" w:eastAsia="es-ES"/>
              </w:rPr>
              <w:t>María Auxiliadora</w:t>
            </w:r>
          </w:p>
        </w:tc>
        <w:tc>
          <w:tcPr>
            <w:tcW w:w="2822" w:type="dxa"/>
          </w:tcPr>
          <w:p w:rsidR="00000000" w:rsidRDefault="00000000">
            <w:pPr>
              <w:spacing w:before="60" w:after="60"/>
              <w:rPr>
                <w:sz w:val="20"/>
                <w:lang w:eastAsia="es-ES"/>
              </w:rPr>
            </w:pPr>
            <w:r>
              <w:rPr>
                <w:sz w:val="20"/>
                <w:lang w:eastAsia="es-ES"/>
              </w:rPr>
              <w:t xml:space="preserve">Training and occupational skills development </w:t>
            </w:r>
          </w:p>
        </w:tc>
        <w:tc>
          <w:tcPr>
            <w:tcW w:w="1697" w:type="dxa"/>
          </w:tcPr>
          <w:p w:rsidR="00000000" w:rsidRDefault="00000000">
            <w:pPr>
              <w:spacing w:before="60" w:after="60"/>
              <w:jc w:val="center"/>
              <w:rPr>
                <w:sz w:val="20"/>
                <w:lang w:eastAsia="es-ES"/>
              </w:rPr>
            </w:pPr>
            <w:r>
              <w:rPr>
                <w:sz w:val="20"/>
                <w:lang w:eastAsia="es-ES"/>
              </w:rPr>
              <w:t xml:space="preserve">  90</w:t>
            </w:r>
          </w:p>
        </w:tc>
      </w:tr>
      <w:tr w:rsidR="00000000">
        <w:tblPrEx>
          <w:tblCellMar>
            <w:top w:w="0" w:type="dxa"/>
            <w:bottom w:w="0" w:type="dxa"/>
          </w:tblCellMar>
        </w:tblPrEx>
        <w:tc>
          <w:tcPr>
            <w:tcW w:w="2081" w:type="dxa"/>
          </w:tcPr>
          <w:p w:rsidR="00000000" w:rsidRDefault="00000000">
            <w:pPr>
              <w:spacing w:before="60" w:after="60"/>
              <w:rPr>
                <w:sz w:val="20"/>
                <w:lang w:eastAsia="es-ES"/>
              </w:rPr>
            </w:pPr>
            <w:r>
              <w:rPr>
                <w:sz w:val="20"/>
                <w:lang w:eastAsia="es-ES"/>
              </w:rPr>
              <w:t>Asunción</w:t>
            </w:r>
          </w:p>
        </w:tc>
        <w:tc>
          <w:tcPr>
            <w:tcW w:w="2829" w:type="dxa"/>
          </w:tcPr>
          <w:p w:rsidR="00000000" w:rsidRDefault="00000000">
            <w:pPr>
              <w:spacing w:before="60" w:after="60"/>
              <w:rPr>
                <w:sz w:val="20"/>
                <w:lang w:eastAsia="es-ES"/>
              </w:rPr>
            </w:pPr>
            <w:r>
              <w:rPr>
                <w:sz w:val="20"/>
                <w:lang w:eastAsia="es-ES"/>
              </w:rPr>
              <w:t>Esperanza</w:t>
            </w:r>
          </w:p>
        </w:tc>
        <w:tc>
          <w:tcPr>
            <w:tcW w:w="2822" w:type="dxa"/>
          </w:tcPr>
          <w:p w:rsidR="00000000" w:rsidRDefault="00000000">
            <w:pPr>
              <w:spacing w:before="60" w:after="60"/>
              <w:rPr>
                <w:sz w:val="20"/>
                <w:lang w:eastAsia="es-ES"/>
              </w:rPr>
            </w:pPr>
            <w:r>
              <w:rPr>
                <w:sz w:val="20"/>
                <w:lang w:eastAsia="es-ES"/>
              </w:rPr>
              <w:t>Sustainable production</w:t>
            </w:r>
          </w:p>
        </w:tc>
        <w:tc>
          <w:tcPr>
            <w:tcW w:w="1697" w:type="dxa"/>
          </w:tcPr>
          <w:p w:rsidR="00000000" w:rsidRDefault="00000000">
            <w:pPr>
              <w:spacing w:before="60" w:after="60"/>
              <w:jc w:val="center"/>
              <w:rPr>
                <w:sz w:val="20"/>
                <w:lang w:eastAsia="es-ES"/>
              </w:rPr>
            </w:pPr>
            <w:r>
              <w:rPr>
                <w:sz w:val="20"/>
                <w:lang w:eastAsia="es-ES"/>
              </w:rPr>
              <w:t xml:space="preserve">  86</w:t>
            </w:r>
          </w:p>
        </w:tc>
      </w:tr>
      <w:tr w:rsidR="00000000">
        <w:tblPrEx>
          <w:tblCellMar>
            <w:top w:w="0" w:type="dxa"/>
            <w:bottom w:w="0" w:type="dxa"/>
          </w:tblCellMar>
        </w:tblPrEx>
        <w:tc>
          <w:tcPr>
            <w:tcW w:w="2081" w:type="dxa"/>
          </w:tcPr>
          <w:p w:rsidR="00000000" w:rsidRDefault="00000000">
            <w:pPr>
              <w:spacing w:before="60" w:after="60"/>
              <w:rPr>
                <w:sz w:val="20"/>
                <w:lang w:eastAsia="es-ES"/>
              </w:rPr>
            </w:pPr>
            <w:r>
              <w:rPr>
                <w:sz w:val="20"/>
                <w:lang w:eastAsia="es-ES"/>
              </w:rPr>
              <w:t xml:space="preserve"> Ñeembucú</w:t>
            </w:r>
          </w:p>
        </w:tc>
        <w:tc>
          <w:tcPr>
            <w:tcW w:w="2829" w:type="dxa"/>
          </w:tcPr>
          <w:p w:rsidR="00000000" w:rsidRDefault="00000000">
            <w:pPr>
              <w:spacing w:before="60" w:after="60"/>
              <w:rPr>
                <w:sz w:val="20"/>
                <w:lang w:eastAsia="es-ES"/>
              </w:rPr>
            </w:pPr>
            <w:r>
              <w:rPr>
                <w:sz w:val="20"/>
                <w:lang w:eastAsia="es-ES"/>
              </w:rPr>
              <w:t>Laureles</w:t>
            </w:r>
          </w:p>
        </w:tc>
        <w:tc>
          <w:tcPr>
            <w:tcW w:w="2822" w:type="dxa"/>
          </w:tcPr>
          <w:p w:rsidR="00000000" w:rsidRDefault="00000000">
            <w:pPr>
              <w:spacing w:before="60" w:after="60"/>
              <w:rPr>
                <w:sz w:val="20"/>
                <w:lang w:eastAsia="es-ES"/>
              </w:rPr>
            </w:pPr>
            <w:r>
              <w:rPr>
                <w:sz w:val="20"/>
                <w:lang w:eastAsia="es-ES"/>
              </w:rPr>
              <w:t>Sustainable production</w:t>
            </w:r>
          </w:p>
        </w:tc>
        <w:tc>
          <w:tcPr>
            <w:tcW w:w="1697" w:type="dxa"/>
          </w:tcPr>
          <w:p w:rsidR="00000000" w:rsidRDefault="00000000">
            <w:pPr>
              <w:spacing w:before="60" w:after="60"/>
              <w:jc w:val="center"/>
              <w:rPr>
                <w:sz w:val="20"/>
                <w:lang w:eastAsia="es-ES"/>
              </w:rPr>
            </w:pPr>
            <w:r>
              <w:rPr>
                <w:sz w:val="20"/>
                <w:lang w:eastAsia="es-ES"/>
              </w:rPr>
              <w:t xml:space="preserve">  30</w:t>
            </w:r>
          </w:p>
        </w:tc>
      </w:tr>
      <w:tr w:rsidR="00000000">
        <w:tblPrEx>
          <w:tblCellMar>
            <w:top w:w="0" w:type="dxa"/>
            <w:bottom w:w="0" w:type="dxa"/>
          </w:tblCellMar>
        </w:tblPrEx>
        <w:tc>
          <w:tcPr>
            <w:tcW w:w="2081" w:type="dxa"/>
          </w:tcPr>
          <w:p w:rsidR="00000000" w:rsidRDefault="00000000">
            <w:pPr>
              <w:spacing w:before="60" w:after="60"/>
              <w:rPr>
                <w:sz w:val="20"/>
                <w:lang w:eastAsia="es-ES"/>
              </w:rPr>
            </w:pPr>
            <w:r>
              <w:rPr>
                <w:sz w:val="20"/>
                <w:lang w:eastAsia="es-ES"/>
              </w:rPr>
              <w:t>Guarambaré</w:t>
            </w:r>
          </w:p>
        </w:tc>
        <w:tc>
          <w:tcPr>
            <w:tcW w:w="2829" w:type="dxa"/>
          </w:tcPr>
          <w:p w:rsidR="00000000" w:rsidRDefault="00000000">
            <w:pPr>
              <w:spacing w:before="60" w:after="60"/>
              <w:rPr>
                <w:sz w:val="20"/>
                <w:lang w:eastAsia="es-ES"/>
              </w:rPr>
            </w:pPr>
            <w:r>
              <w:rPr>
                <w:sz w:val="20"/>
                <w:lang w:eastAsia="es-ES"/>
              </w:rPr>
              <w:t>Tesá Peará</w:t>
            </w:r>
          </w:p>
        </w:tc>
        <w:tc>
          <w:tcPr>
            <w:tcW w:w="2822" w:type="dxa"/>
          </w:tcPr>
          <w:p w:rsidR="00000000" w:rsidRDefault="00000000">
            <w:pPr>
              <w:spacing w:before="60" w:after="60"/>
              <w:rPr>
                <w:sz w:val="20"/>
                <w:lang w:eastAsia="es-ES"/>
              </w:rPr>
            </w:pPr>
            <w:r>
              <w:rPr>
                <w:sz w:val="20"/>
                <w:lang w:eastAsia="es-ES"/>
              </w:rPr>
              <w:t>Sustainable production</w:t>
            </w:r>
          </w:p>
        </w:tc>
        <w:tc>
          <w:tcPr>
            <w:tcW w:w="1697" w:type="dxa"/>
          </w:tcPr>
          <w:p w:rsidR="00000000" w:rsidRDefault="00000000">
            <w:pPr>
              <w:spacing w:before="60" w:after="60"/>
              <w:jc w:val="center"/>
              <w:rPr>
                <w:sz w:val="20"/>
                <w:lang w:eastAsia="es-ES"/>
              </w:rPr>
            </w:pPr>
            <w:r>
              <w:rPr>
                <w:sz w:val="20"/>
                <w:lang w:eastAsia="es-ES"/>
              </w:rPr>
              <w:t xml:space="preserve">  50</w:t>
            </w:r>
          </w:p>
        </w:tc>
      </w:tr>
      <w:tr w:rsidR="00000000">
        <w:tblPrEx>
          <w:tblCellMar>
            <w:top w:w="0" w:type="dxa"/>
            <w:bottom w:w="0" w:type="dxa"/>
          </w:tblCellMar>
        </w:tblPrEx>
        <w:tc>
          <w:tcPr>
            <w:tcW w:w="2081" w:type="dxa"/>
          </w:tcPr>
          <w:p w:rsidR="00000000" w:rsidRDefault="00000000">
            <w:pPr>
              <w:spacing w:before="60" w:after="60"/>
              <w:rPr>
                <w:sz w:val="20"/>
                <w:lang w:eastAsia="es-ES"/>
              </w:rPr>
            </w:pPr>
            <w:r>
              <w:rPr>
                <w:sz w:val="20"/>
                <w:lang w:eastAsia="es-ES"/>
              </w:rPr>
              <w:t>Asunción</w:t>
            </w:r>
          </w:p>
        </w:tc>
        <w:tc>
          <w:tcPr>
            <w:tcW w:w="2829" w:type="dxa"/>
          </w:tcPr>
          <w:p w:rsidR="00000000" w:rsidRDefault="00000000">
            <w:pPr>
              <w:spacing w:before="60" w:after="60"/>
              <w:rPr>
                <w:sz w:val="20"/>
                <w:lang w:eastAsia="es-ES"/>
              </w:rPr>
            </w:pPr>
            <w:r>
              <w:rPr>
                <w:sz w:val="20"/>
                <w:lang w:eastAsia="es-ES"/>
              </w:rPr>
              <w:t>Extension of refuge area</w:t>
            </w:r>
          </w:p>
        </w:tc>
        <w:tc>
          <w:tcPr>
            <w:tcW w:w="2822" w:type="dxa"/>
          </w:tcPr>
          <w:p w:rsidR="00000000" w:rsidRDefault="00000000">
            <w:pPr>
              <w:spacing w:before="60" w:after="60"/>
              <w:rPr>
                <w:sz w:val="20"/>
                <w:lang w:eastAsia="es-ES"/>
              </w:rPr>
            </w:pPr>
            <w:r>
              <w:rPr>
                <w:sz w:val="20"/>
                <w:lang w:eastAsia="es-ES"/>
              </w:rPr>
              <w:t>Sustainable production</w:t>
            </w:r>
          </w:p>
        </w:tc>
        <w:tc>
          <w:tcPr>
            <w:tcW w:w="1697" w:type="dxa"/>
          </w:tcPr>
          <w:p w:rsidR="00000000" w:rsidRDefault="00000000">
            <w:pPr>
              <w:spacing w:before="60" w:after="60"/>
              <w:jc w:val="center"/>
              <w:rPr>
                <w:sz w:val="20"/>
                <w:lang w:eastAsia="es-ES"/>
              </w:rPr>
            </w:pPr>
            <w:r>
              <w:rPr>
                <w:sz w:val="20"/>
                <w:lang w:eastAsia="es-ES"/>
              </w:rPr>
              <w:t xml:space="preserve">  72</w:t>
            </w:r>
          </w:p>
        </w:tc>
      </w:tr>
      <w:tr w:rsidR="00000000">
        <w:tblPrEx>
          <w:tblCellMar>
            <w:top w:w="0" w:type="dxa"/>
            <w:bottom w:w="0" w:type="dxa"/>
          </w:tblCellMar>
        </w:tblPrEx>
        <w:tc>
          <w:tcPr>
            <w:tcW w:w="2081" w:type="dxa"/>
          </w:tcPr>
          <w:p w:rsidR="00000000" w:rsidRDefault="00000000">
            <w:pPr>
              <w:spacing w:before="60" w:after="60"/>
              <w:rPr>
                <w:sz w:val="20"/>
                <w:lang w:eastAsia="es-ES"/>
              </w:rPr>
            </w:pPr>
            <w:r>
              <w:rPr>
                <w:sz w:val="20"/>
                <w:lang w:eastAsia="es-ES"/>
              </w:rPr>
              <w:t>Atyrá</w:t>
            </w:r>
          </w:p>
        </w:tc>
        <w:tc>
          <w:tcPr>
            <w:tcW w:w="2829" w:type="dxa"/>
          </w:tcPr>
          <w:p w:rsidR="00000000" w:rsidRDefault="00000000">
            <w:pPr>
              <w:spacing w:before="60" w:after="60"/>
              <w:rPr>
                <w:sz w:val="20"/>
                <w:lang w:eastAsia="es-ES"/>
              </w:rPr>
            </w:pPr>
            <w:r>
              <w:rPr>
                <w:sz w:val="20"/>
                <w:lang w:eastAsia="es-ES"/>
              </w:rPr>
              <w:t>Rosa Mística</w:t>
            </w:r>
          </w:p>
        </w:tc>
        <w:tc>
          <w:tcPr>
            <w:tcW w:w="2822" w:type="dxa"/>
          </w:tcPr>
          <w:p w:rsidR="00000000" w:rsidRDefault="00000000">
            <w:pPr>
              <w:spacing w:before="60" w:after="60"/>
              <w:rPr>
                <w:sz w:val="20"/>
                <w:lang w:eastAsia="es-ES"/>
              </w:rPr>
            </w:pPr>
            <w:r>
              <w:rPr>
                <w:sz w:val="20"/>
                <w:lang w:eastAsia="es-ES"/>
              </w:rPr>
              <w:t>Sustainable production</w:t>
            </w:r>
          </w:p>
        </w:tc>
        <w:tc>
          <w:tcPr>
            <w:tcW w:w="1697" w:type="dxa"/>
          </w:tcPr>
          <w:p w:rsidR="00000000" w:rsidRDefault="00000000">
            <w:pPr>
              <w:spacing w:before="60" w:after="60"/>
              <w:jc w:val="center"/>
              <w:rPr>
                <w:sz w:val="20"/>
                <w:lang w:eastAsia="es-ES"/>
              </w:rPr>
            </w:pPr>
            <w:r>
              <w:rPr>
                <w:sz w:val="20"/>
                <w:lang w:eastAsia="es-ES"/>
              </w:rPr>
              <w:t xml:space="preserve">  15</w:t>
            </w:r>
          </w:p>
        </w:tc>
      </w:tr>
      <w:tr w:rsidR="00000000">
        <w:tblPrEx>
          <w:tblCellMar>
            <w:top w:w="0" w:type="dxa"/>
            <w:bottom w:w="0" w:type="dxa"/>
          </w:tblCellMar>
        </w:tblPrEx>
        <w:tc>
          <w:tcPr>
            <w:tcW w:w="2081" w:type="dxa"/>
          </w:tcPr>
          <w:p w:rsidR="00000000" w:rsidRDefault="00000000">
            <w:pPr>
              <w:pStyle w:val="xl51"/>
              <w:pBdr>
                <w:right w:val="none" w:sz="0" w:space="0" w:color="auto"/>
              </w:pBdr>
              <w:spacing w:before="60" w:beforeAutospacing="0" w:after="60" w:afterAutospacing="0"/>
              <w:rPr>
                <w:rFonts w:ascii="Times New Roman" w:eastAsia="Times New Roman" w:hAnsi="Times New Roman" w:cs="Times New Roman"/>
                <w:sz w:val="20"/>
                <w:lang w:val="es-PY"/>
              </w:rPr>
            </w:pPr>
            <w:r>
              <w:rPr>
                <w:rFonts w:ascii="Times New Roman" w:eastAsia="Times New Roman" w:hAnsi="Times New Roman" w:cs="Times New Roman"/>
                <w:sz w:val="20"/>
                <w:lang w:val="es-PY"/>
              </w:rPr>
              <w:t>Nanawa</w:t>
            </w:r>
          </w:p>
        </w:tc>
        <w:tc>
          <w:tcPr>
            <w:tcW w:w="2829" w:type="dxa"/>
          </w:tcPr>
          <w:p w:rsidR="00000000" w:rsidRDefault="00000000">
            <w:pPr>
              <w:spacing w:before="60" w:after="60"/>
              <w:rPr>
                <w:sz w:val="20"/>
                <w:lang w:eastAsia="es-ES"/>
              </w:rPr>
            </w:pPr>
            <w:r>
              <w:rPr>
                <w:sz w:val="20"/>
                <w:lang w:eastAsia="es-ES"/>
              </w:rPr>
              <w:t>Villa Hilaria</w:t>
            </w:r>
          </w:p>
        </w:tc>
        <w:tc>
          <w:tcPr>
            <w:tcW w:w="2822" w:type="dxa"/>
          </w:tcPr>
          <w:p w:rsidR="00000000" w:rsidRDefault="00000000">
            <w:pPr>
              <w:spacing w:before="60" w:after="60"/>
              <w:rPr>
                <w:sz w:val="20"/>
                <w:lang w:eastAsia="es-ES"/>
              </w:rPr>
            </w:pPr>
            <w:r>
              <w:rPr>
                <w:sz w:val="20"/>
                <w:lang w:eastAsia="es-ES"/>
              </w:rPr>
              <w:t>Sustainable production</w:t>
            </w:r>
          </w:p>
        </w:tc>
        <w:tc>
          <w:tcPr>
            <w:tcW w:w="1697" w:type="dxa"/>
          </w:tcPr>
          <w:p w:rsidR="00000000" w:rsidRDefault="00000000">
            <w:pPr>
              <w:spacing w:before="60" w:after="60"/>
              <w:jc w:val="center"/>
              <w:rPr>
                <w:sz w:val="20"/>
                <w:lang w:eastAsia="es-ES"/>
              </w:rPr>
            </w:pPr>
            <w:r>
              <w:rPr>
                <w:sz w:val="20"/>
                <w:lang w:eastAsia="es-ES"/>
              </w:rPr>
              <w:t xml:space="preserve">  24</w:t>
            </w:r>
          </w:p>
        </w:tc>
      </w:tr>
      <w:tr w:rsidR="00000000">
        <w:tblPrEx>
          <w:tblCellMar>
            <w:top w:w="0" w:type="dxa"/>
            <w:bottom w:w="0" w:type="dxa"/>
          </w:tblCellMar>
        </w:tblPrEx>
        <w:tc>
          <w:tcPr>
            <w:tcW w:w="2081" w:type="dxa"/>
            <w:tcBorders>
              <w:bottom w:val="single" w:sz="4" w:space="0" w:color="auto"/>
            </w:tcBorders>
          </w:tcPr>
          <w:p w:rsidR="00000000" w:rsidRDefault="00000000">
            <w:pPr>
              <w:spacing w:before="60" w:after="60"/>
              <w:rPr>
                <w:b/>
                <w:sz w:val="20"/>
                <w:lang w:eastAsia="es-ES"/>
              </w:rPr>
            </w:pPr>
            <w:r>
              <w:rPr>
                <w:b/>
                <w:sz w:val="20"/>
                <w:lang w:eastAsia="es-ES"/>
              </w:rPr>
              <w:t>Total</w:t>
            </w:r>
          </w:p>
        </w:tc>
        <w:tc>
          <w:tcPr>
            <w:tcW w:w="2829" w:type="dxa"/>
            <w:tcBorders>
              <w:bottom w:val="single" w:sz="4" w:space="0" w:color="auto"/>
            </w:tcBorders>
          </w:tcPr>
          <w:p w:rsidR="00000000" w:rsidRDefault="00000000">
            <w:pPr>
              <w:spacing w:before="60" w:after="60"/>
              <w:rPr>
                <w:b/>
                <w:sz w:val="20"/>
                <w:lang w:eastAsia="es-ES"/>
              </w:rPr>
            </w:pPr>
          </w:p>
        </w:tc>
        <w:tc>
          <w:tcPr>
            <w:tcW w:w="2822" w:type="dxa"/>
            <w:tcBorders>
              <w:bottom w:val="single" w:sz="4" w:space="0" w:color="auto"/>
            </w:tcBorders>
          </w:tcPr>
          <w:p w:rsidR="00000000" w:rsidRDefault="00000000">
            <w:pPr>
              <w:spacing w:before="60" w:after="60"/>
              <w:rPr>
                <w:b/>
                <w:sz w:val="20"/>
                <w:lang w:eastAsia="es-ES"/>
              </w:rPr>
            </w:pPr>
          </w:p>
        </w:tc>
        <w:tc>
          <w:tcPr>
            <w:tcW w:w="1697" w:type="dxa"/>
            <w:tcBorders>
              <w:bottom w:val="single" w:sz="4" w:space="0" w:color="auto"/>
            </w:tcBorders>
          </w:tcPr>
          <w:p w:rsidR="00000000" w:rsidRDefault="00000000">
            <w:pPr>
              <w:spacing w:before="60" w:after="60"/>
              <w:jc w:val="center"/>
              <w:rPr>
                <w:b/>
                <w:sz w:val="20"/>
                <w:lang w:eastAsia="es-ES"/>
              </w:rPr>
            </w:pPr>
            <w:r>
              <w:rPr>
                <w:b/>
                <w:sz w:val="20"/>
                <w:lang w:eastAsia="es-ES"/>
              </w:rPr>
              <w:t>487</w:t>
            </w:r>
          </w:p>
        </w:tc>
      </w:tr>
    </w:tbl>
    <w:p w:rsidR="00000000" w:rsidRDefault="00000000">
      <w:pPr>
        <w:spacing w:after="240"/>
      </w:pPr>
      <w:r>
        <w:t>297.</w:t>
      </w:r>
      <w:r>
        <w:tab/>
        <w:t xml:space="preserve">In some projects the housing programmes have included training in building trades, while micro-enterprises have been promoted in group schemes through neighbourhood committees. In addition, the use of local labour in construction work has been promoted in the projects. </w:t>
      </w:r>
    </w:p>
    <w:p w:rsidR="00000000" w:rsidRDefault="00000000">
      <w:pPr>
        <w:spacing w:after="240"/>
      </w:pPr>
      <w:r>
        <w:t>298.</w:t>
      </w:r>
      <w:r>
        <w:tab/>
        <w:t xml:space="preserve">The target for 2006 in the Ñande Rogará Community Improvement Programme is the construction of 1,070 dwellings. Of these, 785 are already under construction and 285 are subject to the tendering process. </w:t>
      </w:r>
    </w:p>
    <w:p w:rsidR="00000000" w:rsidRDefault="00000000">
      <w:pPr>
        <w:spacing w:after="240"/>
      </w:pPr>
      <w:r>
        <w:rPr>
          <w:b/>
          <w:bCs/>
        </w:rPr>
        <w:t>1.2.3.  Pilot project: programme of mutual-aid housing cooperatives</w:t>
      </w:r>
    </w:p>
    <w:p w:rsidR="00000000" w:rsidRDefault="00000000">
      <w:pPr>
        <w:spacing w:after="240"/>
      </w:pPr>
      <w:r>
        <w:t>299.</w:t>
      </w:r>
      <w:r>
        <w:tab/>
        <w:t xml:space="preserve">For the first time in Paraguay, and on the basis of Act No. 2329/03 establishing the Housing Cooperatives Fund, a programme of mutual-aid housing cooperatives has been launched. The programme was well accepted, and following the completion of the first stage of the cooperative </w:t>
      </w:r>
      <w:r>
        <w:rPr>
          <w:i/>
          <w:iCs/>
        </w:rPr>
        <w:t>barrio</w:t>
      </w:r>
      <w:r>
        <w:t xml:space="preserve"> in Aveira (Itá) in September 2005, other cooperatives submitted projects which were approved in the 2006 budget (San Juan Bautista, Ypacarai and the second stage of Aveira (Itá). </w:t>
      </w:r>
    </w:p>
    <w:p w:rsidR="00000000" w:rsidRDefault="00000000">
      <w:pPr>
        <w:spacing w:after="240"/>
        <w:rPr>
          <w:b/>
          <w:bCs/>
        </w:rPr>
      </w:pPr>
      <w:r>
        <w:t>300.</w:t>
      </w:r>
      <w:r>
        <w:tab/>
        <w:t xml:space="preserve">This initiative is a pilot project and an expanding one; it seeks to meet part of the country’s housing needs. A total amount of US$ 580,000 (CONAVI, US$ 325,000; IDB, US$ 200,000; SCC, US$ 55,000) has been invested. The cost is US$ 4,300 per dwelling of 78 square metres, </w:t>
      </w:r>
      <w:r>
        <w:rPr>
          <w:i/>
          <w:iCs/>
        </w:rPr>
        <w:t xml:space="preserve">barrio </w:t>
      </w:r>
      <w:r>
        <w:t xml:space="preserve">infrastructure included. These </w:t>
      </w:r>
      <w:r>
        <w:rPr>
          <w:i/>
          <w:iCs/>
        </w:rPr>
        <w:t xml:space="preserve">barrios </w:t>
      </w:r>
      <w:r>
        <w:t xml:space="preserve"> are integrated, productive and sustainable, and the families in them will be better able to keep their dwellings in a </w:t>
      </w:r>
      <w:r>
        <w:rPr>
          <w:i/>
          <w:iCs/>
        </w:rPr>
        <w:t xml:space="preserve">barrio </w:t>
      </w:r>
      <w:r>
        <w:t xml:space="preserve">integrated as a community. </w:t>
      </w:r>
    </w:p>
    <w:p w:rsidR="00000000" w:rsidRDefault="00000000">
      <w:pPr>
        <w:spacing w:after="240"/>
      </w:pPr>
      <w:r>
        <w:t>301.</w:t>
      </w:r>
      <w:r>
        <w:tab/>
        <w:t xml:space="preserve">The programme has succeeded in developing the capacities and social organization of the beneficiaries to make mutual aid effective in such matters as purchases of material and management of the work. Progress has been made on the production side, since, instead of purchasing completed houses, small cooperative enterprises have been formed to take charge of different facets of production (wooden door and window frames, carpentry, metal frames, ironwork, prefabricated reinforced-concrete elements, manufacture of prefabricated elements). </w:t>
      </w:r>
    </w:p>
    <w:p w:rsidR="00000000" w:rsidRDefault="00000000">
      <w:pPr>
        <w:spacing w:after="240"/>
      </w:pPr>
      <w:r>
        <w:t>302.</w:t>
      </w:r>
      <w:r>
        <w:tab/>
        <w:t xml:space="preserve">A number of actors have been brought together for the financing and management of the project . They have worked in cooperation with existing public institutions for water supply and refuse collection services. For the local school there is coordination with the Ministry of Education and Culture and with the Swedish Cooperative Centre, which supplies the funds for the building. Skills development has been focused particularly on cooperative enterprises (ironwork, carpentry, prefabricated concrete elements) created within the project itself (135 beneficiary families). </w:t>
      </w:r>
    </w:p>
    <w:p w:rsidR="00000000" w:rsidRDefault="00000000">
      <w:pPr>
        <w:spacing w:after="240"/>
      </w:pPr>
      <w:r>
        <w:t>303.</w:t>
      </w:r>
      <w:r>
        <w:tab/>
        <w:t xml:space="preserve">In January 2005 the implementation of the Pilot Test programme began. Under this programme conditional transfer programmes with both common and differing characteristics are being set up. These include the Teko Porã Programme (families), which involves conditional transfers to families living in extreme poverty and with children under age 14; the Abrazo Programme, which targets boy and girl street workers and their families; and the Ñopytyvo Programme, which is aimed at families in the locality of Puerto Casado. Work with families consists of the training of its members (mainly the father and the mother), monitoring of the families to ensure discharge of their joint responsibilities; special accompaniment of families in need of special care; and work with the community. Family Guides, who provide support to families in order to strengthen aspects permitting the maturing of the beneficiaries as individuals and family and community members, such as a reassessment of the care of oneself, the family and the community in the areas of food, health and education. </w:t>
      </w:r>
    </w:p>
    <w:p w:rsidR="00000000" w:rsidRDefault="00000000">
      <w:pPr>
        <w:spacing w:after="240"/>
      </w:pPr>
      <w:r>
        <w:t>304.</w:t>
      </w:r>
      <w:r>
        <w:tab/>
        <w:t xml:space="preserve">The Protection and Social Promotion Network comprises a number of programmes (include Improvement of Nutrition and Health; Prevention of School Dropouts and Improvement of Basic Health and Feeding Patterns; Return to School and Improvement of Basic Health; Prevention of Dropouts and Return to School among Juveniles; Improvement of Basic Health, Employability and Entrepreneurship Qualities). Health, education and nutrition are considered to be the principal factors in the perpetuation of poverty, and victory in these areas is strategic to break the process of transmission of extreme poverty from generation to generation. The programmes forming part of the Network enable persons in extreme poverty to obtain complementary incomes helping them to meet their basic needs. They also enable those persons to improve their human capital in terms of education, health and work skills. At present the Social Protection Network is assisting 3,054 families (76 per cent of the target) in its Teko Porã Programme; the Abrazo Programme is assisting 279 families; and the Ñopytyvo Programme is reaching 459 families. </w:t>
      </w:r>
    </w:p>
    <w:p w:rsidR="00000000" w:rsidRDefault="00000000">
      <w:pPr>
        <w:spacing w:after="240"/>
      </w:pPr>
      <w:r>
        <w:rPr>
          <w:b/>
          <w:bCs/>
        </w:rPr>
        <w:t>1.3.</w:t>
      </w:r>
      <w:r>
        <w:rPr>
          <w:b/>
          <w:bCs/>
        </w:rPr>
        <w:tab/>
        <w:t>Challenges facing the system of protection for the family</w:t>
      </w:r>
    </w:p>
    <w:p w:rsidR="00000000" w:rsidRDefault="00000000">
      <w:pPr>
        <w:spacing w:after="240"/>
      </w:pPr>
      <w:r>
        <w:t>305.</w:t>
      </w:r>
      <w:r>
        <w:tab/>
        <w:t xml:space="preserve">Notwithstanding these efforts, and in view of the limited resources of Paraguay, which is a developing country experiencing serious difficulties in maintaining economic growth which would enable it to minister to the needs of its most vulnerable peoples, there are inevitably many families not receiving a minimum of social protection. According to the 2004 Household Survey approximately 2,320,000 Paraguayans (39.2 per cent of the population) are living in poverty, as their incomes are less than the cost of a standard food basket </w:t>
      </w:r>
      <w:r>
        <w:rPr>
          <w:i/>
          <w:iCs/>
        </w:rPr>
        <w:t xml:space="preserve">(canasta). </w:t>
      </w:r>
    </w:p>
    <w:p w:rsidR="00000000" w:rsidRDefault="00000000">
      <w:pPr>
        <w:spacing w:after="240"/>
      </w:pPr>
      <w:r>
        <w:t>306.</w:t>
      </w:r>
      <w:r>
        <w:tab/>
        <w:t xml:space="preserve">Among the poorest families some 10.4 per cent of family incomes take the form of assistance from relatives; these are generated within the country or remitted from abroad. Family incomes in the households in the richest quintile are on the average 11 times those of the households in the poorest quintile. Some 30 per cent of the households belonging to the poorest 20 per cent of the population have access to drinking water supplies through the Paraguay Sanitary Services Supply Company (ESSAP) or the National Environmental Sanitation Service (SENASA); access to sewage services and to fixed telephones is practically non-existent. The average number of members of the poorest households is six; in contrast, the richest households have on the average three members. If the foregoing is used as a measure of the numbers of children in households, the average numbers of children are higher in households in the lower-income quintiles. Women heads of households are found in almost equal proportions in all the income quintiles; one could thus say that in one out of every four households the head is a woman. </w:t>
      </w:r>
    </w:p>
    <w:p w:rsidR="00000000" w:rsidRDefault="00000000">
      <w:pPr>
        <w:spacing w:after="240"/>
        <w:rPr>
          <w:b/>
          <w:lang w:val="en-US"/>
        </w:rPr>
      </w:pPr>
      <w:r>
        <w:rPr>
          <w:b/>
          <w:lang w:val="en-US"/>
        </w:rPr>
        <w:t>2.</w:t>
      </w:r>
      <w:r>
        <w:rPr>
          <w:b/>
          <w:lang w:val="en-US"/>
        </w:rPr>
        <w:tab/>
        <w:t xml:space="preserve">Maternity protection system </w:t>
      </w:r>
    </w:p>
    <w:p w:rsidR="00000000" w:rsidRDefault="00000000">
      <w:pPr>
        <w:spacing w:after="240"/>
        <w:rPr>
          <w:lang w:val="en-US"/>
        </w:rPr>
      </w:pPr>
      <w:r>
        <w:rPr>
          <w:lang w:val="en-US"/>
        </w:rPr>
        <w:t>307.</w:t>
      </w:r>
      <w:r>
        <w:rPr>
          <w:lang w:val="en-US"/>
        </w:rPr>
        <w:tab/>
        <w:t>The following are other aspects relating to maternity protection, in addition to the social insurance described above:</w:t>
      </w:r>
    </w:p>
    <w:p w:rsidR="00000000" w:rsidRDefault="00000000">
      <w:pPr>
        <w:spacing w:after="240"/>
        <w:rPr>
          <w:b/>
          <w:lang w:val="en-US"/>
        </w:rPr>
      </w:pPr>
      <w:r>
        <w:rPr>
          <w:b/>
          <w:lang w:val="en-US"/>
        </w:rPr>
        <w:t>2.1</w:t>
      </w:r>
      <w:r>
        <w:rPr>
          <w:b/>
          <w:lang w:val="en-US"/>
        </w:rPr>
        <w:tab/>
        <w:t>Coverage of the protection system</w:t>
      </w:r>
    </w:p>
    <w:p w:rsidR="00000000" w:rsidRDefault="00000000">
      <w:pPr>
        <w:spacing w:after="240"/>
        <w:rPr>
          <w:lang w:val="en-US"/>
        </w:rPr>
      </w:pPr>
      <w:r>
        <w:rPr>
          <w:lang w:val="en-US"/>
        </w:rPr>
        <w:t>308.</w:t>
      </w:r>
      <w:r>
        <w:rPr>
          <w:lang w:val="en-US"/>
        </w:rPr>
        <w:tab/>
        <w:t>The system covers pregnancy, delivery and post-delivery, during which time the Social Security Institute grants an insured working woman or the spouse or cohabitant of a an insured working man the medical services prescribed by law, as well as a compulsory maternity leave before and after delivery, a financial subsidy and artificial milk for women who cannot breastfeed. The daughter of an insured working or retired man, even if she is included in the insured family group, is not entitled to maternity services.</w:t>
      </w:r>
    </w:p>
    <w:p w:rsidR="00000000" w:rsidRDefault="00000000">
      <w:pPr>
        <w:spacing w:after="240"/>
        <w:rPr>
          <w:b/>
          <w:lang w:val="en-US"/>
        </w:rPr>
      </w:pPr>
      <w:r>
        <w:rPr>
          <w:b/>
          <w:lang w:val="en-US"/>
        </w:rPr>
        <w:t>2.1</w:t>
      </w:r>
      <w:r>
        <w:rPr>
          <w:b/>
          <w:lang w:val="en-US"/>
        </w:rPr>
        <w:tab/>
        <w:t xml:space="preserve">Length of maternity rest period in hospital </w:t>
      </w:r>
    </w:p>
    <w:p w:rsidR="00000000" w:rsidRDefault="00000000">
      <w:pPr>
        <w:spacing w:after="240"/>
        <w:rPr>
          <w:lang w:val="en-US"/>
        </w:rPr>
      </w:pPr>
      <w:r>
        <w:rPr>
          <w:lang w:val="en-US"/>
        </w:rPr>
        <w:t>309.</w:t>
      </w:r>
      <w:r>
        <w:rPr>
          <w:lang w:val="en-US"/>
        </w:rPr>
        <w:tab/>
        <w:t>The duration of the maternity rest period in 63 working days and the compulsory post-delivery rest period in hospital is 48 hours for a normal birth and from 72 hours to 5 days for caesarean deliveries.</w:t>
      </w:r>
    </w:p>
    <w:p w:rsidR="00000000" w:rsidRDefault="00000000">
      <w:pPr>
        <w:spacing w:after="240"/>
        <w:rPr>
          <w:b/>
          <w:lang w:val="en-US"/>
        </w:rPr>
      </w:pPr>
      <w:r>
        <w:rPr>
          <w:b/>
          <w:lang w:val="en-US"/>
        </w:rPr>
        <w:t>2.3</w:t>
      </w:r>
      <w:r>
        <w:rPr>
          <w:b/>
          <w:lang w:val="en-US"/>
        </w:rPr>
        <w:tab/>
        <w:t>Social, medical and financial benefits during maternity leave</w:t>
      </w:r>
    </w:p>
    <w:p w:rsidR="00000000" w:rsidRDefault="00000000">
      <w:pPr>
        <w:spacing w:after="240"/>
        <w:rPr>
          <w:lang w:val="en-US"/>
        </w:rPr>
      </w:pPr>
      <w:r>
        <w:rPr>
          <w:lang w:val="en-US"/>
        </w:rPr>
        <w:t>310.</w:t>
      </w:r>
      <w:r>
        <w:rPr>
          <w:lang w:val="en-US"/>
        </w:rPr>
        <w:tab/>
        <w:t>Insured women receive the following benefits during pregnancy, delivery and the puerperium under the maternity insurance system: medical, surgical and dental care, medicines and hospitalization, in accordance with the provisions of the regulations of the Social Security Institute. The same rights are enjoyed by the spouse of the insured man or woman, or in their default, by the cohabitant male partner with whom they have lived publicly in a stable and exclusive relationship for two (2) years prior to the pregnancy. Moreover, article 133, paragraph 2, of the Labour Code stipulates: “[…] during their absence on maternity leave and in any other additional period between the presumed and actual dates of delivery, a working woman shall receive medical assistance and sufficient benefits at the expense of the social security system …”. That maternity leave is for a maximum of 90 days.</w:t>
      </w:r>
    </w:p>
    <w:p w:rsidR="00000000" w:rsidRDefault="00000000">
      <w:pPr>
        <w:spacing w:after="240"/>
        <w:rPr>
          <w:b/>
          <w:lang w:val="en-US"/>
        </w:rPr>
      </w:pPr>
      <w:r>
        <w:rPr>
          <w:b/>
          <w:lang w:val="en-US"/>
        </w:rPr>
        <w:t>3.</w:t>
      </w:r>
      <w:r>
        <w:rPr>
          <w:b/>
          <w:lang w:val="en-US"/>
        </w:rPr>
        <w:tab/>
        <w:t>Evolution of the legal framework for vulnerable sectors</w:t>
      </w:r>
    </w:p>
    <w:p w:rsidR="00000000" w:rsidRDefault="00000000">
      <w:pPr>
        <w:tabs>
          <w:tab w:val="left" w:pos="8602"/>
        </w:tabs>
        <w:spacing w:after="240"/>
        <w:rPr>
          <w:lang w:val="en-US"/>
        </w:rPr>
      </w:pPr>
      <w:r>
        <w:rPr>
          <w:lang w:val="en-US"/>
        </w:rPr>
        <w:t>311.     During the period covered by this report governmental and non-governmental organizations have supported various amendments to the existing codes such as the Labour, Electoral and Penal Codes and the Code of Criminal Procedure. The Inter-American Convention on the Prevention, Punishment and Eradication of Violence against Women (Belém do Pará) and the Optional Protocol to the Convention on the Elimination of All Forms of Discrimination against  Women were also ratified, and the Adoption Act</w:t>
      </w:r>
      <w:r>
        <w:rPr>
          <w:b/>
          <w:lang w:val="en-US"/>
        </w:rPr>
        <w:t>,</w:t>
      </w:r>
      <w:r>
        <w:rPr>
          <w:lang w:val="en-US"/>
        </w:rPr>
        <w:t xml:space="preserve"> the Domestic Violence Act, the Code on Children and Adolescents and the Agrarian Statute were promulgated. Also, the recent approval of the United Nations Convention against Transnational Organized Crime and the Protocol to Prevent, Suppress and Punish Trafficking in Persons, especially Women and Children, are some of the important advances in regulation to protect the rights of vulnerable social sectors. Another important milestone was the ratification of ILO Convention No. 100 concerning Equal Remuneration for Work of Equal Value. These instruments all aim at equality for men and women and incorporate the protection of women’s human rights.</w:t>
      </w:r>
    </w:p>
    <w:p w:rsidR="00000000" w:rsidRDefault="00000000">
      <w:pPr>
        <w:spacing w:after="240"/>
        <w:rPr>
          <w:lang w:val="en-US"/>
        </w:rPr>
      </w:pPr>
      <w:r>
        <w:rPr>
          <w:lang w:val="en-US"/>
        </w:rPr>
        <w:t>312.</w:t>
      </w:r>
      <w:r>
        <w:rPr>
          <w:lang w:val="en-US"/>
        </w:rPr>
        <w:tab/>
        <w:t xml:space="preserve">Also, the national mechanism for the protection of women, located at the highest level of Government, has created other public bodies in the three branches of Government, whose main objectives include gender equity, signs of strengthening gender mainstreaming in the State, and even a gradual movement towards decentralization. Also created were the Commission on Equity, Gender and Development of both Chambers of the National Parliament, and the Advisory Committee on Gender Equity in the Asunción Municipal Council, an experiment that is being replicated in several of the country’s municipal councils. There are also secretariats for women in the country’s 17 departments. Of the 234 municipalities throughout the national territory, 135 have set up secretariats for women. </w:t>
      </w:r>
    </w:p>
    <w:p w:rsidR="00000000" w:rsidRDefault="00000000">
      <w:pPr>
        <w:spacing w:after="240"/>
        <w:rPr>
          <w:lang w:val="en-US"/>
        </w:rPr>
      </w:pPr>
      <w:r>
        <w:rPr>
          <w:lang w:val="en-US"/>
        </w:rPr>
        <w:t>313.</w:t>
      </w:r>
      <w:r>
        <w:rPr>
          <w:lang w:val="en-US"/>
        </w:rPr>
        <w:tab/>
        <w:t>At the same time, owing to the gender gaps in the rural sector and the special characteristic of bilingualism in Paraguay, there is a Guaraní-Spanish bilingual literacy project for adults in gender, production and community health, which trains 70 per cent of women in keeping with their daily routine, increasing their capacities for self-help and development in the community.</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bCs w:val="0"/>
          <w:lang w:val="en-US" w:eastAsia="en-US"/>
        </w:rPr>
      </w:pPr>
      <w:r>
        <w:rPr>
          <w:rFonts w:ascii="Times New Roman" w:eastAsia="Times New Roman" w:hAnsi="Times New Roman" w:cs="Times New Roman"/>
          <w:bCs w:val="0"/>
          <w:lang w:val="en-US" w:eastAsia="en-US"/>
        </w:rPr>
        <w:t>B.  Situation of children and adolescents</w:t>
      </w:r>
    </w:p>
    <w:p w:rsidR="00000000" w:rsidRDefault="00000000">
      <w:pPr>
        <w:numPr>
          <w:ilvl w:val="0"/>
          <w:numId w:val="8"/>
        </w:numPr>
        <w:spacing w:after="240"/>
        <w:ind w:left="0" w:firstLine="0"/>
        <w:rPr>
          <w:b/>
          <w:lang w:val="en-US"/>
        </w:rPr>
      </w:pPr>
      <w:r>
        <w:rPr>
          <w:b/>
          <w:lang w:val="en-US"/>
        </w:rPr>
        <w:t>Special protection measures for children and adolescents</w:t>
      </w:r>
    </w:p>
    <w:p w:rsidR="00000000" w:rsidRDefault="00000000">
      <w:pPr>
        <w:spacing w:after="240"/>
        <w:rPr>
          <w:lang w:val="en-US"/>
        </w:rPr>
      </w:pPr>
      <w:r>
        <w:rPr>
          <w:lang w:val="en-US"/>
        </w:rPr>
        <w:t>314.</w:t>
      </w:r>
      <w:r>
        <w:rPr>
          <w:lang w:val="en-US"/>
        </w:rPr>
        <w:tab/>
        <w:t>The National Policy on Childhood and Adolescence (POLNA) is designed to direct activities for children and adolescents through joint efforts by the Government, the international organizations, civil society and children’s and adolescents’ organizations in order to develop effective policies and programmes adapted to the various realities, needs and challenges facing the country’s children. The lead body for these policies is the National Council on Childhood and Adolescence and its executive organ, the Secretariat for Childhood and Adolescence. The National Policy on Childhood and Adolescence (POLNA) is designed to cover the ten-year period 2003-2013.</w:t>
      </w:r>
    </w:p>
    <w:p w:rsidR="00000000" w:rsidRDefault="00000000">
      <w:pPr>
        <w:spacing w:after="240"/>
        <w:rPr>
          <w:lang w:val="en-US"/>
        </w:rPr>
      </w:pPr>
      <w:r>
        <w:rPr>
          <w:lang w:val="en-US"/>
        </w:rPr>
        <w:t>315.</w:t>
      </w:r>
      <w:r>
        <w:rPr>
          <w:lang w:val="en-US"/>
        </w:rPr>
        <w:tab/>
        <w:t>The objective pursued in POLNA is “to ensure the integral development of boys, girls and adolescents in Paraguay, as well as the effective exercise and full enjoyment of their rights”. This implies two types of convergent action: formulation and implementation of basic rights-based universal policies that promote full protection of all boys, girls and young people and the design and execution of policies focussing on specific issues that affect particularly vulnerable groups of children and young people.</w:t>
      </w:r>
    </w:p>
    <w:p w:rsidR="00000000" w:rsidRDefault="00000000">
      <w:pPr>
        <w:spacing w:after="240"/>
        <w:rPr>
          <w:lang w:val="en-US"/>
        </w:rPr>
      </w:pPr>
      <w:r>
        <w:rPr>
          <w:lang w:val="en-US"/>
        </w:rPr>
        <w:t>316.</w:t>
      </w:r>
      <w:r>
        <w:rPr>
          <w:lang w:val="en-US"/>
        </w:rPr>
        <w:tab/>
        <w:t>In order to realize this objective, POLNA is advocates a shift of focus and includes the criterion of guiding initiatives towards attainment of maximum effectiveness and efficiency in the activities undertaken and “as an operational requirement in order to guarantee coverage of the most vulnerable sectors, the development of proper systems for service provision adapted to needs, and extension to the poorer population sectors of the opportunities and basic options required to promote adequate levels of human development” IIN 2002:15).</w:t>
      </w:r>
    </w:p>
    <w:p w:rsidR="00000000" w:rsidRDefault="00000000">
      <w:pPr>
        <w:spacing w:after="240"/>
        <w:rPr>
          <w:lang w:val="en-US"/>
        </w:rPr>
      </w:pPr>
      <w:r>
        <w:rPr>
          <w:lang w:val="en-US"/>
        </w:rPr>
        <w:t>317.</w:t>
      </w:r>
      <w:r>
        <w:rPr>
          <w:lang w:val="en-US"/>
        </w:rPr>
        <w:tab/>
        <w:t>POLNA also advocates a change in the traditional approach to future action, from the provision of programmes and services with a vision centred on the lending institution and its possibilities and resources (supply) to a vision centred on the recipient or beneficiary; in other words, centred on the needs, problems and rights of affected children and their families (demand side). See Annex V: Synopsis of the National Plan of Action for Children and Adolescents (PNA).</w:t>
      </w:r>
      <w:r>
        <w:rPr>
          <w:rStyle w:val="FootnoteReference"/>
          <w:b/>
          <w:bCs/>
          <w:lang w:val="en-US"/>
        </w:rPr>
        <w:footnoteReference w:id="21"/>
      </w:r>
    </w:p>
    <w:p w:rsidR="00000000" w:rsidRDefault="00000000">
      <w:pPr>
        <w:spacing w:after="240"/>
        <w:rPr>
          <w:lang w:val="en-US"/>
        </w:rPr>
      </w:pPr>
      <w:r>
        <w:rPr>
          <w:b/>
          <w:lang w:val="en-US"/>
        </w:rPr>
        <w:t>2.</w:t>
      </w:r>
      <w:r>
        <w:rPr>
          <w:b/>
          <w:lang w:val="en-US"/>
        </w:rPr>
        <w:tab/>
        <w:t>Legal protection framework</w:t>
      </w:r>
    </w:p>
    <w:p w:rsidR="00000000" w:rsidRDefault="00000000">
      <w:pPr>
        <w:spacing w:after="240"/>
        <w:rPr>
          <w:lang w:val="en-US"/>
        </w:rPr>
      </w:pPr>
      <w:r>
        <w:rPr>
          <w:lang w:val="en-US"/>
        </w:rPr>
        <w:t>318.</w:t>
      </w:r>
      <w:r>
        <w:rPr>
          <w:lang w:val="en-US"/>
        </w:rPr>
        <w:tab/>
        <w:t>Progress at the legislative level includes the incorporation in the Code on Children and Adolescents of the principles of the Convention on the Rights of the Child and the doctrine of full protection in domestic legislation which seeks to address matters relating to children and teenagers.</w:t>
      </w:r>
    </w:p>
    <w:p w:rsidR="00000000" w:rsidRDefault="00000000">
      <w:pPr>
        <w:spacing w:after="240"/>
        <w:rPr>
          <w:lang w:val="en-US"/>
        </w:rPr>
      </w:pPr>
      <w:r>
        <w:rPr>
          <w:lang w:val="en-US"/>
        </w:rPr>
        <w:t>319.</w:t>
      </w:r>
      <w:r>
        <w:rPr>
          <w:lang w:val="en-US"/>
        </w:rPr>
        <w:tab/>
        <w:t>The following are a few specific contributions of that Code:</w:t>
      </w:r>
    </w:p>
    <w:p w:rsidR="00000000" w:rsidRDefault="00000000">
      <w:pPr>
        <w:spacing w:after="240"/>
        <w:ind w:firstLine="567"/>
        <w:rPr>
          <w:lang w:val="en-US"/>
        </w:rPr>
      </w:pPr>
      <w:r>
        <w:rPr>
          <w:lang w:val="en-US"/>
        </w:rPr>
        <w:t>–</w:t>
      </w:r>
      <w:r>
        <w:rPr>
          <w:lang w:val="en-US"/>
        </w:rPr>
        <w:tab/>
        <w:t>Explicit and tacit recognition of rights and guarantees for children and adolescents.</w:t>
      </w:r>
    </w:p>
    <w:p w:rsidR="00000000" w:rsidRDefault="00000000">
      <w:pPr>
        <w:spacing w:after="240"/>
        <w:ind w:firstLine="567"/>
        <w:rPr>
          <w:lang w:val="en-US"/>
        </w:rPr>
      </w:pPr>
      <w:r>
        <w:rPr>
          <w:lang w:val="en-US"/>
        </w:rPr>
        <w:t>–</w:t>
      </w:r>
      <w:r>
        <w:rPr>
          <w:lang w:val="en-US"/>
        </w:rPr>
        <w:tab/>
        <w:t>Specific recognition of children’s and adolescents’ right of participation.</w:t>
      </w:r>
    </w:p>
    <w:p w:rsidR="00000000" w:rsidRDefault="00000000">
      <w:pPr>
        <w:spacing w:after="240"/>
        <w:ind w:left="1134" w:hanging="567"/>
        <w:rPr>
          <w:lang w:val="en-US"/>
        </w:rPr>
      </w:pPr>
      <w:r>
        <w:rPr>
          <w:lang w:val="en-US"/>
        </w:rPr>
        <w:t>–</w:t>
      </w:r>
      <w:r>
        <w:rPr>
          <w:lang w:val="en-US"/>
        </w:rPr>
        <w:tab/>
        <w:t xml:space="preserve">Installation of a specialized, decentralized social system responsible for promoting social polices designed to address social problems that affect children’s rights; that is, provision of social care for children outside any judicial framework. </w:t>
      </w:r>
    </w:p>
    <w:p w:rsidR="00000000" w:rsidRDefault="00000000">
      <w:pPr>
        <w:spacing w:after="240"/>
        <w:ind w:left="1134" w:hanging="567"/>
        <w:rPr>
          <w:lang w:val="en-US"/>
        </w:rPr>
      </w:pPr>
      <w:r>
        <w:rPr>
          <w:lang w:val="en-US"/>
        </w:rPr>
        <w:t>–</w:t>
      </w:r>
      <w:r>
        <w:rPr>
          <w:lang w:val="en-US"/>
        </w:rPr>
        <w:tab/>
        <w:t>Establishment of a system of specialized, graded justice for jurisdictional handling of issues relating to children and adolescents which adopts differential approaches to criminal cases involving adolescents.</w:t>
      </w:r>
    </w:p>
    <w:p w:rsidR="00000000" w:rsidRDefault="00000000">
      <w:pPr>
        <w:spacing w:after="240"/>
        <w:ind w:firstLine="567"/>
        <w:rPr>
          <w:lang w:val="en-US"/>
        </w:rPr>
      </w:pPr>
      <w:r>
        <w:rPr>
          <w:lang w:val="en-US"/>
        </w:rPr>
        <w:t>–</w:t>
      </w:r>
      <w:r>
        <w:rPr>
          <w:lang w:val="en-US"/>
        </w:rPr>
        <w:tab/>
        <w:t>Specialized treatment of infringements of the Penal Code committed by adolescents.</w:t>
      </w:r>
    </w:p>
    <w:p w:rsidR="00000000" w:rsidRDefault="00000000">
      <w:pPr>
        <w:spacing w:after="240"/>
        <w:rPr>
          <w:lang w:val="en-US"/>
        </w:rPr>
      </w:pPr>
      <w:r>
        <w:rPr>
          <w:lang w:val="en-US"/>
        </w:rPr>
        <w:t>320.</w:t>
      </w:r>
      <w:r>
        <w:rPr>
          <w:lang w:val="en-US"/>
        </w:rPr>
        <w:tab/>
        <w:t>The Code on Children and Adolescents (Act No. 168/01), in its Article 8, enshrines the child’s or adolescent’s right to a family, which consists of the right to live and develop within the family, and in the event of the relatives’ lack or insufficiency of material resources, the right to have the State to provide such resources; it also prohibits separating the child or adolescent from the family group, or the suspension or loss of parental authority on the ground of lack or insufficiency of resources.</w:t>
      </w:r>
    </w:p>
    <w:p w:rsidR="00000000" w:rsidRDefault="00000000">
      <w:pPr>
        <w:spacing w:after="240"/>
        <w:rPr>
          <w:lang w:val="en-US"/>
        </w:rPr>
      </w:pPr>
      <w:r>
        <w:rPr>
          <w:lang w:val="en-US"/>
        </w:rPr>
        <w:t>321.</w:t>
      </w:r>
      <w:r>
        <w:rPr>
          <w:lang w:val="en-US"/>
        </w:rPr>
        <w:tab/>
        <w:t>Article 9 of the same Code establishes that the protection of unborn persons is exercised through attention to the pregnant women from conception until 45 days after delivery. The State’s responsibility is set forth in article 10, to the effect that it shall provide care for insolvent pregnant women, providing them with board and lodging and necessary medicines; provide care for pregnant indigenous women in a manner in keeping with strict respect for their culture; prepare plans for specialized care for the protection of pregnant teenagers; and promote breastfeeding. It stipulates that a pregnant woman shall receive these forms of care, even if the child is stillborn or dies during the neonatal period.</w:t>
      </w:r>
    </w:p>
    <w:p w:rsidR="00000000" w:rsidRDefault="00000000">
      <w:pPr>
        <w:spacing w:after="240"/>
        <w:rPr>
          <w:lang w:val="en-US"/>
        </w:rPr>
      </w:pPr>
      <w:r>
        <w:rPr>
          <w:lang w:val="en-US"/>
        </w:rPr>
        <w:t>322.</w:t>
      </w:r>
      <w:r>
        <w:rPr>
          <w:lang w:val="en-US"/>
        </w:rPr>
        <w:tab/>
        <w:t>Article 11 establishes the obligation for medical care to be provided at the location nearest to a pregnant woman requiring emergency attention and prohibits referral or rejection of a pregnant woman in labour or requiring emergency attention when she is insolvent or because of the institution’s shortage of beds or other resources, without her having first received the initial emergency treatment.</w:t>
      </w:r>
    </w:p>
    <w:p w:rsidR="00000000" w:rsidRDefault="00000000">
      <w:pPr>
        <w:spacing w:after="240"/>
        <w:rPr>
          <w:lang w:val="en-US"/>
        </w:rPr>
      </w:pPr>
      <w:r>
        <w:rPr>
          <w:lang w:val="en-US"/>
        </w:rPr>
        <w:t>323.</w:t>
      </w:r>
      <w:r>
        <w:rPr>
          <w:lang w:val="en-US"/>
        </w:rPr>
        <w:tab/>
        <w:t>On no grounds and in no event may a newborn or the mother be detained in the hospital wherethe birth took place for failure to pay for medical services (art. 12).</w:t>
      </w:r>
    </w:p>
    <w:p w:rsidR="00000000" w:rsidRDefault="00000000">
      <w:pPr>
        <w:spacing w:after="240"/>
        <w:ind w:firstLine="567"/>
        <w:rPr>
          <w:lang w:val="en-US"/>
        </w:rPr>
      </w:pPr>
      <w:r>
        <w:rPr>
          <w:lang w:val="en-US"/>
        </w:rPr>
        <w:t>–</w:t>
      </w:r>
      <w:r>
        <w:rPr>
          <w:lang w:val="en-US"/>
        </w:rPr>
        <w:tab/>
        <w:t>Article 13: enshrines the right to health of a child or adolescent.</w:t>
      </w:r>
    </w:p>
    <w:p w:rsidR="00000000" w:rsidRDefault="00000000">
      <w:pPr>
        <w:spacing w:after="240"/>
        <w:ind w:firstLine="567"/>
        <w:rPr>
          <w:lang w:val="en-US"/>
        </w:rPr>
      </w:pPr>
      <w:r>
        <w:rPr>
          <w:lang w:val="en-US"/>
        </w:rPr>
        <w:t>–</w:t>
      </w:r>
      <w:r>
        <w:rPr>
          <w:lang w:val="en-US"/>
        </w:rPr>
        <w:tab/>
        <w:t>Article 14: enshrines the right to sexual and reproductive health.</w:t>
      </w:r>
    </w:p>
    <w:p w:rsidR="00000000" w:rsidRDefault="00000000">
      <w:pPr>
        <w:spacing w:after="240"/>
        <w:ind w:left="1134" w:hanging="567"/>
        <w:rPr>
          <w:lang w:val="en-US"/>
        </w:rPr>
      </w:pPr>
      <w:r>
        <w:rPr>
          <w:lang w:val="en-US"/>
        </w:rPr>
        <w:t>–</w:t>
      </w:r>
      <w:r>
        <w:rPr>
          <w:lang w:val="en-US"/>
        </w:rPr>
        <w:tab/>
        <w:t>Article 15: establishes that public health programmes (medical and dental care) are free of charge.</w:t>
      </w:r>
    </w:p>
    <w:p w:rsidR="00000000" w:rsidRDefault="00000000">
      <w:pPr>
        <w:spacing w:after="240"/>
        <w:ind w:left="1134" w:hanging="567"/>
        <w:rPr>
          <w:lang w:val="en-US"/>
        </w:rPr>
      </w:pPr>
      <w:r>
        <w:rPr>
          <w:lang w:val="en-US"/>
        </w:rPr>
        <w:t>–</w:t>
      </w:r>
      <w:r>
        <w:rPr>
          <w:lang w:val="en-US"/>
        </w:rPr>
        <w:tab/>
        <w:t>Article 16: enshrines the right to protection against harmful substances, tobacco and alcoholic beverages.</w:t>
      </w:r>
    </w:p>
    <w:p w:rsidR="00000000" w:rsidRDefault="00000000">
      <w:pPr>
        <w:spacing w:after="240"/>
        <w:ind w:left="1134" w:hanging="567"/>
        <w:rPr>
          <w:lang w:val="en-US"/>
        </w:rPr>
      </w:pPr>
      <w:r>
        <w:rPr>
          <w:lang w:val="en-US"/>
        </w:rPr>
        <w:t>–</w:t>
      </w:r>
      <w:r>
        <w:rPr>
          <w:lang w:val="en-US"/>
        </w:rPr>
        <w:tab/>
        <w:t>Article 17: refers to the necessary authorizations in the event of a surgical intervention where there is a risk of death of a child or adolescent.</w:t>
      </w:r>
    </w:p>
    <w:p w:rsidR="00000000" w:rsidRDefault="00000000">
      <w:pPr>
        <w:spacing w:after="240"/>
        <w:ind w:firstLine="567"/>
        <w:rPr>
          <w:lang w:val="en-US"/>
        </w:rPr>
      </w:pPr>
      <w:r>
        <w:rPr>
          <w:lang w:val="en-US"/>
        </w:rPr>
        <w:t>–</w:t>
      </w:r>
      <w:r>
        <w:rPr>
          <w:lang w:val="en-US"/>
        </w:rPr>
        <w:tab/>
        <w:t>Article 1 (8) enshrines the right to an identity.</w:t>
      </w:r>
    </w:p>
    <w:p w:rsidR="00000000" w:rsidRDefault="00000000">
      <w:pPr>
        <w:spacing w:after="240"/>
        <w:ind w:firstLine="567"/>
        <w:rPr>
          <w:lang w:val="en-US"/>
        </w:rPr>
      </w:pPr>
      <w:r>
        <w:rPr>
          <w:lang w:val="en-US"/>
        </w:rPr>
        <w:t>–</w:t>
      </w:r>
      <w:r>
        <w:rPr>
          <w:lang w:val="en-US"/>
        </w:rPr>
        <w:tab/>
        <w:t>Article 19: refers to the obligation of birth registration.</w:t>
      </w:r>
    </w:p>
    <w:p w:rsidR="00000000" w:rsidRDefault="00000000">
      <w:pPr>
        <w:spacing w:after="240"/>
        <w:ind w:firstLine="567"/>
        <w:rPr>
          <w:lang w:val="en-US"/>
        </w:rPr>
      </w:pPr>
      <w:r>
        <w:rPr>
          <w:lang w:val="en-US"/>
        </w:rPr>
        <w:t>–</w:t>
      </w:r>
      <w:r>
        <w:rPr>
          <w:lang w:val="en-US"/>
        </w:rPr>
        <w:tab/>
        <w:t>Article 20: enshrines the right to education.</w:t>
      </w:r>
    </w:p>
    <w:p w:rsidR="00000000" w:rsidRDefault="00000000">
      <w:pPr>
        <w:spacing w:after="240"/>
        <w:ind w:firstLine="567"/>
        <w:rPr>
          <w:lang w:val="en-US"/>
        </w:rPr>
      </w:pPr>
      <w:r>
        <w:rPr>
          <w:lang w:val="en-US"/>
        </w:rPr>
        <w:t>–</w:t>
      </w:r>
      <w:r>
        <w:rPr>
          <w:lang w:val="en-US"/>
        </w:rPr>
        <w:tab/>
        <w:t>Article 24: enshrines the right to culture and sport.</w:t>
      </w:r>
    </w:p>
    <w:p w:rsidR="00000000" w:rsidRDefault="00000000">
      <w:pPr>
        <w:spacing w:after="240"/>
        <w:ind w:left="1134" w:hanging="567"/>
        <w:rPr>
          <w:lang w:val="en-US"/>
        </w:rPr>
      </w:pPr>
      <w:r>
        <w:rPr>
          <w:lang w:val="en-US"/>
        </w:rPr>
        <w:t>–</w:t>
      </w:r>
      <w:r>
        <w:rPr>
          <w:lang w:val="en-US"/>
        </w:rPr>
        <w:tab/>
        <w:t>Article 25: enshrines the right of the child or adolescent to be protected against all forms of exploitation.</w:t>
      </w:r>
    </w:p>
    <w:p w:rsidR="00000000" w:rsidRDefault="00000000">
      <w:pPr>
        <w:spacing w:after="240"/>
        <w:ind w:firstLine="567"/>
        <w:rPr>
          <w:lang w:val="en-US"/>
        </w:rPr>
      </w:pPr>
      <w:r>
        <w:rPr>
          <w:lang w:val="en-US"/>
        </w:rPr>
        <w:t>–</w:t>
      </w:r>
      <w:r>
        <w:rPr>
          <w:lang w:val="en-US"/>
        </w:rPr>
        <w:tab/>
        <w:t>Article 26: enshrines the right of petition.</w:t>
      </w:r>
    </w:p>
    <w:p w:rsidR="00000000" w:rsidRDefault="00000000">
      <w:pPr>
        <w:spacing w:after="240"/>
        <w:ind w:left="1134" w:hanging="567"/>
        <w:rPr>
          <w:lang w:val="en-US"/>
        </w:rPr>
      </w:pPr>
      <w:r>
        <w:rPr>
          <w:lang w:val="en-US"/>
        </w:rPr>
        <w:t>–</w:t>
      </w:r>
      <w:r>
        <w:rPr>
          <w:lang w:val="en-US"/>
        </w:rPr>
        <w:tab/>
        <w:t>Article 27: establishes the secrecy of judicial and/or administrative proceedings relating to children and/or adolescents.</w:t>
      </w:r>
    </w:p>
    <w:p w:rsidR="00000000" w:rsidRDefault="00000000">
      <w:pPr>
        <w:spacing w:after="240"/>
        <w:ind w:firstLine="567"/>
        <w:rPr>
          <w:lang w:val="en-US"/>
        </w:rPr>
      </w:pPr>
      <w:r>
        <w:rPr>
          <w:lang w:val="en-US"/>
        </w:rPr>
        <w:t>–</w:t>
      </w:r>
      <w:r>
        <w:rPr>
          <w:lang w:val="en-US"/>
        </w:rPr>
        <w:tab/>
        <w:t>Article 28: establishes exceptions to the secrecy of proceedings.</w:t>
      </w:r>
    </w:p>
    <w:p w:rsidR="00000000" w:rsidRDefault="00000000">
      <w:pPr>
        <w:spacing w:after="240"/>
        <w:ind w:left="1134" w:hanging="567"/>
        <w:rPr>
          <w:lang w:val="en-US"/>
        </w:rPr>
      </w:pPr>
      <w:r>
        <w:rPr>
          <w:lang w:val="en-US"/>
        </w:rPr>
        <w:t>–</w:t>
      </w:r>
      <w:r>
        <w:rPr>
          <w:lang w:val="en-US"/>
        </w:rPr>
        <w:tab/>
        <w:t>Article 29: establishes the prohibition to publish (in the press) the names, photographs or data that may help identify children and/or adolescents who are victims or alleged authors of punishable acts.</w:t>
      </w:r>
    </w:p>
    <w:p w:rsidR="00000000" w:rsidRDefault="00000000">
      <w:pPr>
        <w:spacing w:after="240"/>
        <w:ind w:firstLine="567"/>
        <w:rPr>
          <w:lang w:val="en-US"/>
        </w:rPr>
      </w:pPr>
      <w:r>
        <w:rPr>
          <w:lang w:val="en-US"/>
        </w:rPr>
        <w:t>–</w:t>
      </w:r>
      <w:r>
        <w:rPr>
          <w:lang w:val="en-US"/>
        </w:rPr>
        <w:tab/>
        <w:t>Article 30: establishes the duties of children and/or adolescents.</w:t>
      </w:r>
    </w:p>
    <w:p w:rsidR="00000000" w:rsidRDefault="00000000">
      <w:pPr>
        <w:spacing w:after="240"/>
        <w:ind w:firstLine="567"/>
        <w:rPr>
          <w:lang w:val="en-US"/>
        </w:rPr>
      </w:pPr>
      <w:r>
        <w:rPr>
          <w:lang w:val="en-US"/>
        </w:rPr>
        <w:t>–</w:t>
      </w:r>
      <w:r>
        <w:rPr>
          <w:lang w:val="en-US"/>
        </w:rPr>
        <w:tab/>
        <w:t>Article 31: prohibits the use of children and/or adolescents in sexual commerce.</w:t>
      </w:r>
    </w:p>
    <w:p w:rsidR="00000000" w:rsidRDefault="00000000">
      <w:pPr>
        <w:spacing w:after="240"/>
        <w:ind w:firstLine="567"/>
        <w:rPr>
          <w:lang w:val="en-US"/>
        </w:rPr>
      </w:pPr>
      <w:r>
        <w:rPr>
          <w:lang w:val="en-US"/>
        </w:rPr>
        <w:t>–</w:t>
      </w:r>
      <w:r>
        <w:rPr>
          <w:lang w:val="en-US"/>
        </w:rPr>
        <w:tab/>
        <w:t>Article 34: establishes protection and support measures..</w:t>
      </w:r>
    </w:p>
    <w:p w:rsidR="00000000" w:rsidRDefault="00000000">
      <w:pPr>
        <w:spacing w:after="240"/>
        <w:ind w:left="1134" w:hanging="567"/>
        <w:rPr>
          <w:lang w:val="en-US"/>
        </w:rPr>
      </w:pPr>
      <w:r>
        <w:rPr>
          <w:lang w:val="en-US"/>
        </w:rPr>
        <w:t>–</w:t>
      </w:r>
      <w:r>
        <w:rPr>
          <w:lang w:val="en-US"/>
        </w:rPr>
        <w:tab/>
        <w:t>Article 35: establishes shelter, which consists in placing the child and/or adolescent with a body for his or her protection and care, as an exceptional and provisional measure.</w:t>
      </w:r>
    </w:p>
    <w:p w:rsidR="00000000" w:rsidRDefault="00000000">
      <w:pPr>
        <w:spacing w:after="240"/>
        <w:ind w:left="1134" w:hanging="567"/>
        <w:rPr>
          <w:lang w:val="en-US"/>
        </w:rPr>
      </w:pPr>
      <w:r>
        <w:rPr>
          <w:lang w:val="en-US"/>
        </w:rPr>
        <w:t>–</w:t>
      </w:r>
      <w:r>
        <w:rPr>
          <w:lang w:val="en-US"/>
        </w:rPr>
        <w:tab/>
        <w:t>Article 37: creates the National System for Integral Protection and Advancement of  Children and Adolescents (SNPPI).</w:t>
      </w:r>
    </w:p>
    <w:p w:rsidR="00000000" w:rsidRDefault="00000000">
      <w:pPr>
        <w:spacing w:after="240"/>
        <w:ind w:firstLine="567"/>
        <w:rPr>
          <w:lang w:val="en-US"/>
        </w:rPr>
      </w:pPr>
      <w:r>
        <w:rPr>
          <w:lang w:val="en-US"/>
        </w:rPr>
        <w:t>–</w:t>
      </w:r>
      <w:r>
        <w:rPr>
          <w:lang w:val="en-US"/>
        </w:rPr>
        <w:tab/>
        <w:t>Article 39: creates the National Secretariat for Childhood and Adolescence.</w:t>
      </w:r>
    </w:p>
    <w:p w:rsidR="00000000" w:rsidRDefault="00000000">
      <w:pPr>
        <w:spacing w:after="240"/>
        <w:ind w:left="1134" w:hanging="567"/>
        <w:rPr>
          <w:lang w:val="en-US"/>
        </w:rPr>
      </w:pPr>
      <w:r>
        <w:rPr>
          <w:lang w:val="en-US"/>
        </w:rPr>
        <w:t>–</w:t>
      </w:r>
      <w:r>
        <w:rPr>
          <w:lang w:val="en-US"/>
        </w:rPr>
        <w:tab/>
        <w:t>Article 42: establishes and incorporates the National Council on Childhood  and Adolescence.</w:t>
      </w:r>
    </w:p>
    <w:p w:rsidR="00000000" w:rsidRDefault="00000000">
      <w:pPr>
        <w:spacing w:after="240"/>
        <w:ind w:left="1134" w:hanging="567"/>
        <w:rPr>
          <w:lang w:val="en-US"/>
        </w:rPr>
      </w:pPr>
      <w:r>
        <w:rPr>
          <w:lang w:val="en-US"/>
        </w:rPr>
        <w:t>–</w:t>
      </w:r>
      <w:r>
        <w:rPr>
          <w:lang w:val="en-US"/>
        </w:rPr>
        <w:tab/>
        <w:t>Article 44: constitutes and incorporates the Departmental Council on Childhood and Adolescence.</w:t>
      </w:r>
    </w:p>
    <w:p w:rsidR="00000000" w:rsidRDefault="00000000">
      <w:pPr>
        <w:spacing w:after="240"/>
        <w:ind w:left="1134" w:hanging="567"/>
        <w:rPr>
          <w:lang w:val="en-US"/>
        </w:rPr>
      </w:pPr>
      <w:r>
        <w:rPr>
          <w:lang w:val="en-US"/>
        </w:rPr>
        <w:t>–</w:t>
      </w:r>
      <w:r>
        <w:rPr>
          <w:lang w:val="en-US"/>
        </w:rPr>
        <w:tab/>
        <w:t>Article 46: constitutes and incorporates the Municipal Councils on Childhood and Adolescence.</w:t>
      </w:r>
    </w:p>
    <w:p w:rsidR="00000000" w:rsidRDefault="00000000">
      <w:pPr>
        <w:spacing w:after="240"/>
        <w:ind w:firstLine="567"/>
        <w:rPr>
          <w:lang w:val="en-US"/>
        </w:rPr>
      </w:pPr>
      <w:r>
        <w:rPr>
          <w:lang w:val="en-US"/>
        </w:rPr>
        <w:t>–</w:t>
      </w:r>
      <w:r>
        <w:rPr>
          <w:lang w:val="en-US"/>
        </w:rPr>
        <w:tab/>
        <w:t>Article 48: creates municipal counselling services on child and adolescent rights.</w:t>
      </w:r>
    </w:p>
    <w:p w:rsidR="00000000" w:rsidRDefault="00000000">
      <w:pPr>
        <w:spacing w:after="240"/>
        <w:rPr>
          <w:lang w:val="en-US"/>
        </w:rPr>
      </w:pPr>
      <w:r>
        <w:rPr>
          <w:lang w:val="en-US"/>
        </w:rPr>
        <w:t>324.</w:t>
      </w:r>
      <w:r>
        <w:rPr>
          <w:lang w:val="en-US"/>
        </w:rPr>
        <w:tab/>
        <w:t>Decree No. 4951 of 2 March 2005 of the National Council on Childhood and Adolescence establishes the list of dangerous forms of child labour.</w:t>
      </w:r>
    </w:p>
    <w:p w:rsidR="00000000" w:rsidRDefault="00000000">
      <w:pPr>
        <w:spacing w:after="240"/>
        <w:rPr>
          <w:lang w:val="en-US"/>
        </w:rPr>
      </w:pPr>
      <w:r>
        <w:rPr>
          <w:lang w:val="en-US"/>
        </w:rPr>
        <w:t>325.</w:t>
      </w:r>
      <w:r>
        <w:rPr>
          <w:lang w:val="en-US"/>
        </w:rPr>
        <w:tab/>
        <w:t>Article 1 of Act 1136/97 provides that adoption is the legal institution for the protection of children and adolescents within the family and social environment so that, monitored by the State, the adopted child becomes part of a family or creates a family with the adopter as his or her child and ceases to belong to his or her blood family, except in cases of adoption by a spouse or cohabiting partner.</w:t>
      </w:r>
    </w:p>
    <w:p w:rsidR="00000000" w:rsidRDefault="00000000">
      <w:pPr>
        <w:spacing w:after="240"/>
        <w:rPr>
          <w:lang w:val="en-US"/>
        </w:rPr>
      </w:pPr>
      <w:r>
        <w:rPr>
          <w:lang w:val="en-US"/>
        </w:rPr>
        <w:t>326.</w:t>
      </w:r>
      <w:r>
        <w:rPr>
          <w:lang w:val="en-US"/>
        </w:rPr>
        <w:tab/>
        <w:t>The municipal counselling services on child and adolescent rights (CODENI) are the bodies created by the Code on Children and Adolescents at the local level and provides a free permanent service of protection, promotion and defence of children’s rights of a non-jurisdictional nature. Its decisions may be reviewed by the courts at the request of the child and/or responsible person, and its officials may be stripped of their authority if they use the position for their own benefit and/or commit acts that infringe the laws in force.</w:t>
      </w:r>
    </w:p>
    <w:p w:rsidR="00000000" w:rsidRDefault="00000000">
      <w:pPr>
        <w:spacing w:after="240"/>
        <w:rPr>
          <w:lang w:val="en-US"/>
        </w:rPr>
      </w:pPr>
      <w:r>
        <w:rPr>
          <w:lang w:val="en-US"/>
        </w:rPr>
        <w:t>327.</w:t>
      </w:r>
      <w:r>
        <w:rPr>
          <w:lang w:val="en-US"/>
        </w:rPr>
        <w:tab/>
        <w:t>The Code on Children and Adolescents (Act 1680/01) provides in its article 50 for the following powers of the CODENIs:</w:t>
      </w:r>
    </w:p>
    <w:p w:rsidR="00000000" w:rsidRDefault="00000000">
      <w:pPr>
        <w:spacing w:after="240"/>
        <w:ind w:left="1134" w:hanging="567"/>
        <w:rPr>
          <w:lang w:val="en-US"/>
        </w:rPr>
      </w:pPr>
      <w:r>
        <w:rPr>
          <w:lang w:val="en-US"/>
        </w:rPr>
        <w:t>(a)</w:t>
      </w:r>
      <w:r>
        <w:rPr>
          <w:lang w:val="en-US"/>
        </w:rPr>
        <w:tab/>
        <w:t>Preventive action in the event of a threat of violation of the rights of children and/or adolescents, as long as there is no jurisdictional action, affording an alternative settlement of conflicts.</w:t>
      </w:r>
    </w:p>
    <w:p w:rsidR="00000000" w:rsidRDefault="00000000">
      <w:pPr>
        <w:spacing w:after="240"/>
        <w:ind w:left="1134" w:hanging="567"/>
        <w:rPr>
          <w:lang w:val="en-US"/>
        </w:rPr>
      </w:pPr>
      <w:r>
        <w:rPr>
          <w:lang w:val="en-US"/>
        </w:rPr>
        <w:t>(b)</w:t>
      </w:r>
      <w:r>
        <w:rPr>
          <w:lang w:val="en-US"/>
        </w:rPr>
        <w:tab/>
        <w:t>Specialized guidance to the family to prevent critical situations.</w:t>
      </w:r>
    </w:p>
    <w:p w:rsidR="00000000" w:rsidRDefault="00000000">
      <w:pPr>
        <w:spacing w:after="240"/>
        <w:ind w:left="1134" w:hanging="567"/>
        <w:rPr>
          <w:lang w:val="en-US"/>
        </w:rPr>
      </w:pPr>
      <w:r>
        <w:rPr>
          <w:lang w:val="en-US"/>
        </w:rPr>
        <w:t>(c)</w:t>
      </w:r>
      <w:r>
        <w:rPr>
          <w:lang w:val="en-US"/>
        </w:rPr>
        <w:tab/>
        <w:t>Approval of public or private entities devoted to developing shelter programmes and closing them where circumstances so warrant.</w:t>
      </w:r>
    </w:p>
    <w:p w:rsidR="00000000" w:rsidRDefault="00000000">
      <w:pPr>
        <w:spacing w:after="240"/>
        <w:ind w:left="567"/>
        <w:rPr>
          <w:lang w:val="en-US"/>
        </w:rPr>
      </w:pPr>
      <w:r>
        <w:rPr>
          <w:lang w:val="en-US"/>
        </w:rPr>
        <w:t>(d)</w:t>
      </w:r>
      <w:r>
        <w:rPr>
          <w:lang w:val="en-US"/>
        </w:rPr>
        <w:tab/>
        <w:t>Referral to the judicial authority of cases that fall within its competence.</w:t>
      </w:r>
    </w:p>
    <w:p w:rsidR="00000000" w:rsidRDefault="00000000">
      <w:pPr>
        <w:spacing w:after="240"/>
        <w:ind w:left="1134" w:hanging="567"/>
        <w:rPr>
          <w:lang w:val="en-US"/>
        </w:rPr>
      </w:pPr>
      <w:r>
        <w:rPr>
          <w:lang w:val="en-US"/>
        </w:rPr>
        <w:t>(e)</w:t>
      </w:r>
      <w:r>
        <w:rPr>
          <w:lang w:val="en-US"/>
        </w:rPr>
        <w:tab/>
        <w:t>Keep a register of children and adolescents engaged in economic activities in order to promote protection and support programmes for the families.</w:t>
      </w:r>
    </w:p>
    <w:p w:rsidR="00000000" w:rsidRDefault="00000000">
      <w:pPr>
        <w:spacing w:after="240"/>
        <w:ind w:firstLine="567"/>
        <w:rPr>
          <w:lang w:val="en-US"/>
        </w:rPr>
      </w:pPr>
      <w:r>
        <w:rPr>
          <w:lang w:val="en-US"/>
        </w:rPr>
        <w:t>(f)</w:t>
      </w:r>
      <w:r>
        <w:rPr>
          <w:lang w:val="en-US"/>
        </w:rPr>
        <w:tab/>
        <w:t>Support the implementation of alternative measures to deprivation of liberty.</w:t>
      </w:r>
    </w:p>
    <w:p w:rsidR="00000000" w:rsidRDefault="00000000">
      <w:pPr>
        <w:spacing w:after="240"/>
        <w:ind w:left="1134" w:hanging="567"/>
        <w:rPr>
          <w:lang w:val="en-US"/>
        </w:rPr>
      </w:pPr>
      <w:r>
        <w:rPr>
          <w:lang w:val="en-US"/>
        </w:rPr>
        <w:t>(g)</w:t>
      </w:r>
      <w:r>
        <w:rPr>
          <w:lang w:val="en-US"/>
        </w:rPr>
        <w:tab/>
        <w:t xml:space="preserve">Coordinate training programmes for adolescent workers with vocational training bodies.  </w:t>
      </w:r>
    </w:p>
    <w:p w:rsidR="00000000" w:rsidRDefault="00000000">
      <w:pPr>
        <w:spacing w:after="240"/>
        <w:ind w:left="1134" w:hanging="567"/>
        <w:rPr>
          <w:lang w:val="en-US"/>
        </w:rPr>
      </w:pPr>
      <w:r>
        <w:rPr>
          <w:lang w:val="en-US"/>
        </w:rPr>
        <w:t>(h)</w:t>
      </w:r>
      <w:r>
        <w:rPr>
          <w:lang w:val="en-US"/>
        </w:rPr>
        <w:tab/>
        <w:t xml:space="preserve"> Provide children’s rooms, crèches and kindergartens for children whose parents work outside the home.</w:t>
      </w:r>
    </w:p>
    <w:p w:rsidR="00000000" w:rsidRDefault="00000000">
      <w:pPr>
        <w:spacing w:after="240"/>
        <w:rPr>
          <w:lang w:val="en-US"/>
        </w:rPr>
      </w:pPr>
      <w:r>
        <w:rPr>
          <w:lang w:val="en-US"/>
        </w:rPr>
        <w:t>328.</w:t>
      </w:r>
      <w:r>
        <w:rPr>
          <w:lang w:val="en-US"/>
        </w:rPr>
        <w:tab/>
        <w:t>Once a threat to or violation of a child’s rights has been established, the measures provided in article 34 of the Code on Children and Adolescents are applied when the child or adolescent is in a situation that points to the need for protection or support, namely:</w:t>
      </w:r>
    </w:p>
    <w:p w:rsidR="00000000" w:rsidRDefault="00000000">
      <w:pPr>
        <w:spacing w:after="240"/>
        <w:ind w:firstLine="567"/>
        <w:rPr>
          <w:lang w:val="en-US"/>
        </w:rPr>
      </w:pPr>
      <w:r>
        <w:rPr>
          <w:lang w:val="en-US"/>
        </w:rPr>
        <w:t>(a)</w:t>
      </w:r>
      <w:r>
        <w:rPr>
          <w:lang w:val="en-US"/>
        </w:rPr>
        <w:tab/>
        <w:t>A warning to the father, mother, guardian or person responsible;</w:t>
      </w:r>
    </w:p>
    <w:p w:rsidR="00000000" w:rsidRDefault="00000000">
      <w:pPr>
        <w:spacing w:after="240"/>
        <w:ind w:firstLine="567"/>
        <w:rPr>
          <w:lang w:val="en-US"/>
        </w:rPr>
      </w:pPr>
      <w:r>
        <w:rPr>
          <w:lang w:val="en-US"/>
        </w:rPr>
        <w:t>(b)</w:t>
      </w:r>
      <w:r>
        <w:rPr>
          <w:lang w:val="en-US"/>
        </w:rPr>
        <w:tab/>
        <w:t>Guidance to the child or adolescent and the family group;</w:t>
      </w:r>
    </w:p>
    <w:p w:rsidR="00000000" w:rsidRDefault="00000000">
      <w:pPr>
        <w:spacing w:after="240"/>
        <w:ind w:firstLine="567"/>
        <w:rPr>
          <w:lang w:val="en-US"/>
        </w:rPr>
      </w:pPr>
      <w:r>
        <w:rPr>
          <w:lang w:val="en-US"/>
        </w:rPr>
        <w:t>(c)</w:t>
      </w:r>
      <w:r>
        <w:rPr>
          <w:lang w:val="en-US"/>
        </w:rPr>
        <w:tab/>
        <w:t>Temporary assistance to the child or adolescent and the family group;</w:t>
      </w:r>
    </w:p>
    <w:p w:rsidR="00000000" w:rsidRDefault="00000000">
      <w:pPr>
        <w:spacing w:after="240"/>
        <w:ind w:firstLine="567"/>
        <w:rPr>
          <w:lang w:val="en-US"/>
        </w:rPr>
      </w:pPr>
      <w:r>
        <w:rPr>
          <w:lang w:val="en-US"/>
        </w:rPr>
        <w:t>(d)</w:t>
      </w:r>
      <w:r>
        <w:rPr>
          <w:lang w:val="en-US"/>
        </w:rPr>
        <w:tab/>
        <w:t>Placement of the child in a basic school establishment with compulsory attendance;</w:t>
      </w:r>
    </w:p>
    <w:p w:rsidR="00000000" w:rsidRDefault="00000000">
      <w:pPr>
        <w:spacing w:after="240"/>
        <w:ind w:firstLine="567"/>
        <w:rPr>
          <w:lang w:val="en-US"/>
        </w:rPr>
      </w:pPr>
      <w:r>
        <w:rPr>
          <w:lang w:val="en-US"/>
        </w:rPr>
        <w:t>(e)</w:t>
      </w:r>
      <w:r>
        <w:rPr>
          <w:lang w:val="en-US"/>
        </w:rPr>
        <w:tab/>
        <w:t>Medical and psychological care;</w:t>
      </w:r>
    </w:p>
    <w:p w:rsidR="00000000" w:rsidRDefault="00000000">
      <w:pPr>
        <w:spacing w:after="240"/>
        <w:ind w:firstLine="567"/>
        <w:rPr>
          <w:lang w:val="en-US"/>
        </w:rPr>
      </w:pPr>
      <w:r>
        <w:rPr>
          <w:lang w:val="en-US"/>
        </w:rPr>
        <w:t>(f)</w:t>
      </w:r>
      <w:r>
        <w:rPr>
          <w:lang w:val="en-US"/>
        </w:rPr>
        <w:tab/>
        <w:t>In emergencies, material provision for the maintenance of the child or adolescent;</w:t>
      </w:r>
    </w:p>
    <w:p w:rsidR="00000000" w:rsidRDefault="00000000">
      <w:pPr>
        <w:spacing w:after="240"/>
        <w:ind w:firstLine="567"/>
        <w:rPr>
          <w:lang w:val="en-US"/>
        </w:rPr>
      </w:pPr>
      <w:r>
        <w:rPr>
          <w:lang w:val="en-US"/>
        </w:rPr>
        <w:t>(g)</w:t>
      </w:r>
      <w:r>
        <w:rPr>
          <w:lang w:val="en-US"/>
        </w:rPr>
        <w:tab/>
        <w:t>Shelter;</w:t>
      </w:r>
    </w:p>
    <w:p w:rsidR="00000000" w:rsidRDefault="00000000">
      <w:pPr>
        <w:spacing w:after="240"/>
        <w:ind w:firstLine="567"/>
        <w:rPr>
          <w:lang w:val="en-US"/>
        </w:rPr>
      </w:pPr>
      <w:r>
        <w:rPr>
          <w:lang w:val="en-US"/>
        </w:rPr>
        <w:t>(h)</w:t>
      </w:r>
      <w:r>
        <w:rPr>
          <w:lang w:val="en-US"/>
        </w:rPr>
        <w:tab/>
        <w:t xml:space="preserve">Placement of the child or adolescent in a surrogate family; and </w:t>
      </w:r>
    </w:p>
    <w:p w:rsidR="00000000" w:rsidRDefault="00000000">
      <w:pPr>
        <w:spacing w:after="240"/>
        <w:ind w:firstLine="567"/>
        <w:rPr>
          <w:lang w:val="en-US"/>
        </w:rPr>
      </w:pPr>
      <w:r>
        <w:rPr>
          <w:lang w:val="en-US"/>
        </w:rPr>
        <w:t>(i)</w:t>
      </w:r>
      <w:r>
        <w:rPr>
          <w:lang w:val="en-US"/>
        </w:rPr>
        <w:tab/>
        <w:t>Placement of the child or adolescent in a home.</w:t>
      </w:r>
    </w:p>
    <w:p w:rsidR="00000000" w:rsidRDefault="00000000">
      <w:pPr>
        <w:spacing w:after="240"/>
        <w:rPr>
          <w:lang w:val="en-US"/>
        </w:rPr>
      </w:pPr>
      <w:r>
        <w:rPr>
          <w:lang w:val="en-US"/>
        </w:rPr>
        <w:t>In the case of a measure contained in subparagraphs (g) to (i) of this article, the order will require judicial authorization.</w:t>
      </w:r>
    </w:p>
    <w:p w:rsidR="00000000" w:rsidRDefault="00000000">
      <w:pPr>
        <w:spacing w:after="240"/>
        <w:rPr>
          <w:lang w:val="en-US"/>
        </w:rPr>
      </w:pPr>
      <w:r>
        <w:rPr>
          <w:lang w:val="en-US"/>
        </w:rPr>
        <w:t>329.</w:t>
      </w:r>
      <w:r>
        <w:rPr>
          <w:lang w:val="en-US"/>
        </w:rPr>
        <w:tab/>
        <w:t>Regarding case law in this area, a plethora of administrative and judicial measures have been issued by the CODENIs, especially on the subject of judicial provisions for attention to children in hospitals that refuse care.</w:t>
      </w:r>
    </w:p>
    <w:p w:rsidR="00000000" w:rsidRDefault="00000000">
      <w:pPr>
        <w:spacing w:after="240"/>
        <w:rPr>
          <w:b/>
          <w:lang w:val="en-US"/>
        </w:rPr>
      </w:pPr>
      <w:r>
        <w:rPr>
          <w:b/>
          <w:lang w:val="en-US"/>
        </w:rPr>
        <w:t>2.1.</w:t>
      </w:r>
      <w:r>
        <w:rPr>
          <w:b/>
          <w:lang w:val="en-US"/>
        </w:rPr>
        <w:tab/>
        <w:t>National Council on Childhood and Adolescence (CODENI)</w:t>
      </w:r>
    </w:p>
    <w:p w:rsidR="00000000" w:rsidRDefault="00000000">
      <w:pPr>
        <w:spacing w:after="240"/>
        <w:rPr>
          <w:lang w:val="en-US"/>
        </w:rPr>
      </w:pPr>
      <w:r>
        <w:rPr>
          <w:lang w:val="en-US"/>
        </w:rPr>
        <w:t>330.</w:t>
      </w:r>
      <w:r>
        <w:rPr>
          <w:lang w:val="en-US"/>
        </w:rPr>
        <w:tab/>
        <w:t>This Council shall be convened by the executive secretary of the National Secretariat on Childhood and Adolescence and is composed of a representative of each of the following:</w:t>
      </w:r>
    </w:p>
    <w:p w:rsidR="00000000" w:rsidRDefault="00000000">
      <w:pPr>
        <w:spacing w:after="240"/>
        <w:rPr>
          <w:lang w:val="en-US"/>
        </w:rPr>
      </w:pPr>
      <w:r>
        <w:rPr>
          <w:lang w:val="en-US"/>
        </w:rPr>
        <w:tab/>
        <w:t>–</w:t>
      </w:r>
      <w:r>
        <w:rPr>
          <w:lang w:val="en-US"/>
        </w:rPr>
        <w:tab/>
        <w:t>The National Secretariat on Childhood and Adolescence;</w:t>
      </w:r>
    </w:p>
    <w:p w:rsidR="00000000" w:rsidRDefault="00000000">
      <w:pPr>
        <w:spacing w:after="240"/>
        <w:rPr>
          <w:lang w:val="en-US"/>
        </w:rPr>
      </w:pPr>
      <w:r>
        <w:rPr>
          <w:lang w:val="en-US"/>
        </w:rPr>
        <w:tab/>
        <w:t>–</w:t>
      </w:r>
      <w:r>
        <w:rPr>
          <w:lang w:val="en-US"/>
        </w:rPr>
        <w:tab/>
        <w:t>The Ministry of Public Health and Social Welfare;</w:t>
      </w:r>
    </w:p>
    <w:p w:rsidR="00000000" w:rsidRDefault="00000000">
      <w:pPr>
        <w:spacing w:after="240"/>
        <w:ind w:firstLine="567"/>
        <w:rPr>
          <w:lang w:val="en-US"/>
        </w:rPr>
      </w:pPr>
      <w:r>
        <w:rPr>
          <w:lang w:val="en-US"/>
        </w:rPr>
        <w:t>–</w:t>
      </w:r>
      <w:r>
        <w:rPr>
          <w:lang w:val="en-US"/>
        </w:rPr>
        <w:tab/>
        <w:t>The Ministry of Education and Culture;</w:t>
      </w:r>
    </w:p>
    <w:p w:rsidR="00000000" w:rsidRDefault="00000000">
      <w:pPr>
        <w:spacing w:after="240"/>
        <w:ind w:firstLine="567"/>
        <w:rPr>
          <w:lang w:val="en-US"/>
        </w:rPr>
      </w:pPr>
      <w:r>
        <w:rPr>
          <w:lang w:val="en-US"/>
        </w:rPr>
        <w:t>–</w:t>
      </w:r>
      <w:r>
        <w:rPr>
          <w:lang w:val="en-US"/>
        </w:rPr>
        <w:tab/>
        <w:t>The Ministry of Justice and Labour;</w:t>
      </w:r>
    </w:p>
    <w:p w:rsidR="00000000" w:rsidRDefault="00000000">
      <w:pPr>
        <w:spacing w:after="240"/>
        <w:ind w:firstLine="567"/>
        <w:rPr>
          <w:lang w:val="en-US"/>
        </w:rPr>
      </w:pPr>
      <w:r>
        <w:rPr>
          <w:lang w:val="en-US"/>
        </w:rPr>
        <w:t>–</w:t>
      </w:r>
      <w:r>
        <w:rPr>
          <w:lang w:val="en-US"/>
        </w:rPr>
        <w:tab/>
        <w:t>The Ministry of Public Defence;</w:t>
      </w:r>
    </w:p>
    <w:p w:rsidR="00000000" w:rsidRDefault="00000000">
      <w:pPr>
        <w:spacing w:after="240"/>
        <w:ind w:firstLine="567"/>
        <w:rPr>
          <w:lang w:val="en-US"/>
        </w:rPr>
      </w:pPr>
      <w:r>
        <w:rPr>
          <w:lang w:val="en-US"/>
        </w:rPr>
        <w:t>–</w:t>
      </w:r>
      <w:r>
        <w:rPr>
          <w:lang w:val="en-US"/>
        </w:rPr>
        <w:tab/>
        <w:t>The Public Prosecutor's department;</w:t>
      </w:r>
    </w:p>
    <w:p w:rsidR="00000000" w:rsidRDefault="00000000">
      <w:pPr>
        <w:spacing w:after="240"/>
        <w:rPr>
          <w:lang w:val="en-US"/>
        </w:rPr>
      </w:pPr>
      <w:r>
        <w:rPr>
          <w:lang w:val="en-US"/>
        </w:rPr>
        <w:tab/>
        <w:t>–</w:t>
      </w:r>
      <w:r>
        <w:rPr>
          <w:lang w:val="en-US"/>
        </w:rPr>
        <w:tab/>
        <w:t xml:space="preserve">The departmental councils; and </w:t>
      </w:r>
    </w:p>
    <w:p w:rsidR="00000000" w:rsidRDefault="00000000">
      <w:pPr>
        <w:spacing w:after="240"/>
        <w:ind w:left="1134" w:hanging="567"/>
        <w:rPr>
          <w:lang w:val="en-US"/>
        </w:rPr>
      </w:pPr>
      <w:r>
        <w:rPr>
          <w:lang w:val="en-US"/>
        </w:rPr>
        <w:t>–</w:t>
      </w:r>
      <w:r>
        <w:rPr>
          <w:lang w:val="en-US"/>
        </w:rPr>
        <w:tab/>
        <w:t>National non-profit-making non-governmental organizations that serve the public good;</w:t>
      </w:r>
      <w:r>
        <w:rPr>
          <w:lang w:val="en-US"/>
        </w:rPr>
        <w:tab/>
      </w:r>
    </w:p>
    <w:p w:rsidR="00000000" w:rsidRDefault="00000000">
      <w:pPr>
        <w:spacing w:after="240"/>
        <w:rPr>
          <w:lang w:val="en-US"/>
        </w:rPr>
      </w:pPr>
      <w:r>
        <w:rPr>
          <w:lang w:val="en-US"/>
        </w:rPr>
        <w:t>331.</w:t>
      </w:r>
      <w:r>
        <w:rPr>
          <w:lang w:val="en-US"/>
        </w:rPr>
        <w:tab/>
        <w:t>Its functions include formulating policies for the promotion, monitoring and protection of the rights of children and adolescents, and adopting and overseeing implementation of individual programmes devised by the National Secretariat for Childhood and Adolescence.</w:t>
      </w:r>
    </w:p>
    <w:p w:rsidR="00000000" w:rsidRDefault="00000000">
      <w:pPr>
        <w:spacing w:after="240"/>
        <w:rPr>
          <w:b/>
          <w:lang w:val="en-US"/>
        </w:rPr>
      </w:pPr>
      <w:r>
        <w:rPr>
          <w:b/>
          <w:lang w:val="en-US"/>
        </w:rPr>
        <w:t>3.</w:t>
      </w:r>
      <w:r>
        <w:rPr>
          <w:b/>
          <w:lang w:val="en-US"/>
        </w:rPr>
        <w:tab/>
        <w:t>Municipal counselling service on child and adolescent rights (CODENI)</w:t>
      </w:r>
    </w:p>
    <w:p w:rsidR="00000000" w:rsidRDefault="00000000">
      <w:pPr>
        <w:spacing w:after="240"/>
        <w:rPr>
          <w:lang w:val="en-US"/>
        </w:rPr>
      </w:pPr>
      <w:r>
        <w:rPr>
          <w:lang w:val="en-US"/>
        </w:rPr>
        <w:t>332.</w:t>
      </w:r>
      <w:r>
        <w:rPr>
          <w:lang w:val="en-US"/>
        </w:rPr>
        <w:tab/>
        <w:t>The aim of this body is to provide a free and permanent service of protection, promotion and defence of children’s and adolescents’ rights. However, it has no judicial authority. CODENI’s powers include administration and monitoring of: (a) special protection measures for children and adolescents without discrimination on grounds of their filiation or any other condition: (b) protection of children and adolescents from economic and social exploitation;</w:t>
      </w:r>
      <w:r>
        <w:rPr>
          <w:lang w:val="en-US"/>
        </w:rPr>
        <w:br/>
        <w:t>(c) employment of minors in jobs harmful to their morals and health or in which their lives may be endangered ; (d) control of the minimum age of paid employment of child labour.</w:t>
      </w:r>
    </w:p>
    <w:p w:rsidR="00000000" w:rsidRDefault="00000000">
      <w:pPr>
        <w:pStyle w:val="xl23"/>
        <w:keepNext/>
        <w:spacing w:before="0" w:beforeAutospacing="0" w:after="240" w:afterAutospacing="0"/>
        <w:rPr>
          <w:rFonts w:ascii="Times New Roman" w:hAnsi="Times New Roman" w:cs="Times New Roman"/>
          <w:lang w:val="en-US" w:eastAsia="en-US"/>
        </w:rPr>
      </w:pPr>
      <w:r>
        <w:rPr>
          <w:rFonts w:ascii="Times New Roman" w:hAnsi="Times New Roman" w:cs="Times New Roman"/>
          <w:lang w:val="en-US" w:eastAsia="en-US"/>
        </w:rPr>
        <w:t>4.</w:t>
      </w:r>
      <w:r>
        <w:rPr>
          <w:rFonts w:ascii="Times New Roman" w:hAnsi="Times New Roman" w:cs="Times New Roman"/>
          <w:lang w:val="en-US" w:eastAsia="en-US"/>
        </w:rPr>
        <w:tab/>
        <w:t>Concrete measures in favour of children and adolescents</w:t>
      </w:r>
    </w:p>
    <w:p w:rsidR="00000000" w:rsidRDefault="00000000">
      <w:pPr>
        <w:keepNext/>
        <w:spacing w:after="240"/>
        <w:rPr>
          <w:lang w:val="en-US"/>
        </w:rPr>
      </w:pPr>
      <w:r>
        <w:rPr>
          <w:lang w:val="en-US"/>
        </w:rPr>
        <w:t>333.</w:t>
      </w:r>
      <w:r>
        <w:rPr>
          <w:lang w:val="en-US"/>
        </w:rPr>
        <w:tab/>
        <w:t xml:space="preserve">The National Five-Year Plan for Children and Adolescents (2003-2008) is designed to improve all children’s and adolescents’ opportunities for access to and enjoyment of their basic and fundamental rights. One of its operational strategies is the </w:t>
      </w:r>
      <w:r>
        <w:rPr>
          <w:bCs/>
          <w:i/>
          <w:iCs/>
          <w:lang w:val="en-US"/>
        </w:rPr>
        <w:t xml:space="preserve">strengthening of the family </w:t>
      </w:r>
      <w:r>
        <w:rPr>
          <w:lang w:val="en-US"/>
        </w:rPr>
        <w:t xml:space="preserve">(which cuts across all plans, programmes and projects of the Secretariat for Childhood and Adolescence) and </w:t>
      </w:r>
      <w:r>
        <w:rPr>
          <w:bCs/>
          <w:i/>
          <w:iCs/>
          <w:lang w:val="en-US"/>
        </w:rPr>
        <w:t>special protection for infants</w:t>
      </w:r>
      <w:r>
        <w:rPr>
          <w:b/>
          <w:lang w:val="en-US"/>
        </w:rPr>
        <w:t>.</w:t>
      </w:r>
      <w:r>
        <w:rPr>
          <w:lang w:val="en-US"/>
        </w:rPr>
        <w:t xml:space="preserve"> </w:t>
      </w:r>
    </w:p>
    <w:p w:rsidR="00000000" w:rsidRDefault="00000000">
      <w:pPr>
        <w:spacing w:after="240"/>
        <w:rPr>
          <w:lang w:val="en-US"/>
        </w:rPr>
      </w:pPr>
      <w:r>
        <w:rPr>
          <w:lang w:val="en-US"/>
        </w:rPr>
        <w:t>334.</w:t>
      </w:r>
      <w:r>
        <w:rPr>
          <w:lang w:val="en-US"/>
        </w:rPr>
        <w:tab/>
        <w:t>In this connection the Ministry of Education and Culture and the Inter-American Development Bank are jointly implementing a project, whose component 4 is non-formal initial education. It takes into account the fact that a child’s early years are worthy of special consideration because there is no second chance for a good start in life or reversing the later consequences on the various stages of life.</w:t>
      </w:r>
    </w:p>
    <w:p w:rsidR="00000000" w:rsidRDefault="00000000">
      <w:pPr>
        <w:spacing w:after="240"/>
        <w:rPr>
          <w:lang w:val="en-US"/>
        </w:rPr>
      </w:pPr>
      <w:r>
        <w:rPr>
          <w:lang w:val="en-US"/>
        </w:rPr>
        <w:t>335.</w:t>
      </w:r>
      <w:r>
        <w:rPr>
          <w:lang w:val="en-US"/>
        </w:rPr>
        <w:tab/>
        <w:t xml:space="preserve">In the framework of the </w:t>
      </w:r>
      <w:r>
        <w:rPr>
          <w:bCs/>
          <w:i/>
          <w:iCs/>
          <w:lang w:val="en-US"/>
        </w:rPr>
        <w:t xml:space="preserve">Programme for Improving Initial and Pre-school education, </w:t>
      </w:r>
      <w:r>
        <w:rPr>
          <w:lang w:val="en-US"/>
        </w:rPr>
        <w:t xml:space="preserve">it was decided to install </w:t>
      </w:r>
      <w:r>
        <w:rPr>
          <w:bCs/>
          <w:i/>
          <w:iCs/>
          <w:lang w:val="en-US"/>
        </w:rPr>
        <w:t xml:space="preserve">Component 4 </w:t>
      </w:r>
      <w:r>
        <w:rPr>
          <w:b/>
          <w:lang w:val="en-US"/>
        </w:rPr>
        <w:t>(</w:t>
      </w:r>
      <w:r>
        <w:rPr>
          <w:lang w:val="en-US"/>
        </w:rPr>
        <w:t>Non-formal attention to infants) on the premises of the Secretariat for Childhood and Adolescence in the month of July and to validate the Agreement between the Ministry of Education and Culture and the Secretariat for Childhood and Adolescence (MEC-SNNA), which was translated into the following activities:</w:t>
      </w:r>
    </w:p>
    <w:p w:rsidR="00000000" w:rsidRDefault="00000000">
      <w:pPr>
        <w:spacing w:after="240"/>
        <w:rPr>
          <w:lang w:val="en-US"/>
        </w:rPr>
      </w:pPr>
      <w:r>
        <w:rPr>
          <w:lang w:val="en-US"/>
        </w:rPr>
        <w:tab/>
        <w:t>–</w:t>
      </w:r>
      <w:r>
        <w:rPr>
          <w:lang w:val="en-US"/>
        </w:rPr>
        <w:tab/>
        <w:t>A cycle of national forums on comprehensive care for infants was organized.</w:t>
      </w:r>
    </w:p>
    <w:p w:rsidR="00000000" w:rsidRDefault="00000000">
      <w:pPr>
        <w:spacing w:after="240"/>
        <w:ind w:left="1134" w:hanging="567"/>
        <w:rPr>
          <w:lang w:val="en-US"/>
        </w:rPr>
      </w:pPr>
      <w:r>
        <w:rPr>
          <w:lang w:val="en-US"/>
        </w:rPr>
        <w:t>–</w:t>
      </w:r>
      <w:r>
        <w:rPr>
          <w:lang w:val="en-US"/>
        </w:rPr>
        <w:tab/>
        <w:t>Dissemination of the inauguration of Component 4 for designing a public policy on infants through three regional forums in which 210 persons from various organizations took part.</w:t>
      </w:r>
    </w:p>
    <w:p w:rsidR="00000000" w:rsidRDefault="00000000">
      <w:pPr>
        <w:spacing w:after="240"/>
        <w:ind w:left="1134" w:hanging="567"/>
        <w:rPr>
          <w:lang w:val="en-US"/>
        </w:rPr>
      </w:pPr>
      <w:r>
        <w:rPr>
          <w:lang w:val="en-US"/>
        </w:rPr>
        <w:t>–</w:t>
      </w:r>
      <w:r>
        <w:rPr>
          <w:lang w:val="en-US"/>
        </w:rPr>
        <w:tab/>
        <w:t>International forum with 554 participants from various organizations.</w:t>
      </w:r>
    </w:p>
    <w:p w:rsidR="00000000" w:rsidRDefault="00000000">
      <w:pPr>
        <w:spacing w:after="240"/>
        <w:ind w:left="1134" w:hanging="567"/>
        <w:rPr>
          <w:lang w:val="en-US"/>
        </w:rPr>
      </w:pPr>
      <w:r>
        <w:rPr>
          <w:lang w:val="en-US"/>
        </w:rPr>
        <w:t>–</w:t>
      </w:r>
      <w:r>
        <w:rPr>
          <w:lang w:val="en-US"/>
        </w:rPr>
        <w:tab/>
        <w:t>Installation of the technical team of Component 4 at the SNNA, in accordance with the Agreement.</w:t>
      </w:r>
    </w:p>
    <w:p w:rsidR="00000000" w:rsidRDefault="00000000">
      <w:pPr>
        <w:spacing w:after="240"/>
        <w:ind w:left="1134" w:hanging="567"/>
        <w:rPr>
          <w:lang w:val="en-US"/>
        </w:rPr>
      </w:pPr>
      <w:r>
        <w:rPr>
          <w:lang w:val="en-US"/>
        </w:rPr>
        <w:t>–</w:t>
      </w:r>
      <w:r>
        <w:rPr>
          <w:lang w:val="en-US"/>
        </w:rPr>
        <w:tab/>
        <w:t>The first meeting of the Grants Fund for financing infants’ projects was convened on 11 September 2005.</w:t>
      </w:r>
    </w:p>
    <w:p w:rsidR="00000000" w:rsidRDefault="00000000">
      <w:pPr>
        <w:spacing w:after="240"/>
        <w:ind w:left="1134" w:hanging="567"/>
        <w:rPr>
          <w:lang w:val="en-US"/>
        </w:rPr>
      </w:pPr>
      <w:r>
        <w:rPr>
          <w:lang w:val="en-US"/>
        </w:rPr>
        <w:t>–</w:t>
      </w:r>
      <w:r>
        <w:rPr>
          <w:lang w:val="en-US"/>
        </w:rPr>
        <w:tab/>
        <w:t>Training was provided for 89 civil society organizations for project presentation to the Grants Fund. Three regional forums on infancy were held on 22 June, 30 June and 14-15 July. Two training workshops for civil society organizations involved with infants were held on 15 August and 20 September 2005.</w:t>
      </w:r>
    </w:p>
    <w:p w:rsidR="00000000" w:rsidRDefault="00000000">
      <w:pPr>
        <w:spacing w:after="240"/>
        <w:ind w:left="1134" w:hanging="567"/>
        <w:rPr>
          <w:lang w:val="en-US"/>
        </w:rPr>
      </w:pPr>
      <w:r>
        <w:rPr>
          <w:lang w:val="en-US"/>
        </w:rPr>
        <w:t>–</w:t>
      </w:r>
      <w:r>
        <w:rPr>
          <w:lang w:val="en-US"/>
        </w:rPr>
        <w:tab/>
        <w:t>Preparation of a guide for project presentation.</w:t>
      </w:r>
    </w:p>
    <w:p w:rsidR="00000000" w:rsidRDefault="00000000">
      <w:pPr>
        <w:spacing w:after="240"/>
        <w:ind w:left="1134" w:hanging="567"/>
        <w:rPr>
          <w:lang w:val="en-US"/>
        </w:rPr>
      </w:pPr>
      <w:r>
        <w:rPr>
          <w:lang w:val="en-US"/>
        </w:rPr>
        <w:t>–</w:t>
      </w:r>
      <w:r>
        <w:rPr>
          <w:lang w:val="en-US"/>
        </w:rPr>
        <w:tab/>
        <w:t>Individual technical advisory services for NGOs.</w:t>
      </w:r>
    </w:p>
    <w:p w:rsidR="00000000" w:rsidRDefault="00000000">
      <w:pPr>
        <w:spacing w:after="240"/>
        <w:rPr>
          <w:lang w:val="en-US"/>
        </w:rPr>
      </w:pPr>
      <w:r>
        <w:rPr>
          <w:lang w:val="en-US"/>
        </w:rPr>
        <w:t>336.</w:t>
      </w:r>
      <w:r>
        <w:rPr>
          <w:lang w:val="en-US"/>
        </w:rPr>
        <w:tab/>
        <w:t>The National Secretariat for Childhood and Adolescence has also been implementing a pilot sponsorship project for families living in extreme poverty, so that the support provided by the sponsor serves to start a microenterprise that has a positive and immediate effect on their income (sale of vegetables and fruit) and affords them minimum subsistence for their children; it may also consist of ad hoc support for single mothers, etc.: to obtain medical equipment, medicines and medical care, as well as help with their children’s schooling. This pilot project, which has been implemented for two months, has been very well received in the society and has so far benefited 20 families in Asunción city.</w:t>
      </w:r>
    </w:p>
    <w:p w:rsidR="00000000" w:rsidRDefault="00000000">
      <w:pPr>
        <w:spacing w:after="240"/>
        <w:rPr>
          <w:lang w:val="en-US"/>
        </w:rPr>
      </w:pPr>
      <w:r>
        <w:rPr>
          <w:lang w:val="en-US"/>
        </w:rPr>
        <w:t>337.</w:t>
      </w:r>
      <w:r>
        <w:rPr>
          <w:lang w:val="en-US"/>
        </w:rPr>
        <w:tab/>
        <w:t>Other programmes developed by the Secretariat for Childhood and Adolescence in 2005-2006 focused on:</w:t>
      </w:r>
    </w:p>
    <w:p w:rsidR="00000000" w:rsidRDefault="00000000">
      <w:pPr>
        <w:spacing w:after="240"/>
        <w:rPr>
          <w:lang w:val="en-US"/>
        </w:rPr>
      </w:pPr>
      <w:r>
        <w:rPr>
          <w:lang w:val="en-US"/>
        </w:rPr>
        <w:tab/>
        <w:t>–</w:t>
      </w:r>
      <w:r>
        <w:rPr>
          <w:lang w:val="en-US"/>
        </w:rPr>
        <w:tab/>
        <w:t>Street children – CONASICA</w:t>
      </w:r>
    </w:p>
    <w:p w:rsidR="00000000" w:rsidRDefault="00000000">
      <w:pPr>
        <w:spacing w:after="240"/>
        <w:ind w:left="1134" w:hanging="567"/>
        <w:rPr>
          <w:lang w:val="en-US"/>
        </w:rPr>
      </w:pPr>
      <w:r>
        <w:rPr>
          <w:lang w:val="en-US"/>
        </w:rPr>
        <w:t>–</w:t>
      </w:r>
      <w:r>
        <w:rPr>
          <w:lang w:val="en-US"/>
        </w:rPr>
        <w:tab/>
        <w:t>TEKOVE POTI: protection of children and adolescents against the use of alcohol, tobacco and other psychoactive substances</w:t>
      </w:r>
    </w:p>
    <w:p w:rsidR="00000000" w:rsidRDefault="00000000">
      <w:pPr>
        <w:spacing w:after="240"/>
        <w:ind w:firstLine="567"/>
        <w:rPr>
          <w:lang w:val="en-US"/>
        </w:rPr>
      </w:pPr>
      <w:r>
        <w:rPr>
          <w:lang w:val="en-US"/>
        </w:rPr>
        <w:t>–</w:t>
      </w:r>
      <w:r>
        <w:rPr>
          <w:lang w:val="en-US"/>
        </w:rPr>
        <w:tab/>
        <w:t>National Programme of Comprehensive Care for Disabled Children and Adolescents</w:t>
      </w:r>
    </w:p>
    <w:p w:rsidR="00000000" w:rsidRDefault="00000000">
      <w:pPr>
        <w:spacing w:after="240"/>
        <w:rPr>
          <w:lang w:val="en-US"/>
        </w:rPr>
      </w:pPr>
      <w:r>
        <w:rPr>
          <w:lang w:val="en-US"/>
        </w:rPr>
        <w:t>338.</w:t>
      </w:r>
      <w:r>
        <w:rPr>
          <w:lang w:val="en-US"/>
        </w:rPr>
        <w:tab/>
        <w:t>There are also public-health programmes that provide free medical care to needy children and adolescents. Also, institutions such as the Social Action Secretariat,  the Directorates of Welfare and of Social Aid and REPADEH offer training and subsidies to poor families who need to educate and take care of their dependent children.</w:t>
      </w:r>
    </w:p>
    <w:p w:rsidR="00000000" w:rsidRDefault="00000000">
      <w:pPr>
        <w:spacing w:after="240"/>
        <w:rPr>
          <w:lang w:val="en-US"/>
        </w:rPr>
      </w:pPr>
      <w:r>
        <w:rPr>
          <w:lang w:val="en-US"/>
        </w:rPr>
        <w:t>339.</w:t>
      </w:r>
      <w:r>
        <w:rPr>
          <w:lang w:val="en-US"/>
        </w:rPr>
        <w:tab/>
        <w:t>In December 2003 the National Council on Childhood and Adolescence approved national plans for the prevention and eradication of child labour and the protection of adolescent labour, and prevention and eradication of sexual exploitation of children and juveniles in Paraguay; subsequently by Decrees No. 2645 of 8 June 2004 and No. 4269 of 6 December 2004, respectively, they were approved by the Executive of the Republic of Paraguay. Likewise, Decree No. 4951 of 2 March 2005 establishes the list of dangerous forms of child labour.</w:t>
      </w:r>
    </w:p>
    <w:p w:rsidR="00000000" w:rsidRDefault="00000000">
      <w:pPr>
        <w:spacing w:after="240"/>
        <w:rPr>
          <w:lang w:val="en-US"/>
        </w:rPr>
      </w:pPr>
      <w:r>
        <w:rPr>
          <w:lang w:val="en-US"/>
        </w:rPr>
        <w:t>340.</w:t>
      </w:r>
      <w:r>
        <w:rPr>
          <w:lang w:val="en-US"/>
        </w:rPr>
        <w:tab/>
        <w:t>The Regional Office for the Fight against Commercial Sexual Exploitation of Children on the Triple Border (Ciudad del Este) was established and became a thematic reference point in areas of psychosocial and juridical action. Also, various governmental and non-governmental institutions in the area set up a committee to combat commercial sexual exploitation of children; it goes by the acronym COESCI. In that connection, activities and strategies were coordinated with the Juvenile Guardianship Council and the Paraguayan Consulate in Foz de Iguazú for assistance and care for child and adolescent victims of commercial sexual exploitation and street children in the environs of the Puente de la Amistad and the centre. COESCI joined the Binational Health Plan promoted by Itaipú Binacional for joint action by the two counties (Brazil and Paraguay) for prevention and for attention to public health in both countries. Lastly, a process was initiated to strengthen Homes that assist children and adolescents, and another for coordinating the Trinational Plan (Argentina, Brazil and Paraguay), taking care needs and due referral of cases relating to children on the triple border into consideration. The committee also joined the Binational Committee promoted by the Brazilian and Paraguayan consulates for defining strategies to combat smuggling, piracy and the labour and sexual exploitation of minors. It joined the decentralized Municipal Health Council of the Regional Hospital of Ciudad del Este, and awareness activities were organized for teachers, area directors and supervisors in the zone; the Direct Care Programme implemented by CEAPRA was evaluated, while and joint activities were devised with representatives of the Regional Office on commercial and sexual exploitation of children (ESCI):</w:t>
      </w:r>
    </w:p>
    <w:p w:rsidR="00000000" w:rsidRDefault="00000000">
      <w:pPr>
        <w:spacing w:after="240"/>
        <w:ind w:left="1134" w:hanging="567"/>
        <w:rPr>
          <w:lang w:val="en-US"/>
        </w:rPr>
      </w:pPr>
      <w:r>
        <w:rPr>
          <w:lang w:val="en-US"/>
        </w:rPr>
        <w:t>–</w:t>
      </w:r>
      <w:r>
        <w:rPr>
          <w:lang w:val="en-US"/>
        </w:rPr>
        <w:tab/>
        <w:t>The National Committee on Comprehensive Care for Street Children was formed by Presidential Decree No. 4907 of 10 March 2005, since which time it has made the following progress:</w:t>
      </w:r>
    </w:p>
    <w:p w:rsidR="00000000" w:rsidRDefault="00000000">
      <w:pPr>
        <w:spacing w:after="240"/>
        <w:rPr>
          <w:lang w:val="en-US"/>
        </w:rPr>
      </w:pPr>
      <w:r>
        <w:rPr>
          <w:lang w:val="en-US"/>
        </w:rPr>
        <w:tab/>
        <w:t>–</w:t>
      </w:r>
      <w:r>
        <w:rPr>
          <w:lang w:val="en-US"/>
        </w:rPr>
        <w:tab/>
        <w:t>ABRAZO programme: 1,385 children (2005)</w:t>
      </w:r>
    </w:p>
    <w:p w:rsidR="00000000" w:rsidRDefault="00000000">
      <w:pPr>
        <w:spacing w:after="240"/>
        <w:rPr>
          <w:lang w:val="en-US"/>
        </w:rPr>
      </w:pPr>
      <w:r>
        <w:rPr>
          <w:lang w:val="en-US"/>
        </w:rPr>
        <w:tab/>
        <w:t>–</w:t>
      </w:r>
      <w:r>
        <w:rPr>
          <w:lang w:val="en-US"/>
        </w:rPr>
        <w:tab/>
        <w:t>DIBEN programme: 500 children (2005)</w:t>
      </w:r>
    </w:p>
    <w:p w:rsidR="00000000" w:rsidRDefault="00000000">
      <w:pPr>
        <w:spacing w:after="240"/>
        <w:rPr>
          <w:lang w:val="en-US"/>
        </w:rPr>
      </w:pPr>
      <w:r>
        <w:rPr>
          <w:lang w:val="en-US"/>
        </w:rPr>
        <w:tab/>
        <w:t>–</w:t>
      </w:r>
      <w:r>
        <w:rPr>
          <w:lang w:val="en-US"/>
        </w:rPr>
        <w:tab/>
        <w:t>DIBEN programme: 1,800 abandoned children (2006)</w:t>
      </w:r>
    </w:p>
    <w:p w:rsidR="00000000" w:rsidRDefault="00000000">
      <w:pPr>
        <w:spacing w:after="240"/>
        <w:rPr>
          <w:lang w:val="en-US"/>
        </w:rPr>
      </w:pPr>
      <w:r>
        <w:rPr>
          <w:lang w:val="en-US"/>
        </w:rPr>
        <w:tab/>
        <w:t>–</w:t>
      </w:r>
      <w:r>
        <w:rPr>
          <w:lang w:val="en-US"/>
        </w:rPr>
        <w:tab/>
        <w:t>Restoration of rights of abandoned children: 42 children</w:t>
      </w:r>
    </w:p>
    <w:p w:rsidR="00000000" w:rsidRDefault="00000000">
      <w:pPr>
        <w:spacing w:after="240"/>
        <w:rPr>
          <w:lang w:val="en-US"/>
        </w:rPr>
      </w:pPr>
      <w:r>
        <w:rPr>
          <w:lang w:val="en-US"/>
        </w:rPr>
        <w:tab/>
        <w:t>–</w:t>
      </w:r>
      <w:r>
        <w:rPr>
          <w:lang w:val="en-US"/>
        </w:rPr>
        <w:tab/>
        <w:t>Children registration: 421 children</w:t>
      </w:r>
    </w:p>
    <w:p w:rsidR="00000000" w:rsidRDefault="00000000">
      <w:pPr>
        <w:spacing w:after="240"/>
        <w:rPr>
          <w:lang w:val="en-US"/>
        </w:rPr>
      </w:pPr>
      <w:r>
        <w:rPr>
          <w:lang w:val="en-US"/>
        </w:rPr>
        <w:tab/>
        <w:t>–</w:t>
      </w:r>
      <w:r>
        <w:rPr>
          <w:lang w:val="en-US"/>
        </w:rPr>
        <w:tab/>
        <w:t>Detoxification at ALCEINA: 62 children</w:t>
      </w:r>
    </w:p>
    <w:p w:rsidR="00000000" w:rsidRDefault="00000000">
      <w:pPr>
        <w:spacing w:after="240"/>
        <w:rPr>
          <w:lang w:val="en-US"/>
        </w:rPr>
      </w:pPr>
      <w:r>
        <w:rPr>
          <w:lang w:val="en-US"/>
        </w:rPr>
        <w:tab/>
        <w:t>–</w:t>
      </w:r>
      <w:r>
        <w:rPr>
          <w:lang w:val="en-US"/>
        </w:rPr>
        <w:tab/>
        <w:t>Addiction centres: 5 children</w:t>
      </w:r>
    </w:p>
    <w:p w:rsidR="00000000" w:rsidRDefault="00000000">
      <w:pPr>
        <w:spacing w:after="240"/>
        <w:rPr>
          <w:lang w:val="en-US"/>
        </w:rPr>
      </w:pPr>
      <w:r>
        <w:rPr>
          <w:lang w:val="en-US"/>
        </w:rPr>
        <w:tab/>
        <w:t>–</w:t>
      </w:r>
      <w:r>
        <w:rPr>
          <w:lang w:val="en-US"/>
        </w:rPr>
        <w:tab/>
        <w:t>Housed at Tapé Pyahú: 25 children</w:t>
      </w:r>
    </w:p>
    <w:p w:rsidR="00000000" w:rsidRDefault="00000000">
      <w:pPr>
        <w:spacing w:after="240"/>
        <w:rPr>
          <w:lang w:val="en-US"/>
        </w:rPr>
      </w:pPr>
      <w:r>
        <w:rPr>
          <w:lang w:val="en-US"/>
        </w:rPr>
        <w:tab/>
        <w:t>–</w:t>
      </w:r>
      <w:r>
        <w:rPr>
          <w:lang w:val="en-US"/>
        </w:rPr>
        <w:tab/>
        <w:t>Housed at the María Reina Home: 1 girl</w:t>
      </w:r>
    </w:p>
    <w:p w:rsidR="00000000" w:rsidRDefault="00000000">
      <w:pPr>
        <w:spacing w:after="240"/>
        <w:rPr>
          <w:lang w:val="en-US"/>
        </w:rPr>
      </w:pPr>
      <w:r>
        <w:rPr>
          <w:lang w:val="en-US"/>
        </w:rPr>
        <w:tab/>
        <w:t>–</w:t>
      </w:r>
      <w:r>
        <w:rPr>
          <w:lang w:val="en-US"/>
        </w:rPr>
        <w:tab/>
        <w:t>Housed at Unidos por Cristo: 1 boy</w:t>
      </w:r>
    </w:p>
    <w:p w:rsidR="00000000" w:rsidRDefault="00000000">
      <w:pPr>
        <w:spacing w:after="240"/>
        <w:rPr>
          <w:lang w:val="en-US"/>
        </w:rPr>
      </w:pPr>
      <w:r>
        <w:rPr>
          <w:lang w:val="en-US"/>
        </w:rPr>
        <w:tab/>
        <w:t>–</w:t>
      </w:r>
      <w:r>
        <w:rPr>
          <w:lang w:val="en-US"/>
        </w:rPr>
        <w:tab/>
        <w:t>Reintegrated into their families: 15 boys</w:t>
      </w:r>
    </w:p>
    <w:p w:rsidR="00000000" w:rsidRDefault="00000000">
      <w:pPr>
        <w:spacing w:after="240"/>
        <w:rPr>
          <w:lang w:val="en-US"/>
        </w:rPr>
      </w:pPr>
      <w:r>
        <w:rPr>
          <w:lang w:val="en-US"/>
        </w:rPr>
        <w:tab/>
        <w:t>–</w:t>
      </w:r>
      <w:r>
        <w:rPr>
          <w:lang w:val="en-US"/>
        </w:rPr>
        <w:tab/>
        <w:t>Returned to the streets: 15 boys</w:t>
      </w:r>
    </w:p>
    <w:p w:rsidR="00000000" w:rsidRDefault="00000000">
      <w:pPr>
        <w:spacing w:after="240"/>
        <w:ind w:left="1134" w:hanging="567"/>
        <w:rPr>
          <w:lang w:val="en-US"/>
        </w:rPr>
      </w:pPr>
      <w:r>
        <w:rPr>
          <w:lang w:val="en-US"/>
        </w:rPr>
        <w:t>–</w:t>
      </w:r>
      <w:r>
        <w:rPr>
          <w:lang w:val="en-US"/>
        </w:rPr>
        <w:tab/>
        <w:t>Delivered to the Paraguayan Indigenous Institute and referred to the Takuaró Community: 19 children</w:t>
      </w:r>
    </w:p>
    <w:p w:rsidR="00000000" w:rsidRDefault="00000000">
      <w:pPr>
        <w:spacing w:after="240"/>
        <w:ind w:left="1134" w:hanging="567"/>
        <w:rPr>
          <w:lang w:val="en-US"/>
        </w:rPr>
      </w:pPr>
      <w:r>
        <w:rPr>
          <w:lang w:val="en-US"/>
        </w:rPr>
        <w:t>–</w:t>
      </w:r>
      <w:r>
        <w:rPr>
          <w:lang w:val="en-US"/>
        </w:rPr>
        <w:tab/>
        <w:t>Design of a model for assistance and coordination with government bodies and civil society organizations (Callescuela (street school), Don Bosco Róga, Hogar Mimbi, etc.) for its implementation</w:t>
      </w:r>
    </w:p>
    <w:p w:rsidR="00000000" w:rsidRDefault="00000000">
      <w:pPr>
        <w:spacing w:after="240"/>
        <w:rPr>
          <w:lang w:val="en-US"/>
        </w:rPr>
      </w:pPr>
      <w:r>
        <w:rPr>
          <w:lang w:val="en-US"/>
        </w:rPr>
        <w:t>341.</w:t>
      </w:r>
      <w:r>
        <w:rPr>
          <w:lang w:val="en-US"/>
        </w:rPr>
        <w:tab/>
        <w:t>Since September 2004 the Secretariat for Childhood and Adolescence has been implementing the programme for prevention and care in respect of mistreatment and sexual abuse of children. It aims to establish decentralized governmental networks for intervention at the three prevention levels: primary (prevention), secondary (care) and tertiary (rehabilitation).</w:t>
      </w:r>
    </w:p>
    <w:p w:rsidR="00000000" w:rsidRDefault="00000000">
      <w:pPr>
        <w:spacing w:after="240"/>
        <w:rPr>
          <w:b/>
          <w:lang w:val="en-US"/>
        </w:rPr>
      </w:pPr>
      <w:r>
        <w:rPr>
          <w:b/>
          <w:lang w:val="en-US"/>
        </w:rPr>
        <w:t xml:space="preserve">5. </w:t>
      </w:r>
      <w:r>
        <w:rPr>
          <w:b/>
          <w:lang w:val="en-US"/>
        </w:rPr>
        <w:tab/>
        <w:t>Child labour</w:t>
      </w:r>
    </w:p>
    <w:p w:rsidR="00000000" w:rsidRDefault="00000000">
      <w:pPr>
        <w:spacing w:after="240"/>
        <w:rPr>
          <w:lang w:val="en-US"/>
        </w:rPr>
      </w:pPr>
      <w:r>
        <w:rPr>
          <w:lang w:val="en-US"/>
        </w:rPr>
        <w:t>342.</w:t>
      </w:r>
      <w:r>
        <w:rPr>
          <w:lang w:val="en-US"/>
        </w:rPr>
        <w:tab/>
        <w:t>The age limit for the prohibition of paid child labour is 13, as established in article 58 of the Code on Children and Adolescents. Also, under the Constitution, in particular in a90, guarantees for working minors are established with their normal physical, intellectual and moral development in mind. However, it is estimated that in Paraguay over 265,000 children and adolescents work, which means that 13.6 per cent of all persons between ages 5 and 17 engage in some economic activity.</w:t>
      </w:r>
      <w:r>
        <w:rPr>
          <w:rStyle w:val="FootnoteReference"/>
          <w:b/>
          <w:bCs/>
          <w:lang w:val="en-US"/>
        </w:rPr>
        <w:footnoteReference w:id="22"/>
      </w:r>
      <w:r>
        <w:rPr>
          <w:lang w:val="en-US"/>
        </w:rPr>
        <w:t xml:space="preserve"> Of the children and adolescents in this age group working in Paraguay, 34.9 per cent, or over 92,000, are not attending a formal educational establishment. Most claim that they do not study for economic reasons. This reality is partly explained by the work that children and adolescents work in family businesses or in agricultural production, which means that of all the children and adolescents in Paraguay (1,953,725) 34.4 per cent (672,081) are performing some domestic task.</w:t>
      </w:r>
      <w:r>
        <w:rPr>
          <w:rStyle w:val="FootnoteReference"/>
          <w:b/>
          <w:bCs/>
          <w:lang w:val="en-US"/>
        </w:rPr>
        <w:footnoteReference w:id="23"/>
      </w:r>
      <w:r>
        <w:rPr>
          <w:lang w:val="en-US"/>
        </w:rPr>
        <w:t xml:space="preserve"> The main activities in this group are house-cleaning (89.5 per cent), laundry (52.6 per cent), cooking (41.4 per cent), care of younger children (41.2 per cent) and ironing (34.6 per cent).</w:t>
      </w:r>
    </w:p>
    <w:p w:rsidR="00000000" w:rsidRDefault="00000000">
      <w:pPr>
        <w:spacing w:after="240"/>
        <w:rPr>
          <w:lang w:val="en-US"/>
        </w:rPr>
      </w:pPr>
      <w:r>
        <w:rPr>
          <w:lang w:val="en-US"/>
        </w:rPr>
        <w:t>343.</w:t>
      </w:r>
      <w:r>
        <w:rPr>
          <w:lang w:val="en-US"/>
        </w:rPr>
        <w:tab/>
        <w:t>In addition, most of children and adolescents aged 10-17 who work in Paraguay (more than 90,000, or 37.5 per cent of the total of this group) are engaged in agriculture, mixed farming, and fishing. Child labour in Paraguay assumes various guises, defined by the type of labour relation and the form of participation in such work.</w:t>
      </w:r>
    </w:p>
    <w:p w:rsidR="00000000" w:rsidRDefault="00000000">
      <w:pPr>
        <w:spacing w:after="240"/>
        <w:rPr>
          <w:b/>
          <w:lang w:val="en-US"/>
        </w:rPr>
      </w:pPr>
      <w:r>
        <w:rPr>
          <w:b/>
          <w:lang w:val="en-US"/>
        </w:rPr>
        <w:t>5.1</w:t>
      </w:r>
      <w:r>
        <w:rPr>
          <w:b/>
          <w:lang w:val="en-US"/>
        </w:rPr>
        <w:tab/>
        <w:t>Child labour according to type of labour relation:</w:t>
      </w:r>
    </w:p>
    <w:p w:rsidR="00000000" w:rsidRDefault="00000000">
      <w:pPr>
        <w:spacing w:after="240"/>
        <w:rPr>
          <w:lang w:val="en-US"/>
        </w:rPr>
      </w:pPr>
      <w:r>
        <w:rPr>
          <w:lang w:val="en-US"/>
        </w:rPr>
        <w:t>344.</w:t>
      </w:r>
      <w:r>
        <w:rPr>
          <w:lang w:val="en-US"/>
        </w:rPr>
        <w:tab/>
      </w:r>
      <w:r>
        <w:rPr>
          <w:bCs/>
          <w:i/>
          <w:iCs/>
          <w:lang w:val="en-US"/>
        </w:rPr>
        <w:t xml:space="preserve">Unremunerated rural child labour: </w:t>
      </w:r>
      <w:r>
        <w:rPr>
          <w:lang w:val="en-US"/>
        </w:rPr>
        <w:t>Children and adolescents do not receive direct financial remuneration; they work in exchange for lodging, food, clothing and education. This situation prevails mainly on small farms.</w:t>
      </w:r>
    </w:p>
    <w:p w:rsidR="00000000" w:rsidRDefault="00000000">
      <w:pPr>
        <w:spacing w:after="240"/>
        <w:rPr>
          <w:lang w:val="en-US"/>
        </w:rPr>
      </w:pPr>
      <w:r>
        <w:rPr>
          <w:lang w:val="en-US"/>
        </w:rPr>
        <w:t>345.</w:t>
      </w:r>
      <w:r>
        <w:rPr>
          <w:lang w:val="en-US"/>
        </w:rPr>
        <w:tab/>
      </w:r>
      <w:r>
        <w:rPr>
          <w:bCs/>
          <w:i/>
          <w:iCs/>
          <w:lang w:val="en-US"/>
        </w:rPr>
        <w:t xml:space="preserve">Remunerated rural child labour: </w:t>
      </w:r>
      <w:r>
        <w:rPr>
          <w:lang w:val="en-US"/>
        </w:rPr>
        <w:t>Children and adolescents perform work for which their parents or those in charge of them receive direct cash payment. This is the situation that prevails on large plantations, especially during the sowing, harvesting and picking seasons.</w:t>
      </w:r>
    </w:p>
    <w:p w:rsidR="00000000" w:rsidRDefault="00000000">
      <w:pPr>
        <w:spacing w:after="240"/>
        <w:rPr>
          <w:lang w:val="en-US"/>
        </w:rPr>
      </w:pPr>
      <w:r>
        <w:rPr>
          <w:lang w:val="en-US"/>
        </w:rPr>
        <w:t>346.</w:t>
      </w:r>
      <w:r>
        <w:rPr>
          <w:lang w:val="en-US"/>
        </w:rPr>
        <w:tab/>
      </w:r>
      <w:r>
        <w:rPr>
          <w:bCs/>
          <w:i/>
          <w:iCs/>
          <w:lang w:val="en-US"/>
        </w:rPr>
        <w:t xml:space="preserve">Combined rural child labour: </w:t>
      </w:r>
      <w:r>
        <w:rPr>
          <w:lang w:val="en-US"/>
        </w:rPr>
        <w:t>Children and adolescents often accompany their parents or those in charge of them to small or large plantations to engage in the various stages of the labour process, changing from unpaid to paid workers, so that they may fall into both categories.</w:t>
      </w:r>
    </w:p>
    <w:p w:rsidR="00000000" w:rsidRDefault="00000000">
      <w:pPr>
        <w:spacing w:after="240"/>
        <w:rPr>
          <w:b/>
          <w:lang w:val="en-US"/>
        </w:rPr>
      </w:pPr>
      <w:r>
        <w:rPr>
          <w:b/>
          <w:lang w:val="en-US"/>
        </w:rPr>
        <w:t>5.2</w:t>
      </w:r>
      <w:r>
        <w:rPr>
          <w:b/>
          <w:lang w:val="en-US"/>
        </w:rPr>
        <w:tab/>
        <w:t>Child labour depending on the ownership of the worksite:</w:t>
      </w:r>
    </w:p>
    <w:p w:rsidR="00000000" w:rsidRDefault="00000000">
      <w:pPr>
        <w:spacing w:after="240"/>
        <w:rPr>
          <w:lang w:val="en-US"/>
        </w:rPr>
      </w:pPr>
      <w:r>
        <w:rPr>
          <w:lang w:val="en-US"/>
        </w:rPr>
        <w:t>347.</w:t>
      </w:r>
      <w:r>
        <w:rPr>
          <w:b/>
          <w:lang w:val="en-US"/>
        </w:rPr>
        <w:tab/>
      </w:r>
      <w:r>
        <w:rPr>
          <w:bCs/>
          <w:i/>
          <w:iCs/>
          <w:lang w:val="en-US"/>
        </w:rPr>
        <w:t xml:space="preserve">Child labour on a family farm: </w:t>
      </w:r>
      <w:r>
        <w:rPr>
          <w:lang w:val="en-US"/>
        </w:rPr>
        <w:t>Children and adolescents work in the homes or plantations owned by the family to which they belong. This is generally on small farms, whose products are not destined for home consumption but are sold.</w:t>
      </w:r>
    </w:p>
    <w:p w:rsidR="00000000" w:rsidRDefault="00000000">
      <w:pPr>
        <w:spacing w:after="240"/>
        <w:rPr>
          <w:lang w:val="en-US"/>
        </w:rPr>
      </w:pPr>
      <w:r>
        <w:rPr>
          <w:lang w:val="en-US"/>
        </w:rPr>
        <w:t>348.</w:t>
      </w:r>
      <w:r>
        <w:rPr>
          <w:b/>
          <w:lang w:val="en-US"/>
        </w:rPr>
        <w:tab/>
      </w:r>
      <w:r>
        <w:rPr>
          <w:bCs/>
          <w:i/>
          <w:iCs/>
          <w:lang w:val="en-US"/>
        </w:rPr>
        <w:t xml:space="preserve">Off-farm child labour: </w:t>
      </w:r>
      <w:r>
        <w:rPr>
          <w:lang w:val="en-US"/>
        </w:rPr>
        <w:t>This consists of activities performed by children and adolescents for natural or legal persons. They work on large plantations, generally alongside their parents or those in charge of them, making it paid labour. Also considered off-farm work is the selling of produce even if it comes from the family farm, when this entails long travel and a variety of odd jobs.</w:t>
      </w:r>
    </w:p>
    <w:p w:rsidR="00000000" w:rsidRDefault="00000000">
      <w:pPr>
        <w:pStyle w:val="xl23"/>
        <w:spacing w:before="0" w:beforeAutospacing="0" w:after="240" w:afterAutospacing="0"/>
        <w:rPr>
          <w:rFonts w:ascii="Times New Roman" w:hAnsi="Times New Roman" w:cs="Times New Roman"/>
          <w:bCs w:val="0"/>
          <w:lang w:val="en-US" w:eastAsia="en-US"/>
        </w:rPr>
      </w:pPr>
      <w:r>
        <w:rPr>
          <w:rFonts w:ascii="Times New Roman" w:hAnsi="Times New Roman" w:cs="Times New Roman"/>
          <w:bCs w:val="0"/>
          <w:lang w:val="en-US" w:eastAsia="en-US"/>
        </w:rPr>
        <w:t>5.3</w:t>
      </w:r>
      <w:r>
        <w:rPr>
          <w:rFonts w:ascii="Times New Roman" w:hAnsi="Times New Roman" w:cs="Times New Roman"/>
          <w:bCs w:val="0"/>
          <w:lang w:val="en-US" w:eastAsia="en-US"/>
        </w:rPr>
        <w:tab/>
        <w:t>Situation of adopted children</w:t>
      </w:r>
    </w:p>
    <w:p w:rsidR="00000000" w:rsidRDefault="00000000">
      <w:pPr>
        <w:spacing w:after="240"/>
        <w:rPr>
          <w:lang w:val="en-US"/>
        </w:rPr>
      </w:pPr>
      <w:r>
        <w:rPr>
          <w:lang w:val="en-US"/>
        </w:rPr>
        <w:t>349.</w:t>
      </w:r>
      <w:r>
        <w:rPr>
          <w:lang w:val="en-US"/>
        </w:rPr>
        <w:tab/>
        <w:t xml:space="preserve">Act No. 1136/97 created the Adoption Centre, the Central Administrative Authority on adoptions, in order to guarantee orphans and/or abandoned children a family to replace their biological family when the latter no longer exists, or refuses or is unable to take care of a child. Once adoption had been granted, the Adoption Centre monitors the situation for three years until the adoption becomes final. Also, article 103 of the Code on Children and Adolescents establishes that a child or adolescent, deprived of its family nucleus by court order, may be taken into a family on a temporary basis through custody, guardianship or permanently through adoption; it also provides that the family or person who takes the child or adolescent in shall be obliged to feed, educate, care for and protect him or her just as if the person formed part of the family nucleus. </w:t>
      </w:r>
    </w:p>
    <w:p w:rsidR="00000000" w:rsidRDefault="00000000">
      <w:pPr>
        <w:spacing w:after="240"/>
        <w:rPr>
          <w:lang w:val="en-US"/>
        </w:rPr>
      </w:pPr>
      <w:r>
        <w:rPr>
          <w:lang w:val="en-US"/>
        </w:rPr>
        <w:t>350.</w:t>
      </w:r>
      <w:r>
        <w:rPr>
          <w:lang w:val="en-US"/>
        </w:rPr>
        <w:tab/>
        <w:t>Since 1999 the Adoption Centre has been implementing the Foster Parent Programme, and the Secretariat for Childhood and Adolescence is conducting its programmes and projects as a cross-cutting component of family strengthening. Likewise, the past few years have witnessed 24 cases of international return of minors to Paraguay and from Paraguay to other countries. Decree No. 3230 of September 2004 appointed that Secretariat as the central authority for the international return of minors abducted by their parents for purposes of the implementation of the 1980 Hague Convention on the Civil Aspects of International Child Abduction and the Inter-American Convention on the International Return of Children of 15 July 1989, both ratified by Paraguay.</w:t>
      </w:r>
    </w:p>
    <w:p w:rsidR="00000000" w:rsidRDefault="00000000">
      <w:pPr>
        <w:spacing w:after="240"/>
        <w:rPr>
          <w:lang w:val="en-US"/>
        </w:rPr>
      </w:pPr>
      <w:r>
        <w:rPr>
          <w:lang w:val="en-US"/>
        </w:rPr>
        <w:t>351.</w:t>
      </w:r>
      <w:r>
        <w:rPr>
          <w:lang w:val="en-US"/>
        </w:rPr>
        <w:tab/>
        <w:t>Also, in the area of child protection outside the context of the natural family, there is the Technical Team for Supervision of Shelter Homes in the Special Protection System, in which officials of the National Secretariat for Childhood and Adolescence, which is attached to the Office of the President of the Republic, are appointed to implement public policies on comprehensive care for children and adolescents, under Decision No. 61/2006 of June 2006 of the National Secretariat for Childhood and Adolescence (SNNA). The purpose of this body is to ensure the welfare of children in temporary homes.</w:t>
      </w:r>
    </w:p>
    <w:p w:rsidR="00000000" w:rsidRDefault="00000000">
      <w:pPr>
        <w:spacing w:after="240"/>
        <w:rPr>
          <w:b/>
          <w:lang w:val="en-US"/>
        </w:rPr>
      </w:pPr>
      <w:r>
        <w:rPr>
          <w:b/>
          <w:lang w:val="en-US"/>
        </w:rPr>
        <w:t>5.4</w:t>
      </w:r>
      <w:r>
        <w:rPr>
          <w:b/>
          <w:lang w:val="en-US"/>
        </w:rPr>
        <w:tab/>
        <w:t>Children’s labour rights</w:t>
      </w:r>
    </w:p>
    <w:p w:rsidR="00000000" w:rsidRDefault="00000000">
      <w:pPr>
        <w:spacing w:after="240"/>
        <w:rPr>
          <w:lang w:val="en-US"/>
        </w:rPr>
      </w:pPr>
      <w:r>
        <w:rPr>
          <w:lang w:val="en-US"/>
        </w:rPr>
        <w:t>352.</w:t>
      </w:r>
      <w:r>
        <w:rPr>
          <w:lang w:val="en-US"/>
        </w:rPr>
        <w:tab/>
        <w:t>Article 50 of the Code on Children and Adolescents, paragraph (e), establishes as a task of the Municipal Council on Childhood (CODENI) the registration of children and adolescents engaged in economic activities, in order to promote programmes for protection of and support to families. As such, CODENI is the body responsible for publicizing the rights of children and adolescents. Article 60 provides that an employer who hires adolescents is obliged to keep a register of them, while article 61 prohibits labour and wage discrimination against adolescents with special needs. All this information is made public through mass education campaigns, and forms part of the basic education curriculum. The Paraguayan State is promoting the elimination of child labour, mainly through the activities of the National Council for the Eradication of Child Labour (CONAETI) which coordinates and implements a series of activities involving governmental and civil organizations, with a view to reducing the incidence of exploitation of child labour in Paraguay.</w:t>
      </w:r>
    </w:p>
    <w:p w:rsidR="00000000" w:rsidRDefault="00000000">
      <w:pPr>
        <w:spacing w:after="240"/>
        <w:rPr>
          <w:b/>
          <w:lang w:val="en-US"/>
        </w:rPr>
      </w:pPr>
      <w:r>
        <w:rPr>
          <w:b/>
          <w:lang w:val="en-US"/>
        </w:rPr>
        <w:t>5.5</w:t>
      </w:r>
      <w:r>
        <w:rPr>
          <w:b/>
          <w:lang w:val="en-US"/>
        </w:rPr>
        <w:tab/>
        <w:t>Protection of children and adolescents against economic and social exploitation</w:t>
      </w:r>
    </w:p>
    <w:p w:rsidR="00000000" w:rsidRDefault="00000000">
      <w:pPr>
        <w:spacing w:after="240"/>
        <w:rPr>
          <w:lang w:val="en-US"/>
        </w:rPr>
      </w:pPr>
      <w:r>
        <w:rPr>
          <w:lang w:val="en-US"/>
        </w:rPr>
        <w:t>353.</w:t>
      </w:r>
      <w:r>
        <w:rPr>
          <w:lang w:val="en-US"/>
        </w:rPr>
        <w:tab/>
        <w:t>The Paraguayan State, aware of this reality, has incorporated various international treaties into its legislation and has promulgated laws to combat and eradicate the commercial sexual exploitation of children, trafficking in children, and transnational organized crime. Many organizations are working on this subject in Paraguay. They include the Human Rights Unit of the Supreme Court, the Secretariat for Childhood and Adolescence, ILO-IPEC, UNICEF and other governmental and nongovernmental organizations. The Human Rights Unit, through the Office of the General Coordinator of the Constituency of Alto Paraná, is currently participating actively in the work of the International Programme on the Elimination of Child Labour of the International Labour Organization (ILO-IPEC).</w:t>
      </w:r>
    </w:p>
    <w:p w:rsidR="00000000" w:rsidRDefault="00000000">
      <w:pPr>
        <w:spacing w:after="240"/>
        <w:rPr>
          <w:lang w:val="en-US"/>
        </w:rPr>
      </w:pPr>
      <w:r>
        <w:rPr>
          <w:lang w:val="en-US"/>
        </w:rPr>
        <w:t>354.</w:t>
      </w:r>
      <w:r>
        <w:rPr>
          <w:lang w:val="en-US"/>
        </w:rPr>
        <w:tab/>
        <w:t>Actions are concentrated mainly on the triple border in the Department of Alto Paraná (Paraguay, Argentina and Brazil) where there is a significant presence of sex tourism. Commercial sexual exploitation affects not only children and adolescents, but also adults. In addition, its interest is not limited to isolated cases, since there is a close link with criminal organizations and with border trafficking.</w:t>
      </w:r>
    </w:p>
    <w:p w:rsidR="00000000" w:rsidRDefault="00000000">
      <w:pPr>
        <w:spacing w:after="240"/>
        <w:rPr>
          <w:lang w:val="en-US"/>
        </w:rPr>
      </w:pPr>
      <w:r>
        <w:rPr>
          <w:lang w:val="en-US"/>
        </w:rPr>
        <w:t>355.</w:t>
      </w:r>
      <w:r>
        <w:rPr>
          <w:lang w:val="en-US"/>
        </w:rPr>
        <w:tab/>
        <w:t>An agreement was concluded between the National Secretariat for Childhood and Adolescence (SNNA), the YACYRETÁ Binational Entity and the municipality of Encarnación City for the start-up in July 2006 of the SNNA Regional Office on the specific subject of commercial sexual exploitation of children (ESCI) in Encarnación city, Department of Itapúa.</w:t>
      </w:r>
    </w:p>
    <w:p w:rsidR="00000000" w:rsidRDefault="00000000">
      <w:pPr>
        <w:spacing w:after="240"/>
        <w:rPr>
          <w:lang w:val="en-US"/>
        </w:rPr>
      </w:pPr>
      <w:r>
        <w:rPr>
          <w:lang w:val="en-US"/>
        </w:rPr>
        <w:t>356.</w:t>
      </w:r>
      <w:r>
        <w:rPr>
          <w:lang w:val="en-US"/>
        </w:rPr>
        <w:tab/>
        <w:t>The beneficiaries include: (a) children and adolescents in situations of commercial sexual exploitation in Encarnación city and its environs; (b) the original families of children and adolescents in situations of commercial sexual exploitation; and (c) the foster families and extended family nucleus, aunts, uncles, godparents, etc.</w:t>
      </w:r>
    </w:p>
    <w:p w:rsidR="00000000" w:rsidRDefault="00000000">
      <w:pPr>
        <w:spacing w:after="240"/>
        <w:rPr>
          <w:lang w:val="en-US"/>
        </w:rPr>
      </w:pPr>
      <w:r>
        <w:rPr>
          <w:lang w:val="en-US"/>
        </w:rPr>
        <w:t>357.</w:t>
      </w:r>
      <w:r>
        <w:rPr>
          <w:lang w:val="en-US"/>
        </w:rPr>
        <w:tab/>
        <w:t>For implementation of the project, the Office of the General Coordinator is in charge of the Secretariat for Childhood and Adolescence (SNNA), which is the lead body for policies and programmes relating to children and adolescents, in accordance with Code No. 1681/01 (Code on Children and Adolescents). It has been designed for the coordination, linkage, management, promotion, negotiation, monitoring and organization of information to be used by the National System on the Comprehensive Protection and Advancement of Children and Adolescents.</w:t>
      </w:r>
    </w:p>
    <w:p w:rsidR="00000000" w:rsidRDefault="00000000">
      <w:pPr>
        <w:spacing w:after="240"/>
        <w:rPr>
          <w:lang w:val="en-US"/>
        </w:rPr>
      </w:pPr>
      <w:r>
        <w:rPr>
          <w:lang w:val="en-US"/>
        </w:rPr>
        <w:t>358.</w:t>
      </w:r>
      <w:r>
        <w:rPr>
          <w:lang w:val="en-US"/>
        </w:rPr>
        <w:tab/>
        <w:t>Regarding trafficking in persons, in 2005 the Directorate of the Women’s Support Service established the Trafficking in Persons Reference Centre at the Secretariat for Women. It supplies victims or their relatives with information of all types concerning crimes of this kind  and provides support, psychological treatment, legal and social guidance and immediate medical attention to victims; a telephone hotline and an e-mail address for receiving reports of possible trafficking cases were also set up.</w:t>
      </w:r>
    </w:p>
    <w:p w:rsidR="00000000" w:rsidRDefault="00000000">
      <w:pPr>
        <w:spacing w:after="240"/>
        <w:rPr>
          <w:lang w:val="en-US"/>
        </w:rPr>
      </w:pPr>
      <w:r>
        <w:rPr>
          <w:lang w:val="en-US"/>
        </w:rPr>
        <w:t>359.</w:t>
      </w:r>
      <w:r>
        <w:rPr>
          <w:lang w:val="en-US"/>
        </w:rPr>
        <w:tab/>
        <w:t>Twelve cases of trafficking in persons were dealt with between January 2005 and April 2006; they affected 42 female victims: 33 adults and 9 minors. At the same time, 4 women victims of trafficking (2 adults and 2 minors) have been involved in the pilot programme on the process or plan for rehabilitation of victims of trafficking in persons since February 2006 with the cooperation of the International Organization for Migration (IOM) Argentine Office. This programme aims at the social reintegration of trafficking victims, with a view to improving and/or increasing their socio-economic resources and reducing the possibilities of their further victimization. It includes and covers – for a maximum period of six months – a monthly money allowance for reintegration, psychological care (public or private, depending on the psychologist practising in the area); medical care (public or private, depending on the doctor practising in the area); training in a trade and/or studies to begin or complete primary or secondary education; support for undertaking productive microenterprises; document handling, and so on. All these alternatives will depend on the victims’ wish and specific need and how they can regroup in order to reverse their situation of extreme vulnerability.</w:t>
      </w:r>
    </w:p>
    <w:p w:rsidR="00000000" w:rsidRDefault="00000000">
      <w:pPr>
        <w:spacing w:after="240"/>
        <w:rPr>
          <w:lang w:val="en-US"/>
        </w:rPr>
      </w:pPr>
      <w:r>
        <w:rPr>
          <w:lang w:val="en-US"/>
        </w:rPr>
        <w:t>360.</w:t>
      </w:r>
      <w:r>
        <w:rPr>
          <w:lang w:val="en-US"/>
        </w:rPr>
        <w:tab/>
        <w:t>The Communication Campaign “Awareness and Education” on Trafficking in Persons and Sexual Exploitation took place In August and September 2005. It consisted of the dissemination of educational materials (posters-foldouts); radio spots in Guaraní and Spanish in the capital and in the interior of the country, and advertisements in the newspaper Popular.</w:t>
      </w:r>
    </w:p>
    <w:p w:rsidR="00000000" w:rsidRDefault="00000000">
      <w:pPr>
        <w:spacing w:after="240"/>
        <w:rPr>
          <w:lang w:val="en-US"/>
        </w:rPr>
      </w:pPr>
      <w:r>
        <w:rPr>
          <w:lang w:val="en-US"/>
        </w:rPr>
        <w:t>361.</w:t>
      </w:r>
      <w:r>
        <w:rPr>
          <w:lang w:val="en-US"/>
        </w:rPr>
        <w:tab/>
        <w:t>The Handbook of General Procedures for Intervention in Trafficking in Persons was published in April 2006. Its aim is to provide general guidelines for tackling trafficking in persons, especially women and children, in Paraguay, adopting an approach that guarantees the human rights of those affected and promotes punishment of those responsible, also seeking to supply information and analysis on substantive aspects of trafficking in persons, such as the concept and the rules directly or indirectly relating to trafficking and its victims.</w:t>
      </w:r>
    </w:p>
    <w:p w:rsidR="00000000" w:rsidRDefault="00000000">
      <w:pPr>
        <w:spacing w:after="240"/>
        <w:rPr>
          <w:b/>
          <w:lang w:val="en-US"/>
        </w:rPr>
      </w:pPr>
      <w:r>
        <w:rPr>
          <w:b/>
          <w:lang w:val="en-US"/>
        </w:rPr>
        <w:t>6.</w:t>
      </w:r>
      <w:r>
        <w:rPr>
          <w:b/>
          <w:lang w:val="en-US"/>
        </w:rPr>
        <w:tab/>
        <w:t>Action against commercial sexual exploitation of children and adolescents</w:t>
      </w:r>
    </w:p>
    <w:p w:rsidR="00000000" w:rsidRDefault="00000000">
      <w:pPr>
        <w:spacing w:after="240"/>
        <w:rPr>
          <w:lang w:val="en-US"/>
        </w:rPr>
      </w:pPr>
      <w:r>
        <w:rPr>
          <w:lang w:val="en-US"/>
        </w:rPr>
        <w:t>362.</w:t>
      </w:r>
      <w:r>
        <w:rPr>
          <w:lang w:val="en-US"/>
        </w:rPr>
        <w:tab/>
        <w:t>The National Policy on Childhood and Adolescence (POLNA) and its National Plan for Childhood and Adolescence (PNA) were designed in 2003 to “promote cross-cutting and institutionalization  of a child-rights approach in all public policies, encouraging and coordinating negotiation and dovetailing of agreements with bodies responsible for devising economic recovery programmes and programmes to combat poverty, that include components of education, health, water and sanitation, and employment generation; in other words, all the basic actions that affect the lives of children and their families.”</w:t>
      </w:r>
      <w:r>
        <w:rPr>
          <w:rStyle w:val="FootnoteReference"/>
          <w:b/>
          <w:bCs/>
          <w:lang w:val="en-US"/>
        </w:rPr>
        <w:footnoteReference w:id="24"/>
      </w:r>
    </w:p>
    <w:p w:rsidR="00000000" w:rsidRDefault="00000000">
      <w:pPr>
        <w:spacing w:after="240"/>
        <w:rPr>
          <w:lang w:val="en-US"/>
        </w:rPr>
      </w:pPr>
      <w:r>
        <w:rPr>
          <w:lang w:val="en-US"/>
        </w:rPr>
        <w:t>363.</w:t>
      </w:r>
      <w:r>
        <w:rPr>
          <w:lang w:val="en-US"/>
        </w:rPr>
        <w:tab/>
        <w:t>Child sexual exploitation is not exempt from the aforementioned instruments. In this connection activities to combat that crime have been promoted through the integration of national sectoral plans; promotion at municipal level of the design and execution of activities to combat sexual exploitation on the streets and indoors, promoting the municipal and national sexual exploitation laws in force; encouraging the effective application of judicial guarantees of protection and damages to victims of sexual exploitation, maltreatment and abuse, and so on.</w:t>
      </w:r>
    </w:p>
    <w:p w:rsidR="00000000" w:rsidRDefault="00000000">
      <w:pPr>
        <w:spacing w:after="240"/>
        <w:rPr>
          <w:b/>
          <w:lang w:val="en-US"/>
        </w:rPr>
      </w:pPr>
      <w:r>
        <w:rPr>
          <w:b/>
          <w:lang w:val="en-US"/>
        </w:rPr>
        <w:t>6.1</w:t>
      </w:r>
      <w:r>
        <w:rPr>
          <w:b/>
          <w:lang w:val="en-US"/>
        </w:rPr>
        <w:tab/>
        <w:t>Administration of justice</w:t>
      </w:r>
    </w:p>
    <w:p w:rsidR="00000000" w:rsidRDefault="00000000">
      <w:pPr>
        <w:spacing w:after="240"/>
        <w:rPr>
          <w:lang w:val="en-US"/>
        </w:rPr>
      </w:pPr>
      <w:r>
        <w:rPr>
          <w:lang w:val="en-US"/>
        </w:rPr>
        <w:t>364.</w:t>
      </w:r>
      <w:r>
        <w:rPr>
          <w:lang w:val="en-US"/>
        </w:rPr>
        <w:tab/>
        <w:t>Sexual exploitation of children is linked to the following crimes typified in the Penal Code of the Republic of Paraguay:</w:t>
      </w:r>
    </w:p>
    <w:p w:rsidR="00000000" w:rsidRDefault="00000000">
      <w:pPr>
        <w:autoSpaceDE w:val="0"/>
        <w:autoSpaceDN w:val="0"/>
        <w:adjustRightInd w:val="0"/>
        <w:spacing w:after="240"/>
        <w:rPr>
          <w:lang w:val="es-MX"/>
        </w:rPr>
      </w:pPr>
    </w:p>
    <w:p w:rsidR="00000000" w:rsidRDefault="00000000">
      <w:pPr>
        <w:rPr>
          <w:lang w:val="es-MX"/>
        </w:rPr>
      </w:pPr>
      <w:r>
        <w:rPr>
          <w:noProof/>
          <w:sz w:val="20"/>
          <w:lang w:val="fr-FR" w:eastAsia="fr-FR"/>
        </w:rPr>
        <w:pict>
          <v:shape id="_x0000_s2819" type="#_x0000_t202" style="position:absolute;margin-left:220.7pt;margin-top:88.2pt;width:49.05pt;height:36.65pt;z-index:23" stroked="f">
            <v:textbox inset="0,0,0,0">
              <w:txbxContent>
                <w:p w:rsidR="00000000" w:rsidRDefault="00000000">
                  <w:pPr>
                    <w:jc w:val="center"/>
                    <w:rPr>
                      <w:sz w:val="18"/>
                      <w:lang w:val="en-US"/>
                    </w:rPr>
                  </w:pPr>
                </w:p>
                <w:p w:rsidR="00000000" w:rsidRDefault="00000000">
                  <w:pPr>
                    <w:jc w:val="center"/>
                    <w:rPr>
                      <w:sz w:val="22"/>
                    </w:rPr>
                  </w:pPr>
                  <w:r>
                    <w:rPr>
                      <w:sz w:val="18"/>
                      <w:lang w:val="en-US"/>
                    </w:rPr>
                    <w:t>Sexual</w:t>
                  </w:r>
                  <w:r>
                    <w:rPr>
                      <w:sz w:val="18"/>
                      <w:lang w:val="en-US"/>
                    </w:rPr>
                    <w:br/>
                    <w:t>coercion</w:t>
                  </w:r>
                </w:p>
              </w:txbxContent>
            </v:textbox>
          </v:shape>
        </w:pict>
      </w:r>
      <w:r>
        <w:rPr>
          <w:noProof/>
          <w:sz w:val="20"/>
          <w:lang w:val="fr-FR" w:eastAsia="fr-FR"/>
        </w:rPr>
        <w:pict>
          <v:shape id="_x0000_s2817" type="#_x0000_t202" style="position:absolute;margin-left:191.75pt;margin-top:15.3pt;width:103.05pt;height:33.4pt;z-index:21" stroked="f">
            <v:textbox inset="0,0,0,0">
              <w:txbxContent>
                <w:p w:rsidR="00000000" w:rsidRDefault="00000000">
                  <w:pPr>
                    <w:jc w:val="center"/>
                    <w:rPr>
                      <w:sz w:val="22"/>
                    </w:rPr>
                  </w:pPr>
                  <w:r>
                    <w:rPr>
                      <w:sz w:val="18"/>
                      <w:lang w:val="en-US"/>
                    </w:rPr>
                    <w:t>Sexual exploitation of children and adolescents</w:t>
                  </w:r>
                </w:p>
              </w:txbxContent>
            </v:textbox>
          </v:shape>
        </w:pict>
      </w:r>
      <w:r>
        <w:rPr>
          <w:noProof/>
          <w:sz w:val="20"/>
          <w:lang w:val="fr-FR" w:eastAsia="fr-FR"/>
        </w:rPr>
        <w:pict>
          <v:shape id="_x0000_s2818" type="#_x0000_t202" style="position:absolute;margin-left:373pt;margin-top:160.95pt;width:66.75pt;height:32.25pt;z-index:22" stroked="f">
            <v:textbox inset="0,0,0,0">
              <w:txbxContent>
                <w:p w:rsidR="00000000" w:rsidRDefault="00000000">
                  <w:pPr>
                    <w:jc w:val="center"/>
                    <w:rPr>
                      <w:sz w:val="22"/>
                    </w:rPr>
                  </w:pPr>
                  <w:r>
                    <w:rPr>
                      <w:sz w:val="18"/>
                      <w:lang w:val="en-US"/>
                    </w:rPr>
                    <w:t>Homosexual acts with minors</w:t>
                  </w:r>
                </w:p>
              </w:txbxContent>
            </v:textbox>
          </v:shape>
        </w:pict>
      </w:r>
      <w:r>
        <w:rPr>
          <w:noProof/>
          <w:sz w:val="20"/>
          <w:lang w:val="fr-FR" w:eastAsia="fr-FR"/>
        </w:rPr>
        <w:pict>
          <v:shape id="_x0000_s2820" type="#_x0000_t202" style="position:absolute;margin-left:282.5pt;margin-top:163.45pt;width:69.75pt;height:23pt;z-index:24" stroked="f">
            <v:textbox inset="0,0,0,0">
              <w:txbxContent>
                <w:p w:rsidR="00000000" w:rsidRDefault="00000000">
                  <w:pPr>
                    <w:jc w:val="center"/>
                    <w:rPr>
                      <w:sz w:val="22"/>
                    </w:rPr>
                  </w:pPr>
                  <w:r>
                    <w:rPr>
                      <w:sz w:val="18"/>
                      <w:lang w:val="en-US"/>
                    </w:rPr>
                    <w:t>Child sexual</w:t>
                  </w:r>
                  <w:r>
                    <w:rPr>
                      <w:sz w:val="18"/>
                      <w:lang w:val="en-US"/>
                    </w:rPr>
                    <w:br/>
                    <w:t>abuse</w:t>
                  </w:r>
                </w:p>
              </w:txbxContent>
            </v:textbox>
          </v:shape>
        </w:pict>
      </w:r>
      <w:r>
        <w:rPr>
          <w:noProof/>
          <w:sz w:val="20"/>
          <w:lang w:val="fr-FR" w:eastAsia="fr-FR"/>
        </w:rPr>
        <w:pict>
          <v:shape id="_x0000_s2822" type="#_x0000_t202" style="position:absolute;margin-left:24.15pt;margin-top:168.1pt;width:55.05pt;height:12pt;z-index:26" stroked="f">
            <v:textbox inset="0,0,0,0">
              <w:txbxContent>
                <w:p w:rsidR="00000000" w:rsidRDefault="00000000">
                  <w:pPr>
                    <w:jc w:val="center"/>
                    <w:rPr>
                      <w:sz w:val="22"/>
                    </w:rPr>
                  </w:pPr>
                  <w:r>
                    <w:rPr>
                      <w:sz w:val="18"/>
                      <w:lang w:val="en-US"/>
                    </w:rPr>
                    <w:t>Proxenetism</w:t>
                  </w:r>
                </w:p>
              </w:txbxContent>
            </v:textbox>
          </v:shape>
        </w:pict>
      </w:r>
      <w:r>
        <w:rPr>
          <w:noProof/>
          <w:sz w:val="20"/>
          <w:lang w:val="fr-FR" w:eastAsia="fr-FR"/>
        </w:rPr>
        <w:pict>
          <v:shape id="_x0000_s2823" type="#_x0000_t202" style="position:absolute;margin-left:113.9pt;margin-top:165.2pt;width:50.65pt;height:32.75pt;z-index:27" stroked="f">
            <v:textbox inset="0,0,0,0">
              <w:txbxContent>
                <w:p w:rsidR="00000000" w:rsidRDefault="00000000">
                  <w:pPr>
                    <w:jc w:val="center"/>
                    <w:rPr>
                      <w:sz w:val="18"/>
                      <w:lang w:val="en-US"/>
                    </w:rPr>
                  </w:pPr>
                </w:p>
                <w:p w:rsidR="00000000" w:rsidRDefault="00000000">
                  <w:pPr>
                    <w:jc w:val="center"/>
                    <w:rPr>
                      <w:sz w:val="22"/>
                    </w:rPr>
                  </w:pPr>
                  <w:r>
                    <w:rPr>
                      <w:sz w:val="18"/>
                      <w:lang w:val="en-US"/>
                    </w:rPr>
                    <w:t>Pimping</w:t>
                  </w:r>
                </w:p>
              </w:txbxContent>
            </v:textbox>
          </v:shape>
        </w:pict>
      </w:r>
      <w:r>
        <w:rPr>
          <w:noProof/>
          <w:sz w:val="20"/>
          <w:lang w:val="fr-FR" w:eastAsia="fr-FR"/>
        </w:rPr>
        <w:pict>
          <v:shape id="_x0000_s2824" type="#_x0000_t202" style="position:absolute;margin-left:192.55pt;margin-top:164.5pt;width:69.75pt;height:23.25pt;z-index:28" stroked="f">
            <v:textbox inset="0,0,0,0">
              <w:txbxContent>
                <w:p w:rsidR="00000000" w:rsidRDefault="00000000">
                  <w:pPr>
                    <w:jc w:val="center"/>
                    <w:rPr>
                      <w:sz w:val="22"/>
                    </w:rPr>
                  </w:pPr>
                  <w:r>
                    <w:rPr>
                      <w:sz w:val="18"/>
                      <w:lang w:val="en-US"/>
                    </w:rPr>
                    <w:t>Trafficking in persons</w:t>
                  </w:r>
                </w:p>
              </w:txbxContent>
            </v:textbox>
          </v:shape>
        </w:pict>
      </w:r>
      <w:r>
        <w:rPr>
          <w:noProof/>
          <w:sz w:val="20"/>
          <w:lang w:val="fr-FR" w:eastAsia="fr-FR"/>
        </w:rPr>
        <w:pict>
          <v:shape id="_x0000_s2825" type="#_x0000_t202" style="position:absolute;margin-left:35.15pt;margin-top:92.75pt;width:135.45pt;height:32.55pt;z-index:29" stroked="f">
            <v:textbox inset="0,0,0,0">
              <w:txbxContent>
                <w:p w:rsidR="00000000" w:rsidRDefault="00000000">
                  <w:pPr>
                    <w:jc w:val="center"/>
                    <w:rPr>
                      <w:sz w:val="22"/>
                    </w:rPr>
                  </w:pPr>
                  <w:r>
                    <w:rPr>
                      <w:sz w:val="18"/>
                      <w:lang w:val="en-US"/>
                    </w:rPr>
                    <w:t>Offences classified as relating to the use, recruitment and supply of children and adolescents</w:t>
                  </w:r>
                </w:p>
              </w:txbxContent>
            </v:textbox>
          </v:shape>
        </w:pict>
      </w:r>
      <w:r>
        <w:rPr>
          <w:noProof/>
          <w:sz w:val="20"/>
          <w:lang w:val="fr-FR" w:eastAsia="fr-FR"/>
        </w:rPr>
        <w:pict>
          <v:shape id="_x0000_s2821" type="#_x0000_t202" style="position:absolute;margin-left:331.9pt;margin-top:95.6pt;width:92.55pt;height:24pt;z-index:25" stroked="f">
            <v:textbox inset="0,0,0,0">
              <w:txbxContent>
                <w:p w:rsidR="00000000" w:rsidRDefault="00000000">
                  <w:pPr>
                    <w:jc w:val="center"/>
                    <w:rPr>
                      <w:sz w:val="22"/>
                    </w:rPr>
                  </w:pPr>
                  <w:r>
                    <w:rPr>
                      <w:sz w:val="18"/>
                      <w:lang w:val="en-US"/>
                    </w:rPr>
                    <w:t>Offences classified by reference to demand</w:t>
                  </w:r>
                </w:p>
              </w:txbxContent>
            </v:textbox>
          </v:shape>
        </w:pict>
      </w:r>
      <w:r>
        <w:t xml:space="preserve"> </w:t>
      </w:r>
      <w:r>
        <w:pict>
          <v:shape id="_x0000_i1035" type="#_x0000_t75" style="width:441.75pt;height:203.25pt;mso-wrap-edited:f" o:allowoverlap="f">
            <v:imagedata r:id="rId34" o:title="" grayscale="t"/>
          </v:shape>
        </w:pict>
      </w:r>
    </w:p>
    <w:p w:rsidR="00000000" w:rsidRDefault="00000000">
      <w:pPr>
        <w:rPr>
          <w:lang w:val="es-MX"/>
        </w:rPr>
      </w:pPr>
    </w:p>
    <w:p w:rsidR="00000000" w:rsidRDefault="00000000">
      <w:pPr>
        <w:rPr>
          <w:lang w:val="es-MX"/>
        </w:rPr>
      </w:pPr>
    </w:p>
    <w:p w:rsidR="00000000" w:rsidRDefault="00000000">
      <w:pPr>
        <w:spacing w:after="240"/>
        <w:rPr>
          <w:lang w:val="en-US"/>
        </w:rPr>
      </w:pPr>
      <w:r>
        <w:rPr>
          <w:lang w:val="en-US"/>
        </w:rPr>
        <w:t>365.</w:t>
      </w:r>
      <w:r>
        <w:rPr>
          <w:lang w:val="en-US"/>
        </w:rPr>
        <w:tab/>
        <w:t>In May 2004 the Human Rights Unit of the Supreme Court of Justice undertook a sample survey concerning the number of crimes of sexual abuse reported in the capital in the previous three years (2000-2003).</w:t>
      </w:r>
      <w:r>
        <w:rPr>
          <w:rStyle w:val="FootnoteReference"/>
          <w:b/>
          <w:bCs/>
          <w:lang w:val="en-US"/>
        </w:rPr>
        <w:footnoteReference w:id="25"/>
      </w:r>
      <w:r>
        <w:rPr>
          <w:lang w:val="en-US"/>
        </w:rPr>
        <w:t xml:space="preserve"> During this period 181 reports were received, 95 per cent of them cases of </w:t>
      </w:r>
      <w:r>
        <w:rPr>
          <w:bCs/>
          <w:i/>
          <w:iCs/>
          <w:lang w:val="en-US"/>
        </w:rPr>
        <w:t xml:space="preserve">child sexual abuse </w:t>
      </w:r>
      <w:r>
        <w:rPr>
          <w:lang w:val="en-US"/>
        </w:rPr>
        <w:t>and the remainder abuse of defenceless persons or persons under guardianship. However, these figures do not show specifically whether the offences relate to commercial exploitation; but they serve as a guideline for estimating and assessing children’s vulnerability regarding crimes against sexual autonomy.</w:t>
      </w:r>
    </w:p>
    <w:p w:rsidR="00000000" w:rsidRDefault="00000000">
      <w:pPr>
        <w:spacing w:after="240"/>
        <w:rPr>
          <w:b/>
          <w:lang w:val="en-US"/>
        </w:rPr>
      </w:pPr>
      <w:r>
        <w:rPr>
          <w:b/>
          <w:lang w:val="en-US"/>
        </w:rPr>
        <w:t>6.2</w:t>
      </w:r>
      <w:r>
        <w:rPr>
          <w:b/>
          <w:lang w:val="en-US"/>
        </w:rPr>
        <w:tab/>
        <w:t>Sexual abuse offences reported in the capital during the period 2000-2003</w:t>
      </w:r>
    </w:p>
    <w:p w:rsidR="00000000" w:rsidRDefault="00000000">
      <w:pPr>
        <w:autoSpaceDE w:val="0"/>
        <w:autoSpaceDN w:val="0"/>
        <w:adjustRightInd w:val="0"/>
        <w:spacing w:after="120"/>
        <w:ind w:left="567" w:hanging="567"/>
        <w:jc w:val="center"/>
        <w:rPr>
          <w:b/>
          <w:sz w:val="20"/>
          <w:lang w:val="en-US"/>
        </w:rPr>
      </w:pPr>
      <w:r>
        <w:rPr>
          <w:b/>
          <w:sz w:val="20"/>
          <w:lang w:val="en-US"/>
        </w:rPr>
        <w:t>Diagram showing comparative percentages of offences relating to sexual abuse</w:t>
      </w:r>
    </w:p>
    <w:p w:rsidR="00000000" w:rsidRDefault="00000000">
      <w:pPr>
        <w:autoSpaceDE w:val="0"/>
        <w:autoSpaceDN w:val="0"/>
        <w:adjustRightInd w:val="0"/>
        <w:spacing w:after="120"/>
        <w:ind w:left="567" w:hanging="567"/>
        <w:jc w:val="center"/>
        <w:rPr>
          <w:b/>
          <w:sz w:val="22"/>
        </w:rPr>
      </w:pPr>
      <w:r>
        <w:rPr>
          <w:b/>
          <w:sz w:val="20"/>
          <w:lang w:val="en-US"/>
        </w:rPr>
        <w:t>Offences reported in the capital, 2000-2003</w:t>
      </w:r>
    </w:p>
    <w:bookmarkStart w:id="49" w:name="_MON_1249127129"/>
    <w:bookmarkStart w:id="50" w:name="_MON_1249127217"/>
    <w:bookmarkStart w:id="51" w:name="_MON_1252507320"/>
    <w:bookmarkEnd w:id="49"/>
    <w:bookmarkEnd w:id="50"/>
    <w:bookmarkEnd w:id="51"/>
    <w:p w:rsidR="00000000" w:rsidRDefault="00000000">
      <w:pPr>
        <w:jc w:val="center"/>
      </w:pPr>
      <w:r>
        <w:object w:dxaOrig="4950" w:dyaOrig="6645">
          <v:shape id="_x0000_i1036" type="#_x0000_t75" style="width:236.25pt;height:261pt" o:ole="">
            <v:imagedata r:id="rId35" o:title="" croptop="2796f" cropbottom="11183f" cropleft="1501f" cropright="1501f" grayscale="t"/>
          </v:shape>
          <o:OLEObject Type="Embed" ProgID="Word.Picture.8" ShapeID="_x0000_i1036" DrawAspect="Content" ObjectID="_1394904856" r:id="rId36"/>
        </w:object>
      </w:r>
    </w:p>
    <w:p w:rsidR="00000000" w:rsidRDefault="00000000">
      <w:pPr>
        <w:pStyle w:val="FootnoteText"/>
        <w:rPr>
          <w:szCs w:val="24"/>
          <w:lang w:val="fr-FR"/>
        </w:rPr>
      </w:pPr>
    </w:p>
    <w:p w:rsidR="00000000" w:rsidRDefault="00000000">
      <w:pPr>
        <w:jc w:val="center"/>
        <w:rPr>
          <w:sz w:val="20"/>
          <w:lang w:val="en-US"/>
        </w:rPr>
      </w:pPr>
      <w:r>
        <w:rPr>
          <w:sz w:val="20"/>
          <w:lang w:val="en-US"/>
        </w:rPr>
        <w:t>Sexual abuse of defenceless persons: five reports</w:t>
      </w:r>
    </w:p>
    <w:p w:rsidR="00000000" w:rsidRDefault="00000000">
      <w:pPr>
        <w:jc w:val="center"/>
        <w:rPr>
          <w:sz w:val="20"/>
          <w:lang w:val="en-US"/>
        </w:rPr>
      </w:pPr>
      <w:r>
        <w:rPr>
          <w:sz w:val="20"/>
          <w:lang w:val="en-US"/>
        </w:rPr>
        <w:t>Sexual abuse of persons under guardianship: three reports</w:t>
      </w:r>
    </w:p>
    <w:p w:rsidR="00000000" w:rsidRDefault="00000000">
      <w:pPr>
        <w:jc w:val="center"/>
        <w:rPr>
          <w:sz w:val="20"/>
          <w:lang w:val="en-US"/>
        </w:rPr>
      </w:pPr>
      <w:r>
        <w:rPr>
          <w:sz w:val="20"/>
          <w:lang w:val="en-US"/>
        </w:rPr>
        <w:t>Sexual abuse of children: 173 reports:</w:t>
      </w:r>
    </w:p>
    <w:p w:rsidR="00000000" w:rsidRDefault="00000000">
      <w:pPr>
        <w:rPr>
          <w:lang w:val="en-US"/>
        </w:rPr>
      </w:pPr>
    </w:p>
    <w:p w:rsidR="00000000" w:rsidRDefault="00000000">
      <w:pPr>
        <w:spacing w:after="240"/>
        <w:rPr>
          <w:b/>
          <w:lang w:val="en-US"/>
        </w:rPr>
      </w:pPr>
      <w:r>
        <w:rPr>
          <w:lang w:val="en-US"/>
        </w:rPr>
        <w:t>366.</w:t>
      </w:r>
      <w:r>
        <w:rPr>
          <w:lang w:val="en-US"/>
        </w:rPr>
        <w:tab/>
        <w:t>The victims (minors) in the reported cases relating to punishable acts against sexual autonomy who enter the judicial system are faced with another problem during the proceedings: further victimization. This phenomenon arises not only in local courts, but also in courts in all the countries in the region.</w:t>
      </w:r>
    </w:p>
    <w:p w:rsidR="00000000" w:rsidRDefault="00000000">
      <w:pPr>
        <w:spacing w:after="240"/>
        <w:rPr>
          <w:lang w:val="en-US"/>
        </w:rPr>
      </w:pPr>
      <w:r>
        <w:rPr>
          <w:lang w:val="en-US"/>
        </w:rPr>
        <w:t>367.</w:t>
      </w:r>
      <w:r>
        <w:rPr>
          <w:lang w:val="en-US"/>
        </w:rPr>
        <w:tab/>
        <w:t>According to research carried out, fear and shame are the reasons given (by child victims) for failure to report punishable acts against sexual autonomy. Added to which there are psychological situations of painful memories during statements and interviews, owing to the lack of special judicial procedures, inadequate specialized assistance to victims and the inadequacy of the infrastructure for victims’ care.</w:t>
      </w:r>
    </w:p>
    <w:p w:rsidR="00000000" w:rsidRDefault="00000000">
      <w:pPr>
        <w:spacing w:after="240"/>
        <w:rPr>
          <w:b/>
          <w:lang w:val="en-US"/>
        </w:rPr>
      </w:pPr>
      <w:r>
        <w:rPr>
          <w:b/>
          <w:lang w:val="en-US"/>
        </w:rPr>
        <w:t>6.3</w:t>
      </w:r>
      <w:r>
        <w:rPr>
          <w:b/>
          <w:lang w:val="en-US"/>
        </w:rPr>
        <w:tab/>
        <w:t>Activities of the Human Rights Unit of the Supreme Court of Justice</w:t>
      </w:r>
    </w:p>
    <w:p w:rsidR="00000000" w:rsidRDefault="00000000">
      <w:pPr>
        <w:spacing w:after="240"/>
        <w:rPr>
          <w:lang w:val="en-US"/>
        </w:rPr>
      </w:pPr>
      <w:r>
        <w:rPr>
          <w:lang w:val="en-US"/>
        </w:rPr>
        <w:t>368.</w:t>
      </w:r>
      <w:r>
        <w:rPr>
          <w:lang w:val="en-US"/>
        </w:rPr>
        <w:tab/>
        <w:t>Since 2004 the Human Rights Unit of the Judicial District of Alto Paraná has been working on the subject of commercial sexual exploitation of children through the ILO-IPEC programme. The activities undertaken by the Unit in this regard cover protection and dissemination. Where the former is concerned, this is effected through inter-institutional participation for coordinating joint activities to fight and eradicate the problem; and with regard to the latter, through events such as workshops, seminars and launchings, the achievements and results of which are set out below:</w:t>
      </w:r>
    </w:p>
    <w:p w:rsidR="00000000" w:rsidRDefault="00000000">
      <w:pPr>
        <w:spacing w:after="240"/>
        <w:rPr>
          <w:lang w:val="en-US"/>
        </w:rPr>
      </w:pPr>
      <w:r>
        <w:rPr>
          <w:b/>
          <w:lang w:val="en-US"/>
        </w:rPr>
        <w:t>6.3.1.  Workshop on child labour and legislative reform (2003)</w:t>
      </w:r>
    </w:p>
    <w:p w:rsidR="00000000" w:rsidRDefault="00000000">
      <w:pPr>
        <w:spacing w:after="240"/>
        <w:rPr>
          <w:lang w:val="en-US"/>
        </w:rPr>
      </w:pPr>
      <w:r>
        <w:rPr>
          <w:lang w:val="en-US"/>
        </w:rPr>
        <w:t>369.</w:t>
      </w:r>
      <w:r>
        <w:rPr>
          <w:lang w:val="en-US"/>
        </w:rPr>
        <w:tab/>
        <w:t>At this workshop discussions among children’s judges and labour judges on the subject of child labour were held. This exchange of information made it possible to compare and contrast the norms of the Labour and Children’s Codes governing this subject.</w:t>
      </w:r>
    </w:p>
    <w:p w:rsidR="00000000" w:rsidRDefault="00000000">
      <w:pPr>
        <w:spacing w:after="240"/>
        <w:rPr>
          <w:lang w:val="en-US"/>
        </w:rPr>
      </w:pPr>
      <w:r>
        <w:rPr>
          <w:lang w:val="en-US"/>
        </w:rPr>
        <w:t>370.</w:t>
      </w:r>
      <w:r>
        <w:rPr>
          <w:lang w:val="en-US"/>
        </w:rPr>
        <w:tab/>
        <w:t>The International Labour Organization (ILO) offered the Human Rights Unit of the Supreme Court of Justice assistance for organizing a workshop on “Child Labour and Legislative Reform” so that magistrates could express their views on the ILO-sponsored draft law regulating juvenile labour. The event was attended by labour and children’s and adolescents’ magistrates, ombudsmen and representatives of UNICEF and non-governmental organizations. At the request of the magistrates present, a second workshop was organized to continue the analysis of the aforementioned project and took place on 9 April 2003.</w:t>
      </w:r>
    </w:p>
    <w:p w:rsidR="00000000" w:rsidRDefault="00000000">
      <w:pPr>
        <w:tabs>
          <w:tab w:val="left" w:pos="680"/>
        </w:tabs>
        <w:spacing w:after="240"/>
        <w:ind w:left="680" w:hanging="680"/>
        <w:rPr>
          <w:lang w:val="en-US"/>
        </w:rPr>
      </w:pPr>
      <w:r>
        <w:rPr>
          <w:b/>
          <w:lang w:val="en-US"/>
        </w:rPr>
        <w:t>6.3.2.</w:t>
      </w:r>
      <w:r>
        <w:rPr>
          <w:b/>
          <w:lang w:val="en-US"/>
        </w:rPr>
        <w:tab/>
        <w:t>Seminar-workshop on the human rights of children in Paraguay, organized by the Human Rights Unit of the Supreme Court of Justice and supported by ILO-IPEC and CIDSEP (2003)</w:t>
      </w:r>
      <w:r>
        <w:rPr>
          <w:lang w:val="en-US"/>
        </w:rPr>
        <w:t>.</w:t>
      </w:r>
    </w:p>
    <w:p w:rsidR="00000000" w:rsidRDefault="00000000">
      <w:pPr>
        <w:spacing w:after="240"/>
        <w:rPr>
          <w:lang w:val="en-US"/>
        </w:rPr>
      </w:pPr>
      <w:r>
        <w:rPr>
          <w:lang w:val="en-US"/>
        </w:rPr>
        <w:t>371.</w:t>
      </w:r>
      <w:r>
        <w:rPr>
          <w:lang w:val="en-US"/>
        </w:rPr>
        <w:tab/>
        <w:t>This event took place on the following dates: 5 November (Coronel Oviedo); 6 November (Villarca); 17 November (Ciudad del Este); 20 November (San Juan Bautista de Misiones); 24 November (Concepción); 25 November (Pedro Juan Caballero); 1 December (Pilar), 2 December (Encarnación); and 26 December (Asunción).</w:t>
      </w:r>
    </w:p>
    <w:p w:rsidR="00000000" w:rsidRDefault="00000000">
      <w:pPr>
        <w:spacing w:after="240"/>
        <w:rPr>
          <w:lang w:val="en-US"/>
        </w:rPr>
      </w:pPr>
      <w:r>
        <w:rPr>
          <w:lang w:val="en-US"/>
        </w:rPr>
        <w:t>372.</w:t>
      </w:r>
      <w:r>
        <w:rPr>
          <w:lang w:val="en-US"/>
        </w:rPr>
        <w:tab/>
        <w:t>Two plans were submitted at the above-mentioned workshops: the “Draft plan for prevention and progressive eradication of child labour, and protection of adolescent labour” and the “Plan for the elimination and prevention of sexual exploitation of children in Paraguay”.</w:t>
      </w:r>
    </w:p>
    <w:p w:rsidR="00000000" w:rsidRDefault="00000000">
      <w:pPr>
        <w:tabs>
          <w:tab w:val="left" w:pos="680"/>
        </w:tabs>
        <w:spacing w:after="240"/>
        <w:ind w:left="680" w:hanging="680"/>
        <w:rPr>
          <w:lang w:val="en-US"/>
        </w:rPr>
      </w:pPr>
      <w:r>
        <w:rPr>
          <w:b/>
          <w:lang w:val="en-US"/>
        </w:rPr>
        <w:t>6.3.3.</w:t>
      </w:r>
      <w:r>
        <w:rPr>
          <w:b/>
          <w:lang w:val="en-US"/>
        </w:rPr>
        <w:tab/>
        <w:t>ILO-IPEC Triple Border Work Session on Commercial Sexual Exploitation of Children and Adolescents (2004)</w:t>
      </w:r>
      <w:r>
        <w:rPr>
          <w:lang w:val="en-US"/>
        </w:rPr>
        <w:t>.</w:t>
      </w:r>
    </w:p>
    <w:p w:rsidR="00000000" w:rsidRDefault="00000000">
      <w:pPr>
        <w:spacing w:after="240"/>
        <w:rPr>
          <w:lang w:val="en-US"/>
        </w:rPr>
      </w:pPr>
      <w:r>
        <w:rPr>
          <w:lang w:val="en-US"/>
        </w:rPr>
        <w:t>373.</w:t>
      </w:r>
      <w:r>
        <w:rPr>
          <w:lang w:val="en-US"/>
        </w:rPr>
        <w:tab/>
        <w:t>At the request of the International Labour Organization-Programme on the Elimination of Commercial Sexual Exploitation of Children and Adolescents (ILO-IPEC), the Alto Paraná Regional Human Rights Unit (with the participation of judges of the Criminal Appeals Court for Children and Adolescents and judges of first instance for children and adolescents) organized a work session with legal officials (lawyers, defenders, magistrates and police officers) to follow up the proposals and recommendations that emerged from the study on “Commercial sexual exploitation of children and adolescents in the legislation of Argentina, Brazil and Paraguay: harmonization alternatives for MERCOSUR”. The aims of the session are to promote proposals for juridical and social cooperation for the protection of children and adolescents in the triple border area, and the formulation of a Special Protocol on mutual legal assistance in criminal matters in the triple border area.</w:t>
      </w:r>
    </w:p>
    <w:p w:rsidR="00000000" w:rsidRDefault="00000000">
      <w:pPr>
        <w:spacing w:after="240"/>
        <w:rPr>
          <w:lang w:val="en-US"/>
        </w:rPr>
      </w:pPr>
      <w:r>
        <w:rPr>
          <w:lang w:val="en-US"/>
        </w:rPr>
        <w:t>374.</w:t>
      </w:r>
      <w:r>
        <w:rPr>
          <w:lang w:val="en-US"/>
        </w:rPr>
        <w:tab/>
        <w:t>The same material, “Commercial sexual exploitation of children and adolescents in the legislation of  Argentina, Brazil and Paraguay: harmonization alternatives for MERCOSUR”, was presented on 23 June 2004 in Ciudad del Este and on 29 June 2004 in Asunción, with support from ILO-IPEC, CONAETI, the Human Rights Unit of the Supreme  Court of Justice of the capital (29 June 2004) and the Alto Paraná Regional Human Rights Unit (23 June 2004). This event was designed for justice officials and the material was distributed free of charge.</w:t>
      </w:r>
    </w:p>
    <w:p w:rsidR="00000000" w:rsidRDefault="00000000">
      <w:pPr>
        <w:tabs>
          <w:tab w:val="left" w:pos="680"/>
        </w:tabs>
        <w:spacing w:after="240"/>
        <w:ind w:left="680" w:hanging="680"/>
        <w:rPr>
          <w:b/>
          <w:lang w:val="en-US"/>
        </w:rPr>
      </w:pPr>
      <w:r>
        <w:rPr>
          <w:b/>
          <w:lang w:val="en-US"/>
        </w:rPr>
        <w:t>6.3.4.</w:t>
      </w:r>
      <w:r>
        <w:rPr>
          <w:b/>
          <w:lang w:val="en-US"/>
        </w:rPr>
        <w:tab/>
        <w:t>“Seminar: Procedures respectful of the human rights of children and adolescents in situations of sexual violence”</w:t>
      </w:r>
    </w:p>
    <w:p w:rsidR="00000000" w:rsidRDefault="00000000">
      <w:pPr>
        <w:spacing w:after="240"/>
        <w:rPr>
          <w:lang w:val="en-US"/>
        </w:rPr>
      </w:pPr>
      <w:r>
        <w:rPr>
          <w:lang w:val="en-US"/>
        </w:rPr>
        <w:t>375.</w:t>
      </w:r>
      <w:r>
        <w:rPr>
          <w:lang w:val="en-US"/>
        </w:rPr>
        <w:tab/>
        <w:t>This seminar was held on 13 and 14 October 2006 and was organized by BECA and the Human Rights Unit of the Supreme Court of Justice in order to disseminate and make justice operators aware of the application of the principles and criteria contained in the Convention on the Rights of the Child, the Optional Protocol to the Convention on the Rights of the Child on the sale of children, child prostitution and child pornography; and to promote and include in the judicial system respectful practices in line with the new paradigm. It was sponsored by ICCB and targeted magistrates, ombudsmen and prosecutors.</w:t>
      </w:r>
    </w:p>
    <w:p w:rsidR="00000000" w:rsidRDefault="00000000">
      <w:pPr>
        <w:spacing w:after="240"/>
        <w:rPr>
          <w:lang w:val="en-US"/>
        </w:rPr>
      </w:pPr>
      <w:r>
        <w:rPr>
          <w:lang w:val="en-US"/>
        </w:rPr>
        <w:t>376.</w:t>
      </w:r>
      <w:r>
        <w:rPr>
          <w:lang w:val="en-US"/>
        </w:rPr>
        <w:tab/>
        <w:t>Also, in 2005, in the area of research and analysis the Human Rights Unit conducted an overall diagnostic study of Paraguay’s social and judicial situation and its links to the issue of sexual exploitation of children and adolescents. Data was collected, processed and analysed in advance for its preparation.</w:t>
      </w:r>
    </w:p>
    <w:p w:rsidR="00000000" w:rsidRDefault="00000000">
      <w:pPr>
        <w:tabs>
          <w:tab w:val="left" w:pos="680"/>
        </w:tabs>
        <w:spacing w:after="240"/>
        <w:ind w:left="680" w:hanging="680"/>
      </w:pPr>
      <w:r>
        <w:rPr>
          <w:b/>
        </w:rPr>
        <w:t>6.3.5.</w:t>
      </w:r>
      <w:r>
        <w:rPr>
          <w:b/>
        </w:rPr>
        <w:tab/>
        <w:t>Workshop on “Policies to combat and prevent commercial sexual exploitation of children and adolescents along the triple border” (2005)</w:t>
      </w:r>
    </w:p>
    <w:p w:rsidR="00000000" w:rsidRDefault="00000000">
      <w:pPr>
        <w:spacing w:after="240"/>
      </w:pPr>
      <w:r>
        <w:rPr>
          <w:lang w:val="en-US"/>
        </w:rPr>
        <w:t>377</w:t>
      </w:r>
      <w:r>
        <w:t>.</w:t>
      </w:r>
      <w:r>
        <w:tab/>
        <w:t>Held at the Ciudad del Este Hall of Justice and organized by the Regional Human Rights Unit in the Alto Paraná judicial constituency and ILO-IPEC Ciudad del Este, it was designed for justice officials and representatives of governmental and non-governmental organizations.</w:t>
      </w:r>
    </w:p>
    <w:p w:rsidR="00000000" w:rsidRDefault="00000000">
      <w:pPr>
        <w:tabs>
          <w:tab w:val="left" w:pos="680"/>
        </w:tabs>
        <w:spacing w:after="240"/>
      </w:pPr>
      <w:r>
        <w:rPr>
          <w:b/>
        </w:rPr>
        <w:t>6.3.6.</w:t>
      </w:r>
      <w:r>
        <w:rPr>
          <w:b/>
        </w:rPr>
        <w:tab/>
        <w:t>Training course on commercial sexual exploitation of children.</w:t>
      </w:r>
    </w:p>
    <w:p w:rsidR="00000000" w:rsidRDefault="00000000">
      <w:pPr>
        <w:spacing w:after="240"/>
      </w:pPr>
      <w:r>
        <w:rPr>
          <w:lang w:val="en-US"/>
        </w:rPr>
        <w:t>378</w:t>
      </w:r>
      <w:r>
        <w:t>.</w:t>
      </w:r>
      <w:r>
        <w:tab/>
        <w:t>Organized by ILO, with the support of the Regional Human Rights Unit of the Alto Paraná judicial constituency, it was designed for judicial officials and social actors and was held at the Ciudad del Este Hall of Justice (2005).</w:t>
      </w:r>
    </w:p>
    <w:p w:rsidR="00000000" w:rsidRDefault="00000000">
      <w:pPr>
        <w:tabs>
          <w:tab w:val="left" w:pos="680"/>
        </w:tabs>
        <w:spacing w:after="240"/>
        <w:ind w:left="680" w:hanging="680"/>
      </w:pPr>
      <w:r>
        <w:rPr>
          <w:b/>
        </w:rPr>
        <w:t>6.3.7.</w:t>
      </w:r>
      <w:r>
        <w:rPr>
          <w:b/>
        </w:rPr>
        <w:tab/>
        <w:t>Analysis of the “Report on violations of the rights of street children and adolescents” – Illegal deprivation of liberty in Ciudad del Este (2005).</w:t>
      </w:r>
    </w:p>
    <w:p w:rsidR="00000000" w:rsidRDefault="00000000">
      <w:pPr>
        <w:spacing w:after="240"/>
      </w:pPr>
      <w:r>
        <w:rPr>
          <w:lang w:val="en-US"/>
        </w:rPr>
        <w:t>379</w:t>
      </w:r>
      <w:r>
        <w:t>.</w:t>
      </w:r>
      <w:r>
        <w:tab/>
        <w:t>Held at the Ciudad del Este Hall of Justice, it was followed by a discussion panel and a question-and-answer session with the authorities and representatives present, and was designed for judges, defenders, prosecutors, judicial officials, representatives of governmental and non-governmental organizations and the public at large.</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bCs w:val="0"/>
          <w:smallCaps/>
          <w:lang w:val="en-GB" w:eastAsia="en-US"/>
        </w:rPr>
      </w:pPr>
      <w:r>
        <w:rPr>
          <w:rFonts w:ascii="Times New Roman" w:eastAsia="Times New Roman" w:hAnsi="Times New Roman" w:cs="Times New Roman"/>
          <w:bCs w:val="0"/>
          <w:smallCaps/>
          <w:lang w:val="en-GB" w:eastAsia="en-US"/>
        </w:rPr>
        <w:br w:type="page"/>
        <w:t>Article 11</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bCs w:val="0"/>
          <w:lang w:val="en-US" w:eastAsia="en-US"/>
        </w:rPr>
      </w:pPr>
      <w:r>
        <w:rPr>
          <w:rFonts w:ascii="Times New Roman" w:eastAsia="Times New Roman" w:hAnsi="Times New Roman" w:cs="Times New Roman"/>
          <w:bCs w:val="0"/>
          <w:lang w:val="en-US" w:eastAsia="en-US"/>
        </w:rPr>
        <w:t>A.  General situation of the right to adequate food</w:t>
      </w:r>
    </w:p>
    <w:p w:rsidR="00000000" w:rsidRDefault="00000000">
      <w:pPr>
        <w:spacing w:after="240"/>
        <w:rPr>
          <w:lang w:val="en-US"/>
        </w:rPr>
      </w:pPr>
      <w:r>
        <w:rPr>
          <w:lang w:val="en-US"/>
        </w:rPr>
        <w:t>380.</w:t>
      </w:r>
      <w:r>
        <w:rPr>
          <w:lang w:val="en-US"/>
        </w:rPr>
        <w:tab/>
        <w:t>The National Constitution, in its article 72 on quality control, states that: “The State shall ensure quality control procedures for food, chemical, pharmaceutical and biological products throughout the production, import and marketing stages […]”. Book II – On Food, in the Public Health Code ( Act No. 836/80) and the regulatory decrees and ministerial decisions constitute the legal framework within which the Ministry of Public Health and Social Welfare, through its technical institute, the National Food and Nutrition Institute (INAN), operates a national food register, RSPA (National Register of Food Products) and RE (Register of Establishments), that provide the database on the universe of registered food products circulating in the national territory. In addition, the coverage of SISVAN (National Food and Nutrition Surveillance Institute), established in all the country’s departments, helps generate information that is analysed by the institution responsible for the nutritional state of the population groups which have recourse to the health services provided by MSP and BS. There is no nationwide survey on the country’s nutritional status by age group, nor is there any decentralized register of the food products circulating throughout the national territory. Monitoring is partial, limited and sporadic, owing to the lack of human and financial resources. Where adequate food is concerned, there is an educational instrument, the Food Guides of Paraguay and Children under Two Years of Age, that promote healthy eating styles among the healthy population, it is being introduced at the departmental level. There is no national food security plan. However, the following public and civil society institutions are involved in food programmes for various population groups: Office of the First Lady, Pastoral del Niño, Alter Vida, Oguazú, MAG (with plans for production for home consumption), SAS and others.</w:t>
      </w:r>
    </w:p>
    <w:p w:rsidR="00000000" w:rsidRDefault="00000000">
      <w:pPr>
        <w:spacing w:after="240"/>
        <w:rPr>
          <w:lang w:val="en-US"/>
        </w:rPr>
      </w:pPr>
      <w:r>
        <w:rPr>
          <w:lang w:val="en-US"/>
        </w:rPr>
        <w:t>381.</w:t>
      </w:r>
      <w:r>
        <w:rPr>
          <w:lang w:val="en-US"/>
        </w:rPr>
        <w:tab/>
        <w:t>The groups for which the National Food and Nutrition Institute (INAN) established the Food and Nutrition Surveillance System network include children under five, schoolchildren and pregnant women, whose data are transmitted to the health services and are processed by INAN with a reference to their nutritional status.</w:t>
      </w:r>
    </w:p>
    <w:p w:rsidR="00000000" w:rsidRDefault="00000000">
      <w:pPr>
        <w:pStyle w:val="xl46"/>
        <w:spacing w:before="0" w:beforeAutospacing="0" w:after="240" w:afterAutospacing="0"/>
        <w:rPr>
          <w:rFonts w:ascii="Times New Roman" w:eastAsia="Times New Roman" w:hAnsi="Times New Roman" w:cs="Times New Roman"/>
          <w:bCs w:val="0"/>
          <w:szCs w:val="24"/>
          <w:lang w:val="en-US" w:eastAsia="en-US"/>
        </w:rPr>
      </w:pPr>
      <w:r>
        <w:rPr>
          <w:rFonts w:ascii="Times New Roman" w:eastAsia="Times New Roman" w:hAnsi="Times New Roman" w:cs="Times New Roman"/>
          <w:bCs w:val="0"/>
          <w:szCs w:val="24"/>
          <w:lang w:val="en-US" w:eastAsia="en-US"/>
        </w:rPr>
        <w:t>Incidence of malnutrition (SISVAN database 2003 and EIH 2000/01)</w:t>
      </w:r>
    </w:p>
    <w:tbl>
      <w:tblPr>
        <w:tblW w:w="5000" w:type="pct"/>
        <w:tblLayout w:type="fixed"/>
        <w:tblCellMar>
          <w:left w:w="0" w:type="dxa"/>
          <w:right w:w="0" w:type="dxa"/>
        </w:tblCellMar>
        <w:tblLook w:val="0000" w:firstRow="0" w:lastRow="0" w:firstColumn="0" w:lastColumn="0" w:noHBand="0" w:noVBand="0"/>
      </w:tblPr>
      <w:tblGrid>
        <w:gridCol w:w="953"/>
        <w:gridCol w:w="574"/>
        <w:gridCol w:w="771"/>
        <w:gridCol w:w="658"/>
        <w:gridCol w:w="797"/>
        <w:gridCol w:w="728"/>
        <w:gridCol w:w="599"/>
        <w:gridCol w:w="845"/>
        <w:gridCol w:w="920"/>
        <w:gridCol w:w="763"/>
        <w:gridCol w:w="958"/>
        <w:gridCol w:w="883"/>
      </w:tblGrid>
      <w:tr w:rsidR="00000000">
        <w:tblPrEx>
          <w:tblCellMar>
            <w:top w:w="0" w:type="dxa"/>
            <w:bottom w:w="0" w:type="dxa"/>
          </w:tblCellMar>
        </w:tblPrEx>
        <w:trPr>
          <w:cantSplit/>
        </w:trPr>
        <w:tc>
          <w:tcPr>
            <w:tcW w:w="504" w:type="pct"/>
            <w:vMerge w:val="restart"/>
            <w:tcBorders>
              <w:top w:val="single" w:sz="4" w:space="0" w:color="auto"/>
            </w:tcBorders>
            <w:tcMar>
              <w:left w:w="28" w:type="dxa"/>
              <w:right w:w="28" w:type="dxa"/>
            </w:tcMar>
            <w:vAlign w:val="center"/>
          </w:tcPr>
          <w:p w:rsidR="00000000" w:rsidRDefault="00000000">
            <w:pPr>
              <w:widowControl w:val="0"/>
              <w:spacing w:before="80" w:after="80"/>
              <w:jc w:val="center"/>
              <w:rPr>
                <w:b/>
                <w:bCs/>
                <w:i/>
                <w:iCs/>
                <w:sz w:val="16"/>
                <w:lang w:val="en-US"/>
              </w:rPr>
            </w:pPr>
            <w:r>
              <w:rPr>
                <w:b/>
                <w:bCs/>
                <w:i/>
                <w:iCs/>
                <w:sz w:val="16"/>
                <w:lang w:val="en-US"/>
              </w:rPr>
              <w:t>Districts</w:t>
            </w:r>
          </w:p>
        </w:tc>
        <w:tc>
          <w:tcPr>
            <w:tcW w:w="1060" w:type="pct"/>
            <w:gridSpan w:val="3"/>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z w:val="16"/>
                <w:lang w:val="en-US"/>
              </w:rPr>
            </w:pPr>
            <w:r>
              <w:rPr>
                <w:b/>
                <w:bCs/>
                <w:i/>
                <w:iCs/>
                <w:sz w:val="16"/>
                <w:lang w:val="en-US"/>
              </w:rPr>
              <w:t>Children at risk of malnutrition</w:t>
            </w:r>
          </w:p>
        </w:tc>
        <w:tc>
          <w:tcPr>
            <w:tcW w:w="1124" w:type="pct"/>
            <w:gridSpan w:val="3"/>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6"/>
              </w:rPr>
            </w:pPr>
            <w:r>
              <w:rPr>
                <w:b/>
                <w:bCs/>
                <w:i/>
                <w:iCs/>
                <w:sz w:val="16"/>
                <w:lang w:val="en-US"/>
              </w:rPr>
              <w:t>Children moderately/seriously undernourished</w:t>
            </w:r>
          </w:p>
        </w:tc>
        <w:tc>
          <w:tcPr>
            <w:tcW w:w="447" w:type="pct"/>
            <w:vMerge w:val="restart"/>
            <w:tcBorders>
              <w:top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6"/>
                <w:lang w:val="en-US"/>
              </w:rPr>
            </w:pPr>
            <w:r>
              <w:rPr>
                <w:b/>
                <w:bCs/>
                <w:i/>
                <w:iCs/>
                <w:sz w:val="16"/>
                <w:lang w:val="en-US"/>
              </w:rPr>
              <w:t>Total children at risk of under-nourish-ment</w:t>
            </w:r>
          </w:p>
        </w:tc>
        <w:tc>
          <w:tcPr>
            <w:tcW w:w="487" w:type="pct"/>
            <w:vMerge w:val="restart"/>
            <w:tcBorders>
              <w:top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6"/>
                <w:lang w:val="en-US"/>
              </w:rPr>
            </w:pPr>
            <w:r>
              <w:rPr>
                <w:b/>
                <w:bCs/>
                <w:i/>
                <w:iCs/>
                <w:sz w:val="16"/>
                <w:lang w:val="en-US"/>
              </w:rPr>
              <w:t>Total children moderately/</w:t>
            </w:r>
            <w:r>
              <w:rPr>
                <w:b/>
                <w:bCs/>
                <w:i/>
                <w:iCs/>
                <w:sz w:val="16"/>
                <w:lang w:val="en-US"/>
              </w:rPr>
              <w:br/>
              <w:t>seriously under-nourished</w:t>
            </w:r>
          </w:p>
        </w:tc>
        <w:tc>
          <w:tcPr>
            <w:tcW w:w="404" w:type="pct"/>
            <w:vMerge w:val="restart"/>
            <w:tcBorders>
              <w:top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6"/>
                <w:lang w:val="en-US"/>
              </w:rPr>
            </w:pPr>
            <w:r>
              <w:rPr>
                <w:b/>
                <w:bCs/>
                <w:i/>
                <w:iCs/>
                <w:sz w:val="16"/>
                <w:lang w:val="en-US"/>
              </w:rPr>
              <w:t>Total under</w:t>
            </w:r>
            <w:r>
              <w:rPr>
                <w:b/>
                <w:bCs/>
                <w:i/>
                <w:iCs/>
                <w:sz w:val="16"/>
                <w:lang w:val="en-US"/>
              </w:rPr>
              <w:br/>
              <w:t>nourished</w:t>
            </w:r>
          </w:p>
        </w:tc>
        <w:tc>
          <w:tcPr>
            <w:tcW w:w="507" w:type="pct"/>
            <w:vMerge w:val="restart"/>
            <w:tcBorders>
              <w:top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6"/>
                <w:lang w:val="en-US"/>
              </w:rPr>
            </w:pPr>
            <w:r>
              <w:rPr>
                <w:b/>
                <w:bCs/>
                <w:i/>
                <w:iCs/>
                <w:sz w:val="16"/>
                <w:lang w:val="en-US"/>
              </w:rPr>
              <w:t>Total pregnant women under-nourished</w:t>
            </w:r>
          </w:p>
        </w:tc>
        <w:tc>
          <w:tcPr>
            <w:tcW w:w="467" w:type="pct"/>
            <w:vMerge w:val="restart"/>
            <w:tcBorders>
              <w:top w:val="single" w:sz="4" w:space="0" w:color="auto"/>
            </w:tcBorders>
            <w:tcMar>
              <w:left w:w="0" w:type="dxa"/>
              <w:right w:w="0" w:type="dxa"/>
            </w:tcMar>
            <w:vAlign w:val="center"/>
          </w:tcPr>
          <w:p w:rsidR="00000000" w:rsidRDefault="00000000">
            <w:pPr>
              <w:widowControl w:val="0"/>
              <w:spacing w:before="80" w:after="80"/>
              <w:jc w:val="center"/>
              <w:rPr>
                <w:b/>
                <w:bCs/>
                <w:i/>
                <w:iCs/>
                <w:spacing w:val="-4"/>
                <w:sz w:val="16"/>
                <w:lang w:val="en-US"/>
              </w:rPr>
            </w:pPr>
            <w:r>
              <w:rPr>
                <w:b/>
                <w:bCs/>
                <w:i/>
                <w:iCs/>
                <w:sz w:val="16"/>
                <w:lang w:val="en-US"/>
              </w:rPr>
              <w:t>Total beneficiaries</w:t>
            </w:r>
          </w:p>
        </w:tc>
      </w:tr>
      <w:tr w:rsidR="00000000">
        <w:tblPrEx>
          <w:tblCellMar>
            <w:top w:w="0" w:type="dxa"/>
            <w:bottom w:w="0" w:type="dxa"/>
          </w:tblCellMar>
        </w:tblPrEx>
        <w:trPr>
          <w:cantSplit/>
        </w:trPr>
        <w:tc>
          <w:tcPr>
            <w:tcW w:w="504" w:type="pct"/>
            <w:vMerge/>
            <w:tcBorders>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5"/>
              </w:rPr>
            </w:pPr>
          </w:p>
        </w:tc>
        <w:tc>
          <w:tcPr>
            <w:tcW w:w="304" w:type="pct"/>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6"/>
              </w:rPr>
            </w:pPr>
            <w:r>
              <w:rPr>
                <w:b/>
                <w:bCs/>
                <w:i/>
                <w:iCs/>
                <w:sz w:val="16"/>
                <w:lang w:val="en-US"/>
              </w:rPr>
              <w:t>0-6 months</w:t>
            </w:r>
          </w:p>
        </w:tc>
        <w:tc>
          <w:tcPr>
            <w:tcW w:w="408" w:type="pct"/>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6"/>
              </w:rPr>
            </w:pPr>
            <w:r>
              <w:rPr>
                <w:b/>
                <w:bCs/>
                <w:i/>
                <w:iCs/>
                <w:sz w:val="16"/>
                <w:lang w:val="en-US"/>
              </w:rPr>
              <w:t>6 months-1 year</w:t>
            </w:r>
          </w:p>
        </w:tc>
        <w:tc>
          <w:tcPr>
            <w:tcW w:w="348" w:type="pct"/>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6"/>
              </w:rPr>
            </w:pPr>
            <w:r>
              <w:rPr>
                <w:b/>
                <w:bCs/>
                <w:i/>
                <w:iCs/>
                <w:sz w:val="16"/>
                <w:lang w:val="en-US"/>
              </w:rPr>
              <w:t>1-4 years</w:t>
            </w:r>
          </w:p>
        </w:tc>
        <w:tc>
          <w:tcPr>
            <w:tcW w:w="422" w:type="pct"/>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6"/>
              </w:rPr>
            </w:pPr>
            <w:r>
              <w:rPr>
                <w:b/>
                <w:bCs/>
                <w:i/>
                <w:iCs/>
                <w:sz w:val="16"/>
                <w:lang w:val="en-US"/>
              </w:rPr>
              <w:t>0-6 months</w:t>
            </w:r>
          </w:p>
        </w:tc>
        <w:tc>
          <w:tcPr>
            <w:tcW w:w="385" w:type="pct"/>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6"/>
              </w:rPr>
            </w:pPr>
            <w:r>
              <w:rPr>
                <w:b/>
                <w:bCs/>
                <w:i/>
                <w:iCs/>
                <w:sz w:val="16"/>
                <w:lang w:val="en-US"/>
              </w:rPr>
              <w:t>6 months-1 year</w:t>
            </w:r>
          </w:p>
        </w:tc>
        <w:tc>
          <w:tcPr>
            <w:tcW w:w="317" w:type="pct"/>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6"/>
                <w:lang w:val="en-US"/>
              </w:rPr>
            </w:pPr>
            <w:r>
              <w:rPr>
                <w:b/>
                <w:bCs/>
                <w:i/>
                <w:iCs/>
                <w:sz w:val="16"/>
                <w:lang w:val="en-US"/>
              </w:rPr>
              <w:t>1-4 years</w:t>
            </w:r>
          </w:p>
        </w:tc>
        <w:tc>
          <w:tcPr>
            <w:tcW w:w="447" w:type="pct"/>
            <w:vMerge/>
            <w:tcBorders>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5"/>
                <w:lang w:val="en-US"/>
              </w:rPr>
            </w:pPr>
          </w:p>
        </w:tc>
        <w:tc>
          <w:tcPr>
            <w:tcW w:w="487" w:type="pct"/>
            <w:vMerge/>
            <w:tcBorders>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5"/>
                <w:lang w:val="en-US"/>
              </w:rPr>
            </w:pPr>
          </w:p>
        </w:tc>
        <w:tc>
          <w:tcPr>
            <w:tcW w:w="404" w:type="pct"/>
            <w:vMerge/>
            <w:tcBorders>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5"/>
                <w:lang w:val="en-US"/>
              </w:rPr>
            </w:pPr>
          </w:p>
        </w:tc>
        <w:tc>
          <w:tcPr>
            <w:tcW w:w="507" w:type="pct"/>
            <w:vMerge/>
            <w:tcBorders>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5"/>
                <w:lang w:val="en-US"/>
              </w:rPr>
            </w:pPr>
          </w:p>
        </w:tc>
        <w:tc>
          <w:tcPr>
            <w:tcW w:w="467" w:type="pct"/>
            <w:vMerge/>
            <w:tcBorders>
              <w:bottom w:val="single" w:sz="4" w:space="0" w:color="auto"/>
            </w:tcBorders>
            <w:tcMar>
              <w:left w:w="0" w:type="dxa"/>
              <w:right w:w="0" w:type="dxa"/>
            </w:tcMar>
            <w:vAlign w:val="center"/>
          </w:tcPr>
          <w:p w:rsidR="00000000" w:rsidRDefault="00000000">
            <w:pPr>
              <w:widowControl w:val="0"/>
              <w:spacing w:before="80" w:after="80"/>
              <w:jc w:val="center"/>
              <w:rPr>
                <w:b/>
                <w:bCs/>
                <w:i/>
                <w:iCs/>
                <w:spacing w:val="-4"/>
                <w:sz w:val="15"/>
                <w:lang w:val="en-US"/>
              </w:rPr>
            </w:pPr>
          </w:p>
        </w:tc>
      </w:tr>
      <w:tr w:rsidR="00000000">
        <w:tblPrEx>
          <w:tblCellMar>
            <w:top w:w="0" w:type="dxa"/>
            <w:bottom w:w="0" w:type="dxa"/>
          </w:tblCellMar>
        </w:tblPrEx>
        <w:tc>
          <w:tcPr>
            <w:tcW w:w="504" w:type="pct"/>
            <w:tcBorders>
              <w:top w:val="single" w:sz="4" w:space="0" w:color="auto"/>
            </w:tcBorders>
          </w:tcPr>
          <w:p w:rsidR="00000000" w:rsidRDefault="00000000">
            <w:pPr>
              <w:widowControl w:val="0"/>
              <w:spacing w:before="80" w:after="80"/>
              <w:rPr>
                <w:spacing w:val="-4"/>
                <w:sz w:val="18"/>
              </w:rPr>
            </w:pPr>
            <w:r>
              <w:rPr>
                <w:spacing w:val="-4"/>
                <w:sz w:val="18"/>
              </w:rPr>
              <w:t>Coronel Oviedo</w:t>
            </w:r>
          </w:p>
        </w:tc>
        <w:tc>
          <w:tcPr>
            <w:tcW w:w="304" w:type="pct"/>
            <w:tcBorders>
              <w:top w:val="single" w:sz="4" w:space="0" w:color="auto"/>
            </w:tcBorders>
            <w:vAlign w:val="bottom"/>
          </w:tcPr>
          <w:p w:rsidR="00000000" w:rsidRDefault="00000000">
            <w:pPr>
              <w:widowControl w:val="0"/>
              <w:tabs>
                <w:tab w:val="decimal" w:pos="471"/>
              </w:tabs>
              <w:spacing w:before="80" w:after="80"/>
              <w:ind w:right="227"/>
              <w:jc w:val="right"/>
              <w:rPr>
                <w:sz w:val="18"/>
              </w:rPr>
            </w:pPr>
            <w:r>
              <w:rPr>
                <w:sz w:val="18"/>
              </w:rPr>
              <w:t>36</w:t>
            </w:r>
          </w:p>
        </w:tc>
        <w:tc>
          <w:tcPr>
            <w:tcW w:w="408" w:type="pct"/>
            <w:tcBorders>
              <w:top w:val="single" w:sz="4" w:space="0" w:color="auto"/>
            </w:tcBorders>
            <w:vAlign w:val="bottom"/>
          </w:tcPr>
          <w:p w:rsidR="00000000" w:rsidRDefault="00000000">
            <w:pPr>
              <w:widowControl w:val="0"/>
              <w:tabs>
                <w:tab w:val="decimal" w:pos="507"/>
              </w:tabs>
              <w:spacing w:before="80" w:after="80"/>
              <w:ind w:right="227"/>
              <w:jc w:val="right"/>
              <w:rPr>
                <w:sz w:val="18"/>
              </w:rPr>
            </w:pPr>
            <w:r>
              <w:rPr>
                <w:sz w:val="18"/>
              </w:rPr>
              <w:t>36</w:t>
            </w:r>
          </w:p>
        </w:tc>
        <w:tc>
          <w:tcPr>
            <w:tcW w:w="348" w:type="pct"/>
            <w:tcBorders>
              <w:top w:val="single" w:sz="4" w:space="0" w:color="auto"/>
            </w:tcBorders>
            <w:vAlign w:val="bottom"/>
          </w:tcPr>
          <w:p w:rsidR="00000000" w:rsidRDefault="00000000">
            <w:pPr>
              <w:widowControl w:val="0"/>
              <w:tabs>
                <w:tab w:val="decimal" w:pos="471"/>
              </w:tabs>
              <w:spacing w:before="80" w:after="80"/>
              <w:ind w:right="227"/>
              <w:jc w:val="right"/>
              <w:rPr>
                <w:sz w:val="18"/>
              </w:rPr>
            </w:pPr>
            <w:r>
              <w:rPr>
                <w:sz w:val="18"/>
              </w:rPr>
              <w:t>281</w:t>
            </w:r>
          </w:p>
        </w:tc>
        <w:tc>
          <w:tcPr>
            <w:tcW w:w="422" w:type="pct"/>
            <w:tcBorders>
              <w:top w:val="single" w:sz="4" w:space="0" w:color="auto"/>
            </w:tcBorders>
            <w:vAlign w:val="bottom"/>
          </w:tcPr>
          <w:p w:rsidR="00000000" w:rsidRDefault="00000000">
            <w:pPr>
              <w:widowControl w:val="0"/>
              <w:tabs>
                <w:tab w:val="decimal" w:pos="471"/>
              </w:tabs>
              <w:spacing w:before="80" w:after="80"/>
              <w:ind w:right="227"/>
              <w:jc w:val="right"/>
              <w:rPr>
                <w:sz w:val="18"/>
              </w:rPr>
            </w:pPr>
            <w:r>
              <w:rPr>
                <w:sz w:val="18"/>
              </w:rPr>
              <w:t>9</w:t>
            </w:r>
          </w:p>
        </w:tc>
        <w:tc>
          <w:tcPr>
            <w:tcW w:w="385" w:type="pct"/>
            <w:tcBorders>
              <w:top w:val="single" w:sz="4" w:space="0" w:color="auto"/>
            </w:tcBorders>
            <w:vAlign w:val="bottom"/>
          </w:tcPr>
          <w:p w:rsidR="00000000" w:rsidRDefault="00000000">
            <w:pPr>
              <w:widowControl w:val="0"/>
              <w:tabs>
                <w:tab w:val="decimal" w:pos="471"/>
              </w:tabs>
              <w:spacing w:before="80" w:after="80"/>
              <w:ind w:right="227"/>
              <w:jc w:val="right"/>
              <w:rPr>
                <w:sz w:val="18"/>
              </w:rPr>
            </w:pPr>
            <w:r>
              <w:rPr>
                <w:sz w:val="18"/>
              </w:rPr>
              <w:t>9</w:t>
            </w:r>
          </w:p>
        </w:tc>
        <w:tc>
          <w:tcPr>
            <w:tcW w:w="317" w:type="pct"/>
            <w:tcBorders>
              <w:top w:val="single" w:sz="4" w:space="0" w:color="auto"/>
            </w:tcBorders>
            <w:vAlign w:val="bottom"/>
          </w:tcPr>
          <w:p w:rsidR="00000000" w:rsidRDefault="00000000">
            <w:pPr>
              <w:widowControl w:val="0"/>
              <w:tabs>
                <w:tab w:val="decimal" w:pos="471"/>
              </w:tabs>
              <w:spacing w:before="80" w:after="80"/>
              <w:ind w:right="227"/>
              <w:jc w:val="right"/>
              <w:rPr>
                <w:sz w:val="18"/>
              </w:rPr>
            </w:pPr>
            <w:r>
              <w:rPr>
                <w:sz w:val="18"/>
              </w:rPr>
              <w:t>70</w:t>
            </w:r>
          </w:p>
        </w:tc>
        <w:tc>
          <w:tcPr>
            <w:tcW w:w="447" w:type="pct"/>
            <w:tcBorders>
              <w:top w:val="single" w:sz="4" w:space="0" w:color="auto"/>
            </w:tcBorders>
            <w:vAlign w:val="bottom"/>
          </w:tcPr>
          <w:p w:rsidR="00000000" w:rsidRDefault="00000000">
            <w:pPr>
              <w:widowControl w:val="0"/>
              <w:tabs>
                <w:tab w:val="decimal" w:pos="453"/>
              </w:tabs>
              <w:spacing w:before="80" w:after="80"/>
              <w:ind w:right="227"/>
              <w:jc w:val="right"/>
              <w:rPr>
                <w:sz w:val="18"/>
              </w:rPr>
            </w:pPr>
            <w:r>
              <w:rPr>
                <w:sz w:val="18"/>
              </w:rPr>
              <w:t>353</w:t>
            </w:r>
          </w:p>
        </w:tc>
        <w:tc>
          <w:tcPr>
            <w:tcW w:w="487" w:type="pct"/>
            <w:tcBorders>
              <w:top w:val="single" w:sz="4" w:space="0" w:color="auto"/>
            </w:tcBorders>
            <w:vAlign w:val="bottom"/>
          </w:tcPr>
          <w:p w:rsidR="00000000" w:rsidRDefault="00000000">
            <w:pPr>
              <w:widowControl w:val="0"/>
              <w:tabs>
                <w:tab w:val="decimal" w:pos="452"/>
              </w:tabs>
              <w:spacing w:before="80" w:after="80"/>
              <w:ind w:right="227"/>
              <w:jc w:val="right"/>
              <w:rPr>
                <w:sz w:val="18"/>
              </w:rPr>
            </w:pPr>
            <w:r>
              <w:rPr>
                <w:sz w:val="18"/>
              </w:rPr>
              <w:t>88</w:t>
            </w:r>
          </w:p>
        </w:tc>
        <w:tc>
          <w:tcPr>
            <w:tcW w:w="404" w:type="pct"/>
            <w:tcBorders>
              <w:top w:val="single" w:sz="4" w:space="0" w:color="auto"/>
            </w:tcBorders>
            <w:vAlign w:val="bottom"/>
          </w:tcPr>
          <w:p w:rsidR="00000000" w:rsidRDefault="00000000">
            <w:pPr>
              <w:widowControl w:val="0"/>
              <w:tabs>
                <w:tab w:val="decimal" w:pos="510"/>
              </w:tabs>
              <w:spacing w:before="80" w:after="80"/>
              <w:ind w:right="227"/>
              <w:jc w:val="right"/>
              <w:rPr>
                <w:sz w:val="18"/>
              </w:rPr>
            </w:pPr>
            <w:r>
              <w:rPr>
                <w:sz w:val="18"/>
              </w:rPr>
              <w:t>441</w:t>
            </w:r>
          </w:p>
        </w:tc>
        <w:tc>
          <w:tcPr>
            <w:tcW w:w="507" w:type="pct"/>
            <w:tcBorders>
              <w:top w:val="single" w:sz="4" w:space="0" w:color="auto"/>
            </w:tcBorders>
            <w:vAlign w:val="bottom"/>
          </w:tcPr>
          <w:p w:rsidR="00000000" w:rsidRDefault="00000000">
            <w:pPr>
              <w:widowControl w:val="0"/>
              <w:tabs>
                <w:tab w:val="decimal" w:pos="572"/>
              </w:tabs>
              <w:spacing w:before="80" w:after="80"/>
              <w:ind w:right="227"/>
              <w:jc w:val="right"/>
              <w:rPr>
                <w:sz w:val="18"/>
              </w:rPr>
            </w:pPr>
            <w:r>
              <w:rPr>
                <w:sz w:val="18"/>
              </w:rPr>
              <w:t>132</w:t>
            </w:r>
          </w:p>
        </w:tc>
        <w:tc>
          <w:tcPr>
            <w:tcW w:w="467" w:type="pct"/>
            <w:tcBorders>
              <w:top w:val="single" w:sz="4" w:space="0" w:color="auto"/>
            </w:tcBorders>
            <w:vAlign w:val="bottom"/>
          </w:tcPr>
          <w:p w:rsidR="00000000" w:rsidRDefault="00000000">
            <w:pPr>
              <w:widowControl w:val="0"/>
              <w:tabs>
                <w:tab w:val="decimal" w:pos="572"/>
              </w:tabs>
              <w:spacing w:before="80" w:after="80"/>
              <w:ind w:right="227"/>
              <w:jc w:val="right"/>
              <w:rPr>
                <w:sz w:val="18"/>
              </w:rPr>
            </w:pPr>
            <w:r>
              <w:rPr>
                <w:sz w:val="18"/>
              </w:rPr>
              <w:t>573</w:t>
            </w:r>
          </w:p>
        </w:tc>
      </w:tr>
      <w:tr w:rsidR="00000000">
        <w:tblPrEx>
          <w:tblCellMar>
            <w:top w:w="0" w:type="dxa"/>
            <w:bottom w:w="0" w:type="dxa"/>
          </w:tblCellMar>
        </w:tblPrEx>
        <w:tc>
          <w:tcPr>
            <w:tcW w:w="504" w:type="pct"/>
          </w:tcPr>
          <w:p w:rsidR="00000000" w:rsidRDefault="00000000">
            <w:pPr>
              <w:widowControl w:val="0"/>
              <w:spacing w:before="80" w:after="80"/>
              <w:rPr>
                <w:spacing w:val="-4"/>
                <w:sz w:val="18"/>
              </w:rPr>
            </w:pPr>
            <w:r>
              <w:rPr>
                <w:spacing w:val="-4"/>
                <w:sz w:val="18"/>
              </w:rPr>
              <w:t>San Estanislao</w:t>
            </w:r>
          </w:p>
        </w:tc>
        <w:tc>
          <w:tcPr>
            <w:tcW w:w="304" w:type="pct"/>
          </w:tcPr>
          <w:p w:rsidR="00000000" w:rsidRDefault="00000000">
            <w:pPr>
              <w:widowControl w:val="0"/>
              <w:tabs>
                <w:tab w:val="decimal" w:pos="471"/>
              </w:tabs>
              <w:spacing w:before="80" w:after="80"/>
              <w:ind w:right="227"/>
              <w:jc w:val="right"/>
              <w:rPr>
                <w:sz w:val="18"/>
              </w:rPr>
            </w:pPr>
            <w:r>
              <w:rPr>
                <w:sz w:val="18"/>
              </w:rPr>
              <w:t>25</w:t>
            </w:r>
          </w:p>
        </w:tc>
        <w:tc>
          <w:tcPr>
            <w:tcW w:w="408" w:type="pct"/>
          </w:tcPr>
          <w:p w:rsidR="00000000" w:rsidRDefault="00000000">
            <w:pPr>
              <w:widowControl w:val="0"/>
              <w:tabs>
                <w:tab w:val="decimal" w:pos="507"/>
              </w:tabs>
              <w:spacing w:before="80" w:after="80"/>
              <w:ind w:right="227"/>
              <w:jc w:val="right"/>
              <w:rPr>
                <w:sz w:val="18"/>
              </w:rPr>
            </w:pPr>
            <w:r>
              <w:rPr>
                <w:sz w:val="18"/>
              </w:rPr>
              <w:t>25</w:t>
            </w:r>
          </w:p>
        </w:tc>
        <w:tc>
          <w:tcPr>
            <w:tcW w:w="348" w:type="pct"/>
          </w:tcPr>
          <w:p w:rsidR="00000000" w:rsidRDefault="00000000">
            <w:pPr>
              <w:widowControl w:val="0"/>
              <w:tabs>
                <w:tab w:val="decimal" w:pos="471"/>
              </w:tabs>
              <w:spacing w:before="80" w:after="80"/>
              <w:ind w:right="227"/>
              <w:jc w:val="right"/>
              <w:rPr>
                <w:sz w:val="18"/>
              </w:rPr>
            </w:pPr>
            <w:r>
              <w:rPr>
                <w:sz w:val="18"/>
              </w:rPr>
              <w:t>196</w:t>
            </w:r>
          </w:p>
        </w:tc>
        <w:tc>
          <w:tcPr>
            <w:tcW w:w="422" w:type="pct"/>
          </w:tcPr>
          <w:p w:rsidR="00000000" w:rsidRDefault="00000000">
            <w:pPr>
              <w:widowControl w:val="0"/>
              <w:tabs>
                <w:tab w:val="decimal" w:pos="471"/>
              </w:tabs>
              <w:spacing w:before="80" w:after="80"/>
              <w:ind w:right="227"/>
              <w:jc w:val="right"/>
              <w:rPr>
                <w:sz w:val="18"/>
              </w:rPr>
            </w:pPr>
            <w:r>
              <w:rPr>
                <w:sz w:val="18"/>
              </w:rPr>
              <w:t>6</w:t>
            </w:r>
          </w:p>
        </w:tc>
        <w:tc>
          <w:tcPr>
            <w:tcW w:w="385" w:type="pct"/>
          </w:tcPr>
          <w:p w:rsidR="00000000" w:rsidRDefault="00000000">
            <w:pPr>
              <w:widowControl w:val="0"/>
              <w:tabs>
                <w:tab w:val="decimal" w:pos="471"/>
              </w:tabs>
              <w:spacing w:before="80" w:after="80"/>
              <w:ind w:right="227"/>
              <w:jc w:val="right"/>
              <w:rPr>
                <w:sz w:val="18"/>
              </w:rPr>
            </w:pPr>
            <w:r>
              <w:rPr>
                <w:sz w:val="18"/>
              </w:rPr>
              <w:t>6</w:t>
            </w:r>
          </w:p>
        </w:tc>
        <w:tc>
          <w:tcPr>
            <w:tcW w:w="317" w:type="pct"/>
          </w:tcPr>
          <w:p w:rsidR="00000000" w:rsidRDefault="00000000">
            <w:pPr>
              <w:widowControl w:val="0"/>
              <w:tabs>
                <w:tab w:val="decimal" w:pos="471"/>
              </w:tabs>
              <w:spacing w:before="80" w:after="80"/>
              <w:ind w:right="227"/>
              <w:jc w:val="right"/>
              <w:rPr>
                <w:sz w:val="18"/>
              </w:rPr>
            </w:pPr>
            <w:r>
              <w:rPr>
                <w:sz w:val="18"/>
              </w:rPr>
              <w:t>49</w:t>
            </w:r>
          </w:p>
        </w:tc>
        <w:tc>
          <w:tcPr>
            <w:tcW w:w="447" w:type="pct"/>
          </w:tcPr>
          <w:p w:rsidR="00000000" w:rsidRDefault="00000000">
            <w:pPr>
              <w:widowControl w:val="0"/>
              <w:tabs>
                <w:tab w:val="decimal" w:pos="453"/>
              </w:tabs>
              <w:spacing w:before="80" w:after="80"/>
              <w:ind w:right="227"/>
              <w:jc w:val="right"/>
              <w:rPr>
                <w:sz w:val="18"/>
              </w:rPr>
            </w:pPr>
            <w:r>
              <w:rPr>
                <w:sz w:val="18"/>
              </w:rPr>
              <w:t>246</w:t>
            </w:r>
          </w:p>
        </w:tc>
        <w:tc>
          <w:tcPr>
            <w:tcW w:w="487" w:type="pct"/>
          </w:tcPr>
          <w:p w:rsidR="00000000" w:rsidRDefault="00000000">
            <w:pPr>
              <w:widowControl w:val="0"/>
              <w:tabs>
                <w:tab w:val="decimal" w:pos="452"/>
              </w:tabs>
              <w:spacing w:before="80" w:after="80"/>
              <w:ind w:right="227"/>
              <w:jc w:val="right"/>
              <w:rPr>
                <w:sz w:val="18"/>
              </w:rPr>
            </w:pPr>
            <w:r>
              <w:rPr>
                <w:sz w:val="18"/>
              </w:rPr>
              <w:t>61</w:t>
            </w:r>
          </w:p>
        </w:tc>
        <w:tc>
          <w:tcPr>
            <w:tcW w:w="404" w:type="pct"/>
          </w:tcPr>
          <w:p w:rsidR="00000000" w:rsidRDefault="00000000">
            <w:pPr>
              <w:widowControl w:val="0"/>
              <w:tabs>
                <w:tab w:val="decimal" w:pos="510"/>
              </w:tabs>
              <w:spacing w:before="80" w:after="80"/>
              <w:ind w:right="227"/>
              <w:jc w:val="right"/>
              <w:rPr>
                <w:sz w:val="18"/>
              </w:rPr>
            </w:pPr>
            <w:r>
              <w:rPr>
                <w:sz w:val="18"/>
              </w:rPr>
              <w:t>307</w:t>
            </w:r>
          </w:p>
        </w:tc>
        <w:tc>
          <w:tcPr>
            <w:tcW w:w="507" w:type="pct"/>
          </w:tcPr>
          <w:p w:rsidR="00000000" w:rsidRDefault="00000000">
            <w:pPr>
              <w:widowControl w:val="0"/>
              <w:tabs>
                <w:tab w:val="decimal" w:pos="572"/>
              </w:tabs>
              <w:spacing w:before="80" w:after="80"/>
              <w:ind w:right="227"/>
              <w:jc w:val="right"/>
              <w:rPr>
                <w:sz w:val="18"/>
              </w:rPr>
            </w:pPr>
            <w:r>
              <w:rPr>
                <w:sz w:val="18"/>
              </w:rPr>
              <w:t>77</w:t>
            </w:r>
          </w:p>
        </w:tc>
        <w:tc>
          <w:tcPr>
            <w:tcW w:w="467" w:type="pct"/>
          </w:tcPr>
          <w:p w:rsidR="00000000" w:rsidRDefault="00000000">
            <w:pPr>
              <w:widowControl w:val="0"/>
              <w:tabs>
                <w:tab w:val="decimal" w:pos="572"/>
              </w:tabs>
              <w:spacing w:before="80" w:after="80"/>
              <w:ind w:right="227"/>
              <w:jc w:val="right"/>
              <w:rPr>
                <w:sz w:val="18"/>
              </w:rPr>
            </w:pPr>
            <w:r>
              <w:rPr>
                <w:sz w:val="18"/>
              </w:rPr>
              <w:t>384</w:t>
            </w:r>
          </w:p>
        </w:tc>
      </w:tr>
      <w:tr w:rsidR="00000000">
        <w:tblPrEx>
          <w:tblCellMar>
            <w:top w:w="0" w:type="dxa"/>
            <w:bottom w:w="0" w:type="dxa"/>
          </w:tblCellMar>
        </w:tblPrEx>
        <w:tc>
          <w:tcPr>
            <w:tcW w:w="504" w:type="pct"/>
          </w:tcPr>
          <w:p w:rsidR="00000000" w:rsidRDefault="00000000">
            <w:pPr>
              <w:widowControl w:val="0"/>
              <w:spacing w:before="80" w:after="80"/>
              <w:rPr>
                <w:spacing w:val="-4"/>
                <w:sz w:val="18"/>
              </w:rPr>
            </w:pPr>
            <w:r>
              <w:rPr>
                <w:spacing w:val="-4"/>
                <w:sz w:val="18"/>
              </w:rPr>
              <w:t>San Pedro</w:t>
            </w:r>
          </w:p>
        </w:tc>
        <w:tc>
          <w:tcPr>
            <w:tcW w:w="304" w:type="pct"/>
          </w:tcPr>
          <w:p w:rsidR="00000000" w:rsidRDefault="00000000">
            <w:pPr>
              <w:widowControl w:val="0"/>
              <w:tabs>
                <w:tab w:val="decimal" w:pos="471"/>
              </w:tabs>
              <w:spacing w:before="80" w:after="80"/>
              <w:ind w:right="227"/>
              <w:jc w:val="right"/>
              <w:rPr>
                <w:sz w:val="18"/>
              </w:rPr>
            </w:pPr>
            <w:r>
              <w:rPr>
                <w:sz w:val="18"/>
              </w:rPr>
              <w:t>14</w:t>
            </w:r>
          </w:p>
        </w:tc>
        <w:tc>
          <w:tcPr>
            <w:tcW w:w="408" w:type="pct"/>
          </w:tcPr>
          <w:p w:rsidR="00000000" w:rsidRDefault="00000000">
            <w:pPr>
              <w:widowControl w:val="0"/>
              <w:tabs>
                <w:tab w:val="decimal" w:pos="507"/>
              </w:tabs>
              <w:spacing w:before="80" w:after="80"/>
              <w:ind w:right="227"/>
              <w:jc w:val="right"/>
              <w:rPr>
                <w:sz w:val="18"/>
              </w:rPr>
            </w:pPr>
            <w:r>
              <w:rPr>
                <w:sz w:val="18"/>
              </w:rPr>
              <w:t>14</w:t>
            </w:r>
          </w:p>
        </w:tc>
        <w:tc>
          <w:tcPr>
            <w:tcW w:w="348" w:type="pct"/>
          </w:tcPr>
          <w:p w:rsidR="00000000" w:rsidRDefault="00000000">
            <w:pPr>
              <w:widowControl w:val="0"/>
              <w:tabs>
                <w:tab w:val="decimal" w:pos="471"/>
              </w:tabs>
              <w:spacing w:before="80" w:after="80"/>
              <w:ind w:right="227"/>
              <w:jc w:val="right"/>
              <w:rPr>
                <w:sz w:val="18"/>
              </w:rPr>
            </w:pPr>
            <w:r>
              <w:rPr>
                <w:sz w:val="18"/>
              </w:rPr>
              <w:t>109</w:t>
            </w:r>
          </w:p>
        </w:tc>
        <w:tc>
          <w:tcPr>
            <w:tcW w:w="422" w:type="pct"/>
          </w:tcPr>
          <w:p w:rsidR="00000000" w:rsidRDefault="00000000">
            <w:pPr>
              <w:widowControl w:val="0"/>
              <w:tabs>
                <w:tab w:val="decimal" w:pos="471"/>
              </w:tabs>
              <w:spacing w:before="80" w:after="80"/>
              <w:ind w:right="227"/>
              <w:jc w:val="right"/>
              <w:rPr>
                <w:sz w:val="18"/>
              </w:rPr>
            </w:pPr>
            <w:r>
              <w:rPr>
                <w:sz w:val="18"/>
              </w:rPr>
              <w:t>3</w:t>
            </w:r>
          </w:p>
        </w:tc>
        <w:tc>
          <w:tcPr>
            <w:tcW w:w="385" w:type="pct"/>
          </w:tcPr>
          <w:p w:rsidR="00000000" w:rsidRDefault="00000000">
            <w:pPr>
              <w:widowControl w:val="0"/>
              <w:tabs>
                <w:tab w:val="decimal" w:pos="471"/>
              </w:tabs>
              <w:spacing w:before="80" w:after="80"/>
              <w:ind w:right="227"/>
              <w:jc w:val="right"/>
              <w:rPr>
                <w:sz w:val="18"/>
              </w:rPr>
            </w:pPr>
            <w:r>
              <w:rPr>
                <w:sz w:val="18"/>
              </w:rPr>
              <w:t>3</w:t>
            </w:r>
          </w:p>
        </w:tc>
        <w:tc>
          <w:tcPr>
            <w:tcW w:w="317" w:type="pct"/>
          </w:tcPr>
          <w:p w:rsidR="00000000" w:rsidRDefault="00000000">
            <w:pPr>
              <w:widowControl w:val="0"/>
              <w:tabs>
                <w:tab w:val="decimal" w:pos="471"/>
              </w:tabs>
              <w:spacing w:before="80" w:after="80"/>
              <w:ind w:right="227"/>
              <w:jc w:val="right"/>
              <w:rPr>
                <w:sz w:val="18"/>
              </w:rPr>
            </w:pPr>
            <w:r>
              <w:rPr>
                <w:sz w:val="18"/>
              </w:rPr>
              <w:t>27</w:t>
            </w:r>
          </w:p>
        </w:tc>
        <w:tc>
          <w:tcPr>
            <w:tcW w:w="447" w:type="pct"/>
          </w:tcPr>
          <w:p w:rsidR="00000000" w:rsidRDefault="00000000">
            <w:pPr>
              <w:widowControl w:val="0"/>
              <w:tabs>
                <w:tab w:val="decimal" w:pos="453"/>
              </w:tabs>
              <w:spacing w:before="80" w:after="80"/>
              <w:ind w:right="227"/>
              <w:jc w:val="right"/>
              <w:rPr>
                <w:sz w:val="18"/>
              </w:rPr>
            </w:pPr>
            <w:r>
              <w:rPr>
                <w:sz w:val="18"/>
              </w:rPr>
              <w:t>137</w:t>
            </w:r>
          </w:p>
        </w:tc>
        <w:tc>
          <w:tcPr>
            <w:tcW w:w="487" w:type="pct"/>
          </w:tcPr>
          <w:p w:rsidR="00000000" w:rsidRDefault="00000000">
            <w:pPr>
              <w:widowControl w:val="0"/>
              <w:tabs>
                <w:tab w:val="decimal" w:pos="452"/>
              </w:tabs>
              <w:spacing w:before="80" w:after="80"/>
              <w:ind w:right="227"/>
              <w:jc w:val="right"/>
              <w:rPr>
                <w:sz w:val="18"/>
              </w:rPr>
            </w:pPr>
            <w:r>
              <w:rPr>
                <w:sz w:val="18"/>
              </w:rPr>
              <w:t>33</w:t>
            </w:r>
          </w:p>
        </w:tc>
        <w:tc>
          <w:tcPr>
            <w:tcW w:w="404" w:type="pct"/>
          </w:tcPr>
          <w:p w:rsidR="00000000" w:rsidRDefault="00000000">
            <w:pPr>
              <w:widowControl w:val="0"/>
              <w:tabs>
                <w:tab w:val="decimal" w:pos="510"/>
              </w:tabs>
              <w:spacing w:before="80" w:after="80"/>
              <w:ind w:right="227"/>
              <w:jc w:val="right"/>
              <w:rPr>
                <w:sz w:val="18"/>
              </w:rPr>
            </w:pPr>
            <w:r>
              <w:rPr>
                <w:sz w:val="18"/>
              </w:rPr>
              <w:t>170</w:t>
            </w:r>
          </w:p>
        </w:tc>
        <w:tc>
          <w:tcPr>
            <w:tcW w:w="507" w:type="pct"/>
          </w:tcPr>
          <w:p w:rsidR="00000000" w:rsidRDefault="00000000">
            <w:pPr>
              <w:widowControl w:val="0"/>
              <w:tabs>
                <w:tab w:val="decimal" w:pos="572"/>
              </w:tabs>
              <w:spacing w:before="80" w:after="80"/>
              <w:ind w:right="227"/>
              <w:jc w:val="right"/>
              <w:rPr>
                <w:sz w:val="18"/>
              </w:rPr>
            </w:pPr>
            <w:r>
              <w:rPr>
                <w:sz w:val="18"/>
              </w:rPr>
              <w:t>67</w:t>
            </w:r>
          </w:p>
        </w:tc>
        <w:tc>
          <w:tcPr>
            <w:tcW w:w="467" w:type="pct"/>
          </w:tcPr>
          <w:p w:rsidR="00000000" w:rsidRDefault="00000000">
            <w:pPr>
              <w:widowControl w:val="0"/>
              <w:tabs>
                <w:tab w:val="decimal" w:pos="572"/>
              </w:tabs>
              <w:spacing w:before="80" w:after="80"/>
              <w:ind w:right="227"/>
              <w:jc w:val="right"/>
              <w:rPr>
                <w:sz w:val="18"/>
              </w:rPr>
            </w:pPr>
            <w:r>
              <w:rPr>
                <w:sz w:val="18"/>
              </w:rPr>
              <w:t>237</w:t>
            </w:r>
          </w:p>
        </w:tc>
      </w:tr>
      <w:tr w:rsidR="00000000">
        <w:tblPrEx>
          <w:tblCellMar>
            <w:top w:w="0" w:type="dxa"/>
            <w:bottom w:w="0" w:type="dxa"/>
          </w:tblCellMar>
        </w:tblPrEx>
        <w:tc>
          <w:tcPr>
            <w:tcW w:w="504" w:type="pct"/>
          </w:tcPr>
          <w:p w:rsidR="00000000" w:rsidRDefault="00000000">
            <w:pPr>
              <w:widowControl w:val="0"/>
              <w:spacing w:before="80" w:after="80"/>
              <w:rPr>
                <w:spacing w:val="-4"/>
                <w:sz w:val="18"/>
              </w:rPr>
            </w:pPr>
            <w:r>
              <w:rPr>
                <w:spacing w:val="-4"/>
                <w:sz w:val="18"/>
              </w:rPr>
              <w:t>San Juan Pepomuceno</w:t>
            </w:r>
          </w:p>
        </w:tc>
        <w:tc>
          <w:tcPr>
            <w:tcW w:w="304" w:type="pct"/>
            <w:vAlign w:val="bottom"/>
          </w:tcPr>
          <w:p w:rsidR="00000000" w:rsidRDefault="00000000">
            <w:pPr>
              <w:widowControl w:val="0"/>
              <w:tabs>
                <w:tab w:val="decimal" w:pos="471"/>
              </w:tabs>
              <w:spacing w:before="80" w:after="80"/>
              <w:ind w:right="227"/>
              <w:jc w:val="right"/>
              <w:rPr>
                <w:sz w:val="18"/>
              </w:rPr>
            </w:pPr>
            <w:r>
              <w:rPr>
                <w:sz w:val="18"/>
              </w:rPr>
              <w:t>9</w:t>
            </w:r>
          </w:p>
        </w:tc>
        <w:tc>
          <w:tcPr>
            <w:tcW w:w="408" w:type="pct"/>
            <w:vAlign w:val="bottom"/>
          </w:tcPr>
          <w:p w:rsidR="00000000" w:rsidRDefault="00000000">
            <w:pPr>
              <w:widowControl w:val="0"/>
              <w:tabs>
                <w:tab w:val="decimal" w:pos="507"/>
              </w:tabs>
              <w:spacing w:before="80" w:after="80"/>
              <w:ind w:right="227"/>
              <w:jc w:val="right"/>
              <w:rPr>
                <w:sz w:val="18"/>
              </w:rPr>
            </w:pPr>
            <w:r>
              <w:rPr>
                <w:sz w:val="18"/>
              </w:rPr>
              <w:t>9</w:t>
            </w:r>
          </w:p>
        </w:tc>
        <w:tc>
          <w:tcPr>
            <w:tcW w:w="348" w:type="pct"/>
            <w:vAlign w:val="bottom"/>
          </w:tcPr>
          <w:p w:rsidR="00000000" w:rsidRDefault="00000000">
            <w:pPr>
              <w:widowControl w:val="0"/>
              <w:tabs>
                <w:tab w:val="decimal" w:pos="471"/>
              </w:tabs>
              <w:spacing w:before="80" w:after="80"/>
              <w:ind w:right="227"/>
              <w:jc w:val="right"/>
              <w:rPr>
                <w:sz w:val="18"/>
              </w:rPr>
            </w:pPr>
            <w:r>
              <w:rPr>
                <w:sz w:val="18"/>
              </w:rPr>
              <w:t>72</w:t>
            </w:r>
          </w:p>
        </w:tc>
        <w:tc>
          <w:tcPr>
            <w:tcW w:w="422" w:type="pct"/>
            <w:vAlign w:val="bottom"/>
          </w:tcPr>
          <w:p w:rsidR="00000000" w:rsidRDefault="00000000">
            <w:pPr>
              <w:widowControl w:val="0"/>
              <w:tabs>
                <w:tab w:val="decimal" w:pos="471"/>
              </w:tabs>
              <w:spacing w:before="80" w:after="80"/>
              <w:ind w:right="227"/>
              <w:jc w:val="right"/>
              <w:rPr>
                <w:sz w:val="18"/>
              </w:rPr>
            </w:pPr>
            <w:r>
              <w:rPr>
                <w:sz w:val="18"/>
              </w:rPr>
              <w:t>2</w:t>
            </w:r>
          </w:p>
        </w:tc>
        <w:tc>
          <w:tcPr>
            <w:tcW w:w="385" w:type="pct"/>
            <w:vAlign w:val="bottom"/>
          </w:tcPr>
          <w:p w:rsidR="00000000" w:rsidRDefault="00000000">
            <w:pPr>
              <w:widowControl w:val="0"/>
              <w:tabs>
                <w:tab w:val="decimal" w:pos="471"/>
              </w:tabs>
              <w:spacing w:before="80" w:after="80"/>
              <w:ind w:right="227"/>
              <w:jc w:val="right"/>
              <w:rPr>
                <w:sz w:val="18"/>
              </w:rPr>
            </w:pPr>
            <w:r>
              <w:rPr>
                <w:sz w:val="18"/>
              </w:rPr>
              <w:t>2</w:t>
            </w:r>
          </w:p>
        </w:tc>
        <w:tc>
          <w:tcPr>
            <w:tcW w:w="317" w:type="pct"/>
            <w:vAlign w:val="bottom"/>
          </w:tcPr>
          <w:p w:rsidR="00000000" w:rsidRDefault="00000000">
            <w:pPr>
              <w:widowControl w:val="0"/>
              <w:tabs>
                <w:tab w:val="decimal" w:pos="471"/>
              </w:tabs>
              <w:spacing w:before="80" w:after="80"/>
              <w:ind w:right="227"/>
              <w:jc w:val="right"/>
              <w:rPr>
                <w:sz w:val="18"/>
              </w:rPr>
            </w:pPr>
            <w:r>
              <w:rPr>
                <w:sz w:val="18"/>
              </w:rPr>
              <w:t>18</w:t>
            </w:r>
          </w:p>
        </w:tc>
        <w:tc>
          <w:tcPr>
            <w:tcW w:w="447" w:type="pct"/>
            <w:vAlign w:val="bottom"/>
          </w:tcPr>
          <w:p w:rsidR="00000000" w:rsidRDefault="00000000">
            <w:pPr>
              <w:widowControl w:val="0"/>
              <w:tabs>
                <w:tab w:val="decimal" w:pos="453"/>
              </w:tabs>
              <w:spacing w:before="80" w:after="80"/>
              <w:ind w:right="227"/>
              <w:jc w:val="right"/>
              <w:rPr>
                <w:sz w:val="18"/>
              </w:rPr>
            </w:pPr>
            <w:r>
              <w:rPr>
                <w:sz w:val="18"/>
              </w:rPr>
              <w:t>90</w:t>
            </w:r>
          </w:p>
        </w:tc>
        <w:tc>
          <w:tcPr>
            <w:tcW w:w="487" w:type="pct"/>
            <w:vAlign w:val="bottom"/>
          </w:tcPr>
          <w:p w:rsidR="00000000" w:rsidRDefault="00000000">
            <w:pPr>
              <w:widowControl w:val="0"/>
              <w:tabs>
                <w:tab w:val="decimal" w:pos="452"/>
              </w:tabs>
              <w:spacing w:before="80" w:after="80"/>
              <w:ind w:right="227"/>
              <w:jc w:val="right"/>
              <w:rPr>
                <w:sz w:val="18"/>
              </w:rPr>
            </w:pPr>
            <w:r>
              <w:rPr>
                <w:sz w:val="18"/>
              </w:rPr>
              <w:t>22</w:t>
            </w:r>
          </w:p>
        </w:tc>
        <w:tc>
          <w:tcPr>
            <w:tcW w:w="404" w:type="pct"/>
            <w:vAlign w:val="bottom"/>
          </w:tcPr>
          <w:p w:rsidR="00000000" w:rsidRDefault="00000000">
            <w:pPr>
              <w:widowControl w:val="0"/>
              <w:tabs>
                <w:tab w:val="decimal" w:pos="510"/>
              </w:tabs>
              <w:spacing w:before="80" w:after="80"/>
              <w:ind w:right="227"/>
              <w:jc w:val="right"/>
              <w:rPr>
                <w:sz w:val="18"/>
              </w:rPr>
            </w:pPr>
            <w:r>
              <w:rPr>
                <w:sz w:val="18"/>
              </w:rPr>
              <w:t>112</w:t>
            </w:r>
          </w:p>
        </w:tc>
        <w:tc>
          <w:tcPr>
            <w:tcW w:w="507" w:type="pct"/>
            <w:vAlign w:val="bottom"/>
          </w:tcPr>
          <w:p w:rsidR="00000000" w:rsidRDefault="00000000">
            <w:pPr>
              <w:widowControl w:val="0"/>
              <w:tabs>
                <w:tab w:val="decimal" w:pos="572"/>
              </w:tabs>
              <w:spacing w:before="80" w:after="80"/>
              <w:ind w:right="227"/>
              <w:jc w:val="right"/>
              <w:rPr>
                <w:sz w:val="18"/>
              </w:rPr>
            </w:pPr>
            <w:r>
              <w:rPr>
                <w:sz w:val="18"/>
              </w:rPr>
              <w:t>100</w:t>
            </w:r>
          </w:p>
        </w:tc>
        <w:tc>
          <w:tcPr>
            <w:tcW w:w="467" w:type="pct"/>
            <w:vAlign w:val="bottom"/>
          </w:tcPr>
          <w:p w:rsidR="00000000" w:rsidRDefault="00000000">
            <w:pPr>
              <w:widowControl w:val="0"/>
              <w:tabs>
                <w:tab w:val="decimal" w:pos="572"/>
              </w:tabs>
              <w:spacing w:before="80" w:after="80"/>
              <w:ind w:right="227"/>
              <w:jc w:val="right"/>
              <w:rPr>
                <w:sz w:val="18"/>
              </w:rPr>
            </w:pPr>
            <w:r>
              <w:rPr>
                <w:sz w:val="18"/>
              </w:rPr>
              <w:t>212</w:t>
            </w:r>
          </w:p>
        </w:tc>
      </w:tr>
      <w:tr w:rsidR="00000000">
        <w:tblPrEx>
          <w:tblCellMar>
            <w:top w:w="0" w:type="dxa"/>
            <w:bottom w:w="0" w:type="dxa"/>
          </w:tblCellMar>
        </w:tblPrEx>
        <w:tc>
          <w:tcPr>
            <w:tcW w:w="504" w:type="pct"/>
            <w:tcBorders>
              <w:bottom w:val="single" w:sz="4" w:space="0" w:color="auto"/>
            </w:tcBorders>
          </w:tcPr>
          <w:p w:rsidR="00000000" w:rsidRDefault="00000000">
            <w:pPr>
              <w:widowControl w:val="0"/>
              <w:tabs>
                <w:tab w:val="left" w:pos="240"/>
              </w:tabs>
              <w:spacing w:before="80" w:after="80"/>
              <w:rPr>
                <w:b/>
                <w:bCs/>
                <w:spacing w:val="-4"/>
                <w:sz w:val="18"/>
              </w:rPr>
            </w:pPr>
            <w:r>
              <w:rPr>
                <w:spacing w:val="-4"/>
                <w:sz w:val="18"/>
              </w:rPr>
              <w:tab/>
            </w:r>
            <w:r>
              <w:rPr>
                <w:b/>
                <w:bCs/>
                <w:spacing w:val="-4"/>
                <w:sz w:val="18"/>
              </w:rPr>
              <w:t>Total</w:t>
            </w:r>
          </w:p>
        </w:tc>
        <w:tc>
          <w:tcPr>
            <w:tcW w:w="304" w:type="pct"/>
            <w:tcBorders>
              <w:bottom w:val="single" w:sz="4" w:space="0" w:color="auto"/>
            </w:tcBorders>
          </w:tcPr>
          <w:p w:rsidR="00000000" w:rsidRDefault="00000000">
            <w:pPr>
              <w:widowControl w:val="0"/>
              <w:tabs>
                <w:tab w:val="decimal" w:pos="471"/>
              </w:tabs>
              <w:spacing w:before="80" w:after="80"/>
              <w:ind w:right="227"/>
              <w:jc w:val="right"/>
              <w:rPr>
                <w:b/>
                <w:bCs/>
                <w:sz w:val="18"/>
              </w:rPr>
            </w:pPr>
            <w:r>
              <w:rPr>
                <w:b/>
                <w:bCs/>
                <w:sz w:val="18"/>
              </w:rPr>
              <w:t>84</w:t>
            </w:r>
          </w:p>
        </w:tc>
        <w:tc>
          <w:tcPr>
            <w:tcW w:w="408" w:type="pct"/>
            <w:tcBorders>
              <w:bottom w:val="single" w:sz="4" w:space="0" w:color="auto"/>
            </w:tcBorders>
          </w:tcPr>
          <w:p w:rsidR="00000000" w:rsidRDefault="00000000">
            <w:pPr>
              <w:widowControl w:val="0"/>
              <w:tabs>
                <w:tab w:val="decimal" w:pos="507"/>
              </w:tabs>
              <w:spacing w:before="80" w:after="80"/>
              <w:ind w:right="227"/>
              <w:jc w:val="right"/>
              <w:rPr>
                <w:b/>
                <w:bCs/>
                <w:sz w:val="18"/>
              </w:rPr>
            </w:pPr>
            <w:r>
              <w:rPr>
                <w:b/>
                <w:bCs/>
                <w:sz w:val="18"/>
              </w:rPr>
              <w:t>84</w:t>
            </w:r>
          </w:p>
        </w:tc>
        <w:tc>
          <w:tcPr>
            <w:tcW w:w="348" w:type="pct"/>
            <w:tcBorders>
              <w:bottom w:val="single" w:sz="4" w:space="0" w:color="auto"/>
            </w:tcBorders>
          </w:tcPr>
          <w:p w:rsidR="00000000" w:rsidRDefault="00000000">
            <w:pPr>
              <w:widowControl w:val="0"/>
              <w:tabs>
                <w:tab w:val="decimal" w:pos="471"/>
              </w:tabs>
              <w:spacing w:before="80" w:after="80"/>
              <w:ind w:right="227"/>
              <w:jc w:val="right"/>
              <w:rPr>
                <w:b/>
                <w:bCs/>
                <w:sz w:val="18"/>
              </w:rPr>
            </w:pPr>
            <w:r>
              <w:rPr>
                <w:b/>
                <w:bCs/>
                <w:sz w:val="18"/>
              </w:rPr>
              <w:t>658</w:t>
            </w:r>
          </w:p>
        </w:tc>
        <w:tc>
          <w:tcPr>
            <w:tcW w:w="422" w:type="pct"/>
            <w:tcBorders>
              <w:bottom w:val="single" w:sz="4" w:space="0" w:color="auto"/>
            </w:tcBorders>
          </w:tcPr>
          <w:p w:rsidR="00000000" w:rsidRDefault="00000000">
            <w:pPr>
              <w:widowControl w:val="0"/>
              <w:tabs>
                <w:tab w:val="decimal" w:pos="471"/>
              </w:tabs>
              <w:spacing w:before="80" w:after="80"/>
              <w:ind w:right="227"/>
              <w:jc w:val="right"/>
              <w:rPr>
                <w:b/>
                <w:bCs/>
                <w:sz w:val="18"/>
              </w:rPr>
            </w:pPr>
            <w:r>
              <w:rPr>
                <w:b/>
                <w:bCs/>
                <w:sz w:val="18"/>
              </w:rPr>
              <w:t>20</w:t>
            </w:r>
          </w:p>
        </w:tc>
        <w:tc>
          <w:tcPr>
            <w:tcW w:w="385" w:type="pct"/>
            <w:tcBorders>
              <w:bottom w:val="single" w:sz="4" w:space="0" w:color="auto"/>
            </w:tcBorders>
          </w:tcPr>
          <w:p w:rsidR="00000000" w:rsidRDefault="00000000">
            <w:pPr>
              <w:widowControl w:val="0"/>
              <w:tabs>
                <w:tab w:val="decimal" w:pos="471"/>
              </w:tabs>
              <w:spacing w:before="80" w:after="80"/>
              <w:ind w:right="227"/>
              <w:jc w:val="right"/>
              <w:rPr>
                <w:b/>
                <w:bCs/>
                <w:sz w:val="18"/>
              </w:rPr>
            </w:pPr>
            <w:r>
              <w:rPr>
                <w:b/>
                <w:bCs/>
                <w:sz w:val="18"/>
              </w:rPr>
              <w:t>20</w:t>
            </w:r>
          </w:p>
        </w:tc>
        <w:tc>
          <w:tcPr>
            <w:tcW w:w="317" w:type="pct"/>
            <w:tcBorders>
              <w:bottom w:val="single" w:sz="4" w:space="0" w:color="auto"/>
            </w:tcBorders>
          </w:tcPr>
          <w:p w:rsidR="00000000" w:rsidRDefault="00000000">
            <w:pPr>
              <w:widowControl w:val="0"/>
              <w:tabs>
                <w:tab w:val="decimal" w:pos="471"/>
              </w:tabs>
              <w:spacing w:before="80" w:after="80"/>
              <w:ind w:right="227"/>
              <w:jc w:val="right"/>
              <w:rPr>
                <w:b/>
                <w:bCs/>
                <w:sz w:val="18"/>
              </w:rPr>
            </w:pPr>
            <w:r>
              <w:rPr>
                <w:b/>
                <w:bCs/>
                <w:sz w:val="18"/>
              </w:rPr>
              <w:t>164</w:t>
            </w:r>
          </w:p>
        </w:tc>
        <w:tc>
          <w:tcPr>
            <w:tcW w:w="447" w:type="pct"/>
            <w:tcBorders>
              <w:bottom w:val="single" w:sz="4" w:space="0" w:color="auto"/>
            </w:tcBorders>
          </w:tcPr>
          <w:p w:rsidR="00000000" w:rsidRDefault="00000000">
            <w:pPr>
              <w:widowControl w:val="0"/>
              <w:tabs>
                <w:tab w:val="decimal" w:pos="453"/>
              </w:tabs>
              <w:spacing w:before="80" w:after="80"/>
              <w:ind w:right="227"/>
              <w:jc w:val="right"/>
              <w:rPr>
                <w:b/>
                <w:bCs/>
                <w:sz w:val="18"/>
              </w:rPr>
            </w:pPr>
            <w:r>
              <w:rPr>
                <w:b/>
                <w:bCs/>
                <w:sz w:val="18"/>
              </w:rPr>
              <w:t>826</w:t>
            </w:r>
          </w:p>
        </w:tc>
        <w:tc>
          <w:tcPr>
            <w:tcW w:w="487" w:type="pct"/>
            <w:tcBorders>
              <w:bottom w:val="single" w:sz="4" w:space="0" w:color="auto"/>
            </w:tcBorders>
          </w:tcPr>
          <w:p w:rsidR="00000000" w:rsidRDefault="00000000">
            <w:pPr>
              <w:widowControl w:val="0"/>
              <w:tabs>
                <w:tab w:val="decimal" w:pos="452"/>
              </w:tabs>
              <w:spacing w:before="80" w:after="80"/>
              <w:ind w:right="227"/>
              <w:jc w:val="right"/>
              <w:rPr>
                <w:b/>
                <w:bCs/>
                <w:sz w:val="18"/>
              </w:rPr>
            </w:pPr>
            <w:r>
              <w:rPr>
                <w:b/>
                <w:bCs/>
                <w:sz w:val="18"/>
              </w:rPr>
              <w:t>204</w:t>
            </w:r>
          </w:p>
        </w:tc>
        <w:tc>
          <w:tcPr>
            <w:tcW w:w="404" w:type="pct"/>
            <w:tcBorders>
              <w:bottom w:val="single" w:sz="4" w:space="0" w:color="auto"/>
            </w:tcBorders>
          </w:tcPr>
          <w:p w:rsidR="00000000" w:rsidRDefault="00000000">
            <w:pPr>
              <w:widowControl w:val="0"/>
              <w:tabs>
                <w:tab w:val="decimal" w:pos="510"/>
              </w:tabs>
              <w:spacing w:before="80" w:after="80"/>
              <w:ind w:right="227"/>
              <w:jc w:val="right"/>
              <w:rPr>
                <w:b/>
                <w:bCs/>
                <w:sz w:val="18"/>
              </w:rPr>
            </w:pPr>
            <w:r>
              <w:rPr>
                <w:b/>
                <w:bCs/>
                <w:sz w:val="18"/>
              </w:rPr>
              <w:t>1 030</w:t>
            </w:r>
          </w:p>
        </w:tc>
        <w:tc>
          <w:tcPr>
            <w:tcW w:w="507" w:type="pct"/>
            <w:tcBorders>
              <w:bottom w:val="single" w:sz="4" w:space="0" w:color="auto"/>
            </w:tcBorders>
          </w:tcPr>
          <w:p w:rsidR="00000000" w:rsidRDefault="00000000">
            <w:pPr>
              <w:widowControl w:val="0"/>
              <w:tabs>
                <w:tab w:val="decimal" w:pos="572"/>
              </w:tabs>
              <w:spacing w:before="80" w:after="80"/>
              <w:ind w:right="227"/>
              <w:jc w:val="right"/>
              <w:rPr>
                <w:b/>
                <w:bCs/>
                <w:sz w:val="18"/>
              </w:rPr>
            </w:pPr>
            <w:r>
              <w:rPr>
                <w:b/>
                <w:bCs/>
                <w:sz w:val="18"/>
              </w:rPr>
              <w:t>376</w:t>
            </w:r>
          </w:p>
        </w:tc>
        <w:tc>
          <w:tcPr>
            <w:tcW w:w="467" w:type="pct"/>
            <w:tcBorders>
              <w:bottom w:val="single" w:sz="4" w:space="0" w:color="auto"/>
            </w:tcBorders>
          </w:tcPr>
          <w:p w:rsidR="00000000" w:rsidRDefault="00000000">
            <w:pPr>
              <w:widowControl w:val="0"/>
              <w:tabs>
                <w:tab w:val="decimal" w:pos="572"/>
              </w:tabs>
              <w:spacing w:before="80" w:after="80"/>
              <w:ind w:right="227"/>
              <w:jc w:val="right"/>
              <w:rPr>
                <w:b/>
                <w:bCs/>
                <w:sz w:val="18"/>
              </w:rPr>
            </w:pPr>
            <w:r>
              <w:rPr>
                <w:b/>
                <w:bCs/>
                <w:sz w:val="18"/>
              </w:rPr>
              <w:t>1 406</w:t>
            </w:r>
          </w:p>
        </w:tc>
      </w:tr>
    </w:tbl>
    <w:p w:rsidR="00000000" w:rsidRDefault="00000000">
      <w:pPr>
        <w:rPr>
          <w:sz w:val="20"/>
          <w:lang w:val="en-US"/>
        </w:rPr>
      </w:pPr>
    </w:p>
    <w:p w:rsidR="00000000" w:rsidRDefault="00000000">
      <w:pPr>
        <w:spacing w:after="120"/>
        <w:jc w:val="center"/>
        <w:rPr>
          <w:b/>
          <w:sz w:val="22"/>
          <w:lang w:val="en-US"/>
        </w:rPr>
      </w:pPr>
      <w:r>
        <w:rPr>
          <w:b/>
          <w:lang w:val="en-US"/>
        </w:rPr>
        <w:br w:type="page"/>
      </w:r>
      <w:r>
        <w:rPr>
          <w:b/>
          <w:sz w:val="22"/>
          <w:lang w:val="en-US"/>
        </w:rPr>
        <w:t>Trends in nutrition situation – Pregnant women in health regions</w:t>
      </w:r>
    </w:p>
    <w:p w:rsidR="00000000" w:rsidRDefault="00000000">
      <w:pPr>
        <w:pStyle w:val="Heading7"/>
        <w:jc w:val="center"/>
        <w:rPr>
          <w:sz w:val="22"/>
          <w:lang w:val="en-US"/>
        </w:rPr>
      </w:pPr>
      <w:r>
        <w:rPr>
          <w:sz w:val="22"/>
          <w:lang w:val="en-US"/>
        </w:rPr>
        <w:t>Paraguay, 2001-2002-2003-2004</w:t>
      </w:r>
    </w:p>
    <w:p w:rsidR="00000000" w:rsidRDefault="00000000">
      <w:r>
        <w:rPr>
          <w:noProof/>
          <w:sz w:val="20"/>
          <w:szCs w:val="18"/>
          <w:lang w:val="fr-FR" w:eastAsia="fr-FR"/>
        </w:rPr>
        <w:pict>
          <v:shape id="_x0000_s2826" type="#_x0000_t202" style="position:absolute;margin-left:24.35pt;margin-top:216.7pt;width:430.35pt;height:20.25pt;z-index:30" stroked="f">
            <v:textbox inset="0,0,0,0">
              <w:txbxContent>
                <w:p w:rsidR="00000000" w:rsidRDefault="00000000">
                  <w:pPr>
                    <w:rPr>
                      <w:lang w:val="de-CH"/>
                    </w:rPr>
                  </w:pPr>
                  <w:r>
                    <w:rPr>
                      <w:sz w:val="18"/>
                      <w:szCs w:val="18"/>
                      <w:lang w:val="de-CH"/>
                    </w:rPr>
                    <w:t xml:space="preserve">        </w:t>
                  </w:r>
                  <w:r>
                    <w:rPr>
                      <w:bCs/>
                      <w:sz w:val="20"/>
                      <w:szCs w:val="18"/>
                      <w:lang w:val="de-CH"/>
                    </w:rPr>
                    <w:t>UNDERWEIGHT</w:t>
                  </w:r>
                  <w:r>
                    <w:rPr>
                      <w:sz w:val="18"/>
                      <w:szCs w:val="18"/>
                      <w:lang w:val="de-CH"/>
                    </w:rPr>
                    <w:t xml:space="preserve">                          </w:t>
                  </w:r>
                  <w:r>
                    <w:rPr>
                      <w:bCs/>
                      <w:sz w:val="20"/>
                      <w:szCs w:val="18"/>
                      <w:lang w:val="de-CH"/>
                    </w:rPr>
                    <w:t>NORMAL</w:t>
                  </w:r>
                  <w:r>
                    <w:rPr>
                      <w:sz w:val="18"/>
                      <w:szCs w:val="18"/>
                      <w:lang w:val="de-CH"/>
                    </w:rPr>
                    <w:t xml:space="preserve">                        </w:t>
                  </w:r>
                  <w:r>
                    <w:rPr>
                      <w:bCs/>
                      <w:sz w:val="20"/>
                      <w:szCs w:val="18"/>
                      <w:lang w:val="de-CH"/>
                    </w:rPr>
                    <w:t>OVERWEIGHT</w:t>
                  </w:r>
                  <w:r>
                    <w:rPr>
                      <w:sz w:val="18"/>
                      <w:szCs w:val="18"/>
                      <w:lang w:val="de-CH"/>
                    </w:rPr>
                    <w:t xml:space="preserve">                        </w:t>
                  </w:r>
                  <w:r>
                    <w:rPr>
                      <w:bCs/>
                      <w:sz w:val="20"/>
                      <w:szCs w:val="18"/>
                      <w:lang w:val="de-CH"/>
                    </w:rPr>
                    <w:t>OBESE</w:t>
                  </w:r>
                </w:p>
              </w:txbxContent>
            </v:textbox>
          </v:shape>
        </w:pict>
      </w:r>
      <w:r>
        <w:pict>
          <v:shape id="_x0000_i1037" type="#_x0000_t75" style="width:453pt;height:249.75pt" o:allowoverlap="f">
            <v:imagedata r:id="rId37" o:title="" croptop="11764f" cropbottom="16805f"/>
          </v:shape>
        </w:pict>
      </w:r>
    </w:p>
    <w:p w:rsidR="00000000" w:rsidRDefault="00000000">
      <w:pPr>
        <w:ind w:firstLine="567"/>
        <w:rPr>
          <w:sz w:val="18"/>
          <w:szCs w:val="18"/>
          <w:lang w:val="en-US"/>
        </w:rPr>
      </w:pPr>
      <w:r>
        <w:rPr>
          <w:i/>
          <w:sz w:val="18"/>
          <w:szCs w:val="18"/>
          <w:lang w:val="en-US"/>
        </w:rPr>
        <w:t xml:space="preserve">Source </w:t>
      </w:r>
      <w:r>
        <w:rPr>
          <w:sz w:val="18"/>
          <w:szCs w:val="18"/>
          <w:lang w:val="en-US"/>
        </w:rPr>
        <w:t>: SISVAN-INAN</w:t>
      </w:r>
      <w:r>
        <w:rPr>
          <w:sz w:val="18"/>
          <w:szCs w:val="18"/>
          <w:lang w:val="en-US"/>
        </w:rPr>
        <w:tab/>
      </w:r>
      <w:r>
        <w:rPr>
          <w:sz w:val="18"/>
          <w:szCs w:val="18"/>
          <w:lang w:val="en-US"/>
        </w:rPr>
        <w:tab/>
      </w:r>
      <w:r>
        <w:rPr>
          <w:sz w:val="18"/>
          <w:szCs w:val="18"/>
          <w:lang w:val="en-US"/>
        </w:rPr>
        <w:tab/>
      </w:r>
      <w:r>
        <w:rPr>
          <w:sz w:val="18"/>
          <w:szCs w:val="18"/>
          <w:lang w:val="en-US"/>
        </w:rPr>
        <w:tab/>
      </w:r>
      <w:r>
        <w:rPr>
          <w:sz w:val="18"/>
          <w:szCs w:val="18"/>
          <w:lang w:val="en-US"/>
        </w:rPr>
        <w:tab/>
        <w:t>RS = Health Regions.</w:t>
      </w:r>
    </w:p>
    <w:p w:rsidR="00000000" w:rsidRDefault="00000000">
      <w:pPr>
        <w:pStyle w:val="Header"/>
        <w:rPr>
          <w:lang w:val="en-US"/>
        </w:rPr>
      </w:pPr>
    </w:p>
    <w:p w:rsidR="00000000" w:rsidRDefault="00000000">
      <w:pPr>
        <w:jc w:val="center"/>
        <w:rPr>
          <w:b/>
          <w:sz w:val="22"/>
          <w:lang w:val="en-US"/>
        </w:rPr>
      </w:pPr>
      <w:r>
        <w:rPr>
          <w:b/>
          <w:sz w:val="22"/>
          <w:lang w:val="en-US"/>
        </w:rPr>
        <w:t>Trends in malnutrition – Children under five by health regions</w:t>
      </w:r>
    </w:p>
    <w:p w:rsidR="00000000" w:rsidRDefault="00000000">
      <w:pPr>
        <w:spacing w:after="240"/>
        <w:jc w:val="center"/>
        <w:rPr>
          <w:b/>
          <w:sz w:val="22"/>
          <w:szCs w:val="18"/>
          <w:lang w:val="en-US"/>
        </w:rPr>
      </w:pPr>
    </w:p>
    <w:p w:rsidR="00000000" w:rsidRDefault="00000000">
      <w:pPr>
        <w:jc w:val="center"/>
      </w:pPr>
      <w:r>
        <w:rPr>
          <w:b/>
          <w:noProof/>
          <w:sz w:val="20"/>
          <w:szCs w:val="18"/>
          <w:lang w:val="fr-FR" w:eastAsia="fr-FR"/>
        </w:rPr>
        <w:pict>
          <v:shape id="_x0000_s2827" type="#_x0000_t202" style="position:absolute;left:0;text-align:left;margin-left:56.55pt;margin-top:264.15pt;width:369pt;height:21.6pt;z-index:31" stroked="f">
            <v:textbox inset="0,0,0,0">
              <w:txbxContent>
                <w:p w:rsidR="00000000" w:rsidRDefault="00000000">
                  <w:pPr>
                    <w:rPr>
                      <w:lang w:val="en-US"/>
                    </w:rPr>
                  </w:pPr>
                  <w:r>
                    <w:rPr>
                      <w:b/>
                      <w:sz w:val="18"/>
                      <w:szCs w:val="18"/>
                      <w:lang w:val="en-US"/>
                    </w:rPr>
                    <w:t xml:space="preserve">     Undernourished          Risk                         Normal           Overweight              Obese</w:t>
                  </w:r>
                </w:p>
              </w:txbxContent>
            </v:textbox>
          </v:shape>
        </w:pict>
      </w:r>
      <w:r>
        <w:pict>
          <v:shape id="_x0000_i1038" type="#_x0000_t75" style="width:362.25pt;height:293.25pt" o:allowoverlap="f">
            <v:imagedata r:id="rId38" o:title="" croptop="6000f" cropbottom="7285f" grayscale="t"/>
          </v:shape>
        </w:pict>
      </w:r>
    </w:p>
    <w:p w:rsidR="00000000" w:rsidRDefault="00000000">
      <w:pPr>
        <w:spacing w:after="240"/>
        <w:jc w:val="center"/>
        <w:rPr>
          <w:b/>
          <w:sz w:val="18"/>
          <w:szCs w:val="18"/>
          <w:lang w:val="en-US"/>
        </w:rPr>
      </w:pPr>
      <w:r>
        <w:rPr>
          <w:i/>
          <w:sz w:val="18"/>
          <w:szCs w:val="18"/>
          <w:lang w:val="en-US"/>
        </w:rPr>
        <w:t xml:space="preserve">Source </w:t>
      </w:r>
      <w:r>
        <w:rPr>
          <w:sz w:val="18"/>
          <w:szCs w:val="18"/>
          <w:lang w:val="en-US"/>
        </w:rPr>
        <w:t>: SISVAN-INAN</w:t>
      </w:r>
      <w:r>
        <w:rPr>
          <w:sz w:val="18"/>
          <w:szCs w:val="18"/>
          <w:lang w:val="en-US"/>
        </w:rPr>
        <w:tab/>
      </w:r>
      <w:r>
        <w:rPr>
          <w:sz w:val="18"/>
          <w:szCs w:val="18"/>
          <w:lang w:val="en-US"/>
        </w:rPr>
        <w:tab/>
      </w:r>
      <w:r>
        <w:rPr>
          <w:sz w:val="18"/>
          <w:szCs w:val="18"/>
          <w:lang w:val="en-US"/>
        </w:rPr>
        <w:tab/>
      </w:r>
      <w:r>
        <w:rPr>
          <w:sz w:val="18"/>
          <w:szCs w:val="18"/>
          <w:lang w:val="en-US"/>
        </w:rPr>
        <w:tab/>
      </w:r>
      <w:r>
        <w:rPr>
          <w:sz w:val="18"/>
          <w:szCs w:val="18"/>
          <w:lang w:val="en-US"/>
        </w:rPr>
        <w:tab/>
        <w:t>RS = Health Regions.</w:t>
      </w:r>
    </w:p>
    <w:p w:rsidR="00000000" w:rsidRDefault="00000000">
      <w:pPr>
        <w:pStyle w:val="xl46"/>
        <w:spacing w:before="0" w:beforeAutospacing="0" w:after="0" w:afterAutospacing="0"/>
        <w:rPr>
          <w:rFonts w:ascii="Times New Roman" w:eastAsia="Times New Roman" w:hAnsi="Times New Roman" w:cs="Times New Roman"/>
          <w:bCs w:val="0"/>
          <w:szCs w:val="24"/>
          <w:lang w:val="en-US" w:eastAsia="en-US"/>
        </w:rPr>
      </w:pPr>
      <w:r>
        <w:rPr>
          <w:rFonts w:ascii="Times New Roman" w:eastAsia="Times New Roman" w:hAnsi="Times New Roman" w:cs="Times New Roman"/>
          <w:bCs w:val="0"/>
          <w:szCs w:val="24"/>
          <w:lang w:val="en-US" w:eastAsia="en-US"/>
        </w:rPr>
        <w:t>Nutritional situation of children and adolescents at school in 9 health regions</w:t>
      </w:r>
      <w:r>
        <w:rPr>
          <w:rFonts w:ascii="Times New Roman" w:eastAsia="Times New Roman" w:hAnsi="Times New Roman" w:cs="Times New Roman"/>
          <w:bCs w:val="0"/>
          <w:szCs w:val="24"/>
          <w:lang w:val="en-US" w:eastAsia="en-US"/>
        </w:rPr>
        <w:br/>
        <w:t>(Canindeyu, Amambay, Alto Paraná, Misiones, Caaguazú, Guairá, San Pedro, Cordillera), 2002</w:t>
      </w:r>
    </w:p>
    <w:p w:rsidR="00000000" w:rsidRDefault="00000000">
      <w:pPr>
        <w:jc w:val="center"/>
        <w:rPr>
          <w:b/>
          <w:sz w:val="22"/>
          <w:szCs w:val="18"/>
          <w:lang w:val="en-US"/>
        </w:rPr>
      </w:pPr>
    </w:p>
    <w:p w:rsidR="00000000" w:rsidRDefault="00000000">
      <w:pPr>
        <w:jc w:val="center"/>
      </w:pPr>
      <w:r>
        <w:rPr>
          <w:noProof/>
          <w:sz w:val="20"/>
          <w:lang w:val="fr-FR" w:eastAsia="fr-FR"/>
        </w:rPr>
        <w:pict>
          <v:shape id="_x0000_s2828" type="#_x0000_t202" style="position:absolute;left:0;text-align:left;margin-left:28.7pt;margin-top:240.1pt;width:414pt;height:21.1pt;z-index:32" stroked="f">
            <v:textbox style="mso-next-textbox:#_x0000_s2828" inset="0,0,0,0">
              <w:txbxContent>
                <w:p w:rsidR="00000000" w:rsidRDefault="00000000">
                  <w:pPr>
                    <w:rPr>
                      <w:sz w:val="20"/>
                      <w:lang w:val="en-US"/>
                    </w:rPr>
                  </w:pPr>
                  <w:r>
                    <w:rPr>
                      <w:b/>
                      <w:sz w:val="18"/>
                      <w:szCs w:val="18"/>
                      <w:lang w:val="en-US"/>
                    </w:rPr>
                    <w:t xml:space="preserve">               </w:t>
                  </w:r>
                  <w:r>
                    <w:rPr>
                      <w:b/>
                      <w:bCs/>
                      <w:sz w:val="20"/>
                      <w:lang w:val="en-US"/>
                    </w:rPr>
                    <w:t>Normal</w:t>
                  </w:r>
                  <w:r>
                    <w:rPr>
                      <w:b/>
                      <w:sz w:val="20"/>
                      <w:szCs w:val="18"/>
                      <w:lang w:val="en-US"/>
                    </w:rPr>
                    <w:t xml:space="preserve">                       Risk                  Malnutrition             </w:t>
                  </w:r>
                  <w:r>
                    <w:rPr>
                      <w:b/>
                      <w:bCs/>
                      <w:sz w:val="20"/>
                    </w:rPr>
                    <w:t>Overweight</w:t>
                  </w:r>
                  <w:r>
                    <w:rPr>
                      <w:b/>
                      <w:sz w:val="20"/>
                      <w:szCs w:val="18"/>
                      <w:lang w:val="en-US"/>
                    </w:rPr>
                    <w:t xml:space="preserve">                Obese</w:t>
                  </w:r>
                </w:p>
              </w:txbxContent>
            </v:textbox>
          </v:shape>
        </w:pict>
      </w:r>
      <w:bookmarkStart w:id="52" w:name="_MON_1249134294"/>
      <w:bookmarkStart w:id="53" w:name="_MON_1249134433"/>
      <w:bookmarkStart w:id="54" w:name="_MON_1249175086"/>
      <w:bookmarkStart w:id="55" w:name="_MON_1252583243"/>
      <w:bookmarkStart w:id="56" w:name="_MON_1252583462"/>
      <w:bookmarkEnd w:id="52"/>
      <w:bookmarkEnd w:id="53"/>
      <w:bookmarkEnd w:id="54"/>
      <w:bookmarkEnd w:id="55"/>
      <w:bookmarkEnd w:id="56"/>
      <w:r>
        <w:object w:dxaOrig="8490" w:dyaOrig="5888">
          <v:shape id="_x0000_i1039" type="#_x0000_t75" style="width:459.75pt;height:290.25pt" o:ole="">
            <v:imagedata r:id="rId39" o:title="" croptop="5679f" grayscale="t"/>
          </v:shape>
          <o:OLEObject Type="Embed" ProgID="Word.Picture.8" ShapeID="_x0000_i1039" DrawAspect="Content" ObjectID="_1394904857" r:id="rId40"/>
        </w:object>
      </w:r>
    </w:p>
    <w:p w:rsidR="00000000" w:rsidRDefault="00000000">
      <w:pPr>
        <w:jc w:val="center"/>
        <w:rPr>
          <w:b/>
          <w:sz w:val="22"/>
          <w:szCs w:val="18"/>
          <w:lang w:val="en-US"/>
        </w:rPr>
      </w:pPr>
      <w:r>
        <w:rPr>
          <w:b/>
          <w:sz w:val="22"/>
          <w:lang w:val="en-US"/>
        </w:rPr>
        <w:t>Heights of children and adolescents at school in 9 health regions (Canindeyu, Amambay, Alto Paraná, Misiones, Caaguazú, Guairá, San Pedro, Cordillera)</w:t>
      </w:r>
      <w:r>
        <w:rPr>
          <w:b/>
          <w:sz w:val="22"/>
          <w:szCs w:val="18"/>
          <w:lang w:val="en-US"/>
        </w:rPr>
        <w:t>, 2002</w:t>
      </w:r>
    </w:p>
    <w:p w:rsidR="00000000" w:rsidRDefault="00000000">
      <w:pPr>
        <w:spacing w:after="240"/>
        <w:jc w:val="center"/>
        <w:rPr>
          <w:b/>
          <w:sz w:val="18"/>
          <w:szCs w:val="18"/>
          <w:lang w:val="en-US"/>
        </w:rPr>
      </w:pPr>
    </w:p>
    <w:bookmarkStart w:id="57" w:name="_MON_1249182125"/>
    <w:bookmarkStart w:id="58" w:name="_MON_1249182492"/>
    <w:bookmarkStart w:id="59" w:name="_MON_1249182544"/>
    <w:bookmarkStart w:id="60" w:name="_MON_1252581814"/>
    <w:bookmarkStart w:id="61" w:name="_MON_1252583535"/>
    <w:bookmarkStart w:id="62" w:name="_MON_1251855545"/>
    <w:bookmarkEnd w:id="57"/>
    <w:bookmarkEnd w:id="58"/>
    <w:bookmarkEnd w:id="59"/>
    <w:bookmarkEnd w:id="60"/>
    <w:bookmarkEnd w:id="61"/>
    <w:bookmarkEnd w:id="62"/>
    <w:p w:rsidR="00000000" w:rsidRDefault="00000000">
      <w:pPr>
        <w:spacing w:after="240"/>
        <w:jc w:val="center"/>
      </w:pPr>
      <w:r>
        <w:object w:dxaOrig="8321" w:dyaOrig="4701">
          <v:shape id="_x0000_i1040" type="#_x0000_t75" style="width:416.25pt;height:246.75pt" o:ole="">
            <v:imagedata r:id="rId41" o:title="" croptop="6402f" cropbottom="4426f" cropleft="-2143f" cropright="5090f" grayscale="t"/>
          </v:shape>
          <o:OLEObject Type="Embed" ProgID="Word.Picture.8" ShapeID="_x0000_i1040" DrawAspect="Content" ObjectID="_1394904858" r:id="rId42"/>
        </w:object>
      </w:r>
    </w:p>
    <w:p w:rsidR="00000000" w:rsidRDefault="00000000">
      <w:pPr>
        <w:pStyle w:val="Header"/>
        <w:tabs>
          <w:tab w:val="clear" w:pos="4320"/>
          <w:tab w:val="clear" w:pos="8640"/>
        </w:tabs>
        <w:spacing w:after="240"/>
        <w:rPr>
          <w:lang w:val="en-US"/>
        </w:rPr>
      </w:pPr>
    </w:p>
    <w:p w:rsidR="00000000" w:rsidRDefault="00000000">
      <w:pPr>
        <w:spacing w:after="240"/>
        <w:rPr>
          <w:lang w:val="en-US"/>
        </w:rPr>
      </w:pPr>
    </w:p>
    <w:p w:rsidR="00000000" w:rsidRDefault="00000000">
      <w:pPr>
        <w:jc w:val="center"/>
        <w:rPr>
          <w:b/>
          <w:sz w:val="22"/>
          <w:lang w:val="en-US"/>
        </w:rPr>
      </w:pPr>
      <w:r>
        <w:rPr>
          <w:b/>
          <w:sz w:val="22"/>
          <w:lang w:val="en-US"/>
        </w:rPr>
        <w:t>Nutritional status of children and adolescents at school in 6 health regions (Caazapá, Misiones, Central, San Pedro, Paraguari, Alto Paraná), Paraguay, 2003</w:t>
      </w:r>
    </w:p>
    <w:p w:rsidR="00000000" w:rsidRDefault="00000000">
      <w:pPr>
        <w:spacing w:after="240"/>
        <w:jc w:val="center"/>
        <w:rPr>
          <w:sz w:val="22"/>
          <w:lang w:val="en-US"/>
        </w:rPr>
      </w:pPr>
    </w:p>
    <w:p w:rsidR="00000000" w:rsidRDefault="00000000">
      <w:pPr>
        <w:spacing w:after="240"/>
        <w:rPr>
          <w:b/>
          <w:sz w:val="18"/>
          <w:szCs w:val="18"/>
          <w:lang w:val="en-US"/>
        </w:rPr>
      </w:pPr>
      <w:r>
        <w:rPr>
          <w:noProof/>
          <w:sz w:val="20"/>
          <w:lang w:val="fr-FR" w:eastAsia="fr-FR"/>
        </w:rPr>
        <w:pict>
          <v:shape id="_x0000_s2829" type="#_x0000_t202" style="position:absolute;margin-left:81pt;margin-top:19.9pt;width:36.15pt;height:183.45pt;z-index:33" stroked="f">
            <v:textbox inset="0,0,0,0">
              <w:txbxContent>
                <w:p w:rsidR="00000000" w:rsidRDefault="00000000">
                  <w:pPr>
                    <w:rPr>
                      <w:b/>
                      <w:bCs/>
                      <w:sz w:val="18"/>
                    </w:rPr>
                  </w:pPr>
                </w:p>
                <w:p w:rsidR="00000000" w:rsidRDefault="00000000">
                  <w:pPr>
                    <w:rPr>
                      <w:b/>
                      <w:bCs/>
                      <w:sz w:val="18"/>
                    </w:rPr>
                  </w:pPr>
                </w:p>
                <w:p w:rsidR="00000000" w:rsidRDefault="00000000">
                  <w:pPr>
                    <w:spacing w:after="140"/>
                    <w:jc w:val="right"/>
                    <w:rPr>
                      <w:b/>
                      <w:bCs/>
                      <w:sz w:val="18"/>
                    </w:rPr>
                  </w:pPr>
                  <w:r>
                    <w:rPr>
                      <w:b/>
                      <w:bCs/>
                      <w:sz w:val="18"/>
                    </w:rPr>
                    <w:t>80</w:t>
                  </w:r>
                </w:p>
                <w:p w:rsidR="00000000" w:rsidRDefault="00000000">
                  <w:pPr>
                    <w:spacing w:after="140"/>
                    <w:jc w:val="right"/>
                    <w:rPr>
                      <w:b/>
                      <w:bCs/>
                      <w:sz w:val="18"/>
                    </w:rPr>
                  </w:pPr>
                  <w:r>
                    <w:rPr>
                      <w:b/>
                      <w:bCs/>
                      <w:sz w:val="18"/>
                    </w:rPr>
                    <w:t>70</w:t>
                  </w:r>
                </w:p>
                <w:p w:rsidR="00000000" w:rsidRDefault="00000000">
                  <w:pPr>
                    <w:spacing w:after="160"/>
                    <w:jc w:val="right"/>
                    <w:rPr>
                      <w:b/>
                      <w:bCs/>
                      <w:sz w:val="18"/>
                    </w:rPr>
                  </w:pPr>
                  <w:r>
                    <w:rPr>
                      <w:b/>
                      <w:bCs/>
                      <w:sz w:val="18"/>
                    </w:rPr>
                    <w:t>60</w:t>
                  </w:r>
                </w:p>
                <w:p w:rsidR="00000000" w:rsidRDefault="00000000">
                  <w:pPr>
                    <w:spacing w:after="140"/>
                    <w:jc w:val="right"/>
                    <w:rPr>
                      <w:b/>
                      <w:bCs/>
                      <w:sz w:val="18"/>
                    </w:rPr>
                  </w:pPr>
                  <w:r>
                    <w:rPr>
                      <w:b/>
                      <w:bCs/>
                      <w:sz w:val="18"/>
                    </w:rPr>
                    <w:t>50</w:t>
                  </w:r>
                </w:p>
                <w:p w:rsidR="00000000" w:rsidRDefault="00000000">
                  <w:pPr>
                    <w:spacing w:after="140"/>
                    <w:jc w:val="right"/>
                    <w:rPr>
                      <w:b/>
                      <w:bCs/>
                      <w:sz w:val="18"/>
                    </w:rPr>
                  </w:pPr>
                  <w:r>
                    <w:rPr>
                      <w:b/>
                      <w:bCs/>
                      <w:sz w:val="18"/>
                    </w:rPr>
                    <w:t xml:space="preserve">  </w:t>
                  </w:r>
                  <w:r>
                    <w:rPr>
                      <w:b/>
                      <w:bCs/>
                    </w:rPr>
                    <w:t xml:space="preserve">%  </w:t>
                  </w:r>
                  <w:r>
                    <w:rPr>
                      <w:b/>
                      <w:bCs/>
                      <w:sz w:val="18"/>
                    </w:rPr>
                    <w:t>40</w:t>
                  </w:r>
                </w:p>
                <w:p w:rsidR="00000000" w:rsidRDefault="00000000">
                  <w:pPr>
                    <w:spacing w:after="140"/>
                    <w:jc w:val="right"/>
                    <w:rPr>
                      <w:b/>
                      <w:bCs/>
                      <w:sz w:val="18"/>
                    </w:rPr>
                  </w:pPr>
                  <w:r>
                    <w:rPr>
                      <w:b/>
                      <w:bCs/>
                      <w:sz w:val="18"/>
                    </w:rPr>
                    <w:t>30</w:t>
                  </w:r>
                </w:p>
                <w:p w:rsidR="00000000" w:rsidRDefault="00000000">
                  <w:pPr>
                    <w:spacing w:after="140"/>
                    <w:jc w:val="right"/>
                    <w:rPr>
                      <w:b/>
                      <w:bCs/>
                      <w:sz w:val="18"/>
                    </w:rPr>
                  </w:pPr>
                  <w:r>
                    <w:rPr>
                      <w:b/>
                      <w:bCs/>
                      <w:sz w:val="18"/>
                    </w:rPr>
                    <w:t>20</w:t>
                  </w:r>
                </w:p>
                <w:p w:rsidR="00000000" w:rsidRDefault="00000000">
                  <w:pPr>
                    <w:spacing w:after="140"/>
                    <w:jc w:val="right"/>
                    <w:rPr>
                      <w:b/>
                      <w:bCs/>
                      <w:sz w:val="18"/>
                    </w:rPr>
                  </w:pPr>
                  <w:r>
                    <w:rPr>
                      <w:b/>
                      <w:bCs/>
                      <w:sz w:val="18"/>
                    </w:rPr>
                    <w:t>10</w:t>
                  </w:r>
                </w:p>
                <w:p w:rsidR="00000000" w:rsidRDefault="00000000">
                  <w:pPr>
                    <w:jc w:val="right"/>
                    <w:rPr>
                      <w:b/>
                      <w:bCs/>
                      <w:sz w:val="18"/>
                    </w:rPr>
                  </w:pPr>
                  <w:r>
                    <w:rPr>
                      <w:b/>
                      <w:bCs/>
                      <w:sz w:val="18"/>
                    </w:rPr>
                    <w:t>0</w:t>
                  </w:r>
                </w:p>
              </w:txbxContent>
            </v:textbox>
          </v:shape>
        </w:pict>
      </w:r>
    </w:p>
    <w:p w:rsidR="00000000" w:rsidRDefault="00000000">
      <w:pPr>
        <w:spacing w:after="240"/>
        <w:jc w:val="center"/>
      </w:pPr>
      <w:r>
        <w:rPr>
          <w:noProof/>
          <w:sz w:val="20"/>
          <w:lang w:val="fr-FR" w:eastAsia="fr-FR"/>
        </w:rPr>
        <w:pict>
          <v:shape id="_x0000_s2833" type="#_x0000_t202" style="position:absolute;left:0;text-align:left;margin-left:129.65pt;margin-top:167.1pt;width:273.15pt;height:23.45pt;z-index:37" stroked="f">
            <v:textbox inset="0,0,0,0">
              <w:txbxContent>
                <w:p w:rsidR="00000000" w:rsidRDefault="00000000">
                  <w:pPr>
                    <w:rPr>
                      <w:b/>
                      <w:sz w:val="18"/>
                      <w:szCs w:val="18"/>
                      <w:lang w:val="en-US"/>
                    </w:rPr>
                  </w:pPr>
                  <w:r>
                    <w:rPr>
                      <w:b/>
                      <w:sz w:val="18"/>
                      <w:szCs w:val="18"/>
                      <w:lang w:val="en-US"/>
                    </w:rPr>
                    <w:t xml:space="preserve">     </w:t>
                  </w:r>
                  <w:r>
                    <w:rPr>
                      <w:b/>
                      <w:bCs/>
                      <w:sz w:val="20"/>
                      <w:lang w:val="en-US"/>
                    </w:rPr>
                    <w:t>Normal height</w:t>
                  </w:r>
                  <w:r>
                    <w:rPr>
                      <w:b/>
                      <w:sz w:val="18"/>
                      <w:szCs w:val="18"/>
                      <w:lang w:val="en-US"/>
                    </w:rPr>
                    <w:t xml:space="preserve">         </w:t>
                  </w:r>
                  <w:r>
                    <w:rPr>
                      <w:b/>
                      <w:bCs/>
                      <w:sz w:val="20"/>
                      <w:lang w:val="en-US"/>
                    </w:rPr>
                    <w:t>Risk of TB from</w:t>
                  </w:r>
                  <w:r>
                    <w:rPr>
                      <w:b/>
                      <w:sz w:val="18"/>
                      <w:szCs w:val="18"/>
                      <w:lang w:val="en-US"/>
                    </w:rPr>
                    <w:t xml:space="preserve">           </w:t>
                  </w:r>
                  <w:r>
                    <w:rPr>
                      <w:b/>
                      <w:bCs/>
                      <w:sz w:val="20"/>
                      <w:lang w:val="en-US"/>
                    </w:rPr>
                    <w:t>Subnormal height</w:t>
                  </w:r>
                </w:p>
                <w:p w:rsidR="00000000" w:rsidRDefault="00000000">
                  <w:pPr>
                    <w:jc w:val="right"/>
                    <w:rPr>
                      <w:lang w:val="fr-FR"/>
                    </w:rPr>
                  </w:pPr>
                  <w:r>
                    <w:rPr>
                      <w:b/>
                      <w:bCs/>
                      <w:sz w:val="20"/>
                      <w:lang w:val="en-US"/>
                    </w:rPr>
                    <w:t xml:space="preserve">malnutrition    </w:t>
                  </w:r>
                  <w:r>
                    <w:rPr>
                      <w:b/>
                      <w:sz w:val="18"/>
                      <w:szCs w:val="18"/>
                      <w:lang w:val="fr-FR"/>
                    </w:rPr>
                    <w:t xml:space="preserve">                     </w:t>
                  </w:r>
                  <w:r>
                    <w:rPr>
                      <w:b/>
                      <w:sz w:val="18"/>
                      <w:szCs w:val="16"/>
                      <w:lang w:val="fr-FR"/>
                    </w:rPr>
                    <w:t>SISVAN-INAN</w:t>
                  </w:r>
                </w:p>
              </w:txbxContent>
            </v:textbox>
          </v:shape>
        </w:pict>
      </w:r>
      <w:r>
        <w:rPr>
          <w:noProof/>
          <w:sz w:val="20"/>
          <w:lang w:val="fr-FR" w:eastAsia="fr-FR"/>
        </w:rPr>
        <w:pict>
          <v:shape id="_x0000_s2830" type="#_x0000_t202" style="position:absolute;left:0;text-align:left;margin-left:159.85pt;margin-top:6.55pt;width:27.15pt;height:17.9pt;z-index:34" stroked="f">
            <v:textbox inset="0,0,0,0">
              <w:txbxContent>
                <w:p w:rsidR="00000000" w:rsidRDefault="00000000">
                  <w:pPr>
                    <w:jc w:val="center"/>
                    <w:rPr>
                      <w:b/>
                      <w:bCs/>
                      <w:sz w:val="20"/>
                    </w:rPr>
                  </w:pPr>
                  <w:r>
                    <w:rPr>
                      <w:b/>
                      <w:bCs/>
                      <w:sz w:val="20"/>
                    </w:rPr>
                    <w:t>70.6</w:t>
                  </w:r>
                </w:p>
              </w:txbxContent>
            </v:textbox>
          </v:shape>
        </w:pict>
      </w:r>
      <w:r>
        <w:rPr>
          <w:noProof/>
          <w:sz w:val="20"/>
          <w:lang w:val="fr-FR" w:eastAsia="fr-FR"/>
        </w:rPr>
        <w:pict>
          <v:shape id="_x0000_s2832" type="#_x0000_t202" style="position:absolute;left:0;text-align:left;margin-left:338.85pt;margin-top:123.55pt;width:27.15pt;height:20pt;z-index:36" stroked="f">
            <v:textbox inset="0,0,0,0">
              <w:txbxContent>
                <w:p w:rsidR="00000000" w:rsidRDefault="00000000">
                  <w:pPr>
                    <w:jc w:val="center"/>
                    <w:rPr>
                      <w:b/>
                      <w:bCs/>
                      <w:sz w:val="20"/>
                    </w:rPr>
                  </w:pPr>
                  <w:r>
                    <w:rPr>
                      <w:b/>
                      <w:bCs/>
                      <w:sz w:val="20"/>
                    </w:rPr>
                    <w:t>2.0</w:t>
                  </w:r>
                </w:p>
              </w:txbxContent>
            </v:textbox>
          </v:shape>
        </w:pict>
      </w:r>
      <w:r>
        <w:rPr>
          <w:noProof/>
          <w:sz w:val="20"/>
          <w:lang w:val="fr-FR" w:eastAsia="fr-FR"/>
        </w:rPr>
        <w:pict>
          <v:shape id="_x0000_s2831" type="#_x0000_t202" style="position:absolute;left:0;text-align:left;margin-left:247pt;margin-top:81.65pt;width:27.15pt;height:18.9pt;z-index:35" stroked="f">
            <v:textbox inset="0,0,0,0">
              <w:txbxContent>
                <w:p w:rsidR="00000000" w:rsidRDefault="00000000">
                  <w:pPr>
                    <w:rPr>
                      <w:b/>
                      <w:bCs/>
                      <w:sz w:val="20"/>
                    </w:rPr>
                  </w:pPr>
                  <w:r>
                    <w:rPr>
                      <w:b/>
                      <w:bCs/>
                      <w:sz w:val="20"/>
                    </w:rPr>
                    <w:t>27.4</w:t>
                  </w:r>
                </w:p>
              </w:txbxContent>
            </v:textbox>
          </v:shape>
        </w:pict>
      </w:r>
      <w:bookmarkStart w:id="63" w:name="_MON_1249173941"/>
      <w:bookmarkEnd w:id="63"/>
      <w:r>
        <w:object w:dxaOrig="5510" w:dyaOrig="3199">
          <v:shape id="_x0000_i1041" type="#_x0000_t75" style="width:344.25pt;height:200.25pt" o:ole="">
            <v:imagedata r:id="rId43" o:title="" croptop="15330f" cropbottom="8710f" cropleft="10182f" cropright="5597f" grayscale="t"/>
          </v:shape>
          <o:OLEObject Type="Embed" ProgID="Word.Picture.8" ShapeID="_x0000_i1041" DrawAspect="Content" ObjectID="_1394904859" r:id="rId44"/>
        </w:object>
      </w:r>
    </w:p>
    <w:p w:rsidR="00000000" w:rsidRDefault="00000000">
      <w:pPr>
        <w:pStyle w:val="xl46"/>
        <w:spacing w:before="0" w:beforeAutospacing="0" w:after="0" w:afterAutospacing="0"/>
        <w:rPr>
          <w:rFonts w:ascii="Times New Roman" w:eastAsia="Times New Roman" w:hAnsi="Times New Roman" w:cs="Times New Roman"/>
          <w:bCs w:val="0"/>
          <w:szCs w:val="24"/>
          <w:lang w:val="en-US" w:eastAsia="en-US"/>
        </w:rPr>
      </w:pPr>
      <w:r>
        <w:rPr>
          <w:rFonts w:ascii="Times New Roman" w:eastAsia="Times New Roman" w:hAnsi="Times New Roman" w:cs="Times New Roman"/>
          <w:bCs w:val="0"/>
          <w:szCs w:val="24"/>
          <w:lang w:val="en-US" w:eastAsia="en-US"/>
        </w:rPr>
        <w:t>Nutritional situation of children and adolescents at school in 5 health regions</w:t>
      </w:r>
      <w:r>
        <w:rPr>
          <w:rFonts w:ascii="Times New Roman" w:eastAsia="Times New Roman" w:hAnsi="Times New Roman" w:cs="Times New Roman"/>
          <w:bCs w:val="0"/>
          <w:szCs w:val="24"/>
          <w:lang w:val="en-US" w:eastAsia="en-US"/>
        </w:rPr>
        <w:br/>
        <w:t>(Caazapá, San Pedro, Cordillera, Amambay, Misiones), 2004</w:t>
      </w:r>
    </w:p>
    <w:p w:rsidR="00000000" w:rsidRDefault="00000000">
      <w:pPr>
        <w:spacing w:after="240"/>
        <w:jc w:val="center"/>
        <w:rPr>
          <w:b/>
          <w:sz w:val="22"/>
          <w:szCs w:val="16"/>
          <w:lang w:val="en-US"/>
        </w:rPr>
      </w:pPr>
    </w:p>
    <w:p w:rsidR="00000000" w:rsidRDefault="00000000">
      <w:pPr>
        <w:spacing w:after="240"/>
        <w:jc w:val="center"/>
        <w:rPr>
          <w:b/>
          <w:sz w:val="16"/>
          <w:szCs w:val="16"/>
        </w:rPr>
      </w:pPr>
      <w:r>
        <w:rPr>
          <w:noProof/>
          <w:sz w:val="20"/>
          <w:lang w:val="fr-FR" w:eastAsia="fr-FR"/>
        </w:rPr>
        <w:pict>
          <v:shape id="_x0000_s2840" type="#_x0000_t202" style="position:absolute;left:0;text-align:left;margin-left:79.65pt;margin-top:.05pt;width:34.35pt;height:13pt;z-index:44" stroked="f">
            <v:textbox inset="0,0,0,0">
              <w:txbxContent>
                <w:p w:rsidR="00000000" w:rsidRDefault="00000000">
                  <w:pPr>
                    <w:jc w:val="center"/>
                    <w:rPr>
                      <w:b/>
                      <w:bCs/>
                      <w:sz w:val="20"/>
                    </w:rPr>
                  </w:pPr>
                  <w:r>
                    <w:rPr>
                      <w:b/>
                      <w:bCs/>
                      <w:sz w:val="20"/>
                    </w:rPr>
                    <w:t>76.0</w:t>
                  </w:r>
                </w:p>
              </w:txbxContent>
            </v:textbox>
          </v:shape>
        </w:pict>
      </w:r>
      <w:r>
        <w:rPr>
          <w:noProof/>
          <w:sz w:val="20"/>
          <w:lang w:val="fr-FR" w:eastAsia="fr-FR"/>
        </w:rPr>
        <w:pict>
          <v:shape id="_x0000_s2836" type="#_x0000_t202" style="position:absolute;left:0;text-align:left;margin-left:1in;margin-top:227.15pt;width:365pt;height:62.45pt;z-index:40" stroked="f">
            <v:textbox inset="0,0,0,0">
              <w:txbxContent>
                <w:p w:rsidR="00000000" w:rsidRDefault="00000000">
                  <w:pPr>
                    <w:spacing w:after="240"/>
                    <w:rPr>
                      <w:b/>
                      <w:sz w:val="18"/>
                      <w:szCs w:val="16"/>
                      <w:lang w:val="en-US"/>
                    </w:rPr>
                  </w:pPr>
                  <w:r>
                    <w:rPr>
                      <w:b/>
                      <w:sz w:val="18"/>
                      <w:szCs w:val="16"/>
                      <w:lang w:val="en-US"/>
                    </w:rPr>
                    <w:t xml:space="preserve">  </w:t>
                  </w:r>
                  <w:r>
                    <w:rPr>
                      <w:b/>
                      <w:bCs/>
                      <w:sz w:val="20"/>
                      <w:lang w:val="en-US"/>
                    </w:rPr>
                    <w:t>Entropic</w:t>
                  </w:r>
                  <w:r>
                    <w:rPr>
                      <w:b/>
                      <w:sz w:val="18"/>
                      <w:szCs w:val="16"/>
                      <w:lang w:val="en-US"/>
                    </w:rPr>
                    <w:t xml:space="preserve">        </w:t>
                  </w:r>
                  <w:r>
                    <w:rPr>
                      <w:b/>
                      <w:bCs/>
                      <w:sz w:val="20"/>
                      <w:lang w:val="en-US"/>
                    </w:rPr>
                    <w:t>Risk of malnutrition</w:t>
                  </w:r>
                  <w:r>
                    <w:rPr>
                      <w:b/>
                      <w:sz w:val="18"/>
                      <w:szCs w:val="16"/>
                      <w:lang w:val="en-US"/>
                    </w:rPr>
                    <w:t xml:space="preserve">    </w:t>
                  </w:r>
                  <w:r>
                    <w:rPr>
                      <w:b/>
                      <w:bCs/>
                      <w:sz w:val="20"/>
                      <w:lang w:val="en-US"/>
                    </w:rPr>
                    <w:t>Malnutrition</w:t>
                  </w:r>
                  <w:r>
                    <w:rPr>
                      <w:b/>
                      <w:sz w:val="18"/>
                      <w:szCs w:val="16"/>
                      <w:lang w:val="en-US"/>
                    </w:rPr>
                    <w:t xml:space="preserve">         </w:t>
                  </w:r>
                  <w:r>
                    <w:rPr>
                      <w:b/>
                      <w:bCs/>
                      <w:sz w:val="20"/>
                      <w:lang w:val="en-US"/>
                    </w:rPr>
                    <w:t>Overweight</w:t>
                  </w:r>
                  <w:r>
                    <w:rPr>
                      <w:b/>
                      <w:sz w:val="18"/>
                      <w:szCs w:val="16"/>
                      <w:lang w:val="en-US"/>
                    </w:rPr>
                    <w:t xml:space="preserve">                  </w:t>
                  </w:r>
                  <w:r>
                    <w:rPr>
                      <w:b/>
                      <w:bCs/>
                      <w:sz w:val="20"/>
                      <w:lang w:val="en-US"/>
                    </w:rPr>
                    <w:t>Obese</w:t>
                  </w:r>
                </w:p>
                <w:p w:rsidR="00000000" w:rsidRDefault="00000000">
                  <w:pPr>
                    <w:spacing w:after="240"/>
                    <w:rPr>
                      <w:b/>
                      <w:sz w:val="18"/>
                      <w:szCs w:val="16"/>
                      <w:lang w:val="fr-FR"/>
                    </w:rPr>
                  </w:pPr>
                  <w:r>
                    <w:rPr>
                      <w:b/>
                      <w:sz w:val="18"/>
                      <w:szCs w:val="16"/>
                      <w:lang w:val="en-US"/>
                    </w:rPr>
                    <w:t xml:space="preserve">                                        </w:t>
                  </w:r>
                  <w:r>
                    <w:rPr>
                      <w:b/>
                      <w:sz w:val="18"/>
                      <w:szCs w:val="16"/>
                      <w:lang w:val="fr-FR"/>
                    </w:rPr>
                    <w:t>*IMC                                                                 SISVAN-INAN</w:t>
                  </w:r>
                </w:p>
                <w:p w:rsidR="00000000" w:rsidRDefault="00000000">
                  <w:pPr>
                    <w:pStyle w:val="Heading8"/>
                    <w:spacing w:after="240"/>
                    <w:rPr>
                      <w:sz w:val="18"/>
                      <w:szCs w:val="24"/>
                      <w:lang w:val="en-US"/>
                    </w:rPr>
                  </w:pPr>
                  <w:r>
                    <w:rPr>
                      <w:szCs w:val="24"/>
                      <w:lang w:val="en-US"/>
                    </w:rPr>
                    <w:t>MSPyBS</w:t>
                  </w:r>
                </w:p>
                <w:p w:rsidR="00000000" w:rsidRDefault="00000000">
                  <w:pPr>
                    <w:rPr>
                      <w:lang w:val="fr-FR"/>
                    </w:rPr>
                  </w:pPr>
                </w:p>
              </w:txbxContent>
            </v:textbox>
          </v:shape>
        </w:pict>
      </w:r>
      <w:r>
        <w:rPr>
          <w:noProof/>
          <w:sz w:val="20"/>
          <w:lang w:val="fr-FR" w:eastAsia="fr-FR"/>
        </w:rPr>
        <w:pict>
          <v:shape id="_x0000_s2837" type="#_x0000_t202" style="position:absolute;left:0;text-align:left;margin-left:311pt;margin-top:174.15pt;width:36pt;height:16.45pt;z-index:41" stroked="f">
            <v:textbox inset="0,0,0,0">
              <w:txbxContent>
                <w:p w:rsidR="00000000" w:rsidRDefault="00000000">
                  <w:pPr>
                    <w:jc w:val="center"/>
                    <w:rPr>
                      <w:b/>
                      <w:bCs/>
                      <w:sz w:val="20"/>
                    </w:rPr>
                  </w:pPr>
                  <w:r>
                    <w:rPr>
                      <w:b/>
                      <w:bCs/>
                      <w:sz w:val="20"/>
                    </w:rPr>
                    <w:t>10.8</w:t>
                  </w:r>
                </w:p>
              </w:txbxContent>
            </v:textbox>
          </v:shape>
        </w:pict>
      </w:r>
      <w:r>
        <w:rPr>
          <w:noProof/>
          <w:sz w:val="20"/>
          <w:lang w:val="fr-FR" w:eastAsia="fr-FR"/>
        </w:rPr>
        <w:pict>
          <v:shape id="_x0000_s2838" type="#_x0000_t202" style="position:absolute;left:0;text-align:left;margin-left:234pt;margin-top:199.6pt;width:36pt;height:16.45pt;z-index:42" stroked="f">
            <v:textbox inset="0,0,0,0">
              <w:txbxContent>
                <w:p w:rsidR="00000000" w:rsidRDefault="00000000">
                  <w:pPr>
                    <w:jc w:val="center"/>
                    <w:rPr>
                      <w:b/>
                      <w:bCs/>
                      <w:sz w:val="20"/>
                    </w:rPr>
                  </w:pPr>
                  <w:r>
                    <w:rPr>
                      <w:b/>
                      <w:bCs/>
                      <w:sz w:val="20"/>
                    </w:rPr>
                    <w:t>0.6</w:t>
                  </w:r>
                </w:p>
              </w:txbxContent>
            </v:textbox>
          </v:shape>
        </w:pict>
      </w:r>
      <w:r>
        <w:rPr>
          <w:noProof/>
          <w:sz w:val="20"/>
          <w:lang w:val="fr-FR" w:eastAsia="fr-FR"/>
        </w:rPr>
        <w:pict>
          <v:shape id="_x0000_s2839" type="#_x0000_t202" style="position:absolute;left:0;text-align:left;margin-left:154pt;margin-top:185.6pt;width:36pt;height:16.45pt;z-index:43" stroked="f">
            <v:textbox inset="0,0,0,0">
              <w:txbxContent>
                <w:p w:rsidR="00000000" w:rsidRDefault="00000000">
                  <w:pPr>
                    <w:jc w:val="center"/>
                    <w:rPr>
                      <w:b/>
                      <w:bCs/>
                      <w:sz w:val="20"/>
                    </w:rPr>
                  </w:pPr>
                  <w:r>
                    <w:rPr>
                      <w:b/>
                      <w:bCs/>
                      <w:sz w:val="20"/>
                    </w:rPr>
                    <w:t>6.1</w:t>
                  </w:r>
                </w:p>
              </w:txbxContent>
            </v:textbox>
          </v:shape>
        </w:pict>
      </w:r>
      <w:r>
        <w:rPr>
          <w:noProof/>
          <w:sz w:val="20"/>
          <w:lang w:val="fr-FR" w:eastAsia="fr-FR"/>
        </w:rPr>
        <w:pict>
          <v:shape id="_x0000_s2835" type="#_x0000_t202" style="position:absolute;left:0;text-align:left;margin-left:389pt;margin-top:186.15pt;width:36pt;height:16.45pt;z-index:39" stroked="f">
            <v:textbox inset="0,0,0,0">
              <w:txbxContent>
                <w:p w:rsidR="00000000" w:rsidRDefault="00000000">
                  <w:pPr>
                    <w:jc w:val="center"/>
                    <w:rPr>
                      <w:b/>
                      <w:bCs/>
                      <w:sz w:val="20"/>
                    </w:rPr>
                  </w:pPr>
                  <w:r>
                    <w:rPr>
                      <w:b/>
                      <w:bCs/>
                      <w:sz w:val="20"/>
                    </w:rPr>
                    <w:t>6.4</w:t>
                  </w:r>
                </w:p>
              </w:txbxContent>
            </v:textbox>
          </v:shape>
        </w:pict>
      </w:r>
      <w:r>
        <w:rPr>
          <w:noProof/>
          <w:sz w:val="20"/>
          <w:lang w:val="fr-FR" w:eastAsia="fr-FR"/>
        </w:rPr>
        <w:pict>
          <v:shape id="_x0000_s2834" type="#_x0000_t202" style="position:absolute;left:0;text-align:left;margin-left:27pt;margin-top:2.05pt;width:36pt;height:232pt;z-index:38" stroked="f">
            <v:textbox inset="0,0,0,0">
              <w:txbxContent>
                <w:p w:rsidR="00000000" w:rsidRDefault="00000000">
                  <w:pPr>
                    <w:spacing w:after="320"/>
                    <w:jc w:val="right"/>
                    <w:rPr>
                      <w:b/>
                      <w:bCs/>
                      <w:sz w:val="18"/>
                    </w:rPr>
                  </w:pPr>
                  <w:r>
                    <w:rPr>
                      <w:b/>
                      <w:bCs/>
                      <w:sz w:val="18"/>
                    </w:rPr>
                    <w:t>80</w:t>
                  </w:r>
                </w:p>
                <w:p w:rsidR="00000000" w:rsidRDefault="00000000">
                  <w:pPr>
                    <w:spacing w:after="320"/>
                    <w:jc w:val="right"/>
                    <w:rPr>
                      <w:b/>
                      <w:bCs/>
                      <w:sz w:val="18"/>
                    </w:rPr>
                  </w:pPr>
                  <w:r>
                    <w:rPr>
                      <w:b/>
                      <w:bCs/>
                      <w:sz w:val="18"/>
                    </w:rPr>
                    <w:t>70</w:t>
                  </w:r>
                </w:p>
                <w:p w:rsidR="00000000" w:rsidRDefault="00000000">
                  <w:pPr>
                    <w:spacing w:after="320"/>
                    <w:jc w:val="right"/>
                    <w:rPr>
                      <w:b/>
                      <w:bCs/>
                      <w:sz w:val="18"/>
                    </w:rPr>
                  </w:pPr>
                  <w:r>
                    <w:rPr>
                      <w:b/>
                      <w:bCs/>
                      <w:sz w:val="18"/>
                    </w:rPr>
                    <w:t>60</w:t>
                  </w:r>
                </w:p>
                <w:p w:rsidR="00000000" w:rsidRDefault="00000000">
                  <w:pPr>
                    <w:spacing w:after="320"/>
                    <w:jc w:val="right"/>
                    <w:rPr>
                      <w:b/>
                      <w:bCs/>
                      <w:sz w:val="18"/>
                    </w:rPr>
                  </w:pPr>
                  <w:r>
                    <w:rPr>
                      <w:b/>
                      <w:bCs/>
                      <w:sz w:val="18"/>
                    </w:rPr>
                    <w:t>50</w:t>
                  </w:r>
                </w:p>
                <w:p w:rsidR="00000000" w:rsidRDefault="00000000">
                  <w:pPr>
                    <w:spacing w:after="320"/>
                    <w:jc w:val="right"/>
                    <w:rPr>
                      <w:b/>
                      <w:bCs/>
                      <w:sz w:val="18"/>
                    </w:rPr>
                  </w:pPr>
                  <w:r>
                    <w:rPr>
                      <w:b/>
                      <w:bCs/>
                      <w:sz w:val="18"/>
                    </w:rPr>
                    <w:t>%  40</w:t>
                  </w:r>
                </w:p>
                <w:p w:rsidR="00000000" w:rsidRDefault="00000000">
                  <w:pPr>
                    <w:spacing w:after="360"/>
                    <w:jc w:val="right"/>
                    <w:rPr>
                      <w:b/>
                      <w:bCs/>
                      <w:sz w:val="18"/>
                    </w:rPr>
                  </w:pPr>
                  <w:r>
                    <w:rPr>
                      <w:b/>
                      <w:bCs/>
                      <w:sz w:val="18"/>
                    </w:rPr>
                    <w:t>30</w:t>
                  </w:r>
                </w:p>
                <w:p w:rsidR="00000000" w:rsidRDefault="00000000">
                  <w:pPr>
                    <w:spacing w:after="360"/>
                    <w:jc w:val="right"/>
                    <w:rPr>
                      <w:b/>
                      <w:bCs/>
                      <w:sz w:val="18"/>
                    </w:rPr>
                  </w:pPr>
                  <w:r>
                    <w:rPr>
                      <w:b/>
                      <w:bCs/>
                      <w:sz w:val="18"/>
                    </w:rPr>
                    <w:t>20</w:t>
                  </w:r>
                </w:p>
                <w:p w:rsidR="00000000" w:rsidRDefault="00000000">
                  <w:pPr>
                    <w:spacing w:after="360"/>
                    <w:jc w:val="right"/>
                    <w:rPr>
                      <w:b/>
                      <w:bCs/>
                      <w:sz w:val="18"/>
                    </w:rPr>
                  </w:pPr>
                  <w:r>
                    <w:rPr>
                      <w:b/>
                      <w:bCs/>
                      <w:sz w:val="18"/>
                    </w:rPr>
                    <w:t>10</w:t>
                  </w:r>
                </w:p>
                <w:p w:rsidR="00000000" w:rsidRDefault="00000000">
                  <w:pPr>
                    <w:jc w:val="right"/>
                    <w:rPr>
                      <w:b/>
                      <w:bCs/>
                      <w:sz w:val="18"/>
                    </w:rPr>
                  </w:pPr>
                  <w:r>
                    <w:rPr>
                      <w:b/>
                      <w:bCs/>
                      <w:sz w:val="18"/>
                    </w:rPr>
                    <w:t>0</w:t>
                  </w:r>
                </w:p>
              </w:txbxContent>
            </v:textbox>
          </v:shape>
        </w:pict>
      </w:r>
      <w:bookmarkStart w:id="64" w:name="_MON_1249181953"/>
      <w:bookmarkStart w:id="65" w:name="_MON_1249183817"/>
      <w:bookmarkEnd w:id="64"/>
      <w:bookmarkEnd w:id="65"/>
      <w:r>
        <w:object w:dxaOrig="7947" w:dyaOrig="5779">
          <v:shape id="_x0000_i1042" type="#_x0000_t75" style="width:454.5pt;height:265.5pt" o:ole="" o:allowoverlap="f">
            <v:imagedata r:id="rId45" o:title="" croptop="11572f" cropbottom="9000f" cropleft="9350f" grayscale="t"/>
          </v:shape>
          <o:OLEObject Type="Embed" ProgID="Word.Picture.8" ShapeID="_x0000_i1042" DrawAspect="Content" ObjectID="_1394904860" r:id="rId46"/>
        </w:object>
      </w:r>
    </w:p>
    <w:p w:rsidR="00000000" w:rsidRDefault="00000000">
      <w:pPr>
        <w:spacing w:after="240"/>
        <w:rPr>
          <w:b/>
          <w:sz w:val="16"/>
          <w:szCs w:val="16"/>
        </w:rPr>
      </w:pPr>
    </w:p>
    <w:p w:rsidR="00000000" w:rsidRDefault="00000000">
      <w:pPr>
        <w:spacing w:after="240"/>
        <w:rPr>
          <w:b/>
          <w:sz w:val="16"/>
          <w:szCs w:val="16"/>
        </w:rPr>
      </w:pPr>
    </w:p>
    <w:p w:rsidR="00000000" w:rsidRDefault="00000000">
      <w:pPr>
        <w:spacing w:after="240"/>
        <w:jc w:val="center"/>
        <w:rPr>
          <w:b/>
          <w:sz w:val="16"/>
          <w:szCs w:val="16"/>
        </w:rPr>
      </w:pPr>
    </w:p>
    <w:p w:rsidR="00000000" w:rsidRDefault="00000000">
      <w:pPr>
        <w:spacing w:after="240"/>
        <w:jc w:val="center"/>
        <w:rPr>
          <w:b/>
          <w:sz w:val="22"/>
          <w:szCs w:val="16"/>
          <w:lang w:val="en-US"/>
        </w:rPr>
      </w:pPr>
      <w:r>
        <w:rPr>
          <w:noProof/>
          <w:sz w:val="20"/>
          <w:lang w:val="fr-FR" w:eastAsia="fr-FR"/>
        </w:rPr>
        <w:pict>
          <v:shape id="_x0000_s2847" type="#_x0000_t202" style="position:absolute;left:0;text-align:left;margin-left:215.05pt;margin-top:32.35pt;width:67.35pt;height:25.55pt;z-index:51" stroked="f">
            <v:textbox inset="0,0,0,0">
              <w:txbxContent>
                <w:p w:rsidR="00000000" w:rsidRDefault="00000000"/>
              </w:txbxContent>
            </v:textbox>
          </v:shape>
        </w:pict>
      </w:r>
      <w:r>
        <w:rPr>
          <w:b/>
          <w:sz w:val="20"/>
          <w:lang w:val="en-US"/>
        </w:rPr>
        <w:t>Nutritional situation of schoolchildren in 6 regions (Caazapá, Misiones, San Pedro,</w:t>
      </w:r>
      <w:r>
        <w:rPr>
          <w:b/>
          <w:sz w:val="20"/>
          <w:lang w:val="en-US"/>
        </w:rPr>
        <w:br/>
        <w:t>Paraguari, Alto Paraná)</w:t>
      </w:r>
    </w:p>
    <w:p w:rsidR="00000000" w:rsidRDefault="00000000">
      <w:pPr>
        <w:pStyle w:val="Header"/>
        <w:autoSpaceDE w:val="0"/>
        <w:autoSpaceDN w:val="0"/>
        <w:adjustRightInd w:val="0"/>
        <w:spacing w:after="240"/>
      </w:pPr>
      <w:r>
        <w:rPr>
          <w:noProof/>
          <w:sz w:val="20"/>
          <w:lang w:val="fr-FR" w:eastAsia="fr-FR"/>
        </w:rPr>
        <w:pict>
          <v:shape id="_x0000_s2845" type="#_x0000_t202" style="position:absolute;margin-left:285pt;margin-top:130.7pt;width:36pt;height:14.85pt;z-index:49" stroked="f">
            <v:textbox style="mso-next-textbox:#_x0000_s2845" inset="0,0,0,0">
              <w:txbxContent>
                <w:p w:rsidR="00000000" w:rsidRDefault="00000000">
                  <w:pPr>
                    <w:jc w:val="center"/>
                    <w:rPr>
                      <w:b/>
                      <w:bCs/>
                      <w:sz w:val="18"/>
                    </w:rPr>
                  </w:pPr>
                  <w:r>
                    <w:rPr>
                      <w:b/>
                      <w:bCs/>
                      <w:sz w:val="18"/>
                    </w:rPr>
                    <w:t>9.3</w:t>
                  </w:r>
                </w:p>
              </w:txbxContent>
            </v:textbox>
          </v:shape>
        </w:pict>
      </w:r>
      <w:r>
        <w:rPr>
          <w:noProof/>
          <w:sz w:val="20"/>
          <w:lang w:val="fr-FR" w:eastAsia="fr-FR"/>
        </w:rPr>
        <w:pict>
          <v:shape id="_x0000_s2846" type="#_x0000_t202" style="position:absolute;margin-left:342.75pt;margin-top:138.2pt;width:36pt;height:14.2pt;z-index:50" stroked="f">
            <v:textbox style="mso-next-textbox:#_x0000_s2846" inset="0,0,0,0">
              <w:txbxContent>
                <w:p w:rsidR="00000000" w:rsidRDefault="00000000">
                  <w:pPr>
                    <w:jc w:val="center"/>
                    <w:rPr>
                      <w:b/>
                      <w:bCs/>
                      <w:sz w:val="18"/>
                    </w:rPr>
                  </w:pPr>
                  <w:r>
                    <w:rPr>
                      <w:b/>
                      <w:bCs/>
                      <w:sz w:val="18"/>
                    </w:rPr>
                    <w:t>5.3</w:t>
                  </w:r>
                </w:p>
              </w:txbxContent>
            </v:textbox>
          </v:shape>
        </w:pict>
      </w:r>
      <w:r>
        <w:rPr>
          <w:noProof/>
          <w:sz w:val="20"/>
          <w:lang w:val="fr-FR" w:eastAsia="fr-FR"/>
        </w:rPr>
        <w:pict>
          <v:shape id="_x0000_s2843" type="#_x0000_t202" style="position:absolute;margin-left:183pt;margin-top:136.7pt;width:36pt;height:13.65pt;z-index:47" stroked="f">
            <v:textbox style="mso-next-textbox:#_x0000_s2843" inset="0,0,0,0">
              <w:txbxContent>
                <w:p w:rsidR="00000000" w:rsidRDefault="00000000">
                  <w:pPr>
                    <w:jc w:val="center"/>
                    <w:rPr>
                      <w:b/>
                      <w:bCs/>
                      <w:sz w:val="18"/>
                    </w:rPr>
                  </w:pPr>
                  <w:r>
                    <w:rPr>
                      <w:b/>
                      <w:bCs/>
                      <w:sz w:val="18"/>
                    </w:rPr>
                    <w:t>6.1</w:t>
                  </w:r>
                </w:p>
              </w:txbxContent>
            </v:textbox>
          </v:shape>
        </w:pict>
      </w:r>
      <w:r>
        <w:rPr>
          <w:noProof/>
          <w:lang w:val="fr-FR" w:eastAsia="fr-FR"/>
        </w:rPr>
        <w:pict>
          <v:shape id="_x0000_s2841" type="#_x0000_t202" style="position:absolute;margin-left:70.5pt;margin-top:21.2pt;width:36pt;height:183.15pt;z-index:45" stroked="f">
            <v:textbox style="mso-next-textbox:#_x0000_s2841" inset="0,0,0,0">
              <w:txbxContent>
                <w:p w:rsidR="00000000" w:rsidRDefault="00000000">
                  <w:pPr>
                    <w:spacing w:after="140"/>
                    <w:jc w:val="right"/>
                    <w:rPr>
                      <w:b/>
                      <w:bCs/>
                      <w:sz w:val="18"/>
                    </w:rPr>
                  </w:pPr>
                  <w:r>
                    <w:rPr>
                      <w:b/>
                      <w:bCs/>
                      <w:sz w:val="18"/>
                    </w:rPr>
                    <w:t>80</w:t>
                  </w:r>
                </w:p>
                <w:p w:rsidR="00000000" w:rsidRDefault="00000000">
                  <w:pPr>
                    <w:spacing w:after="140"/>
                    <w:jc w:val="right"/>
                    <w:rPr>
                      <w:b/>
                      <w:bCs/>
                      <w:sz w:val="18"/>
                    </w:rPr>
                  </w:pPr>
                  <w:r>
                    <w:rPr>
                      <w:b/>
                      <w:bCs/>
                      <w:sz w:val="18"/>
                    </w:rPr>
                    <w:t>70</w:t>
                  </w:r>
                </w:p>
                <w:p w:rsidR="00000000" w:rsidRDefault="00000000">
                  <w:pPr>
                    <w:spacing w:after="180"/>
                    <w:jc w:val="right"/>
                    <w:rPr>
                      <w:b/>
                      <w:bCs/>
                      <w:sz w:val="18"/>
                    </w:rPr>
                  </w:pPr>
                  <w:r>
                    <w:rPr>
                      <w:b/>
                      <w:bCs/>
                      <w:sz w:val="18"/>
                    </w:rPr>
                    <w:t>60</w:t>
                  </w:r>
                </w:p>
                <w:p w:rsidR="00000000" w:rsidRDefault="00000000">
                  <w:pPr>
                    <w:spacing w:after="180"/>
                    <w:jc w:val="right"/>
                    <w:rPr>
                      <w:b/>
                      <w:bCs/>
                      <w:sz w:val="18"/>
                    </w:rPr>
                  </w:pPr>
                  <w:r>
                    <w:rPr>
                      <w:b/>
                      <w:bCs/>
                      <w:sz w:val="18"/>
                    </w:rPr>
                    <w:t>50</w:t>
                  </w:r>
                </w:p>
                <w:p w:rsidR="00000000" w:rsidRDefault="00000000">
                  <w:pPr>
                    <w:spacing w:after="180"/>
                    <w:jc w:val="right"/>
                    <w:rPr>
                      <w:b/>
                      <w:bCs/>
                      <w:sz w:val="18"/>
                    </w:rPr>
                  </w:pPr>
                  <w:r>
                    <w:rPr>
                      <w:b/>
                      <w:bCs/>
                      <w:sz w:val="18"/>
                    </w:rPr>
                    <w:t>%  40</w:t>
                  </w:r>
                </w:p>
                <w:p w:rsidR="00000000" w:rsidRDefault="00000000">
                  <w:pPr>
                    <w:spacing w:after="180"/>
                    <w:jc w:val="right"/>
                    <w:rPr>
                      <w:b/>
                      <w:bCs/>
                      <w:sz w:val="18"/>
                    </w:rPr>
                  </w:pPr>
                  <w:r>
                    <w:rPr>
                      <w:b/>
                      <w:bCs/>
                      <w:sz w:val="18"/>
                    </w:rPr>
                    <w:t>30</w:t>
                  </w:r>
                </w:p>
                <w:p w:rsidR="00000000" w:rsidRDefault="00000000">
                  <w:pPr>
                    <w:spacing w:after="180"/>
                    <w:jc w:val="right"/>
                    <w:rPr>
                      <w:b/>
                      <w:bCs/>
                      <w:sz w:val="18"/>
                    </w:rPr>
                  </w:pPr>
                  <w:r>
                    <w:rPr>
                      <w:b/>
                      <w:bCs/>
                      <w:sz w:val="18"/>
                    </w:rPr>
                    <w:t>20</w:t>
                  </w:r>
                </w:p>
                <w:p w:rsidR="00000000" w:rsidRDefault="00000000">
                  <w:pPr>
                    <w:spacing w:after="180"/>
                    <w:jc w:val="right"/>
                    <w:rPr>
                      <w:b/>
                      <w:bCs/>
                      <w:sz w:val="18"/>
                    </w:rPr>
                  </w:pPr>
                  <w:r>
                    <w:rPr>
                      <w:b/>
                      <w:bCs/>
                      <w:sz w:val="18"/>
                    </w:rPr>
                    <w:t>10</w:t>
                  </w:r>
                </w:p>
                <w:p w:rsidR="00000000" w:rsidRDefault="00000000">
                  <w:pPr>
                    <w:spacing w:after="140"/>
                    <w:jc w:val="right"/>
                    <w:rPr>
                      <w:b/>
                      <w:bCs/>
                      <w:sz w:val="18"/>
                    </w:rPr>
                  </w:pPr>
                  <w:r>
                    <w:rPr>
                      <w:b/>
                      <w:bCs/>
                      <w:sz w:val="18"/>
                    </w:rPr>
                    <w:t>0</w:t>
                  </w:r>
                </w:p>
                <w:p w:rsidR="00000000" w:rsidRDefault="00000000">
                  <w:pPr>
                    <w:spacing w:after="200"/>
                  </w:pPr>
                </w:p>
              </w:txbxContent>
            </v:textbox>
          </v:shape>
        </w:pict>
      </w:r>
      <w:r>
        <w:rPr>
          <w:noProof/>
          <w:sz w:val="20"/>
          <w:lang w:val="fr-FR" w:eastAsia="fr-FR"/>
        </w:rPr>
        <w:pict>
          <v:shape id="_x0000_s2848" type="#_x0000_t202" style="position:absolute;margin-left:113.15pt;margin-top:175.85pt;width:273pt;height:34.95pt;z-index:52" stroked="f">
            <v:textbox style="mso-next-textbox:#_x0000_s2848" inset="0,0,0,0">
              <w:txbxContent>
                <w:p w:rsidR="00000000" w:rsidRDefault="00000000">
                  <w:pPr>
                    <w:autoSpaceDE w:val="0"/>
                    <w:autoSpaceDN w:val="0"/>
                    <w:adjustRightInd w:val="0"/>
                    <w:spacing w:after="40"/>
                    <w:rPr>
                      <w:b/>
                      <w:sz w:val="16"/>
                      <w:szCs w:val="16"/>
                      <w:lang w:val="en-US"/>
                    </w:rPr>
                  </w:pPr>
                  <w:r>
                    <w:rPr>
                      <w:b/>
                      <w:bCs/>
                      <w:sz w:val="16"/>
                      <w:szCs w:val="18"/>
                      <w:lang w:val="en-US"/>
                    </w:rPr>
                    <w:t xml:space="preserve">       Normal</w:t>
                  </w:r>
                  <w:r>
                    <w:rPr>
                      <w:b/>
                      <w:sz w:val="16"/>
                      <w:szCs w:val="16"/>
                      <w:lang w:val="en-US"/>
                    </w:rPr>
                    <w:t xml:space="preserve">                 Risk            </w:t>
                  </w:r>
                  <w:r>
                    <w:rPr>
                      <w:b/>
                      <w:bCs/>
                      <w:sz w:val="16"/>
                      <w:szCs w:val="18"/>
                      <w:lang w:val="en-US"/>
                    </w:rPr>
                    <w:t>Malnutrition</w:t>
                  </w:r>
                  <w:r>
                    <w:rPr>
                      <w:b/>
                      <w:sz w:val="16"/>
                      <w:szCs w:val="16"/>
                      <w:lang w:val="en-US"/>
                    </w:rPr>
                    <w:t xml:space="preserve">      </w:t>
                  </w:r>
                  <w:r>
                    <w:rPr>
                      <w:b/>
                      <w:bCs/>
                      <w:sz w:val="16"/>
                      <w:szCs w:val="18"/>
                      <w:lang w:val="en-US"/>
                    </w:rPr>
                    <w:t>Overweight</w:t>
                  </w:r>
                  <w:r>
                    <w:rPr>
                      <w:b/>
                      <w:sz w:val="16"/>
                      <w:szCs w:val="16"/>
                      <w:lang w:val="en-US"/>
                    </w:rPr>
                    <w:t xml:space="preserve">          Obese</w:t>
                  </w:r>
                </w:p>
                <w:p w:rsidR="00000000" w:rsidRDefault="00000000">
                  <w:pPr>
                    <w:spacing w:after="40"/>
                    <w:rPr>
                      <w:b/>
                      <w:sz w:val="16"/>
                      <w:szCs w:val="16"/>
                      <w:lang w:val="fr-FR"/>
                    </w:rPr>
                  </w:pPr>
                  <w:r>
                    <w:rPr>
                      <w:b/>
                      <w:sz w:val="16"/>
                      <w:szCs w:val="16"/>
                      <w:lang w:val="en-US"/>
                    </w:rPr>
                    <w:t xml:space="preserve">                                                 </w:t>
                  </w:r>
                  <w:r>
                    <w:rPr>
                      <w:b/>
                      <w:bCs/>
                      <w:sz w:val="16"/>
                      <w:szCs w:val="18"/>
                      <w:lang w:val="en-US"/>
                    </w:rPr>
                    <w:t>Nutritional [Dx.]</w:t>
                  </w:r>
                  <w:r>
                    <w:rPr>
                      <w:b/>
                      <w:sz w:val="16"/>
                      <w:szCs w:val="16"/>
                      <w:lang w:val="fr-FR"/>
                    </w:rPr>
                    <w:t xml:space="preserve">                             SISVAN-INAN</w:t>
                  </w:r>
                </w:p>
                <w:p w:rsidR="00000000" w:rsidRDefault="00000000">
                  <w:pPr>
                    <w:spacing w:after="240"/>
                    <w:jc w:val="right"/>
                    <w:rPr>
                      <w:b/>
                      <w:sz w:val="16"/>
                      <w:szCs w:val="16"/>
                      <w:lang w:val="fr-FR"/>
                    </w:rPr>
                  </w:pPr>
                  <w:r>
                    <w:rPr>
                      <w:b/>
                      <w:bCs/>
                      <w:sz w:val="20"/>
                      <w:szCs w:val="18"/>
                      <w:lang w:val="en-US"/>
                    </w:rPr>
                    <w:t>MSPyBS</w:t>
                  </w:r>
                </w:p>
                <w:p w:rsidR="00000000" w:rsidRDefault="00000000">
                  <w:pPr>
                    <w:rPr>
                      <w:lang w:val="fr-FR"/>
                    </w:rPr>
                  </w:pPr>
                </w:p>
              </w:txbxContent>
            </v:textbox>
          </v:shape>
        </w:pict>
      </w:r>
      <w:r>
        <w:rPr>
          <w:noProof/>
          <w:sz w:val="20"/>
          <w:lang w:val="fr-FR" w:eastAsia="fr-FR"/>
        </w:rPr>
        <w:pict>
          <v:shape id="_x0000_s2844" type="#_x0000_t202" style="position:absolute;margin-left:232.5pt;margin-top:148.2pt;width:36pt;height:13.35pt;z-index:48" stroked="f">
            <v:textbox style="mso-next-textbox:#_x0000_s2844" inset="0,0,0,0">
              <w:txbxContent>
                <w:p w:rsidR="00000000" w:rsidRDefault="00000000">
                  <w:pPr>
                    <w:jc w:val="center"/>
                    <w:rPr>
                      <w:b/>
                      <w:bCs/>
                      <w:sz w:val="18"/>
                    </w:rPr>
                  </w:pPr>
                  <w:r>
                    <w:rPr>
                      <w:b/>
                      <w:bCs/>
                      <w:sz w:val="18"/>
                    </w:rPr>
                    <w:t>0.8</w:t>
                  </w:r>
                </w:p>
              </w:txbxContent>
            </v:textbox>
          </v:shape>
        </w:pict>
      </w:r>
      <w:r>
        <w:rPr>
          <w:noProof/>
          <w:lang w:val="fr-FR" w:eastAsia="fr-FR"/>
        </w:rPr>
        <w:pict>
          <v:shape id="_x0000_s2842" type="#_x0000_t202" style="position:absolute;margin-left:125pt;margin-top:5.45pt;width:36pt;height:13.35pt;z-index:46" stroked="f">
            <v:textbox inset="0,0,0,0">
              <w:txbxContent>
                <w:p w:rsidR="00000000" w:rsidRDefault="00000000">
                  <w:pPr>
                    <w:jc w:val="center"/>
                    <w:rPr>
                      <w:b/>
                      <w:bCs/>
                      <w:sz w:val="18"/>
                    </w:rPr>
                  </w:pPr>
                  <w:r>
                    <w:rPr>
                      <w:b/>
                      <w:bCs/>
                      <w:sz w:val="18"/>
                    </w:rPr>
                    <w:t>77.5</w:t>
                  </w:r>
                </w:p>
              </w:txbxContent>
            </v:textbox>
          </v:shape>
        </w:pict>
      </w:r>
      <w:r>
        <w:pict>
          <v:shape id="_x0000_i1043" type="#_x0000_t75" style="width:423.75pt;height:252pt" o:allowoverlap="f">
            <v:imagedata r:id="rId47" o:title="" croptop="12022f" grayscale="t"/>
          </v:shape>
        </w:pict>
      </w:r>
    </w:p>
    <w:p w:rsidR="00000000" w:rsidRDefault="00000000">
      <w:pPr>
        <w:pStyle w:val="Header"/>
        <w:tabs>
          <w:tab w:val="clear" w:pos="4320"/>
          <w:tab w:val="clear" w:pos="8640"/>
        </w:tabs>
        <w:spacing w:after="240"/>
        <w:rPr>
          <w:lang w:val="en-US"/>
        </w:rPr>
      </w:pPr>
    </w:p>
    <w:p w:rsidR="00000000" w:rsidRDefault="00000000">
      <w:pPr>
        <w:spacing w:after="240"/>
        <w:rPr>
          <w:lang w:val="en-US"/>
        </w:rPr>
      </w:pPr>
      <w:r>
        <w:rPr>
          <w:lang w:val="en-US"/>
        </w:rPr>
        <w:t>382.</w:t>
      </w:r>
      <w:r>
        <w:rPr>
          <w:lang w:val="en-US"/>
        </w:rPr>
        <w:tab/>
        <w:t>No change has been noted in the policies and laws that adversely affect access to adequate food for vulnerable groups or the most disadvantaged regions, but there are governmental initiatives in various areas of food and food-production activities.</w:t>
      </w:r>
    </w:p>
    <w:p w:rsidR="00000000" w:rsidRDefault="00000000">
      <w:pPr>
        <w:spacing w:after="240"/>
        <w:rPr>
          <w:lang w:val="en-US"/>
        </w:rPr>
      </w:pPr>
      <w:r>
        <w:rPr>
          <w:b/>
          <w:lang w:val="en-US"/>
        </w:rPr>
        <w:t>1.</w:t>
      </w:r>
      <w:r>
        <w:rPr>
          <w:b/>
          <w:lang w:val="en-US"/>
        </w:rPr>
        <w:tab/>
        <w:t>Access to adequate food</w:t>
      </w:r>
    </w:p>
    <w:p w:rsidR="00000000" w:rsidRDefault="00000000">
      <w:pPr>
        <w:spacing w:after="240"/>
        <w:rPr>
          <w:lang w:val="en-US"/>
        </w:rPr>
      </w:pPr>
      <w:r>
        <w:rPr>
          <w:lang w:val="en-US"/>
        </w:rPr>
        <w:t>383.</w:t>
      </w:r>
      <w:r>
        <w:rPr>
          <w:lang w:val="en-US"/>
        </w:rPr>
        <w:tab/>
        <w:t>In 2005 the Government allocated a budget for a Food and Nutrition Assistance Programme (PROAN) that provides food for children under five years of age and undernourished pregnant women until their recovery. This is the first programme of its kind in the country; it targets 35,000 beneficiaries comprising under-fives and pregnant women with nutritional deficiencies, who were identified as vulnerable population groups, with special emphasis on those living in extreme poverty. It is currently being implemented in the Department of Caazapá (two districts); the Department of San Pedro (three districts); and the Department of Caaguazú, (one district). The programme provides powdered milk, vitamin supplements and cereals to the villages where it is being implemented.</w:t>
      </w:r>
    </w:p>
    <w:p w:rsidR="00000000" w:rsidRDefault="00000000">
      <w:pPr>
        <w:spacing w:after="240"/>
        <w:rPr>
          <w:lang w:val="en-US"/>
        </w:rPr>
      </w:pPr>
      <w:r>
        <w:rPr>
          <w:lang w:val="en-US"/>
        </w:rPr>
        <w:t>384.</w:t>
      </w:r>
      <w:r>
        <w:rPr>
          <w:lang w:val="en-US"/>
        </w:rPr>
        <w:tab/>
        <w:t>This national programme (normative and operational), which provides food and nutrition assistance for children under five years of age suffering or at risk from general malnutrition and underweight pregnant women, is also one of the basic components of the strategy to combat poverty and inequality and is designed for the recovery of human capital as one of the Government’s actions to achieve the Millennium Development Goals. Its aim is to contribute to help enhance the quality of life of Paraguayan women and children, promoting the nutritional recovery of children under five and pregnant women. To that end, it endeavours to reduce malnutrition in children under five years of age and underweight pregnant women.</w:t>
      </w:r>
    </w:p>
    <w:p w:rsidR="00000000" w:rsidRDefault="00000000">
      <w:pPr>
        <w:spacing w:after="240"/>
        <w:rPr>
          <w:lang w:val="en-US"/>
        </w:rPr>
      </w:pPr>
      <w:r>
        <w:rPr>
          <w:lang w:val="en-US"/>
        </w:rPr>
        <w:t>385.</w:t>
      </w:r>
      <w:r>
        <w:rPr>
          <w:lang w:val="en-US"/>
        </w:rPr>
        <w:tab/>
        <w:t>Its specific aim is to (1): reduce the number of undernourished children under five years of age in the selected districts; (2) reduce the number of low-weight pregnant women in selected districts; (3) help promote breastfeeding by mothers; (4) contribute to comprehensive care for children and women through the health services; (5) strengthen the oversight capacity of the Food and Nutrition Surveillance System (SISVAN); (6) promote the community’s mobilization for recovery, prevention and improved nutrition of children under five years of age and pregnant women; (7) strengthen all the components of the regular programme; and (8) carry out continuous and ongoing programme evaluation.</w:t>
      </w:r>
    </w:p>
    <w:p w:rsidR="00000000" w:rsidRDefault="00000000">
      <w:pPr>
        <w:spacing w:after="240"/>
        <w:rPr>
          <w:lang w:val="en-US"/>
        </w:rPr>
      </w:pPr>
      <w:r>
        <w:rPr>
          <w:b/>
          <w:lang w:val="en-US"/>
        </w:rPr>
        <w:t>2.</w:t>
      </w:r>
      <w:r>
        <w:rPr>
          <w:b/>
          <w:lang w:val="en-US"/>
        </w:rPr>
        <w:tab/>
        <w:t>School supplementary nutrition programme</w:t>
      </w:r>
    </w:p>
    <w:p w:rsidR="00000000" w:rsidRDefault="00000000">
      <w:pPr>
        <w:spacing w:after="240"/>
        <w:rPr>
          <w:lang w:val="en-US"/>
        </w:rPr>
      </w:pPr>
      <w:r>
        <w:rPr>
          <w:lang w:val="en-US"/>
        </w:rPr>
        <w:t>386.</w:t>
      </w:r>
      <w:r>
        <w:rPr>
          <w:lang w:val="en-US"/>
        </w:rPr>
        <w:tab/>
        <w:t>For its part, the Ministry of Education and Culture is implementing a school supplementary nutrition programme in order to help improve the educability conditions of children from more needy sectors and, hence, enhance educational equality, providing every child daily and free of charge with a nutrition supplement comprising enriched milk and solid food. It has been under way since 1997 and there are plans to continue and expand it as budget availability allows.</w:t>
      </w:r>
    </w:p>
    <w:p w:rsidR="00000000" w:rsidRDefault="00000000">
      <w:pPr>
        <w:spacing w:after="240"/>
        <w:rPr>
          <w:lang w:val="en-US"/>
        </w:rPr>
      </w:pPr>
      <w:r>
        <w:rPr>
          <w:lang w:val="en-US"/>
        </w:rPr>
        <w:t>387.</w:t>
      </w:r>
      <w:r>
        <w:rPr>
          <w:lang w:val="en-US"/>
        </w:rPr>
        <w:tab/>
        <w:t>Since its inception it has benefited 86,329 pupils in 454 schools. Coverage was extended to Asunción and the Departments of Concepción, San Pedro, Cordillera, Guairá, Caaguazú, Misiones, Paraguari, Central, Ñeembucú, Presidente Hayes and Canindeyú.</w:t>
      </w:r>
    </w:p>
    <w:p w:rsidR="00000000" w:rsidRDefault="00000000">
      <w:pPr>
        <w:spacing w:after="240"/>
        <w:rPr>
          <w:b/>
          <w:lang w:val="en-US"/>
        </w:rPr>
      </w:pPr>
      <w:r>
        <w:rPr>
          <w:b/>
          <w:lang w:val="en-US"/>
        </w:rPr>
        <w:t>3.</w:t>
      </w:r>
      <w:r>
        <w:rPr>
          <w:b/>
          <w:lang w:val="en-US"/>
        </w:rPr>
        <w:tab/>
        <w:t>Situation in rural areas</w:t>
      </w:r>
    </w:p>
    <w:p w:rsidR="00000000" w:rsidRDefault="00000000">
      <w:pPr>
        <w:spacing w:after="240"/>
        <w:rPr>
          <w:lang w:val="en-US"/>
        </w:rPr>
      </w:pPr>
      <w:r>
        <w:rPr>
          <w:lang w:val="en-US"/>
        </w:rPr>
        <w:t>388.</w:t>
      </w:r>
      <w:r>
        <w:rPr>
          <w:lang w:val="en-US"/>
        </w:rPr>
        <w:tab/>
        <w:t>First and foremost, it is important to establish a general picture of the overall situation of the rural sector in Paraguay. In this connection, 47 per cent of the country’s total population still live in country areas; agriculture and livestock-farming and forestry activities account for 35 per cent of employment; the rural sector supplies 25 per cent of GDP and 90 per cent of export revenue; annual GDP from agriculture and livestock-farming stands at 2.45 per cent, which is below the annual population growth rate of 2.8 per cent; the country’s main problem, and its most acute one,  is the deteriorated condition of 75 per cent of peasant farms, which affects some 190,000 of the country’s 280,000 family-owned farms.</w:t>
      </w:r>
    </w:p>
    <w:p w:rsidR="00000000" w:rsidRDefault="00000000">
      <w:pPr>
        <w:spacing w:after="240"/>
        <w:rPr>
          <w:lang w:val="en-US"/>
        </w:rPr>
      </w:pPr>
      <w:r>
        <w:rPr>
          <w:lang w:val="en-US"/>
        </w:rPr>
        <w:t>389.</w:t>
      </w:r>
      <w:r>
        <w:rPr>
          <w:lang w:val="en-US"/>
        </w:rPr>
        <w:tab/>
        <w:t>While there are no accurate data on landless peasants, unofficial estimates and the number of disputes that have arisen in recent years underscore the seriousness of the problem. The 1991 farm census revealed that there were some 115,000 farms of fewer than 5 hectares, and 66,000 of between 5 and 10 hectares. A mere 1 per cent of farms are over 1,000 hectares in size, but they comprise 77 per cent of land surveyed (24 million hectares).</w:t>
      </w:r>
    </w:p>
    <w:p w:rsidR="00000000" w:rsidRDefault="00000000">
      <w:pPr>
        <w:spacing w:after="240"/>
        <w:rPr>
          <w:lang w:val="en-US"/>
        </w:rPr>
      </w:pPr>
      <w:r>
        <w:rPr>
          <w:b/>
          <w:lang w:val="en-US"/>
        </w:rPr>
        <w:t>3.1.</w:t>
      </w:r>
      <w:r>
        <w:rPr>
          <w:b/>
          <w:lang w:val="en-US"/>
        </w:rPr>
        <w:tab/>
        <w:t>Legal framework for protection of the rural population</w:t>
      </w:r>
    </w:p>
    <w:p w:rsidR="00000000" w:rsidRDefault="00000000">
      <w:pPr>
        <w:spacing w:after="240"/>
      </w:pPr>
      <w:r>
        <w:rPr>
          <w:lang w:val="en-US"/>
        </w:rPr>
        <w:t>390.</w:t>
      </w:r>
      <w:r>
        <w:rPr>
          <w:lang w:val="en-US"/>
        </w:rPr>
        <w:tab/>
        <w:t xml:space="preserve">Agrarian reform no longer entails mere land redistribution for the Paraguayan State. With the new </w:t>
      </w:r>
      <w:r>
        <w:t>Agrarian Statute, access to land has become just another component, although one fundamental to agriculture, and includes production, the production system and food security as the basis of agrarian reform. The new Agrarian Statute stipulates that agrarian reform and rural development are inseparable components of a single process. The new Agrarian Act, in its articles 2 and 25, goes beyond the limitations of both positions, establishing that “ rural development as a product of agrarian reform will be impossible unless it entails […] achieving a rational distribution of agricultural land to the beneficiaries of this Act, […] promoting the installation of sustainable production systems that settle peasant families permanently on the land.”</w:t>
      </w:r>
    </w:p>
    <w:p w:rsidR="00000000" w:rsidRDefault="00000000">
      <w:pPr>
        <w:spacing w:after="240"/>
      </w:pPr>
      <w:r>
        <w:rPr>
          <w:lang w:val="en-US"/>
        </w:rPr>
        <w:t>391</w:t>
      </w:r>
      <w:r>
        <w:t>.</w:t>
      </w:r>
      <w:r>
        <w:tab/>
        <w:t>Act No. 1863/02 “Establishing the Agrarian Statute” replaces Act 852/63. Act No. 1863/02, Article 2 “On Agrarian Reform and Rural Development”, also advocates promoting adjustment of the agrarian structure with a view to the establishment, strengthening and harmonious incorporation of peasant family-owned farms into national development to help overcome rural poverty and its consequences through an overall strategy for productivity, environmental sustainability, participation and equitable in distribution.</w:t>
      </w:r>
    </w:p>
    <w:p w:rsidR="00000000" w:rsidRDefault="00000000">
      <w:pPr>
        <w:spacing w:after="240"/>
        <w:rPr>
          <w:lang w:val="en-US"/>
        </w:rPr>
      </w:pPr>
      <w:r>
        <w:rPr>
          <w:lang w:val="en-US"/>
        </w:rPr>
        <w:t>392.</w:t>
      </w:r>
      <w:r>
        <w:rPr>
          <w:lang w:val="en-US"/>
        </w:rPr>
        <w:tab/>
        <w:t xml:space="preserve">Also promulgated was Act 2419/04, transforming the </w:t>
      </w:r>
      <w:r>
        <w:rPr>
          <w:bCs/>
          <w:i/>
          <w:iCs/>
          <w:lang w:val="en-US"/>
        </w:rPr>
        <w:t xml:space="preserve">Rural Welfare Institute (IBR) </w:t>
      </w:r>
      <w:r>
        <w:rPr>
          <w:lang w:val="en-US"/>
        </w:rPr>
        <w:t xml:space="preserve">into the </w:t>
      </w:r>
      <w:r>
        <w:rPr>
          <w:bCs/>
          <w:i/>
          <w:iCs/>
          <w:lang w:val="en-US"/>
        </w:rPr>
        <w:t xml:space="preserve">National Institute of Rural and Land Development (INDERT), </w:t>
      </w:r>
      <w:r>
        <w:rPr>
          <w:lang w:val="en-US"/>
        </w:rPr>
        <w:t>whose purpose is to promote the peasant population’s harmonious integration into national economic and social development. The Institute also improves the agrarian structure, promoting access to rural land, guaranteeing and regularizing tenure, coordinating and creating conditions conducive to development that affords the sort of establishment that leads to the consolidation of the beneficiary producers and constituting a strategy of participation, productivity and environmental sustainability.</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bCs w:val="0"/>
          <w:lang w:val="en-US" w:eastAsia="en-US"/>
        </w:rPr>
      </w:pPr>
      <w:r>
        <w:rPr>
          <w:rFonts w:ascii="Times New Roman" w:eastAsia="Times New Roman" w:hAnsi="Times New Roman" w:cs="Times New Roman"/>
          <w:bCs w:val="0"/>
          <w:lang w:val="en-US" w:eastAsia="en-US"/>
        </w:rPr>
        <w:t>B.  Right to housing</w:t>
      </w:r>
    </w:p>
    <w:p w:rsidR="00000000" w:rsidRDefault="00000000">
      <w:pPr>
        <w:spacing w:after="240"/>
        <w:rPr>
          <w:b/>
          <w:lang w:val="en-US"/>
        </w:rPr>
      </w:pPr>
      <w:r>
        <w:rPr>
          <w:b/>
          <w:lang w:val="en-US"/>
        </w:rPr>
        <w:t>1.</w:t>
      </w:r>
      <w:r>
        <w:rPr>
          <w:b/>
          <w:lang w:val="en-US"/>
        </w:rPr>
        <w:tab/>
        <w:t>Housing situation in Paraguay</w:t>
      </w:r>
    </w:p>
    <w:p w:rsidR="00000000" w:rsidRDefault="00000000">
      <w:pPr>
        <w:spacing w:after="240"/>
        <w:rPr>
          <w:lang w:val="en-US"/>
        </w:rPr>
      </w:pPr>
      <w:r>
        <w:rPr>
          <w:lang w:val="en-US"/>
        </w:rPr>
        <w:t>393.</w:t>
      </w:r>
      <w:r>
        <w:rPr>
          <w:lang w:val="en-US"/>
        </w:rPr>
        <w:tab/>
        <w:t>Paraguay maintains a high rate of demographic growth through a sustained process of urbanization and through a structure made up of a largely young population and a high rate of newly-established households. These elements make for substantial demand for housing among all socio-economic strata, located for the most part in urban centres with a sizeable concentration in the metropolitan area of Asunción. Currently 31 per cent of the total population and 55 per cent of the urban population live in the metropolitan area.</w:t>
      </w:r>
    </w:p>
    <w:p w:rsidR="00000000" w:rsidRDefault="00000000">
      <w:pPr>
        <w:spacing w:after="240"/>
        <w:rPr>
          <w:lang w:val="en-US"/>
        </w:rPr>
      </w:pPr>
      <w:r>
        <w:rPr>
          <w:lang w:val="en-US"/>
        </w:rPr>
        <w:t>394.</w:t>
      </w:r>
      <w:r>
        <w:rPr>
          <w:lang w:val="en-US"/>
        </w:rPr>
        <w:tab/>
        <w:t>The 2002 Population and Housing Census shows that the country, with a population of 5.2 million, maintains a high rate of demographic growth with an annual average of 2.5 per cent for the most recent inter-census period (1992-2002). This puts Paraguay among the countries with the highest rate of population growth in Latin America. At the same time, household size is diminishing both at the urban and rural levels and has fallen to an average of 4.5 persons per household and occupied dwelling.</w:t>
      </w:r>
    </w:p>
    <w:p w:rsidR="00000000" w:rsidRDefault="00000000">
      <w:pPr>
        <w:spacing w:after="240"/>
        <w:rPr>
          <w:lang w:val="en-US"/>
        </w:rPr>
      </w:pPr>
      <w:r>
        <w:rPr>
          <w:lang w:val="en-US"/>
        </w:rPr>
        <w:t>395.</w:t>
      </w:r>
      <w:r>
        <w:rPr>
          <w:lang w:val="en-US"/>
        </w:rPr>
        <w:tab/>
        <w:t>With an urban population of some three million, Paraguay displays a medium level of urbanization, if the fact that 74 per cent of the population of Latin America is already living in towns is taken into consideration. The country has a demographic structure in which young people abound, making for a strong tendency to the establishment of new homes and affecting gross demand for new housing. Also, the growth in housing stock is statistically in line with the formation of new households, with an annual average increase of 24,327 units for the most recent inter-census period (1992-2002). The same survey shows that 58 per cent of occupied dwellings are found in cities, slightly higher than the percentage of urban population (56.74 per cent).</w:t>
      </w:r>
    </w:p>
    <w:p w:rsidR="00000000" w:rsidRDefault="00000000">
      <w:pPr>
        <w:pStyle w:val="xl23"/>
        <w:spacing w:before="0" w:beforeAutospacing="0" w:after="240" w:afterAutospacing="0"/>
        <w:rPr>
          <w:rFonts w:ascii="Times New Roman" w:hAnsi="Times New Roman" w:cs="Times New Roman"/>
          <w:bCs w:val="0"/>
          <w:lang w:val="en-US" w:eastAsia="en-US"/>
        </w:rPr>
      </w:pPr>
      <w:r>
        <w:rPr>
          <w:rFonts w:ascii="Times New Roman" w:hAnsi="Times New Roman" w:cs="Times New Roman"/>
          <w:bCs w:val="0"/>
          <w:lang w:val="en-US" w:eastAsia="en-US"/>
        </w:rPr>
        <w:t>1.1.</w:t>
      </w:r>
      <w:r>
        <w:rPr>
          <w:rFonts w:ascii="Times New Roman" w:hAnsi="Times New Roman" w:cs="Times New Roman"/>
          <w:bCs w:val="0"/>
          <w:lang w:val="en-US" w:eastAsia="en-US"/>
        </w:rPr>
        <w:tab/>
        <w:t>Quality of dwellings</w:t>
      </w:r>
    </w:p>
    <w:p w:rsidR="00000000" w:rsidRDefault="00000000">
      <w:pPr>
        <w:spacing w:after="240"/>
        <w:rPr>
          <w:lang w:val="en-US"/>
        </w:rPr>
      </w:pPr>
      <w:r>
        <w:rPr>
          <w:lang w:val="en-US"/>
        </w:rPr>
        <w:t>396.</w:t>
      </w:r>
      <w:r>
        <w:rPr>
          <w:lang w:val="en-US"/>
        </w:rPr>
        <w:tab/>
        <w:t>The 2003 Permanent Household Survey also shows that one quarter of the stock of dwellings in Paraguay is affected by problems of quality; that 22 per cent of dwellings are overcrowded and a similar percentage lack access to any form of sanitation. Housing quality problems are more acute in rural areas, where over 40 per cent of dwellings are precarious and overcrowded. In urban areas poor housing quality and overcrowding affect 15 per cent of homes, while 23 per cent lack of access to sanitation services. Public coverage by sanitation services is low, with a mere 44 per cent of homes connected to drinking water mains, 10 per cent to a sewerage system and 31 per cent to a refuse collection system. With 41.4 per cent of the population currently living below the poverty line, as defined by the basic-basket methodology, a comparison of the aforementioned quality rates clearly shows the enormous effort low-income families must make in order to obtain housing, especially in urban areas.</w:t>
      </w:r>
    </w:p>
    <w:p w:rsidR="00000000" w:rsidRDefault="00000000">
      <w:pPr>
        <w:spacing w:after="240"/>
        <w:jc w:val="center"/>
        <w:rPr>
          <w:bCs/>
          <w:sz w:val="22"/>
          <w:lang w:val="en-US"/>
        </w:rPr>
      </w:pPr>
      <w:r>
        <w:rPr>
          <w:bCs/>
          <w:sz w:val="22"/>
          <w:lang w:val="en-US"/>
        </w:rPr>
        <w:t>TABLE 1</w:t>
      </w:r>
    </w:p>
    <w:p w:rsidR="00000000" w:rsidRDefault="00000000">
      <w:pPr>
        <w:spacing w:after="240"/>
        <w:jc w:val="center"/>
        <w:rPr>
          <w:b/>
          <w:lang w:val="en-US"/>
        </w:rPr>
      </w:pPr>
      <w:r>
        <w:rPr>
          <w:b/>
          <w:sz w:val="22"/>
          <w:lang w:val="en-US"/>
        </w:rPr>
        <w:t>Private housing by urban-rural area, according to basic services – Period 1992-2002</w:t>
      </w:r>
    </w:p>
    <w:tbl>
      <w:tblPr>
        <w:tblW w:w="5002" w:type="pct"/>
        <w:tblInd w:w="-3" w:type="dxa"/>
        <w:tblCellMar>
          <w:left w:w="0" w:type="dxa"/>
          <w:right w:w="0" w:type="dxa"/>
        </w:tblCellMar>
        <w:tblLook w:val="0000" w:firstRow="0" w:lastRow="0" w:firstColumn="0" w:lastColumn="0" w:noHBand="0" w:noVBand="0"/>
      </w:tblPr>
      <w:tblGrid>
        <w:gridCol w:w="2632"/>
        <w:gridCol w:w="1132"/>
        <w:gridCol w:w="1130"/>
        <w:gridCol w:w="1129"/>
        <w:gridCol w:w="1152"/>
        <w:gridCol w:w="1129"/>
        <w:gridCol w:w="1129"/>
      </w:tblGrid>
      <w:tr w:rsidR="00000000">
        <w:tblPrEx>
          <w:tblCellMar>
            <w:top w:w="0" w:type="dxa"/>
            <w:bottom w:w="0" w:type="dxa"/>
          </w:tblCellMar>
        </w:tblPrEx>
        <w:trPr>
          <w:cantSplit/>
        </w:trPr>
        <w:tc>
          <w:tcPr>
            <w:tcW w:w="2630" w:type="dxa"/>
            <w:tcBorders>
              <w:top w:val="single" w:sz="4" w:space="0" w:color="auto"/>
              <w:bottom w:val="single" w:sz="4" w:space="0" w:color="auto"/>
              <w:right w:val="single" w:sz="4" w:space="0" w:color="auto"/>
            </w:tcBorders>
            <w:vAlign w:val="center"/>
          </w:tcPr>
          <w:p w:rsidR="00000000" w:rsidRDefault="00000000">
            <w:pPr>
              <w:pStyle w:val="BodyTextIndent"/>
              <w:spacing w:before="60" w:after="60"/>
              <w:ind w:left="0"/>
              <w:jc w:val="center"/>
              <w:rPr>
                <w:b/>
                <w:bCs/>
                <w:i/>
                <w:sz w:val="20"/>
              </w:rPr>
            </w:pPr>
          </w:p>
        </w:tc>
        <w:tc>
          <w:tcPr>
            <w:tcW w:w="3389"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before="60" w:after="60"/>
              <w:ind w:left="0"/>
              <w:jc w:val="center"/>
              <w:rPr>
                <w:b/>
                <w:bCs/>
                <w:i/>
                <w:sz w:val="20"/>
              </w:rPr>
            </w:pPr>
            <w:r>
              <w:rPr>
                <w:b/>
                <w:bCs/>
                <w:i/>
                <w:sz w:val="20"/>
              </w:rPr>
              <w:t>1992</w:t>
            </w:r>
          </w:p>
        </w:tc>
        <w:tc>
          <w:tcPr>
            <w:tcW w:w="3410" w:type="dxa"/>
            <w:gridSpan w:val="3"/>
            <w:tcBorders>
              <w:top w:val="single" w:sz="4" w:space="0" w:color="auto"/>
              <w:left w:val="single" w:sz="4" w:space="0" w:color="auto"/>
              <w:bottom w:val="single" w:sz="4" w:space="0" w:color="auto"/>
            </w:tcBorders>
            <w:vAlign w:val="center"/>
          </w:tcPr>
          <w:p w:rsidR="00000000" w:rsidRDefault="00000000">
            <w:pPr>
              <w:pStyle w:val="BodyTextIndent"/>
              <w:spacing w:before="60" w:after="60"/>
              <w:ind w:left="0"/>
              <w:jc w:val="center"/>
              <w:rPr>
                <w:b/>
                <w:bCs/>
                <w:i/>
                <w:sz w:val="20"/>
              </w:rPr>
            </w:pPr>
            <w:r>
              <w:rPr>
                <w:b/>
                <w:bCs/>
                <w:i/>
                <w:sz w:val="20"/>
              </w:rPr>
              <w:t>2002</w:t>
            </w:r>
          </w:p>
        </w:tc>
      </w:tr>
      <w:tr w:rsidR="00000000">
        <w:tblPrEx>
          <w:tblCellMar>
            <w:top w:w="0" w:type="dxa"/>
            <w:bottom w:w="0" w:type="dxa"/>
          </w:tblCellMar>
        </w:tblPrEx>
        <w:tc>
          <w:tcPr>
            <w:tcW w:w="2630" w:type="dxa"/>
            <w:tcBorders>
              <w:top w:val="single" w:sz="4" w:space="0" w:color="auto"/>
              <w:bottom w:val="single" w:sz="4" w:space="0" w:color="auto"/>
              <w:right w:val="single" w:sz="4" w:space="0" w:color="auto"/>
            </w:tcBorders>
            <w:vAlign w:val="center"/>
          </w:tcPr>
          <w:p w:rsidR="00000000" w:rsidRDefault="00000000">
            <w:pPr>
              <w:pStyle w:val="BodyTextIndent"/>
              <w:spacing w:before="60" w:after="60"/>
              <w:ind w:left="0"/>
              <w:rPr>
                <w:b/>
                <w:bCs/>
                <w:iCs/>
                <w:sz w:val="20"/>
              </w:rPr>
            </w:pPr>
          </w:p>
        </w:tc>
        <w:tc>
          <w:tcPr>
            <w:tcW w:w="1131" w:type="dxa"/>
            <w:tcBorders>
              <w:top w:val="single" w:sz="4" w:space="0" w:color="auto"/>
              <w:left w:val="single" w:sz="4" w:space="0" w:color="auto"/>
              <w:bottom w:val="single" w:sz="4" w:space="0" w:color="auto"/>
            </w:tcBorders>
            <w:vAlign w:val="center"/>
          </w:tcPr>
          <w:p w:rsidR="00000000" w:rsidRDefault="00000000">
            <w:pPr>
              <w:pStyle w:val="BodyTextIndent"/>
              <w:spacing w:before="60" w:after="60"/>
              <w:ind w:left="0"/>
              <w:jc w:val="center"/>
              <w:rPr>
                <w:b/>
                <w:bCs/>
                <w:i/>
                <w:sz w:val="20"/>
              </w:rPr>
            </w:pPr>
            <w:r>
              <w:rPr>
                <w:b/>
                <w:bCs/>
                <w:i/>
                <w:sz w:val="20"/>
              </w:rPr>
              <w:t>Country</w:t>
            </w:r>
          </w:p>
        </w:tc>
        <w:tc>
          <w:tcPr>
            <w:tcW w:w="1129" w:type="dxa"/>
            <w:tcBorders>
              <w:top w:val="single" w:sz="4" w:space="0" w:color="auto"/>
              <w:bottom w:val="single" w:sz="4" w:space="0" w:color="auto"/>
            </w:tcBorders>
            <w:vAlign w:val="center"/>
          </w:tcPr>
          <w:p w:rsidR="00000000" w:rsidRDefault="00000000">
            <w:pPr>
              <w:pStyle w:val="BodyTextIndent"/>
              <w:spacing w:before="60" w:after="60"/>
              <w:ind w:left="0"/>
              <w:jc w:val="center"/>
              <w:rPr>
                <w:b/>
                <w:bCs/>
                <w:i/>
                <w:sz w:val="20"/>
              </w:rPr>
            </w:pPr>
            <w:r>
              <w:rPr>
                <w:b/>
                <w:bCs/>
                <w:i/>
                <w:sz w:val="20"/>
              </w:rPr>
              <w:t>Urban</w:t>
            </w:r>
          </w:p>
        </w:tc>
        <w:tc>
          <w:tcPr>
            <w:tcW w:w="1129" w:type="dxa"/>
            <w:tcBorders>
              <w:top w:val="single" w:sz="4" w:space="0" w:color="auto"/>
              <w:bottom w:val="single" w:sz="4" w:space="0" w:color="auto"/>
              <w:right w:val="single" w:sz="4" w:space="0" w:color="auto"/>
            </w:tcBorders>
            <w:vAlign w:val="center"/>
          </w:tcPr>
          <w:p w:rsidR="00000000" w:rsidRDefault="00000000">
            <w:pPr>
              <w:pStyle w:val="BodyTextIndent"/>
              <w:spacing w:before="60" w:after="60"/>
              <w:ind w:left="0"/>
              <w:jc w:val="center"/>
              <w:rPr>
                <w:b/>
                <w:bCs/>
                <w:i/>
                <w:sz w:val="20"/>
              </w:rPr>
            </w:pPr>
            <w:r>
              <w:rPr>
                <w:b/>
                <w:bCs/>
                <w:i/>
                <w:sz w:val="20"/>
              </w:rPr>
              <w:t>Rural</w:t>
            </w:r>
          </w:p>
        </w:tc>
        <w:tc>
          <w:tcPr>
            <w:tcW w:w="1152" w:type="dxa"/>
            <w:tcBorders>
              <w:top w:val="single" w:sz="4" w:space="0" w:color="auto"/>
              <w:left w:val="single" w:sz="4" w:space="0" w:color="auto"/>
              <w:bottom w:val="single" w:sz="4" w:space="0" w:color="auto"/>
            </w:tcBorders>
            <w:vAlign w:val="center"/>
          </w:tcPr>
          <w:p w:rsidR="00000000" w:rsidRDefault="00000000">
            <w:pPr>
              <w:pStyle w:val="BodyTextIndent"/>
              <w:spacing w:before="60" w:after="60"/>
              <w:ind w:left="0"/>
              <w:jc w:val="center"/>
              <w:rPr>
                <w:b/>
                <w:bCs/>
                <w:i/>
                <w:sz w:val="20"/>
              </w:rPr>
            </w:pPr>
            <w:r>
              <w:rPr>
                <w:b/>
                <w:bCs/>
                <w:i/>
                <w:sz w:val="20"/>
              </w:rPr>
              <w:t>Country</w:t>
            </w:r>
          </w:p>
        </w:tc>
        <w:tc>
          <w:tcPr>
            <w:tcW w:w="1129" w:type="dxa"/>
            <w:tcBorders>
              <w:top w:val="single" w:sz="4" w:space="0" w:color="auto"/>
              <w:bottom w:val="single" w:sz="4" w:space="0" w:color="auto"/>
            </w:tcBorders>
            <w:vAlign w:val="center"/>
          </w:tcPr>
          <w:p w:rsidR="00000000" w:rsidRDefault="00000000">
            <w:pPr>
              <w:pStyle w:val="BodyTextIndent"/>
              <w:spacing w:before="60" w:after="60"/>
              <w:ind w:left="0"/>
              <w:jc w:val="center"/>
              <w:rPr>
                <w:b/>
                <w:bCs/>
                <w:i/>
                <w:sz w:val="20"/>
              </w:rPr>
            </w:pPr>
            <w:r>
              <w:rPr>
                <w:b/>
                <w:bCs/>
                <w:i/>
                <w:sz w:val="20"/>
              </w:rPr>
              <w:t>Urban</w:t>
            </w:r>
          </w:p>
        </w:tc>
        <w:tc>
          <w:tcPr>
            <w:tcW w:w="1129" w:type="dxa"/>
            <w:tcBorders>
              <w:top w:val="single" w:sz="4" w:space="0" w:color="auto"/>
              <w:bottom w:val="single" w:sz="4" w:space="0" w:color="auto"/>
            </w:tcBorders>
            <w:vAlign w:val="center"/>
          </w:tcPr>
          <w:p w:rsidR="00000000" w:rsidRDefault="00000000">
            <w:pPr>
              <w:pStyle w:val="BodyTextIndent"/>
              <w:spacing w:before="60" w:after="60"/>
              <w:ind w:left="0"/>
              <w:jc w:val="center"/>
              <w:rPr>
                <w:b/>
                <w:bCs/>
                <w:i/>
                <w:sz w:val="20"/>
              </w:rPr>
            </w:pPr>
            <w:r>
              <w:rPr>
                <w:b/>
                <w:bCs/>
                <w:i/>
                <w:sz w:val="20"/>
              </w:rPr>
              <w:t>Rural</w:t>
            </w:r>
          </w:p>
        </w:tc>
      </w:tr>
      <w:tr w:rsidR="00000000">
        <w:tblPrEx>
          <w:tblCellMar>
            <w:top w:w="0" w:type="dxa"/>
            <w:bottom w:w="0" w:type="dxa"/>
          </w:tblCellMar>
        </w:tblPrEx>
        <w:tc>
          <w:tcPr>
            <w:tcW w:w="2630" w:type="dxa"/>
            <w:tcBorders>
              <w:top w:val="single" w:sz="4" w:space="0" w:color="auto"/>
            </w:tcBorders>
            <w:vAlign w:val="center"/>
          </w:tcPr>
          <w:p w:rsidR="00000000" w:rsidRDefault="00000000">
            <w:pPr>
              <w:pStyle w:val="BodyTextIndent"/>
              <w:spacing w:before="60" w:after="60"/>
              <w:ind w:left="0"/>
              <w:rPr>
                <w:iCs/>
                <w:sz w:val="20"/>
              </w:rPr>
            </w:pPr>
            <w:r>
              <w:rPr>
                <w:iCs/>
                <w:sz w:val="20"/>
              </w:rPr>
              <w:t>Total</w:t>
            </w:r>
          </w:p>
        </w:tc>
        <w:tc>
          <w:tcPr>
            <w:tcW w:w="1131" w:type="dxa"/>
            <w:tcBorders>
              <w:top w:val="single" w:sz="4" w:space="0" w:color="auto"/>
            </w:tcBorders>
            <w:vAlign w:val="center"/>
          </w:tcPr>
          <w:p w:rsidR="00000000" w:rsidRDefault="00000000">
            <w:pPr>
              <w:pStyle w:val="BodyTextIndent"/>
              <w:spacing w:before="60" w:after="60"/>
              <w:ind w:left="0"/>
              <w:jc w:val="center"/>
              <w:rPr>
                <w:iCs/>
                <w:sz w:val="20"/>
              </w:rPr>
            </w:pPr>
            <w:r>
              <w:rPr>
                <w:iCs/>
                <w:sz w:val="20"/>
              </w:rPr>
              <w:t>855  547</w:t>
            </w:r>
          </w:p>
        </w:tc>
        <w:tc>
          <w:tcPr>
            <w:tcW w:w="1129" w:type="dxa"/>
            <w:tcBorders>
              <w:top w:val="single" w:sz="4" w:space="0" w:color="auto"/>
            </w:tcBorders>
            <w:vAlign w:val="center"/>
          </w:tcPr>
          <w:p w:rsidR="00000000" w:rsidRDefault="00000000">
            <w:pPr>
              <w:pStyle w:val="BodyTextIndent"/>
              <w:spacing w:before="60" w:after="60"/>
              <w:ind w:left="0"/>
              <w:jc w:val="center"/>
              <w:rPr>
                <w:iCs/>
                <w:sz w:val="20"/>
              </w:rPr>
            </w:pPr>
            <w:r>
              <w:rPr>
                <w:iCs/>
                <w:sz w:val="20"/>
              </w:rPr>
              <w:t>443  691</w:t>
            </w:r>
          </w:p>
        </w:tc>
        <w:tc>
          <w:tcPr>
            <w:tcW w:w="1129" w:type="dxa"/>
            <w:tcBorders>
              <w:top w:val="single" w:sz="4" w:space="0" w:color="auto"/>
              <w:right w:val="single" w:sz="4" w:space="0" w:color="auto"/>
            </w:tcBorders>
            <w:vAlign w:val="center"/>
          </w:tcPr>
          <w:p w:rsidR="00000000" w:rsidRDefault="00000000">
            <w:pPr>
              <w:pStyle w:val="BodyTextIndent"/>
              <w:spacing w:before="60" w:after="60"/>
              <w:ind w:left="0"/>
              <w:jc w:val="center"/>
              <w:rPr>
                <w:iCs/>
                <w:sz w:val="20"/>
              </w:rPr>
            </w:pPr>
            <w:r>
              <w:rPr>
                <w:iCs/>
                <w:sz w:val="20"/>
              </w:rPr>
              <w:t>411  856</w:t>
            </w:r>
          </w:p>
        </w:tc>
        <w:tc>
          <w:tcPr>
            <w:tcW w:w="1152" w:type="dxa"/>
            <w:tcBorders>
              <w:top w:val="single" w:sz="4" w:space="0" w:color="auto"/>
              <w:left w:val="single" w:sz="4" w:space="0" w:color="auto"/>
            </w:tcBorders>
            <w:vAlign w:val="center"/>
          </w:tcPr>
          <w:p w:rsidR="00000000" w:rsidRDefault="00000000">
            <w:pPr>
              <w:pStyle w:val="BodyTextIndent"/>
              <w:spacing w:before="60" w:after="60"/>
              <w:ind w:left="0"/>
              <w:jc w:val="center"/>
              <w:rPr>
                <w:iCs/>
                <w:sz w:val="20"/>
              </w:rPr>
            </w:pPr>
            <w:r>
              <w:rPr>
                <w:iCs/>
                <w:sz w:val="20"/>
              </w:rPr>
              <w:t>1  098  005</w:t>
            </w:r>
          </w:p>
        </w:tc>
        <w:tc>
          <w:tcPr>
            <w:tcW w:w="1129" w:type="dxa"/>
            <w:tcBorders>
              <w:top w:val="single" w:sz="4" w:space="0" w:color="auto"/>
            </w:tcBorders>
            <w:vAlign w:val="center"/>
          </w:tcPr>
          <w:p w:rsidR="00000000" w:rsidRDefault="00000000">
            <w:pPr>
              <w:pStyle w:val="BodyTextIndent"/>
              <w:spacing w:before="60" w:after="60"/>
              <w:ind w:left="0"/>
              <w:jc w:val="center"/>
              <w:rPr>
                <w:iCs/>
                <w:sz w:val="20"/>
              </w:rPr>
            </w:pPr>
            <w:r>
              <w:rPr>
                <w:iCs/>
                <w:sz w:val="20"/>
              </w:rPr>
              <w:t>643  920</w:t>
            </w:r>
          </w:p>
        </w:tc>
        <w:tc>
          <w:tcPr>
            <w:tcW w:w="1129" w:type="dxa"/>
            <w:tcBorders>
              <w:top w:val="single" w:sz="4" w:space="0" w:color="auto"/>
            </w:tcBorders>
            <w:vAlign w:val="center"/>
          </w:tcPr>
          <w:p w:rsidR="00000000" w:rsidRDefault="00000000">
            <w:pPr>
              <w:pStyle w:val="BodyTextIndent"/>
              <w:spacing w:before="60" w:after="60"/>
              <w:ind w:left="0"/>
              <w:jc w:val="center"/>
              <w:rPr>
                <w:iCs/>
                <w:sz w:val="20"/>
              </w:rPr>
            </w:pPr>
            <w:r>
              <w:rPr>
                <w:iCs/>
                <w:sz w:val="20"/>
              </w:rPr>
              <w:t>454  085</w:t>
            </w:r>
          </w:p>
        </w:tc>
      </w:tr>
      <w:tr w:rsidR="00000000">
        <w:tblPrEx>
          <w:tblCellMar>
            <w:top w:w="0" w:type="dxa"/>
            <w:bottom w:w="0" w:type="dxa"/>
          </w:tblCellMar>
        </w:tblPrEx>
        <w:tc>
          <w:tcPr>
            <w:tcW w:w="2630" w:type="dxa"/>
            <w:vAlign w:val="center"/>
          </w:tcPr>
          <w:p w:rsidR="00000000" w:rsidRDefault="00000000">
            <w:pPr>
              <w:pStyle w:val="BodyTextIndent"/>
              <w:spacing w:before="60" w:after="60"/>
              <w:ind w:left="0"/>
              <w:rPr>
                <w:iCs/>
                <w:sz w:val="20"/>
              </w:rPr>
            </w:pPr>
            <w:r>
              <w:rPr>
                <w:iCs/>
                <w:sz w:val="20"/>
              </w:rPr>
              <w:t>Electric light</w:t>
            </w:r>
          </w:p>
        </w:tc>
        <w:tc>
          <w:tcPr>
            <w:tcW w:w="1131" w:type="dxa"/>
            <w:vAlign w:val="center"/>
          </w:tcPr>
          <w:p w:rsidR="00000000" w:rsidRDefault="00000000">
            <w:pPr>
              <w:pStyle w:val="BodyTextIndent"/>
              <w:spacing w:before="60" w:after="60"/>
              <w:ind w:left="0"/>
              <w:jc w:val="center"/>
              <w:rPr>
                <w:iCs/>
                <w:sz w:val="20"/>
              </w:rPr>
            </w:pPr>
            <w:r>
              <w:rPr>
                <w:iCs/>
                <w:sz w:val="20"/>
              </w:rPr>
              <w:t>504  842</w:t>
            </w:r>
          </w:p>
        </w:tc>
        <w:tc>
          <w:tcPr>
            <w:tcW w:w="1129" w:type="dxa"/>
            <w:vAlign w:val="center"/>
          </w:tcPr>
          <w:p w:rsidR="00000000" w:rsidRDefault="00000000">
            <w:pPr>
              <w:pStyle w:val="BodyTextIndent"/>
              <w:spacing w:before="60" w:after="60"/>
              <w:ind w:left="0"/>
              <w:jc w:val="center"/>
              <w:rPr>
                <w:iCs/>
                <w:sz w:val="20"/>
              </w:rPr>
            </w:pPr>
            <w:r>
              <w:rPr>
                <w:iCs/>
                <w:sz w:val="20"/>
              </w:rPr>
              <w:t>409  090</w:t>
            </w:r>
          </w:p>
        </w:tc>
        <w:tc>
          <w:tcPr>
            <w:tcW w:w="1129" w:type="dxa"/>
            <w:tcBorders>
              <w:right w:val="single" w:sz="4" w:space="0" w:color="auto"/>
            </w:tcBorders>
            <w:vAlign w:val="center"/>
          </w:tcPr>
          <w:p w:rsidR="00000000" w:rsidRDefault="00000000">
            <w:pPr>
              <w:pStyle w:val="BodyTextIndent"/>
              <w:spacing w:before="60" w:after="60"/>
              <w:ind w:left="0"/>
              <w:jc w:val="center"/>
              <w:rPr>
                <w:iCs/>
                <w:sz w:val="20"/>
              </w:rPr>
            </w:pPr>
            <w:r>
              <w:rPr>
                <w:iCs/>
                <w:sz w:val="20"/>
              </w:rPr>
              <w:t>95  752</w:t>
            </w:r>
          </w:p>
        </w:tc>
        <w:tc>
          <w:tcPr>
            <w:tcW w:w="1152" w:type="dxa"/>
            <w:tcBorders>
              <w:left w:val="single" w:sz="4" w:space="0" w:color="auto"/>
            </w:tcBorders>
            <w:vAlign w:val="center"/>
          </w:tcPr>
          <w:p w:rsidR="00000000" w:rsidRDefault="00000000">
            <w:pPr>
              <w:pStyle w:val="BodyTextIndent"/>
              <w:spacing w:before="60" w:after="60"/>
              <w:ind w:left="0"/>
              <w:jc w:val="center"/>
              <w:rPr>
                <w:iCs/>
                <w:sz w:val="20"/>
              </w:rPr>
            </w:pPr>
            <w:r>
              <w:rPr>
                <w:iCs/>
                <w:sz w:val="20"/>
              </w:rPr>
              <w:t>978  766</w:t>
            </w:r>
          </w:p>
        </w:tc>
        <w:tc>
          <w:tcPr>
            <w:tcW w:w="1129" w:type="dxa"/>
            <w:vAlign w:val="center"/>
          </w:tcPr>
          <w:p w:rsidR="00000000" w:rsidRDefault="00000000">
            <w:pPr>
              <w:pStyle w:val="BodyTextIndent"/>
              <w:spacing w:before="60" w:after="60"/>
              <w:ind w:left="0"/>
              <w:jc w:val="center"/>
              <w:rPr>
                <w:iCs/>
                <w:sz w:val="20"/>
              </w:rPr>
            </w:pPr>
            <w:r>
              <w:rPr>
                <w:iCs/>
                <w:sz w:val="20"/>
              </w:rPr>
              <w:t>625  602</w:t>
            </w:r>
          </w:p>
        </w:tc>
        <w:tc>
          <w:tcPr>
            <w:tcW w:w="1129" w:type="dxa"/>
            <w:vAlign w:val="center"/>
          </w:tcPr>
          <w:p w:rsidR="00000000" w:rsidRDefault="00000000">
            <w:pPr>
              <w:pStyle w:val="BodyTextIndent"/>
              <w:spacing w:before="60" w:after="60"/>
              <w:ind w:left="0"/>
              <w:jc w:val="center"/>
              <w:rPr>
                <w:iCs/>
                <w:sz w:val="20"/>
              </w:rPr>
            </w:pPr>
            <w:r>
              <w:rPr>
                <w:iCs/>
                <w:sz w:val="20"/>
              </w:rPr>
              <w:t>353  164</w:t>
            </w:r>
          </w:p>
        </w:tc>
      </w:tr>
      <w:tr w:rsidR="00000000">
        <w:tblPrEx>
          <w:tblCellMar>
            <w:top w:w="0" w:type="dxa"/>
            <w:bottom w:w="0" w:type="dxa"/>
          </w:tblCellMar>
        </w:tblPrEx>
        <w:tc>
          <w:tcPr>
            <w:tcW w:w="2630" w:type="dxa"/>
            <w:vAlign w:val="center"/>
          </w:tcPr>
          <w:p w:rsidR="00000000" w:rsidRDefault="00000000">
            <w:pPr>
              <w:pStyle w:val="BodyTextIndent"/>
              <w:spacing w:before="60" w:after="60"/>
              <w:ind w:left="0"/>
              <w:rPr>
                <w:iCs/>
                <w:sz w:val="20"/>
              </w:rPr>
            </w:pPr>
            <w:r>
              <w:rPr>
                <w:iCs/>
                <w:sz w:val="20"/>
              </w:rPr>
              <w:t>Running water (*)</w:t>
            </w:r>
          </w:p>
        </w:tc>
        <w:tc>
          <w:tcPr>
            <w:tcW w:w="1131" w:type="dxa"/>
            <w:vAlign w:val="center"/>
          </w:tcPr>
          <w:p w:rsidR="00000000" w:rsidRDefault="00000000">
            <w:pPr>
              <w:pStyle w:val="BodyTextIndent"/>
              <w:spacing w:before="60" w:after="60"/>
              <w:ind w:left="0"/>
              <w:jc w:val="center"/>
              <w:rPr>
                <w:iCs/>
                <w:sz w:val="20"/>
              </w:rPr>
            </w:pPr>
            <w:r>
              <w:rPr>
                <w:iCs/>
                <w:sz w:val="20"/>
              </w:rPr>
              <w:t>269  443</w:t>
            </w:r>
          </w:p>
        </w:tc>
        <w:tc>
          <w:tcPr>
            <w:tcW w:w="1129" w:type="dxa"/>
            <w:vAlign w:val="center"/>
          </w:tcPr>
          <w:p w:rsidR="00000000" w:rsidRDefault="00000000">
            <w:pPr>
              <w:pStyle w:val="BodyTextIndent"/>
              <w:spacing w:before="60" w:after="60"/>
              <w:ind w:left="0"/>
              <w:jc w:val="center"/>
              <w:rPr>
                <w:iCs/>
                <w:sz w:val="20"/>
              </w:rPr>
            </w:pPr>
            <w:r>
              <w:rPr>
                <w:iCs/>
                <w:sz w:val="20"/>
              </w:rPr>
              <w:t>256  909</w:t>
            </w:r>
          </w:p>
        </w:tc>
        <w:tc>
          <w:tcPr>
            <w:tcW w:w="1129" w:type="dxa"/>
            <w:tcBorders>
              <w:right w:val="single" w:sz="4" w:space="0" w:color="auto"/>
            </w:tcBorders>
            <w:vAlign w:val="center"/>
          </w:tcPr>
          <w:p w:rsidR="00000000" w:rsidRDefault="00000000">
            <w:pPr>
              <w:pStyle w:val="BodyTextIndent"/>
              <w:spacing w:before="60" w:after="60"/>
              <w:ind w:left="0"/>
              <w:jc w:val="center"/>
              <w:rPr>
                <w:iCs/>
                <w:sz w:val="20"/>
              </w:rPr>
            </w:pPr>
            <w:r>
              <w:rPr>
                <w:iCs/>
                <w:sz w:val="20"/>
              </w:rPr>
              <w:t>12  534</w:t>
            </w:r>
          </w:p>
        </w:tc>
        <w:tc>
          <w:tcPr>
            <w:tcW w:w="1152" w:type="dxa"/>
            <w:tcBorders>
              <w:left w:val="single" w:sz="4" w:space="0" w:color="auto"/>
            </w:tcBorders>
            <w:vAlign w:val="center"/>
          </w:tcPr>
          <w:p w:rsidR="00000000" w:rsidRDefault="00000000">
            <w:pPr>
              <w:pStyle w:val="BodyTextIndent"/>
              <w:spacing w:before="60" w:after="60"/>
              <w:ind w:left="0"/>
              <w:jc w:val="center"/>
              <w:rPr>
                <w:iCs/>
                <w:sz w:val="20"/>
              </w:rPr>
            </w:pPr>
            <w:r>
              <w:rPr>
                <w:iCs/>
                <w:sz w:val="20"/>
              </w:rPr>
              <w:t>578  639</w:t>
            </w:r>
          </w:p>
        </w:tc>
        <w:tc>
          <w:tcPr>
            <w:tcW w:w="1129" w:type="dxa"/>
            <w:vAlign w:val="center"/>
          </w:tcPr>
          <w:p w:rsidR="00000000" w:rsidRDefault="00000000">
            <w:pPr>
              <w:pStyle w:val="BodyTextIndent"/>
              <w:spacing w:before="60" w:after="60"/>
              <w:ind w:left="0"/>
              <w:jc w:val="center"/>
              <w:rPr>
                <w:iCs/>
                <w:sz w:val="20"/>
              </w:rPr>
            </w:pPr>
            <w:r>
              <w:rPr>
                <w:iCs/>
                <w:sz w:val="20"/>
              </w:rPr>
              <w:t>476  500</w:t>
            </w:r>
          </w:p>
        </w:tc>
        <w:tc>
          <w:tcPr>
            <w:tcW w:w="1129" w:type="dxa"/>
            <w:vAlign w:val="center"/>
          </w:tcPr>
          <w:p w:rsidR="00000000" w:rsidRDefault="00000000">
            <w:pPr>
              <w:pStyle w:val="BodyTextIndent"/>
              <w:spacing w:before="60" w:after="60"/>
              <w:ind w:left="0"/>
              <w:jc w:val="center"/>
              <w:rPr>
                <w:iCs/>
                <w:sz w:val="20"/>
              </w:rPr>
            </w:pPr>
            <w:r>
              <w:rPr>
                <w:iCs/>
                <w:sz w:val="20"/>
              </w:rPr>
              <w:t>102  139</w:t>
            </w:r>
          </w:p>
        </w:tc>
      </w:tr>
      <w:tr w:rsidR="00000000">
        <w:tblPrEx>
          <w:tblCellMar>
            <w:top w:w="0" w:type="dxa"/>
            <w:bottom w:w="0" w:type="dxa"/>
          </w:tblCellMar>
        </w:tblPrEx>
        <w:tc>
          <w:tcPr>
            <w:tcW w:w="2630" w:type="dxa"/>
            <w:vAlign w:val="center"/>
          </w:tcPr>
          <w:p w:rsidR="00000000" w:rsidRDefault="00000000">
            <w:pPr>
              <w:pStyle w:val="BodyTextIndent"/>
              <w:spacing w:before="60" w:after="60"/>
              <w:ind w:left="0"/>
              <w:rPr>
                <w:iCs/>
                <w:sz w:val="20"/>
              </w:rPr>
            </w:pPr>
            <w:r>
              <w:rPr>
                <w:iCs/>
                <w:sz w:val="20"/>
              </w:rPr>
              <w:t>Lavatory connected to drains</w:t>
            </w:r>
          </w:p>
        </w:tc>
        <w:tc>
          <w:tcPr>
            <w:tcW w:w="1131" w:type="dxa"/>
            <w:vAlign w:val="center"/>
          </w:tcPr>
          <w:p w:rsidR="00000000" w:rsidRDefault="00000000">
            <w:pPr>
              <w:pStyle w:val="BodyTextIndent"/>
              <w:spacing w:before="60" w:after="60"/>
              <w:ind w:left="0"/>
              <w:jc w:val="center"/>
              <w:rPr>
                <w:iCs/>
                <w:sz w:val="20"/>
              </w:rPr>
            </w:pPr>
            <w:r>
              <w:rPr>
                <w:iCs/>
                <w:sz w:val="20"/>
              </w:rPr>
              <w:t>65  817</w:t>
            </w:r>
          </w:p>
        </w:tc>
        <w:tc>
          <w:tcPr>
            <w:tcW w:w="1129" w:type="dxa"/>
            <w:vAlign w:val="center"/>
          </w:tcPr>
          <w:p w:rsidR="00000000" w:rsidRDefault="00000000">
            <w:pPr>
              <w:pStyle w:val="BodyTextIndent"/>
              <w:spacing w:before="60" w:after="60"/>
              <w:ind w:left="0"/>
              <w:jc w:val="center"/>
              <w:rPr>
                <w:iCs/>
                <w:sz w:val="20"/>
              </w:rPr>
            </w:pPr>
            <w:r>
              <w:rPr>
                <w:iCs/>
                <w:sz w:val="20"/>
              </w:rPr>
              <w:t>65  802</w:t>
            </w:r>
          </w:p>
        </w:tc>
        <w:tc>
          <w:tcPr>
            <w:tcW w:w="1129" w:type="dxa"/>
            <w:tcBorders>
              <w:right w:val="single" w:sz="4" w:space="0" w:color="auto"/>
            </w:tcBorders>
            <w:vAlign w:val="center"/>
          </w:tcPr>
          <w:p w:rsidR="00000000" w:rsidRDefault="00000000">
            <w:pPr>
              <w:pStyle w:val="BodyTextIndent"/>
              <w:spacing w:before="60" w:after="60"/>
              <w:ind w:left="0"/>
              <w:jc w:val="center"/>
              <w:rPr>
                <w:iCs/>
                <w:sz w:val="20"/>
              </w:rPr>
            </w:pPr>
            <w:r>
              <w:rPr>
                <w:iCs/>
                <w:sz w:val="20"/>
              </w:rPr>
              <w:t>15</w:t>
            </w:r>
          </w:p>
        </w:tc>
        <w:tc>
          <w:tcPr>
            <w:tcW w:w="1152" w:type="dxa"/>
            <w:tcBorders>
              <w:left w:val="single" w:sz="4" w:space="0" w:color="auto"/>
            </w:tcBorders>
            <w:vAlign w:val="center"/>
          </w:tcPr>
          <w:p w:rsidR="00000000" w:rsidRDefault="00000000">
            <w:pPr>
              <w:pStyle w:val="BodyTextIndent"/>
              <w:spacing w:before="60" w:after="60"/>
              <w:ind w:left="0"/>
              <w:jc w:val="center"/>
              <w:rPr>
                <w:iCs/>
                <w:sz w:val="20"/>
              </w:rPr>
            </w:pPr>
            <w:r>
              <w:rPr>
                <w:iCs/>
                <w:sz w:val="20"/>
              </w:rPr>
              <w:t>103  565</w:t>
            </w:r>
          </w:p>
        </w:tc>
        <w:tc>
          <w:tcPr>
            <w:tcW w:w="1129" w:type="dxa"/>
            <w:vAlign w:val="center"/>
          </w:tcPr>
          <w:p w:rsidR="00000000" w:rsidRDefault="00000000">
            <w:pPr>
              <w:pStyle w:val="BodyTextIndent"/>
              <w:spacing w:before="60" w:after="60"/>
              <w:ind w:left="0"/>
              <w:jc w:val="center"/>
              <w:rPr>
                <w:iCs/>
                <w:sz w:val="20"/>
              </w:rPr>
            </w:pPr>
            <w:r>
              <w:rPr>
                <w:iCs/>
                <w:sz w:val="20"/>
              </w:rPr>
              <w:t>103  565</w:t>
            </w:r>
          </w:p>
        </w:tc>
        <w:tc>
          <w:tcPr>
            <w:tcW w:w="1129" w:type="dxa"/>
            <w:vAlign w:val="center"/>
          </w:tcPr>
          <w:p w:rsidR="00000000" w:rsidRDefault="00000000">
            <w:pPr>
              <w:pStyle w:val="BodyTextIndent"/>
              <w:spacing w:before="60" w:after="60"/>
              <w:ind w:left="0"/>
              <w:jc w:val="center"/>
              <w:rPr>
                <w:iCs/>
                <w:sz w:val="20"/>
              </w:rPr>
            </w:pPr>
            <w:r>
              <w:rPr>
                <w:iCs/>
                <w:sz w:val="20"/>
              </w:rPr>
              <w:t>-</w:t>
            </w:r>
          </w:p>
        </w:tc>
      </w:tr>
      <w:tr w:rsidR="00000000">
        <w:tblPrEx>
          <w:tblCellMar>
            <w:top w:w="0" w:type="dxa"/>
            <w:bottom w:w="0" w:type="dxa"/>
          </w:tblCellMar>
        </w:tblPrEx>
        <w:tc>
          <w:tcPr>
            <w:tcW w:w="2630" w:type="dxa"/>
            <w:vAlign w:val="center"/>
          </w:tcPr>
          <w:p w:rsidR="00000000" w:rsidRDefault="00000000">
            <w:pPr>
              <w:pStyle w:val="BodyTextIndent"/>
              <w:spacing w:before="60" w:after="60"/>
              <w:ind w:left="0"/>
              <w:rPr>
                <w:iCs/>
                <w:sz w:val="20"/>
              </w:rPr>
            </w:pPr>
            <w:r>
              <w:rPr>
                <w:iCs/>
                <w:sz w:val="20"/>
              </w:rPr>
              <w:t>Lavatory with septic tank</w:t>
            </w:r>
          </w:p>
        </w:tc>
        <w:tc>
          <w:tcPr>
            <w:tcW w:w="1131" w:type="dxa"/>
            <w:vAlign w:val="center"/>
          </w:tcPr>
          <w:p w:rsidR="00000000" w:rsidRDefault="00000000">
            <w:pPr>
              <w:pStyle w:val="BodyTextIndent"/>
              <w:spacing w:before="60" w:after="60"/>
              <w:ind w:left="0"/>
              <w:jc w:val="center"/>
              <w:rPr>
                <w:iCs/>
                <w:sz w:val="20"/>
              </w:rPr>
            </w:pPr>
            <w:r>
              <w:rPr>
                <w:iCs/>
                <w:sz w:val="20"/>
              </w:rPr>
              <w:t>231  047</w:t>
            </w:r>
          </w:p>
        </w:tc>
        <w:tc>
          <w:tcPr>
            <w:tcW w:w="1129" w:type="dxa"/>
            <w:vAlign w:val="center"/>
          </w:tcPr>
          <w:p w:rsidR="00000000" w:rsidRDefault="00000000">
            <w:pPr>
              <w:pStyle w:val="BodyTextIndent"/>
              <w:spacing w:before="60" w:after="60"/>
              <w:ind w:left="0"/>
              <w:jc w:val="center"/>
              <w:rPr>
                <w:iCs/>
                <w:sz w:val="20"/>
              </w:rPr>
            </w:pPr>
            <w:r>
              <w:rPr>
                <w:iCs/>
                <w:sz w:val="20"/>
              </w:rPr>
              <w:t>198  878</w:t>
            </w:r>
          </w:p>
        </w:tc>
        <w:tc>
          <w:tcPr>
            <w:tcW w:w="1129" w:type="dxa"/>
            <w:tcBorders>
              <w:right w:val="single" w:sz="4" w:space="0" w:color="auto"/>
            </w:tcBorders>
            <w:vAlign w:val="center"/>
          </w:tcPr>
          <w:p w:rsidR="00000000" w:rsidRDefault="00000000">
            <w:pPr>
              <w:pStyle w:val="BodyTextIndent"/>
              <w:spacing w:before="60" w:after="60"/>
              <w:ind w:left="0"/>
              <w:jc w:val="center"/>
              <w:rPr>
                <w:iCs/>
                <w:sz w:val="20"/>
              </w:rPr>
            </w:pPr>
            <w:r>
              <w:rPr>
                <w:iCs/>
                <w:sz w:val="20"/>
              </w:rPr>
              <w:t>32  169</w:t>
            </w:r>
          </w:p>
        </w:tc>
        <w:tc>
          <w:tcPr>
            <w:tcW w:w="1152" w:type="dxa"/>
            <w:tcBorders>
              <w:left w:val="single" w:sz="4" w:space="0" w:color="auto"/>
            </w:tcBorders>
            <w:vAlign w:val="center"/>
          </w:tcPr>
          <w:p w:rsidR="00000000" w:rsidRDefault="00000000">
            <w:pPr>
              <w:pStyle w:val="BodyTextIndent"/>
              <w:spacing w:before="60" w:after="60"/>
              <w:ind w:left="0"/>
              <w:jc w:val="center"/>
              <w:rPr>
                <w:iCs/>
                <w:sz w:val="20"/>
              </w:rPr>
            </w:pPr>
            <w:r>
              <w:rPr>
                <w:iCs/>
                <w:sz w:val="20"/>
              </w:rPr>
              <w:t>588  003</w:t>
            </w:r>
          </w:p>
        </w:tc>
        <w:tc>
          <w:tcPr>
            <w:tcW w:w="1129" w:type="dxa"/>
            <w:vAlign w:val="center"/>
          </w:tcPr>
          <w:p w:rsidR="00000000" w:rsidRDefault="00000000">
            <w:pPr>
              <w:pStyle w:val="BodyTextIndent"/>
              <w:spacing w:before="60" w:after="60"/>
              <w:ind w:left="0"/>
              <w:jc w:val="center"/>
              <w:rPr>
                <w:iCs/>
                <w:sz w:val="20"/>
              </w:rPr>
            </w:pPr>
            <w:r>
              <w:rPr>
                <w:iCs/>
                <w:sz w:val="20"/>
              </w:rPr>
              <w:t>450  981</w:t>
            </w:r>
          </w:p>
        </w:tc>
        <w:tc>
          <w:tcPr>
            <w:tcW w:w="1129" w:type="dxa"/>
            <w:vAlign w:val="center"/>
          </w:tcPr>
          <w:p w:rsidR="00000000" w:rsidRDefault="00000000">
            <w:pPr>
              <w:pStyle w:val="BodyTextIndent"/>
              <w:spacing w:before="60" w:after="60"/>
              <w:ind w:left="0"/>
              <w:jc w:val="center"/>
              <w:rPr>
                <w:iCs/>
                <w:sz w:val="20"/>
              </w:rPr>
            </w:pPr>
            <w:r>
              <w:rPr>
                <w:iCs/>
                <w:sz w:val="20"/>
              </w:rPr>
              <w:t>137  022</w:t>
            </w:r>
          </w:p>
        </w:tc>
      </w:tr>
      <w:tr w:rsidR="00000000">
        <w:tblPrEx>
          <w:tblCellMar>
            <w:top w:w="0" w:type="dxa"/>
            <w:bottom w:w="0" w:type="dxa"/>
          </w:tblCellMar>
        </w:tblPrEx>
        <w:tc>
          <w:tcPr>
            <w:tcW w:w="2630" w:type="dxa"/>
            <w:vAlign w:val="center"/>
          </w:tcPr>
          <w:p w:rsidR="00000000" w:rsidRDefault="00000000">
            <w:pPr>
              <w:pStyle w:val="BodyTextIndent"/>
              <w:spacing w:before="60" w:after="60"/>
              <w:ind w:left="0"/>
              <w:rPr>
                <w:iCs/>
                <w:sz w:val="20"/>
              </w:rPr>
            </w:pPr>
            <w:r>
              <w:rPr>
                <w:iCs/>
                <w:sz w:val="20"/>
              </w:rPr>
              <w:t>Refuse collection</w:t>
            </w:r>
          </w:p>
        </w:tc>
        <w:tc>
          <w:tcPr>
            <w:tcW w:w="1131" w:type="dxa"/>
            <w:vAlign w:val="center"/>
          </w:tcPr>
          <w:p w:rsidR="00000000" w:rsidRDefault="00000000">
            <w:pPr>
              <w:pStyle w:val="BodyTextIndent"/>
              <w:spacing w:before="60" w:after="60"/>
              <w:ind w:left="0"/>
              <w:jc w:val="center"/>
              <w:rPr>
                <w:iCs/>
                <w:sz w:val="20"/>
              </w:rPr>
            </w:pPr>
            <w:r>
              <w:rPr>
                <w:iCs/>
                <w:sz w:val="20"/>
              </w:rPr>
              <w:t>181  726</w:t>
            </w:r>
          </w:p>
        </w:tc>
        <w:tc>
          <w:tcPr>
            <w:tcW w:w="1129" w:type="dxa"/>
            <w:vAlign w:val="center"/>
          </w:tcPr>
          <w:p w:rsidR="00000000" w:rsidRDefault="00000000">
            <w:pPr>
              <w:pStyle w:val="BodyTextIndent"/>
              <w:spacing w:before="60" w:after="60"/>
              <w:ind w:left="0"/>
              <w:jc w:val="center"/>
              <w:rPr>
                <w:iCs/>
                <w:sz w:val="20"/>
              </w:rPr>
            </w:pPr>
            <w:r>
              <w:rPr>
                <w:iCs/>
                <w:sz w:val="20"/>
              </w:rPr>
              <w:t>181  453</w:t>
            </w:r>
          </w:p>
        </w:tc>
        <w:tc>
          <w:tcPr>
            <w:tcW w:w="1129" w:type="dxa"/>
            <w:tcBorders>
              <w:right w:val="single" w:sz="4" w:space="0" w:color="auto"/>
            </w:tcBorders>
            <w:vAlign w:val="center"/>
          </w:tcPr>
          <w:p w:rsidR="00000000" w:rsidRDefault="00000000">
            <w:pPr>
              <w:pStyle w:val="BodyTextIndent"/>
              <w:spacing w:before="60" w:after="60"/>
              <w:ind w:left="0"/>
              <w:jc w:val="center"/>
              <w:rPr>
                <w:iCs/>
                <w:sz w:val="20"/>
              </w:rPr>
            </w:pPr>
            <w:r>
              <w:rPr>
                <w:iCs/>
                <w:sz w:val="20"/>
              </w:rPr>
              <w:t>273</w:t>
            </w:r>
          </w:p>
        </w:tc>
        <w:tc>
          <w:tcPr>
            <w:tcW w:w="1152" w:type="dxa"/>
            <w:tcBorders>
              <w:left w:val="single" w:sz="4" w:space="0" w:color="auto"/>
            </w:tcBorders>
            <w:vAlign w:val="center"/>
          </w:tcPr>
          <w:p w:rsidR="00000000" w:rsidRDefault="00000000">
            <w:pPr>
              <w:pStyle w:val="BodyTextIndent"/>
              <w:spacing w:before="60" w:after="60"/>
              <w:ind w:left="0"/>
              <w:jc w:val="center"/>
              <w:rPr>
                <w:iCs/>
                <w:sz w:val="20"/>
              </w:rPr>
            </w:pPr>
            <w:r>
              <w:rPr>
                <w:iCs/>
                <w:sz w:val="20"/>
              </w:rPr>
              <w:t>369  231</w:t>
            </w:r>
          </w:p>
        </w:tc>
        <w:tc>
          <w:tcPr>
            <w:tcW w:w="1129" w:type="dxa"/>
            <w:vAlign w:val="center"/>
          </w:tcPr>
          <w:p w:rsidR="00000000" w:rsidRDefault="00000000">
            <w:pPr>
              <w:pStyle w:val="BodyTextIndent"/>
              <w:spacing w:before="60" w:after="60"/>
              <w:ind w:left="0"/>
              <w:jc w:val="center"/>
              <w:rPr>
                <w:iCs/>
                <w:sz w:val="20"/>
              </w:rPr>
            </w:pPr>
            <w:r>
              <w:rPr>
                <w:iCs/>
                <w:sz w:val="20"/>
              </w:rPr>
              <w:t>358  012</w:t>
            </w:r>
          </w:p>
        </w:tc>
        <w:tc>
          <w:tcPr>
            <w:tcW w:w="1129" w:type="dxa"/>
            <w:vAlign w:val="center"/>
          </w:tcPr>
          <w:p w:rsidR="00000000" w:rsidRDefault="00000000">
            <w:pPr>
              <w:pStyle w:val="BodyTextIndent"/>
              <w:spacing w:before="60" w:after="60"/>
              <w:ind w:left="0"/>
              <w:jc w:val="center"/>
              <w:rPr>
                <w:iCs/>
                <w:sz w:val="20"/>
              </w:rPr>
            </w:pPr>
            <w:r>
              <w:rPr>
                <w:iCs/>
                <w:sz w:val="20"/>
              </w:rPr>
              <w:t>11  219</w:t>
            </w:r>
          </w:p>
        </w:tc>
      </w:tr>
      <w:tr w:rsidR="00000000">
        <w:tblPrEx>
          <w:tblCellMar>
            <w:top w:w="0" w:type="dxa"/>
            <w:bottom w:w="0" w:type="dxa"/>
          </w:tblCellMar>
        </w:tblPrEx>
        <w:tc>
          <w:tcPr>
            <w:tcW w:w="2630" w:type="dxa"/>
            <w:vAlign w:val="center"/>
          </w:tcPr>
          <w:p w:rsidR="00000000" w:rsidRDefault="00000000">
            <w:pPr>
              <w:pStyle w:val="BodyTextIndent"/>
              <w:spacing w:before="60" w:after="60"/>
              <w:ind w:left="0"/>
              <w:rPr>
                <w:iCs/>
                <w:sz w:val="20"/>
              </w:rPr>
            </w:pPr>
            <w:r>
              <w:rPr>
                <w:iCs/>
                <w:sz w:val="20"/>
              </w:rPr>
              <w:t>Total</w:t>
            </w:r>
          </w:p>
        </w:tc>
        <w:tc>
          <w:tcPr>
            <w:tcW w:w="1131" w:type="dxa"/>
            <w:vAlign w:val="center"/>
          </w:tcPr>
          <w:p w:rsidR="00000000" w:rsidRDefault="00000000">
            <w:pPr>
              <w:pStyle w:val="BodyTextIndent"/>
              <w:spacing w:before="60" w:after="60"/>
              <w:ind w:left="0"/>
              <w:jc w:val="center"/>
              <w:rPr>
                <w:iCs/>
                <w:sz w:val="20"/>
              </w:rPr>
            </w:pPr>
            <w:r>
              <w:rPr>
                <w:iCs/>
                <w:sz w:val="20"/>
              </w:rPr>
              <w:t>10.0%</w:t>
            </w:r>
          </w:p>
        </w:tc>
        <w:tc>
          <w:tcPr>
            <w:tcW w:w="1129" w:type="dxa"/>
            <w:vAlign w:val="center"/>
          </w:tcPr>
          <w:p w:rsidR="00000000" w:rsidRDefault="00000000">
            <w:pPr>
              <w:pStyle w:val="BodyTextIndent"/>
              <w:spacing w:before="60" w:after="60"/>
              <w:ind w:left="0"/>
              <w:jc w:val="center"/>
              <w:rPr>
                <w:iCs/>
                <w:sz w:val="20"/>
              </w:rPr>
            </w:pPr>
            <w:r>
              <w:rPr>
                <w:iCs/>
                <w:sz w:val="20"/>
              </w:rPr>
              <w:t>100.0%</w:t>
            </w:r>
          </w:p>
        </w:tc>
        <w:tc>
          <w:tcPr>
            <w:tcW w:w="1129" w:type="dxa"/>
            <w:tcBorders>
              <w:right w:val="single" w:sz="4" w:space="0" w:color="auto"/>
            </w:tcBorders>
            <w:vAlign w:val="center"/>
          </w:tcPr>
          <w:p w:rsidR="00000000" w:rsidRDefault="00000000">
            <w:pPr>
              <w:pStyle w:val="BodyTextIndent"/>
              <w:spacing w:before="60" w:after="60"/>
              <w:ind w:left="0"/>
              <w:jc w:val="center"/>
              <w:rPr>
                <w:iCs/>
                <w:sz w:val="20"/>
              </w:rPr>
            </w:pPr>
            <w:r>
              <w:rPr>
                <w:iCs/>
                <w:sz w:val="20"/>
              </w:rPr>
              <w:t>100%</w:t>
            </w:r>
          </w:p>
        </w:tc>
        <w:tc>
          <w:tcPr>
            <w:tcW w:w="1152" w:type="dxa"/>
            <w:tcBorders>
              <w:left w:val="single" w:sz="4" w:space="0" w:color="auto"/>
            </w:tcBorders>
            <w:vAlign w:val="center"/>
          </w:tcPr>
          <w:p w:rsidR="00000000" w:rsidRDefault="00000000">
            <w:pPr>
              <w:pStyle w:val="BodyTextIndent"/>
              <w:spacing w:before="60" w:after="60"/>
              <w:ind w:left="0"/>
              <w:jc w:val="center"/>
              <w:rPr>
                <w:iCs/>
                <w:sz w:val="20"/>
              </w:rPr>
            </w:pPr>
            <w:r>
              <w:rPr>
                <w:iCs/>
                <w:sz w:val="20"/>
              </w:rPr>
              <w:t>100%</w:t>
            </w:r>
          </w:p>
        </w:tc>
        <w:tc>
          <w:tcPr>
            <w:tcW w:w="1129" w:type="dxa"/>
            <w:vAlign w:val="center"/>
          </w:tcPr>
          <w:p w:rsidR="00000000" w:rsidRDefault="00000000">
            <w:pPr>
              <w:pStyle w:val="BodyTextIndent"/>
              <w:spacing w:before="60" w:after="60"/>
              <w:ind w:left="0"/>
              <w:jc w:val="center"/>
              <w:rPr>
                <w:iCs/>
                <w:sz w:val="20"/>
              </w:rPr>
            </w:pPr>
            <w:r>
              <w:rPr>
                <w:iCs/>
                <w:sz w:val="20"/>
              </w:rPr>
              <w:t>100%</w:t>
            </w:r>
          </w:p>
        </w:tc>
        <w:tc>
          <w:tcPr>
            <w:tcW w:w="1129" w:type="dxa"/>
            <w:vAlign w:val="center"/>
          </w:tcPr>
          <w:p w:rsidR="00000000" w:rsidRDefault="00000000">
            <w:pPr>
              <w:pStyle w:val="BodyTextIndent"/>
              <w:spacing w:before="60" w:after="60"/>
              <w:ind w:left="0"/>
              <w:jc w:val="center"/>
              <w:rPr>
                <w:iCs/>
                <w:sz w:val="20"/>
              </w:rPr>
            </w:pPr>
            <w:r>
              <w:rPr>
                <w:iCs/>
                <w:sz w:val="20"/>
              </w:rPr>
              <w:t>100%</w:t>
            </w:r>
          </w:p>
        </w:tc>
      </w:tr>
      <w:tr w:rsidR="00000000">
        <w:tblPrEx>
          <w:tblCellMar>
            <w:top w:w="0" w:type="dxa"/>
            <w:bottom w:w="0" w:type="dxa"/>
          </w:tblCellMar>
        </w:tblPrEx>
        <w:tc>
          <w:tcPr>
            <w:tcW w:w="2630" w:type="dxa"/>
            <w:vAlign w:val="center"/>
          </w:tcPr>
          <w:p w:rsidR="00000000" w:rsidRDefault="00000000">
            <w:pPr>
              <w:pStyle w:val="BodyTextIndent"/>
              <w:spacing w:before="60" w:after="60"/>
              <w:ind w:left="0"/>
              <w:rPr>
                <w:iCs/>
                <w:sz w:val="20"/>
              </w:rPr>
            </w:pPr>
            <w:r>
              <w:rPr>
                <w:iCs/>
                <w:sz w:val="20"/>
              </w:rPr>
              <w:t>Electric light</w:t>
            </w:r>
          </w:p>
        </w:tc>
        <w:tc>
          <w:tcPr>
            <w:tcW w:w="1131" w:type="dxa"/>
            <w:vAlign w:val="center"/>
          </w:tcPr>
          <w:p w:rsidR="00000000" w:rsidRDefault="00000000">
            <w:pPr>
              <w:pStyle w:val="BodyTextIndent"/>
              <w:spacing w:before="60" w:after="60"/>
              <w:ind w:left="0"/>
              <w:jc w:val="center"/>
              <w:rPr>
                <w:iCs/>
                <w:sz w:val="20"/>
              </w:rPr>
            </w:pPr>
            <w:r>
              <w:rPr>
                <w:iCs/>
                <w:sz w:val="20"/>
              </w:rPr>
              <w:t>59.0%</w:t>
            </w:r>
          </w:p>
        </w:tc>
        <w:tc>
          <w:tcPr>
            <w:tcW w:w="1129" w:type="dxa"/>
            <w:vAlign w:val="center"/>
          </w:tcPr>
          <w:p w:rsidR="00000000" w:rsidRDefault="00000000">
            <w:pPr>
              <w:pStyle w:val="BodyTextIndent"/>
              <w:spacing w:before="60" w:after="60"/>
              <w:ind w:left="0"/>
              <w:jc w:val="center"/>
              <w:rPr>
                <w:iCs/>
                <w:sz w:val="20"/>
              </w:rPr>
            </w:pPr>
            <w:r>
              <w:rPr>
                <w:iCs/>
                <w:sz w:val="20"/>
              </w:rPr>
              <w:t>92.2%</w:t>
            </w:r>
          </w:p>
        </w:tc>
        <w:tc>
          <w:tcPr>
            <w:tcW w:w="1129" w:type="dxa"/>
            <w:tcBorders>
              <w:right w:val="single" w:sz="4" w:space="0" w:color="auto"/>
            </w:tcBorders>
            <w:vAlign w:val="center"/>
          </w:tcPr>
          <w:p w:rsidR="00000000" w:rsidRDefault="00000000">
            <w:pPr>
              <w:pStyle w:val="BodyTextIndent"/>
              <w:spacing w:before="60" w:after="60"/>
              <w:ind w:left="0"/>
              <w:jc w:val="center"/>
              <w:rPr>
                <w:iCs/>
                <w:sz w:val="20"/>
              </w:rPr>
            </w:pPr>
            <w:r>
              <w:rPr>
                <w:iCs/>
                <w:sz w:val="20"/>
              </w:rPr>
              <w:t>23.2%</w:t>
            </w:r>
          </w:p>
        </w:tc>
        <w:tc>
          <w:tcPr>
            <w:tcW w:w="1152" w:type="dxa"/>
            <w:tcBorders>
              <w:left w:val="single" w:sz="4" w:space="0" w:color="auto"/>
            </w:tcBorders>
            <w:vAlign w:val="center"/>
          </w:tcPr>
          <w:p w:rsidR="00000000" w:rsidRDefault="00000000">
            <w:pPr>
              <w:pStyle w:val="BodyTextIndent"/>
              <w:spacing w:before="60" w:after="60"/>
              <w:ind w:left="0"/>
              <w:jc w:val="center"/>
              <w:rPr>
                <w:iCs/>
                <w:sz w:val="20"/>
              </w:rPr>
            </w:pPr>
            <w:r>
              <w:rPr>
                <w:iCs/>
                <w:sz w:val="20"/>
              </w:rPr>
              <w:t>89.1%</w:t>
            </w:r>
          </w:p>
        </w:tc>
        <w:tc>
          <w:tcPr>
            <w:tcW w:w="1129" w:type="dxa"/>
            <w:vAlign w:val="center"/>
          </w:tcPr>
          <w:p w:rsidR="00000000" w:rsidRDefault="00000000">
            <w:pPr>
              <w:pStyle w:val="BodyTextIndent"/>
              <w:spacing w:before="60" w:after="60"/>
              <w:ind w:left="0"/>
              <w:jc w:val="center"/>
              <w:rPr>
                <w:iCs/>
                <w:sz w:val="20"/>
              </w:rPr>
            </w:pPr>
            <w:r>
              <w:rPr>
                <w:iCs/>
                <w:sz w:val="20"/>
              </w:rPr>
              <w:t>97.2%</w:t>
            </w:r>
          </w:p>
        </w:tc>
        <w:tc>
          <w:tcPr>
            <w:tcW w:w="1129" w:type="dxa"/>
            <w:vAlign w:val="center"/>
          </w:tcPr>
          <w:p w:rsidR="00000000" w:rsidRDefault="00000000">
            <w:pPr>
              <w:pStyle w:val="BodyTextIndent"/>
              <w:spacing w:before="60" w:after="60"/>
              <w:ind w:left="0"/>
              <w:jc w:val="center"/>
              <w:rPr>
                <w:iCs/>
                <w:sz w:val="20"/>
              </w:rPr>
            </w:pPr>
            <w:r>
              <w:rPr>
                <w:iCs/>
                <w:sz w:val="20"/>
              </w:rPr>
              <w:t>77.8%</w:t>
            </w:r>
          </w:p>
        </w:tc>
      </w:tr>
      <w:tr w:rsidR="00000000">
        <w:tblPrEx>
          <w:tblCellMar>
            <w:top w:w="0" w:type="dxa"/>
            <w:bottom w:w="0" w:type="dxa"/>
          </w:tblCellMar>
        </w:tblPrEx>
        <w:tc>
          <w:tcPr>
            <w:tcW w:w="2630" w:type="dxa"/>
            <w:vAlign w:val="center"/>
          </w:tcPr>
          <w:p w:rsidR="00000000" w:rsidRDefault="00000000">
            <w:pPr>
              <w:pStyle w:val="BodyTextIndent"/>
              <w:spacing w:before="60" w:after="60"/>
              <w:ind w:left="0"/>
              <w:rPr>
                <w:iCs/>
                <w:sz w:val="20"/>
              </w:rPr>
            </w:pPr>
            <w:r>
              <w:rPr>
                <w:iCs/>
                <w:sz w:val="20"/>
              </w:rPr>
              <w:t>Running water(*)</w:t>
            </w:r>
          </w:p>
        </w:tc>
        <w:tc>
          <w:tcPr>
            <w:tcW w:w="1131" w:type="dxa"/>
            <w:vAlign w:val="center"/>
          </w:tcPr>
          <w:p w:rsidR="00000000" w:rsidRDefault="00000000">
            <w:pPr>
              <w:pStyle w:val="BodyTextIndent"/>
              <w:spacing w:before="60" w:after="60"/>
              <w:ind w:left="0"/>
              <w:jc w:val="center"/>
              <w:rPr>
                <w:iCs/>
                <w:sz w:val="20"/>
              </w:rPr>
            </w:pPr>
            <w:r>
              <w:rPr>
                <w:iCs/>
                <w:sz w:val="20"/>
              </w:rPr>
              <w:t>31.5%</w:t>
            </w:r>
          </w:p>
        </w:tc>
        <w:tc>
          <w:tcPr>
            <w:tcW w:w="1129" w:type="dxa"/>
            <w:vAlign w:val="center"/>
          </w:tcPr>
          <w:p w:rsidR="00000000" w:rsidRDefault="00000000">
            <w:pPr>
              <w:pStyle w:val="BodyTextIndent"/>
              <w:spacing w:before="60" w:after="60"/>
              <w:ind w:left="0"/>
              <w:jc w:val="center"/>
              <w:rPr>
                <w:iCs/>
                <w:sz w:val="20"/>
              </w:rPr>
            </w:pPr>
            <w:r>
              <w:rPr>
                <w:iCs/>
                <w:sz w:val="20"/>
              </w:rPr>
              <w:t>57.9%</w:t>
            </w:r>
          </w:p>
        </w:tc>
        <w:tc>
          <w:tcPr>
            <w:tcW w:w="1129" w:type="dxa"/>
            <w:tcBorders>
              <w:right w:val="single" w:sz="4" w:space="0" w:color="auto"/>
            </w:tcBorders>
            <w:vAlign w:val="center"/>
          </w:tcPr>
          <w:p w:rsidR="00000000" w:rsidRDefault="00000000">
            <w:pPr>
              <w:pStyle w:val="BodyTextIndent"/>
              <w:spacing w:before="60" w:after="60"/>
              <w:ind w:left="0"/>
              <w:jc w:val="center"/>
              <w:rPr>
                <w:iCs/>
                <w:sz w:val="20"/>
              </w:rPr>
            </w:pPr>
            <w:r>
              <w:rPr>
                <w:iCs/>
                <w:sz w:val="20"/>
              </w:rPr>
              <w:t>3.0%</w:t>
            </w:r>
          </w:p>
        </w:tc>
        <w:tc>
          <w:tcPr>
            <w:tcW w:w="1152" w:type="dxa"/>
            <w:tcBorders>
              <w:left w:val="single" w:sz="4" w:space="0" w:color="auto"/>
            </w:tcBorders>
            <w:vAlign w:val="center"/>
          </w:tcPr>
          <w:p w:rsidR="00000000" w:rsidRDefault="00000000">
            <w:pPr>
              <w:pStyle w:val="BodyTextIndent"/>
              <w:spacing w:before="60" w:after="60"/>
              <w:ind w:left="0"/>
              <w:jc w:val="center"/>
              <w:rPr>
                <w:iCs/>
                <w:sz w:val="20"/>
              </w:rPr>
            </w:pPr>
            <w:r>
              <w:rPr>
                <w:iCs/>
                <w:sz w:val="20"/>
              </w:rPr>
              <w:t>52.7%</w:t>
            </w:r>
          </w:p>
        </w:tc>
        <w:tc>
          <w:tcPr>
            <w:tcW w:w="1129" w:type="dxa"/>
            <w:vAlign w:val="center"/>
          </w:tcPr>
          <w:p w:rsidR="00000000" w:rsidRDefault="00000000">
            <w:pPr>
              <w:pStyle w:val="BodyTextIndent"/>
              <w:spacing w:before="60" w:after="60"/>
              <w:ind w:left="0"/>
              <w:jc w:val="center"/>
              <w:rPr>
                <w:iCs/>
                <w:sz w:val="20"/>
              </w:rPr>
            </w:pPr>
            <w:r>
              <w:rPr>
                <w:iCs/>
                <w:sz w:val="20"/>
              </w:rPr>
              <w:t>74.0%</w:t>
            </w:r>
          </w:p>
        </w:tc>
        <w:tc>
          <w:tcPr>
            <w:tcW w:w="1129" w:type="dxa"/>
            <w:vAlign w:val="center"/>
          </w:tcPr>
          <w:p w:rsidR="00000000" w:rsidRDefault="00000000">
            <w:pPr>
              <w:pStyle w:val="BodyTextIndent"/>
              <w:spacing w:before="60" w:after="60"/>
              <w:ind w:left="0"/>
              <w:jc w:val="center"/>
              <w:rPr>
                <w:iCs/>
                <w:sz w:val="20"/>
              </w:rPr>
            </w:pPr>
            <w:r>
              <w:rPr>
                <w:iCs/>
                <w:sz w:val="20"/>
              </w:rPr>
              <w:t>22.5%</w:t>
            </w:r>
          </w:p>
        </w:tc>
      </w:tr>
      <w:tr w:rsidR="00000000">
        <w:tblPrEx>
          <w:tblCellMar>
            <w:top w:w="0" w:type="dxa"/>
            <w:bottom w:w="0" w:type="dxa"/>
          </w:tblCellMar>
        </w:tblPrEx>
        <w:tc>
          <w:tcPr>
            <w:tcW w:w="2630" w:type="dxa"/>
            <w:vAlign w:val="center"/>
          </w:tcPr>
          <w:p w:rsidR="00000000" w:rsidRDefault="00000000">
            <w:pPr>
              <w:pStyle w:val="BodyTextIndent"/>
              <w:spacing w:before="60" w:after="60"/>
              <w:ind w:left="0"/>
              <w:rPr>
                <w:iCs/>
                <w:sz w:val="20"/>
              </w:rPr>
            </w:pPr>
            <w:r>
              <w:rPr>
                <w:iCs/>
                <w:sz w:val="20"/>
              </w:rPr>
              <w:t>Lavatory connected to drains</w:t>
            </w:r>
          </w:p>
        </w:tc>
        <w:tc>
          <w:tcPr>
            <w:tcW w:w="1131" w:type="dxa"/>
            <w:vAlign w:val="center"/>
          </w:tcPr>
          <w:p w:rsidR="00000000" w:rsidRDefault="00000000">
            <w:pPr>
              <w:pStyle w:val="BodyTextIndent"/>
              <w:spacing w:before="60" w:after="60"/>
              <w:ind w:left="0"/>
              <w:jc w:val="center"/>
              <w:rPr>
                <w:iCs/>
                <w:sz w:val="20"/>
              </w:rPr>
            </w:pPr>
            <w:r>
              <w:rPr>
                <w:iCs/>
                <w:sz w:val="20"/>
              </w:rPr>
              <w:t>7.7%</w:t>
            </w:r>
          </w:p>
        </w:tc>
        <w:tc>
          <w:tcPr>
            <w:tcW w:w="1129" w:type="dxa"/>
            <w:vAlign w:val="center"/>
          </w:tcPr>
          <w:p w:rsidR="00000000" w:rsidRDefault="00000000">
            <w:pPr>
              <w:pStyle w:val="BodyTextIndent"/>
              <w:spacing w:before="60" w:after="60"/>
              <w:ind w:left="0"/>
              <w:jc w:val="center"/>
              <w:rPr>
                <w:iCs/>
                <w:sz w:val="20"/>
              </w:rPr>
            </w:pPr>
            <w:r>
              <w:rPr>
                <w:iCs/>
                <w:sz w:val="20"/>
              </w:rPr>
              <w:t>14.8%</w:t>
            </w:r>
          </w:p>
        </w:tc>
        <w:tc>
          <w:tcPr>
            <w:tcW w:w="1129" w:type="dxa"/>
            <w:tcBorders>
              <w:right w:val="single" w:sz="4" w:space="0" w:color="auto"/>
            </w:tcBorders>
            <w:vAlign w:val="center"/>
          </w:tcPr>
          <w:p w:rsidR="00000000" w:rsidRDefault="00000000">
            <w:pPr>
              <w:pStyle w:val="BodyTextIndent"/>
              <w:spacing w:before="60" w:after="60"/>
              <w:ind w:left="0"/>
              <w:jc w:val="center"/>
              <w:rPr>
                <w:iCs/>
                <w:sz w:val="20"/>
              </w:rPr>
            </w:pPr>
            <w:r>
              <w:rPr>
                <w:iCs/>
                <w:sz w:val="20"/>
              </w:rPr>
              <w:t>0.0%</w:t>
            </w:r>
          </w:p>
        </w:tc>
        <w:tc>
          <w:tcPr>
            <w:tcW w:w="1152" w:type="dxa"/>
            <w:tcBorders>
              <w:left w:val="single" w:sz="4" w:space="0" w:color="auto"/>
            </w:tcBorders>
            <w:vAlign w:val="center"/>
          </w:tcPr>
          <w:p w:rsidR="00000000" w:rsidRDefault="00000000">
            <w:pPr>
              <w:pStyle w:val="BodyTextIndent"/>
              <w:spacing w:before="60" w:after="60"/>
              <w:ind w:left="0"/>
              <w:jc w:val="center"/>
              <w:rPr>
                <w:iCs/>
                <w:sz w:val="20"/>
              </w:rPr>
            </w:pPr>
            <w:r>
              <w:rPr>
                <w:iCs/>
                <w:sz w:val="20"/>
              </w:rPr>
              <w:t>9.4%</w:t>
            </w:r>
          </w:p>
        </w:tc>
        <w:tc>
          <w:tcPr>
            <w:tcW w:w="1129" w:type="dxa"/>
            <w:vAlign w:val="center"/>
          </w:tcPr>
          <w:p w:rsidR="00000000" w:rsidRDefault="00000000">
            <w:pPr>
              <w:pStyle w:val="BodyTextIndent"/>
              <w:spacing w:before="60" w:after="60"/>
              <w:ind w:left="0"/>
              <w:jc w:val="center"/>
              <w:rPr>
                <w:iCs/>
                <w:sz w:val="20"/>
              </w:rPr>
            </w:pPr>
            <w:r>
              <w:rPr>
                <w:iCs/>
                <w:sz w:val="20"/>
              </w:rPr>
              <w:t>16.1%</w:t>
            </w:r>
          </w:p>
        </w:tc>
        <w:tc>
          <w:tcPr>
            <w:tcW w:w="1129" w:type="dxa"/>
            <w:vAlign w:val="center"/>
          </w:tcPr>
          <w:p w:rsidR="00000000" w:rsidRDefault="00000000">
            <w:pPr>
              <w:pStyle w:val="BodyTextIndent"/>
              <w:spacing w:before="60" w:after="60"/>
              <w:ind w:left="0"/>
              <w:jc w:val="center"/>
              <w:rPr>
                <w:iCs/>
                <w:sz w:val="20"/>
              </w:rPr>
            </w:pPr>
            <w:r>
              <w:rPr>
                <w:iCs/>
                <w:sz w:val="20"/>
              </w:rPr>
              <w:t>0.0%</w:t>
            </w:r>
          </w:p>
        </w:tc>
      </w:tr>
      <w:tr w:rsidR="00000000">
        <w:tblPrEx>
          <w:tblCellMar>
            <w:top w:w="0" w:type="dxa"/>
            <w:bottom w:w="0" w:type="dxa"/>
          </w:tblCellMar>
        </w:tblPrEx>
        <w:tc>
          <w:tcPr>
            <w:tcW w:w="2630" w:type="dxa"/>
            <w:vAlign w:val="center"/>
          </w:tcPr>
          <w:p w:rsidR="00000000" w:rsidRDefault="00000000">
            <w:pPr>
              <w:pStyle w:val="BodyTextIndent"/>
              <w:spacing w:before="60" w:after="60"/>
              <w:ind w:left="0"/>
              <w:rPr>
                <w:iCs/>
                <w:sz w:val="20"/>
              </w:rPr>
            </w:pPr>
            <w:r>
              <w:rPr>
                <w:iCs/>
                <w:sz w:val="20"/>
              </w:rPr>
              <w:t>Lavatory with septic tank</w:t>
            </w:r>
          </w:p>
        </w:tc>
        <w:tc>
          <w:tcPr>
            <w:tcW w:w="1131" w:type="dxa"/>
            <w:vAlign w:val="center"/>
          </w:tcPr>
          <w:p w:rsidR="00000000" w:rsidRDefault="00000000">
            <w:pPr>
              <w:pStyle w:val="BodyTextIndent"/>
              <w:spacing w:before="60" w:after="60"/>
              <w:ind w:left="0"/>
              <w:jc w:val="center"/>
              <w:rPr>
                <w:iCs/>
                <w:sz w:val="20"/>
              </w:rPr>
            </w:pPr>
            <w:r>
              <w:rPr>
                <w:iCs/>
                <w:sz w:val="20"/>
              </w:rPr>
              <w:t>27.0%</w:t>
            </w:r>
          </w:p>
        </w:tc>
        <w:tc>
          <w:tcPr>
            <w:tcW w:w="1129" w:type="dxa"/>
            <w:vAlign w:val="center"/>
          </w:tcPr>
          <w:p w:rsidR="00000000" w:rsidRDefault="00000000">
            <w:pPr>
              <w:pStyle w:val="BodyTextIndent"/>
              <w:spacing w:before="60" w:after="60"/>
              <w:ind w:left="0"/>
              <w:jc w:val="center"/>
              <w:rPr>
                <w:iCs/>
                <w:sz w:val="20"/>
                <w:lang w:val="es-ES_tradnl"/>
              </w:rPr>
            </w:pPr>
            <w:r>
              <w:rPr>
                <w:iCs/>
                <w:sz w:val="20"/>
                <w:lang w:val="es-ES_tradnl"/>
              </w:rPr>
              <w:t>44.8%</w:t>
            </w:r>
          </w:p>
        </w:tc>
        <w:tc>
          <w:tcPr>
            <w:tcW w:w="1129" w:type="dxa"/>
            <w:tcBorders>
              <w:right w:val="single" w:sz="4" w:space="0" w:color="auto"/>
            </w:tcBorders>
            <w:vAlign w:val="center"/>
          </w:tcPr>
          <w:p w:rsidR="00000000" w:rsidRDefault="00000000">
            <w:pPr>
              <w:pStyle w:val="BodyTextIndent"/>
              <w:spacing w:before="60" w:after="60"/>
              <w:ind w:left="0"/>
              <w:jc w:val="center"/>
              <w:rPr>
                <w:iCs/>
                <w:sz w:val="20"/>
                <w:lang w:val="es-ES_tradnl"/>
              </w:rPr>
            </w:pPr>
            <w:r>
              <w:rPr>
                <w:iCs/>
                <w:sz w:val="20"/>
                <w:lang w:val="es-ES_tradnl"/>
              </w:rPr>
              <w:t>7.8%</w:t>
            </w:r>
          </w:p>
        </w:tc>
        <w:tc>
          <w:tcPr>
            <w:tcW w:w="1152" w:type="dxa"/>
            <w:tcBorders>
              <w:left w:val="single" w:sz="4" w:space="0" w:color="auto"/>
            </w:tcBorders>
            <w:vAlign w:val="center"/>
          </w:tcPr>
          <w:p w:rsidR="00000000" w:rsidRDefault="00000000">
            <w:pPr>
              <w:pStyle w:val="BodyTextIndent"/>
              <w:spacing w:before="60" w:after="60"/>
              <w:ind w:left="0"/>
              <w:jc w:val="center"/>
              <w:rPr>
                <w:iCs/>
                <w:sz w:val="20"/>
                <w:lang w:val="es-ES_tradnl"/>
              </w:rPr>
            </w:pPr>
            <w:r>
              <w:rPr>
                <w:iCs/>
                <w:sz w:val="20"/>
                <w:lang w:val="es-ES_tradnl"/>
              </w:rPr>
              <w:t>53.6%</w:t>
            </w:r>
          </w:p>
        </w:tc>
        <w:tc>
          <w:tcPr>
            <w:tcW w:w="1129" w:type="dxa"/>
            <w:vAlign w:val="center"/>
          </w:tcPr>
          <w:p w:rsidR="00000000" w:rsidRDefault="00000000">
            <w:pPr>
              <w:pStyle w:val="BodyTextIndent"/>
              <w:spacing w:before="60" w:after="60"/>
              <w:ind w:left="0"/>
              <w:jc w:val="center"/>
              <w:rPr>
                <w:iCs/>
                <w:sz w:val="20"/>
                <w:lang w:val="es-ES_tradnl"/>
              </w:rPr>
            </w:pPr>
            <w:r>
              <w:rPr>
                <w:iCs/>
                <w:sz w:val="20"/>
                <w:lang w:val="es-ES_tradnl"/>
              </w:rPr>
              <w:t>70.0%</w:t>
            </w:r>
          </w:p>
        </w:tc>
        <w:tc>
          <w:tcPr>
            <w:tcW w:w="1129" w:type="dxa"/>
            <w:vAlign w:val="center"/>
          </w:tcPr>
          <w:p w:rsidR="00000000" w:rsidRDefault="00000000">
            <w:pPr>
              <w:pStyle w:val="BodyTextIndent"/>
              <w:spacing w:before="60" w:after="60"/>
              <w:ind w:left="0"/>
              <w:jc w:val="center"/>
              <w:rPr>
                <w:iCs/>
                <w:sz w:val="20"/>
                <w:lang w:val="es-ES_tradnl"/>
              </w:rPr>
            </w:pPr>
            <w:r>
              <w:rPr>
                <w:iCs/>
                <w:sz w:val="20"/>
                <w:lang w:val="es-ES_tradnl"/>
              </w:rPr>
              <w:t>30.2%</w:t>
            </w:r>
          </w:p>
        </w:tc>
      </w:tr>
      <w:tr w:rsidR="00000000">
        <w:tblPrEx>
          <w:tblCellMar>
            <w:top w:w="0" w:type="dxa"/>
            <w:bottom w:w="0" w:type="dxa"/>
          </w:tblCellMar>
        </w:tblPrEx>
        <w:tc>
          <w:tcPr>
            <w:tcW w:w="2630" w:type="dxa"/>
            <w:tcBorders>
              <w:bottom w:val="single" w:sz="4" w:space="0" w:color="auto"/>
            </w:tcBorders>
            <w:vAlign w:val="center"/>
          </w:tcPr>
          <w:p w:rsidR="00000000" w:rsidRDefault="00000000">
            <w:pPr>
              <w:pStyle w:val="BodyTextIndent"/>
              <w:spacing w:before="60" w:after="60"/>
              <w:ind w:left="0"/>
              <w:rPr>
                <w:iCs/>
                <w:sz w:val="20"/>
                <w:lang w:val="es-ES_tradnl"/>
              </w:rPr>
            </w:pPr>
            <w:r>
              <w:rPr>
                <w:iCs/>
                <w:sz w:val="20"/>
                <w:lang w:val="es-ES_tradnl"/>
              </w:rPr>
              <w:t>Refuse collection</w:t>
            </w:r>
          </w:p>
        </w:tc>
        <w:tc>
          <w:tcPr>
            <w:tcW w:w="1131" w:type="dxa"/>
            <w:tcBorders>
              <w:bottom w:val="single" w:sz="4" w:space="0" w:color="auto"/>
            </w:tcBorders>
            <w:vAlign w:val="center"/>
          </w:tcPr>
          <w:p w:rsidR="00000000" w:rsidRDefault="00000000">
            <w:pPr>
              <w:pStyle w:val="BodyTextIndent"/>
              <w:spacing w:before="60" w:after="60"/>
              <w:ind w:left="0"/>
              <w:jc w:val="center"/>
              <w:rPr>
                <w:iCs/>
                <w:sz w:val="20"/>
                <w:lang w:val="es-ES_tradnl"/>
              </w:rPr>
            </w:pPr>
            <w:r>
              <w:rPr>
                <w:iCs/>
                <w:sz w:val="20"/>
                <w:lang w:val="es-ES_tradnl"/>
              </w:rPr>
              <w:t>21.2%</w:t>
            </w:r>
          </w:p>
        </w:tc>
        <w:tc>
          <w:tcPr>
            <w:tcW w:w="1129" w:type="dxa"/>
            <w:tcBorders>
              <w:bottom w:val="single" w:sz="4" w:space="0" w:color="auto"/>
            </w:tcBorders>
            <w:vAlign w:val="center"/>
          </w:tcPr>
          <w:p w:rsidR="00000000" w:rsidRDefault="00000000">
            <w:pPr>
              <w:pStyle w:val="BodyTextIndent"/>
              <w:spacing w:before="60" w:after="60"/>
              <w:ind w:left="0"/>
              <w:jc w:val="center"/>
              <w:rPr>
                <w:iCs/>
                <w:sz w:val="20"/>
                <w:lang w:val="es-ES_tradnl"/>
              </w:rPr>
            </w:pPr>
            <w:r>
              <w:rPr>
                <w:iCs/>
                <w:sz w:val="20"/>
                <w:lang w:val="es-ES_tradnl"/>
              </w:rPr>
              <w:t>40.9%</w:t>
            </w:r>
          </w:p>
        </w:tc>
        <w:tc>
          <w:tcPr>
            <w:tcW w:w="1129" w:type="dxa"/>
            <w:tcBorders>
              <w:bottom w:val="single" w:sz="4" w:space="0" w:color="auto"/>
              <w:right w:val="single" w:sz="4" w:space="0" w:color="auto"/>
            </w:tcBorders>
            <w:vAlign w:val="center"/>
          </w:tcPr>
          <w:p w:rsidR="00000000" w:rsidRDefault="00000000">
            <w:pPr>
              <w:pStyle w:val="BodyTextIndent"/>
              <w:spacing w:before="60" w:after="60"/>
              <w:ind w:left="0"/>
              <w:jc w:val="center"/>
              <w:rPr>
                <w:iCs/>
                <w:sz w:val="20"/>
                <w:lang w:val="es-ES_tradnl"/>
              </w:rPr>
            </w:pPr>
            <w:r>
              <w:rPr>
                <w:iCs/>
                <w:sz w:val="20"/>
                <w:lang w:val="es-ES_tradnl"/>
              </w:rPr>
              <w:t>0.1%</w:t>
            </w:r>
          </w:p>
        </w:tc>
        <w:tc>
          <w:tcPr>
            <w:tcW w:w="1152" w:type="dxa"/>
            <w:tcBorders>
              <w:left w:val="single" w:sz="4" w:space="0" w:color="auto"/>
              <w:bottom w:val="single" w:sz="4" w:space="0" w:color="auto"/>
            </w:tcBorders>
            <w:vAlign w:val="center"/>
          </w:tcPr>
          <w:p w:rsidR="00000000" w:rsidRDefault="00000000">
            <w:pPr>
              <w:pStyle w:val="BodyTextIndent"/>
              <w:spacing w:before="60" w:after="60"/>
              <w:ind w:left="0"/>
              <w:jc w:val="center"/>
              <w:rPr>
                <w:iCs/>
                <w:sz w:val="20"/>
                <w:lang w:val="es-ES_tradnl"/>
              </w:rPr>
            </w:pPr>
            <w:r>
              <w:rPr>
                <w:iCs/>
                <w:sz w:val="20"/>
                <w:lang w:val="es-ES_tradnl"/>
              </w:rPr>
              <w:t>33.6%</w:t>
            </w:r>
          </w:p>
        </w:tc>
        <w:tc>
          <w:tcPr>
            <w:tcW w:w="1129" w:type="dxa"/>
            <w:tcBorders>
              <w:bottom w:val="single" w:sz="4" w:space="0" w:color="auto"/>
            </w:tcBorders>
            <w:vAlign w:val="center"/>
          </w:tcPr>
          <w:p w:rsidR="00000000" w:rsidRDefault="00000000">
            <w:pPr>
              <w:pStyle w:val="BodyTextIndent"/>
              <w:spacing w:before="60" w:after="60"/>
              <w:ind w:left="0"/>
              <w:jc w:val="center"/>
              <w:rPr>
                <w:iCs/>
                <w:sz w:val="20"/>
                <w:lang w:val="es-ES_tradnl"/>
              </w:rPr>
            </w:pPr>
            <w:r>
              <w:rPr>
                <w:iCs/>
                <w:sz w:val="20"/>
                <w:lang w:val="es-ES_tradnl"/>
              </w:rPr>
              <w:t>55.6%</w:t>
            </w:r>
          </w:p>
        </w:tc>
        <w:tc>
          <w:tcPr>
            <w:tcW w:w="1129" w:type="dxa"/>
            <w:tcBorders>
              <w:bottom w:val="single" w:sz="4" w:space="0" w:color="auto"/>
            </w:tcBorders>
            <w:vAlign w:val="center"/>
          </w:tcPr>
          <w:p w:rsidR="00000000" w:rsidRDefault="00000000">
            <w:pPr>
              <w:pStyle w:val="BodyTextIndent"/>
              <w:spacing w:before="60" w:after="60"/>
              <w:ind w:left="0"/>
              <w:jc w:val="center"/>
              <w:rPr>
                <w:iCs/>
                <w:sz w:val="20"/>
                <w:lang w:val="es-ES_tradnl"/>
              </w:rPr>
            </w:pPr>
            <w:r>
              <w:rPr>
                <w:iCs/>
                <w:sz w:val="20"/>
                <w:lang w:val="es-ES_tradnl"/>
              </w:rPr>
              <w:t>2.5%</w:t>
            </w:r>
          </w:p>
        </w:tc>
      </w:tr>
    </w:tbl>
    <w:p w:rsidR="00000000" w:rsidRDefault="00000000">
      <w:pPr>
        <w:pStyle w:val="BodyTextIndent"/>
        <w:spacing w:before="120" w:after="80"/>
        <w:ind w:left="567"/>
        <w:rPr>
          <w:sz w:val="20"/>
          <w:lang w:val="en-US"/>
        </w:rPr>
      </w:pPr>
      <w:r>
        <w:rPr>
          <w:i/>
          <w:iCs/>
          <w:sz w:val="20"/>
          <w:lang w:val="en-US"/>
        </w:rPr>
        <w:t xml:space="preserve">Source: </w:t>
      </w:r>
      <w:r>
        <w:rPr>
          <w:sz w:val="20"/>
          <w:lang w:val="en-US"/>
        </w:rPr>
        <w:t>Paraguay Final Results – National Population and Housing Census. Year: 2002.</w:t>
      </w:r>
    </w:p>
    <w:p w:rsidR="00000000" w:rsidRDefault="00000000">
      <w:pPr>
        <w:pStyle w:val="BodyTextIndent"/>
        <w:spacing w:before="80" w:after="240"/>
        <w:ind w:left="567"/>
        <w:rPr>
          <w:sz w:val="20"/>
          <w:lang w:val="en-US"/>
        </w:rPr>
      </w:pPr>
      <w:r>
        <w:rPr>
          <w:sz w:val="20"/>
          <w:lang w:val="en-US"/>
        </w:rPr>
        <w:t>(*)  Includes public network (ESSAP/SENASA) and private network.</w:t>
      </w:r>
    </w:p>
    <w:p w:rsidR="00000000" w:rsidRDefault="00000000">
      <w:pPr>
        <w:pStyle w:val="BodyTextIndent"/>
        <w:spacing w:before="80" w:after="240"/>
        <w:ind w:left="0"/>
        <w:jc w:val="center"/>
        <w:rPr>
          <w:sz w:val="20"/>
          <w:lang w:val="en-US"/>
        </w:rPr>
      </w:pPr>
      <w:r>
        <w:rPr>
          <w:sz w:val="20"/>
          <w:lang w:val="en-US"/>
        </w:rPr>
        <w:t>DIAGRAM 1</w:t>
      </w:r>
    </w:p>
    <w:p w:rsidR="00000000" w:rsidRDefault="00000000">
      <w:pPr>
        <w:pStyle w:val="xl46"/>
        <w:spacing w:before="0" w:beforeAutospacing="0" w:after="240" w:afterAutospacing="0"/>
        <w:rPr>
          <w:rFonts w:ascii="Times New Roman" w:eastAsia="Times New Roman" w:hAnsi="Times New Roman" w:cs="Times New Roman"/>
          <w:bCs w:val="0"/>
          <w:szCs w:val="24"/>
          <w:lang w:val="en-US" w:eastAsia="en-US"/>
        </w:rPr>
      </w:pPr>
      <w:r>
        <w:rPr>
          <w:rFonts w:ascii="Times New Roman" w:eastAsia="Times New Roman" w:hAnsi="Times New Roman" w:cs="Times New Roman"/>
          <w:bCs w:val="0"/>
          <w:szCs w:val="24"/>
          <w:lang w:val="en-US" w:eastAsia="en-US"/>
        </w:rPr>
        <w:t>Private dwellings according to availability of electricity and running water</w:t>
      </w:r>
    </w:p>
    <w:bookmarkStart w:id="66" w:name="_MON_1249189328"/>
    <w:bookmarkStart w:id="67" w:name="_MON_1249189403"/>
    <w:bookmarkStart w:id="68" w:name="_MON_1252588218"/>
    <w:bookmarkStart w:id="69" w:name="_MON_1252588335"/>
    <w:bookmarkStart w:id="70" w:name="_MON_1252591084"/>
    <w:bookmarkEnd w:id="66"/>
    <w:bookmarkEnd w:id="67"/>
    <w:bookmarkEnd w:id="68"/>
    <w:bookmarkEnd w:id="69"/>
    <w:bookmarkEnd w:id="70"/>
    <w:p w:rsidR="00000000" w:rsidRDefault="00000000">
      <w:pPr>
        <w:autoSpaceDE w:val="0"/>
        <w:autoSpaceDN w:val="0"/>
        <w:adjustRightInd w:val="0"/>
        <w:spacing w:after="220"/>
        <w:jc w:val="center"/>
        <w:rPr>
          <w:b/>
          <w:bCs/>
          <w:sz w:val="22"/>
        </w:rPr>
      </w:pPr>
      <w:r>
        <w:object w:dxaOrig="5544" w:dyaOrig="3618">
          <v:shape id="_x0000_i1044" type="#_x0000_t75" style="width:277.5pt;height:180.75pt" o:ole="">
            <v:imagedata r:id="rId48" o:title="" grayscale="t"/>
          </v:shape>
          <o:OLEObject Type="Embed" ProgID="Word.Picture.8" ShapeID="_x0000_i1044" DrawAspect="Content" ObjectID="_1394904861" r:id="rId49"/>
        </w:object>
      </w:r>
    </w:p>
    <w:p w:rsidR="00000000" w:rsidRDefault="00000000">
      <w:pPr>
        <w:autoSpaceDE w:val="0"/>
        <w:autoSpaceDN w:val="0"/>
        <w:adjustRightInd w:val="0"/>
        <w:spacing w:before="120" w:after="240"/>
        <w:rPr>
          <w:bCs/>
          <w:sz w:val="20"/>
          <w:lang w:val="en-US"/>
        </w:rPr>
      </w:pPr>
      <w:r>
        <w:rPr>
          <w:i/>
          <w:iCs/>
          <w:sz w:val="18"/>
        </w:rPr>
        <w:tab/>
      </w:r>
      <w:r>
        <w:rPr>
          <w:bCs/>
          <w:i/>
          <w:iCs/>
          <w:sz w:val="20"/>
          <w:szCs w:val="18"/>
          <w:lang w:val="en-US"/>
        </w:rPr>
        <w:t>Source</w:t>
      </w:r>
      <w:r>
        <w:rPr>
          <w:bCs/>
          <w:sz w:val="20"/>
          <w:szCs w:val="18"/>
          <w:lang w:val="en-US"/>
        </w:rPr>
        <w:t>: Paraguay Final Results – National Population and Housing Census 2002</w:t>
      </w:r>
      <w:r>
        <w:rPr>
          <w:bCs/>
          <w:sz w:val="20"/>
          <w:lang w:val="en-US"/>
        </w:rPr>
        <w:t>.</w:t>
      </w:r>
    </w:p>
    <w:p w:rsidR="00000000" w:rsidRDefault="00000000">
      <w:pPr>
        <w:autoSpaceDE w:val="0"/>
        <w:autoSpaceDN w:val="0"/>
        <w:adjustRightInd w:val="0"/>
        <w:spacing w:after="200"/>
        <w:jc w:val="center"/>
        <w:rPr>
          <w:bCs/>
          <w:sz w:val="22"/>
          <w:lang w:val="en-US"/>
        </w:rPr>
      </w:pPr>
      <w:r>
        <w:rPr>
          <w:bCs/>
          <w:sz w:val="22"/>
          <w:lang w:val="en-US"/>
        </w:rPr>
        <w:t>DIAGRAM 2</w:t>
      </w:r>
    </w:p>
    <w:p w:rsidR="00000000" w:rsidRDefault="00000000">
      <w:pPr>
        <w:pStyle w:val="xl46"/>
        <w:autoSpaceDE w:val="0"/>
        <w:autoSpaceDN w:val="0"/>
        <w:adjustRightInd w:val="0"/>
        <w:spacing w:before="0" w:beforeAutospacing="0" w:after="200" w:afterAutospacing="0"/>
        <w:rPr>
          <w:rFonts w:ascii="Times New Roman" w:eastAsia="Times New Roman" w:hAnsi="Times New Roman" w:cs="Times New Roman"/>
          <w:szCs w:val="24"/>
          <w:lang w:val="en-US" w:eastAsia="en-US"/>
        </w:rPr>
      </w:pPr>
      <w:r>
        <w:rPr>
          <w:rFonts w:ascii="Times New Roman" w:eastAsia="Times New Roman" w:hAnsi="Times New Roman" w:cs="Times New Roman"/>
          <w:szCs w:val="24"/>
          <w:lang w:val="en-US" w:eastAsia="en-US"/>
        </w:rPr>
        <w:t>Private dwellings by urban-rural area according to basic services 2002</w:t>
      </w:r>
    </w:p>
    <w:bookmarkStart w:id="71" w:name="_MON_1252588737"/>
    <w:bookmarkStart w:id="72" w:name="_MON_1252591086"/>
    <w:bookmarkEnd w:id="71"/>
    <w:bookmarkEnd w:id="72"/>
    <w:p w:rsidR="00000000" w:rsidRDefault="00000000">
      <w:pPr>
        <w:autoSpaceDE w:val="0"/>
        <w:autoSpaceDN w:val="0"/>
        <w:adjustRightInd w:val="0"/>
        <w:spacing w:after="240"/>
        <w:jc w:val="center"/>
        <w:rPr>
          <w:sz w:val="22"/>
        </w:rPr>
      </w:pPr>
      <w:r>
        <w:object w:dxaOrig="8831" w:dyaOrig="3752">
          <v:shape id="_x0000_i1045" type="#_x0000_t75" style="width:441.75pt;height:187.5pt" o:ole="">
            <v:imagedata r:id="rId50" o:title="" grayscale="t"/>
          </v:shape>
          <o:OLEObject Type="Embed" ProgID="Word.Picture.8" ShapeID="_x0000_i1045" DrawAspect="Content" ObjectID="_1394904862" r:id="rId51"/>
        </w:object>
      </w:r>
    </w:p>
    <w:p w:rsidR="00000000" w:rsidRDefault="00000000">
      <w:pPr>
        <w:autoSpaceDE w:val="0"/>
        <w:autoSpaceDN w:val="0"/>
        <w:adjustRightInd w:val="0"/>
        <w:spacing w:before="120" w:after="240"/>
        <w:jc w:val="center"/>
        <w:rPr>
          <w:bCs/>
          <w:sz w:val="20"/>
          <w:lang w:val="en-US"/>
        </w:rPr>
      </w:pPr>
      <w:r>
        <w:rPr>
          <w:bCs/>
          <w:i/>
          <w:sz w:val="20"/>
          <w:szCs w:val="18"/>
          <w:lang w:val="en-US"/>
        </w:rPr>
        <w:t>Source:</w:t>
      </w:r>
      <w:r>
        <w:rPr>
          <w:bCs/>
          <w:iCs/>
          <w:sz w:val="20"/>
          <w:szCs w:val="18"/>
          <w:lang w:val="en-US"/>
        </w:rPr>
        <w:t xml:space="preserve"> Paraguay Final Results – National Population and Housing Census. Year: 2002</w:t>
      </w:r>
      <w:r>
        <w:rPr>
          <w:bCs/>
          <w:sz w:val="20"/>
          <w:lang w:val="en-US"/>
        </w:rPr>
        <w:t>.</w:t>
      </w:r>
    </w:p>
    <w:p w:rsidR="00000000" w:rsidRDefault="00000000">
      <w:pPr>
        <w:autoSpaceDE w:val="0"/>
        <w:autoSpaceDN w:val="0"/>
        <w:adjustRightInd w:val="0"/>
        <w:spacing w:after="240"/>
        <w:rPr>
          <w:lang w:val="en-US"/>
        </w:rPr>
      </w:pPr>
      <w:r>
        <w:rPr>
          <w:lang w:val="en-US"/>
        </w:rPr>
        <w:t>397.</w:t>
      </w:r>
      <w:r>
        <w:rPr>
          <w:lang w:val="en-US"/>
        </w:rPr>
        <w:tab/>
        <w:t>The total number of defective dwellings owing to problems of physical quality throughout the country is 222,298, with 48,194 in urban areas and 174,104 in rural areas. Table 2 shows defective dwellings of the following types: huts, improvised, others, and the material mainly used for outer walls, floors and roofing.</w:t>
      </w:r>
    </w:p>
    <w:p w:rsidR="00000000" w:rsidRDefault="00000000">
      <w:pPr>
        <w:autoSpaceDE w:val="0"/>
        <w:autoSpaceDN w:val="0"/>
        <w:adjustRightInd w:val="0"/>
        <w:spacing w:after="240"/>
        <w:jc w:val="center"/>
        <w:rPr>
          <w:bCs/>
          <w:sz w:val="22"/>
          <w:lang w:val="en-US"/>
        </w:rPr>
      </w:pPr>
      <w:r>
        <w:rPr>
          <w:bCs/>
          <w:sz w:val="22"/>
          <w:lang w:val="en-US"/>
        </w:rPr>
        <w:t>TABLE 2</w:t>
      </w:r>
    </w:p>
    <w:p w:rsidR="00000000" w:rsidRDefault="00000000">
      <w:pPr>
        <w:pStyle w:val="BodyText3"/>
        <w:spacing w:after="240"/>
        <w:jc w:val="center"/>
        <w:rPr>
          <w:b/>
          <w:iCs/>
          <w:sz w:val="22"/>
          <w:szCs w:val="24"/>
          <w:lang w:val="en-US"/>
        </w:rPr>
      </w:pPr>
      <w:r>
        <w:rPr>
          <w:b/>
          <w:iCs/>
          <w:sz w:val="22"/>
          <w:szCs w:val="24"/>
          <w:lang w:val="en-US"/>
        </w:rPr>
        <w:t>Defective private dwellings owing to problems of physical quality, by type of dwelling, according to urban or rural area and the material mainly used for outer walls, floors and roofing. Year 2002</w:t>
      </w:r>
    </w:p>
    <w:tbl>
      <w:tblPr>
        <w:tblW w:w="5000" w:type="pct"/>
        <w:jc w:val="center"/>
        <w:tblBorders>
          <w:insideV w:val="single" w:sz="4" w:space="0" w:color="auto"/>
        </w:tblBorders>
        <w:tblCellMar>
          <w:left w:w="0" w:type="dxa"/>
          <w:right w:w="0" w:type="dxa"/>
        </w:tblCellMar>
        <w:tblLook w:val="0000" w:firstRow="0" w:lastRow="0" w:firstColumn="0" w:lastColumn="0" w:noHBand="0" w:noVBand="0"/>
      </w:tblPr>
      <w:tblGrid>
        <w:gridCol w:w="3302"/>
        <w:gridCol w:w="1693"/>
        <w:gridCol w:w="1495"/>
        <w:gridCol w:w="1464"/>
        <w:gridCol w:w="1475"/>
      </w:tblGrid>
      <w:tr w:rsidR="00000000">
        <w:tblPrEx>
          <w:tblCellMar>
            <w:top w:w="0" w:type="dxa"/>
            <w:bottom w:w="0" w:type="dxa"/>
          </w:tblCellMar>
        </w:tblPrEx>
        <w:trPr>
          <w:cantSplit/>
          <w:tblHeader/>
          <w:jc w:val="center"/>
        </w:trPr>
        <w:tc>
          <w:tcPr>
            <w:tcW w:w="3302" w:type="dxa"/>
            <w:vMerge w:val="restart"/>
            <w:tcBorders>
              <w:top w:val="single" w:sz="4" w:space="0" w:color="auto"/>
              <w:bottom w:val="single" w:sz="4" w:space="0" w:color="auto"/>
            </w:tcBorders>
            <w:vAlign w:val="center"/>
          </w:tcPr>
          <w:p w:rsidR="00000000" w:rsidRDefault="00000000">
            <w:pPr>
              <w:pStyle w:val="BodyTextIndent"/>
              <w:spacing w:before="60" w:after="60"/>
              <w:ind w:left="0"/>
              <w:jc w:val="center"/>
              <w:rPr>
                <w:b/>
                <w:bCs/>
                <w:i/>
                <w:sz w:val="20"/>
                <w:lang w:val="en-US"/>
              </w:rPr>
            </w:pPr>
            <w:r>
              <w:rPr>
                <w:b/>
                <w:bCs/>
                <w:i/>
                <w:sz w:val="20"/>
                <w:lang w:val="en-US"/>
              </w:rPr>
              <w:t>Urban-rural area and the principal material used for outer walls, floors, and roofing</w:t>
            </w:r>
          </w:p>
        </w:tc>
        <w:tc>
          <w:tcPr>
            <w:tcW w:w="6127" w:type="dxa"/>
            <w:gridSpan w:val="4"/>
            <w:tcBorders>
              <w:top w:val="single" w:sz="4" w:space="0" w:color="auto"/>
              <w:bottom w:val="single" w:sz="4" w:space="0" w:color="auto"/>
            </w:tcBorders>
          </w:tcPr>
          <w:p w:rsidR="00000000" w:rsidRDefault="00000000">
            <w:pPr>
              <w:pStyle w:val="BodyTextIndent"/>
              <w:spacing w:before="60" w:after="60"/>
              <w:ind w:left="0"/>
              <w:jc w:val="center"/>
              <w:rPr>
                <w:b/>
                <w:bCs/>
                <w:i/>
                <w:sz w:val="20"/>
                <w:lang w:val="en-US"/>
              </w:rPr>
            </w:pPr>
            <w:r>
              <w:rPr>
                <w:b/>
                <w:bCs/>
                <w:i/>
                <w:sz w:val="20"/>
                <w:lang w:val="en-US"/>
              </w:rPr>
              <w:t>Occupied private dwellings with persons present</w:t>
            </w:r>
          </w:p>
        </w:tc>
      </w:tr>
      <w:tr w:rsidR="00000000">
        <w:tblPrEx>
          <w:tblCellMar>
            <w:top w:w="0" w:type="dxa"/>
            <w:bottom w:w="0" w:type="dxa"/>
          </w:tblCellMar>
        </w:tblPrEx>
        <w:trPr>
          <w:cantSplit/>
          <w:tblHeader/>
          <w:jc w:val="center"/>
        </w:trPr>
        <w:tc>
          <w:tcPr>
            <w:tcW w:w="3302" w:type="dxa"/>
            <w:vMerge/>
            <w:tcBorders>
              <w:top w:val="single" w:sz="4" w:space="0" w:color="auto"/>
            </w:tcBorders>
          </w:tcPr>
          <w:p w:rsidR="00000000" w:rsidRDefault="00000000">
            <w:pPr>
              <w:pStyle w:val="BodyTextIndent"/>
              <w:spacing w:before="60" w:after="60"/>
              <w:ind w:left="0"/>
              <w:jc w:val="center"/>
              <w:rPr>
                <w:b/>
                <w:bCs/>
                <w:i/>
                <w:sz w:val="20"/>
                <w:lang w:val="en-US"/>
              </w:rPr>
            </w:pPr>
          </w:p>
        </w:tc>
        <w:tc>
          <w:tcPr>
            <w:tcW w:w="1693" w:type="dxa"/>
            <w:vMerge w:val="restart"/>
            <w:tcBorders>
              <w:top w:val="single" w:sz="4" w:space="0" w:color="auto"/>
            </w:tcBorders>
            <w:vAlign w:val="center"/>
          </w:tcPr>
          <w:p w:rsidR="00000000" w:rsidRDefault="00000000">
            <w:pPr>
              <w:pStyle w:val="BodyTextIndent"/>
              <w:spacing w:before="60" w:after="60"/>
              <w:ind w:left="0"/>
              <w:jc w:val="center"/>
              <w:rPr>
                <w:b/>
                <w:bCs/>
                <w:i/>
                <w:sz w:val="20"/>
              </w:rPr>
            </w:pPr>
            <w:r>
              <w:rPr>
                <w:b/>
                <w:bCs/>
                <w:i/>
                <w:sz w:val="20"/>
              </w:rPr>
              <w:t>Total</w:t>
            </w:r>
          </w:p>
        </w:tc>
        <w:tc>
          <w:tcPr>
            <w:tcW w:w="4434" w:type="dxa"/>
            <w:gridSpan w:val="3"/>
            <w:tcBorders>
              <w:top w:val="single" w:sz="4" w:space="0" w:color="auto"/>
              <w:bottom w:val="single" w:sz="4" w:space="0" w:color="auto"/>
            </w:tcBorders>
          </w:tcPr>
          <w:p w:rsidR="00000000" w:rsidRDefault="00000000">
            <w:pPr>
              <w:pStyle w:val="BodyTextIndent"/>
              <w:spacing w:before="60" w:after="60"/>
              <w:ind w:left="0"/>
              <w:jc w:val="center"/>
              <w:rPr>
                <w:b/>
                <w:bCs/>
                <w:i/>
                <w:sz w:val="20"/>
              </w:rPr>
            </w:pPr>
            <w:r>
              <w:rPr>
                <w:b/>
                <w:bCs/>
                <w:i/>
                <w:sz w:val="20"/>
              </w:rPr>
              <w:t>Type of dwelling</w:t>
            </w:r>
          </w:p>
        </w:tc>
      </w:tr>
      <w:tr w:rsidR="00000000">
        <w:tblPrEx>
          <w:tblCellMar>
            <w:top w:w="0" w:type="dxa"/>
            <w:bottom w:w="0" w:type="dxa"/>
          </w:tblCellMar>
        </w:tblPrEx>
        <w:trPr>
          <w:cantSplit/>
          <w:tblHeader/>
          <w:jc w:val="center"/>
        </w:trPr>
        <w:tc>
          <w:tcPr>
            <w:tcW w:w="3302" w:type="dxa"/>
            <w:vMerge/>
            <w:tcBorders>
              <w:bottom w:val="single" w:sz="4" w:space="0" w:color="auto"/>
            </w:tcBorders>
          </w:tcPr>
          <w:p w:rsidR="00000000" w:rsidRDefault="00000000">
            <w:pPr>
              <w:pStyle w:val="BodyTextIndent"/>
              <w:spacing w:before="60" w:after="60"/>
              <w:ind w:left="0"/>
              <w:jc w:val="center"/>
              <w:rPr>
                <w:b/>
                <w:bCs/>
                <w:i/>
                <w:sz w:val="20"/>
              </w:rPr>
            </w:pPr>
          </w:p>
        </w:tc>
        <w:tc>
          <w:tcPr>
            <w:tcW w:w="1693" w:type="dxa"/>
            <w:vMerge/>
            <w:tcBorders>
              <w:bottom w:val="single" w:sz="4" w:space="0" w:color="auto"/>
            </w:tcBorders>
          </w:tcPr>
          <w:p w:rsidR="00000000" w:rsidRDefault="00000000">
            <w:pPr>
              <w:pStyle w:val="BodyTextIndent"/>
              <w:spacing w:before="60" w:after="60"/>
              <w:ind w:left="0"/>
              <w:jc w:val="center"/>
              <w:rPr>
                <w:b/>
                <w:bCs/>
                <w:i/>
                <w:sz w:val="20"/>
              </w:rPr>
            </w:pPr>
          </w:p>
        </w:tc>
        <w:tc>
          <w:tcPr>
            <w:tcW w:w="1495" w:type="dxa"/>
            <w:tcBorders>
              <w:top w:val="single" w:sz="4" w:space="0" w:color="auto"/>
              <w:bottom w:val="single" w:sz="4" w:space="0" w:color="auto"/>
            </w:tcBorders>
            <w:vAlign w:val="center"/>
          </w:tcPr>
          <w:p w:rsidR="00000000" w:rsidRDefault="00000000">
            <w:pPr>
              <w:pStyle w:val="BodyTextIndent"/>
              <w:spacing w:before="60" w:after="60"/>
              <w:ind w:left="0"/>
              <w:jc w:val="center"/>
              <w:rPr>
                <w:b/>
                <w:bCs/>
                <w:i/>
                <w:sz w:val="20"/>
              </w:rPr>
            </w:pPr>
            <w:r>
              <w:rPr>
                <w:b/>
                <w:bCs/>
                <w:i/>
                <w:sz w:val="20"/>
              </w:rPr>
              <w:t>Hut</w:t>
            </w:r>
          </w:p>
        </w:tc>
        <w:tc>
          <w:tcPr>
            <w:tcW w:w="1464" w:type="dxa"/>
            <w:tcBorders>
              <w:top w:val="single" w:sz="4" w:space="0" w:color="auto"/>
              <w:bottom w:val="single" w:sz="4" w:space="0" w:color="auto"/>
            </w:tcBorders>
            <w:vAlign w:val="center"/>
          </w:tcPr>
          <w:p w:rsidR="00000000" w:rsidRDefault="00000000">
            <w:pPr>
              <w:pStyle w:val="BodyTextIndent"/>
              <w:spacing w:before="60" w:after="60"/>
              <w:ind w:left="0"/>
              <w:jc w:val="center"/>
              <w:rPr>
                <w:b/>
                <w:bCs/>
                <w:i/>
                <w:sz w:val="20"/>
              </w:rPr>
            </w:pPr>
            <w:r>
              <w:rPr>
                <w:b/>
                <w:bCs/>
                <w:i/>
                <w:sz w:val="20"/>
              </w:rPr>
              <w:t>Improvised dwelling</w:t>
            </w:r>
          </w:p>
        </w:tc>
        <w:tc>
          <w:tcPr>
            <w:tcW w:w="1475" w:type="dxa"/>
            <w:tcBorders>
              <w:top w:val="single" w:sz="4" w:space="0" w:color="auto"/>
              <w:bottom w:val="single" w:sz="4" w:space="0" w:color="auto"/>
            </w:tcBorders>
            <w:vAlign w:val="center"/>
          </w:tcPr>
          <w:p w:rsidR="00000000" w:rsidRDefault="00000000">
            <w:pPr>
              <w:pStyle w:val="BodyTextIndent"/>
              <w:spacing w:before="60" w:after="60"/>
              <w:ind w:left="0"/>
              <w:jc w:val="center"/>
              <w:rPr>
                <w:b/>
                <w:bCs/>
                <w:i/>
                <w:sz w:val="20"/>
              </w:rPr>
            </w:pPr>
            <w:r>
              <w:rPr>
                <w:b/>
                <w:bCs/>
                <w:i/>
                <w:sz w:val="20"/>
              </w:rPr>
              <w:t>Others</w:t>
            </w:r>
          </w:p>
        </w:tc>
      </w:tr>
      <w:tr w:rsidR="00000000">
        <w:tblPrEx>
          <w:tblCellMar>
            <w:top w:w="0" w:type="dxa"/>
            <w:bottom w:w="0" w:type="dxa"/>
          </w:tblCellMar>
        </w:tblPrEx>
        <w:trPr>
          <w:jc w:val="center"/>
        </w:trPr>
        <w:tc>
          <w:tcPr>
            <w:tcW w:w="3302" w:type="dxa"/>
            <w:tcBorders>
              <w:top w:val="single" w:sz="4" w:space="0" w:color="auto"/>
            </w:tcBorders>
          </w:tcPr>
          <w:p w:rsidR="00000000" w:rsidRDefault="00000000">
            <w:pPr>
              <w:pStyle w:val="BodyTextIndent"/>
              <w:spacing w:before="60" w:after="50"/>
              <w:ind w:left="0"/>
              <w:rPr>
                <w:b/>
                <w:bCs/>
                <w:sz w:val="20"/>
              </w:rPr>
            </w:pPr>
            <w:r>
              <w:rPr>
                <w:b/>
                <w:bCs/>
                <w:sz w:val="20"/>
              </w:rPr>
              <w:t>TOTAL COUNTRY</w:t>
            </w:r>
          </w:p>
        </w:tc>
        <w:tc>
          <w:tcPr>
            <w:tcW w:w="1693" w:type="dxa"/>
            <w:tcBorders>
              <w:top w:val="single" w:sz="4" w:space="0" w:color="auto"/>
            </w:tcBorders>
          </w:tcPr>
          <w:p w:rsidR="00000000" w:rsidRDefault="00000000">
            <w:pPr>
              <w:pStyle w:val="BodyTextIndent"/>
              <w:spacing w:before="60" w:after="50"/>
              <w:ind w:left="0"/>
              <w:rPr>
                <w:b/>
                <w:bCs/>
                <w:iCs/>
                <w:sz w:val="20"/>
              </w:rPr>
            </w:pPr>
          </w:p>
        </w:tc>
        <w:tc>
          <w:tcPr>
            <w:tcW w:w="1495" w:type="dxa"/>
            <w:tcBorders>
              <w:top w:val="single" w:sz="4" w:space="0" w:color="auto"/>
            </w:tcBorders>
          </w:tcPr>
          <w:p w:rsidR="00000000" w:rsidRDefault="00000000">
            <w:pPr>
              <w:pStyle w:val="BodyTextIndent"/>
              <w:spacing w:before="60" w:after="50"/>
              <w:ind w:left="0"/>
              <w:rPr>
                <w:b/>
                <w:bCs/>
                <w:iCs/>
                <w:sz w:val="20"/>
              </w:rPr>
            </w:pPr>
          </w:p>
        </w:tc>
        <w:tc>
          <w:tcPr>
            <w:tcW w:w="1464" w:type="dxa"/>
            <w:tcBorders>
              <w:top w:val="single" w:sz="4" w:space="0" w:color="auto"/>
            </w:tcBorders>
          </w:tcPr>
          <w:p w:rsidR="00000000" w:rsidRDefault="00000000">
            <w:pPr>
              <w:pStyle w:val="BodyTextIndent"/>
              <w:spacing w:before="60" w:after="50"/>
              <w:ind w:left="0"/>
              <w:rPr>
                <w:b/>
                <w:bCs/>
                <w:iCs/>
                <w:sz w:val="20"/>
              </w:rPr>
            </w:pPr>
          </w:p>
        </w:tc>
        <w:tc>
          <w:tcPr>
            <w:tcW w:w="1475" w:type="dxa"/>
            <w:tcBorders>
              <w:top w:val="single" w:sz="4" w:space="0" w:color="auto"/>
            </w:tcBorders>
          </w:tcPr>
          <w:p w:rsidR="00000000" w:rsidRDefault="00000000">
            <w:pPr>
              <w:pStyle w:val="BodyTextIndent"/>
              <w:spacing w:before="60" w:after="50"/>
              <w:ind w:left="0"/>
              <w:rPr>
                <w:b/>
                <w:bCs/>
                <w:iCs/>
                <w:sz w:val="20"/>
              </w:rPr>
            </w:pPr>
          </w:p>
        </w:tc>
      </w:tr>
      <w:tr w:rsidR="00000000">
        <w:tblPrEx>
          <w:tblCellMar>
            <w:top w:w="0" w:type="dxa"/>
            <w:bottom w:w="0" w:type="dxa"/>
          </w:tblCellMar>
        </w:tblPrEx>
        <w:trPr>
          <w:jc w:val="center"/>
        </w:trPr>
        <w:tc>
          <w:tcPr>
            <w:tcW w:w="3302" w:type="dxa"/>
          </w:tcPr>
          <w:p w:rsidR="00000000" w:rsidRDefault="00000000">
            <w:pPr>
              <w:pStyle w:val="BodyTextIndent"/>
              <w:spacing w:before="60" w:after="50"/>
              <w:ind w:left="0"/>
              <w:rPr>
                <w:iCs/>
                <w:sz w:val="20"/>
              </w:rPr>
            </w:pPr>
            <w:r>
              <w:rPr>
                <w:iCs/>
                <w:sz w:val="20"/>
              </w:rPr>
              <w:t>Total dwellings</w:t>
            </w:r>
          </w:p>
        </w:tc>
        <w:tc>
          <w:tcPr>
            <w:tcW w:w="1693" w:type="dxa"/>
          </w:tcPr>
          <w:p w:rsidR="00000000" w:rsidRDefault="00000000">
            <w:pPr>
              <w:pStyle w:val="BodyTextIndent"/>
              <w:spacing w:before="60" w:after="50"/>
              <w:ind w:left="0" w:right="510"/>
              <w:jc w:val="right"/>
              <w:rPr>
                <w:iCs/>
                <w:sz w:val="20"/>
              </w:rPr>
            </w:pPr>
            <w:r>
              <w:rPr>
                <w:iCs/>
                <w:sz w:val="20"/>
              </w:rPr>
              <w:t>222 298</w:t>
            </w:r>
          </w:p>
        </w:tc>
        <w:tc>
          <w:tcPr>
            <w:tcW w:w="1495" w:type="dxa"/>
          </w:tcPr>
          <w:p w:rsidR="00000000" w:rsidRDefault="00000000">
            <w:pPr>
              <w:pStyle w:val="BodyTextIndent"/>
              <w:spacing w:before="60" w:after="50"/>
              <w:ind w:left="0" w:right="510"/>
              <w:jc w:val="right"/>
              <w:rPr>
                <w:iCs/>
                <w:sz w:val="20"/>
              </w:rPr>
            </w:pPr>
            <w:r>
              <w:rPr>
                <w:iCs/>
                <w:sz w:val="20"/>
              </w:rPr>
              <w:t>216 251</w:t>
            </w:r>
          </w:p>
        </w:tc>
        <w:tc>
          <w:tcPr>
            <w:tcW w:w="1464" w:type="dxa"/>
          </w:tcPr>
          <w:p w:rsidR="00000000" w:rsidRDefault="00000000">
            <w:pPr>
              <w:pStyle w:val="BodyTextIndent"/>
              <w:spacing w:before="60" w:after="50"/>
              <w:ind w:left="0" w:right="510"/>
              <w:jc w:val="right"/>
              <w:rPr>
                <w:iCs/>
                <w:sz w:val="20"/>
              </w:rPr>
            </w:pPr>
            <w:r>
              <w:rPr>
                <w:iCs/>
                <w:sz w:val="20"/>
              </w:rPr>
              <w:t>2 091</w:t>
            </w:r>
          </w:p>
        </w:tc>
        <w:tc>
          <w:tcPr>
            <w:tcW w:w="1475" w:type="dxa"/>
          </w:tcPr>
          <w:p w:rsidR="00000000" w:rsidRDefault="00000000">
            <w:pPr>
              <w:pStyle w:val="BodyTextIndent"/>
              <w:spacing w:before="60" w:after="50"/>
              <w:ind w:left="0" w:right="510"/>
              <w:jc w:val="right"/>
              <w:rPr>
                <w:iCs/>
                <w:sz w:val="20"/>
              </w:rPr>
            </w:pPr>
            <w:r>
              <w:rPr>
                <w:iCs/>
                <w:sz w:val="20"/>
              </w:rPr>
              <w:t>3 956</w:t>
            </w:r>
          </w:p>
        </w:tc>
      </w:tr>
      <w:tr w:rsidR="00000000">
        <w:tblPrEx>
          <w:tblCellMar>
            <w:top w:w="0" w:type="dxa"/>
            <w:bottom w:w="0" w:type="dxa"/>
          </w:tblCellMar>
        </w:tblPrEx>
        <w:trPr>
          <w:jc w:val="center"/>
        </w:trPr>
        <w:tc>
          <w:tcPr>
            <w:tcW w:w="3302" w:type="dxa"/>
          </w:tcPr>
          <w:p w:rsidR="00000000" w:rsidRDefault="00000000">
            <w:pPr>
              <w:pStyle w:val="BodyTextIndent"/>
              <w:spacing w:before="60" w:after="50"/>
              <w:ind w:left="0"/>
              <w:rPr>
                <w:iCs/>
                <w:smallCaps/>
                <w:sz w:val="20"/>
              </w:rPr>
            </w:pPr>
            <w:r>
              <w:rPr>
                <w:iCs/>
                <w:smallCaps/>
                <w:sz w:val="20"/>
              </w:rPr>
              <w:t>A.  Outer walls</w:t>
            </w:r>
          </w:p>
        </w:tc>
        <w:tc>
          <w:tcPr>
            <w:tcW w:w="1693" w:type="dxa"/>
          </w:tcPr>
          <w:p w:rsidR="00000000" w:rsidRDefault="00000000">
            <w:pPr>
              <w:pStyle w:val="BodyTextIndent"/>
              <w:spacing w:before="60" w:after="50"/>
              <w:ind w:left="0" w:right="510"/>
              <w:jc w:val="right"/>
              <w:rPr>
                <w:iCs/>
                <w:sz w:val="20"/>
              </w:rPr>
            </w:pPr>
          </w:p>
        </w:tc>
        <w:tc>
          <w:tcPr>
            <w:tcW w:w="1495" w:type="dxa"/>
          </w:tcPr>
          <w:p w:rsidR="00000000" w:rsidRDefault="00000000">
            <w:pPr>
              <w:pStyle w:val="BodyTextIndent"/>
              <w:spacing w:before="60" w:after="50"/>
              <w:ind w:left="0" w:right="510"/>
              <w:jc w:val="right"/>
              <w:rPr>
                <w:iCs/>
                <w:sz w:val="20"/>
              </w:rPr>
            </w:pPr>
          </w:p>
        </w:tc>
        <w:tc>
          <w:tcPr>
            <w:tcW w:w="1464" w:type="dxa"/>
          </w:tcPr>
          <w:p w:rsidR="00000000" w:rsidRDefault="00000000">
            <w:pPr>
              <w:pStyle w:val="BodyTextIndent"/>
              <w:spacing w:before="60" w:after="50"/>
              <w:ind w:left="0" w:right="510"/>
              <w:jc w:val="right"/>
              <w:rPr>
                <w:iCs/>
                <w:sz w:val="20"/>
              </w:rPr>
            </w:pPr>
          </w:p>
        </w:tc>
        <w:tc>
          <w:tcPr>
            <w:tcW w:w="1475" w:type="dxa"/>
          </w:tcPr>
          <w:p w:rsidR="00000000" w:rsidRDefault="00000000">
            <w:pPr>
              <w:pStyle w:val="BodyTextIndent"/>
              <w:spacing w:before="60" w:after="50"/>
              <w:ind w:left="0" w:right="510"/>
              <w:jc w:val="right"/>
              <w:rPr>
                <w:iCs/>
                <w:sz w:val="20"/>
              </w:rPr>
            </w:pPr>
          </w:p>
        </w:tc>
      </w:tr>
      <w:tr w:rsidR="00000000">
        <w:tblPrEx>
          <w:tblCellMar>
            <w:top w:w="0" w:type="dxa"/>
            <w:bottom w:w="0" w:type="dxa"/>
          </w:tblCellMar>
        </w:tblPrEx>
        <w:trPr>
          <w:jc w:val="center"/>
        </w:trPr>
        <w:tc>
          <w:tcPr>
            <w:tcW w:w="3302" w:type="dxa"/>
          </w:tcPr>
          <w:p w:rsidR="00000000" w:rsidRDefault="00000000">
            <w:pPr>
              <w:pStyle w:val="BodyTextIndent"/>
              <w:spacing w:before="60" w:after="50"/>
              <w:ind w:left="0"/>
              <w:rPr>
                <w:iCs/>
                <w:sz w:val="20"/>
              </w:rPr>
            </w:pPr>
            <w:r>
              <w:rPr>
                <w:iCs/>
                <w:sz w:val="20"/>
              </w:rPr>
              <w:tab/>
              <w:t>Brick</w:t>
            </w:r>
          </w:p>
        </w:tc>
        <w:tc>
          <w:tcPr>
            <w:tcW w:w="1693" w:type="dxa"/>
          </w:tcPr>
          <w:p w:rsidR="00000000" w:rsidRDefault="00000000">
            <w:pPr>
              <w:pStyle w:val="BodyTextIndent"/>
              <w:spacing w:before="60" w:after="50"/>
              <w:ind w:left="0" w:right="510"/>
              <w:jc w:val="right"/>
              <w:rPr>
                <w:iCs/>
                <w:sz w:val="20"/>
              </w:rPr>
            </w:pPr>
            <w:r>
              <w:rPr>
                <w:iCs/>
                <w:sz w:val="20"/>
              </w:rPr>
              <w:t>10 733</w:t>
            </w:r>
          </w:p>
        </w:tc>
        <w:tc>
          <w:tcPr>
            <w:tcW w:w="1495" w:type="dxa"/>
          </w:tcPr>
          <w:p w:rsidR="00000000" w:rsidRDefault="00000000">
            <w:pPr>
              <w:pStyle w:val="BodyTextIndent"/>
              <w:spacing w:before="60" w:after="50"/>
              <w:ind w:left="0" w:right="510"/>
              <w:jc w:val="right"/>
              <w:rPr>
                <w:iCs/>
                <w:sz w:val="20"/>
              </w:rPr>
            </w:pPr>
            <w:r>
              <w:rPr>
                <w:iCs/>
                <w:sz w:val="20"/>
              </w:rPr>
              <w:t>8 341</w:t>
            </w:r>
          </w:p>
        </w:tc>
        <w:tc>
          <w:tcPr>
            <w:tcW w:w="1464" w:type="dxa"/>
          </w:tcPr>
          <w:p w:rsidR="00000000" w:rsidRDefault="00000000">
            <w:pPr>
              <w:pStyle w:val="BodyTextIndent"/>
              <w:spacing w:before="60" w:after="50"/>
              <w:ind w:left="0" w:right="510"/>
              <w:jc w:val="right"/>
              <w:rPr>
                <w:iCs/>
                <w:sz w:val="20"/>
              </w:rPr>
            </w:pPr>
            <w:r>
              <w:rPr>
                <w:iCs/>
                <w:sz w:val="20"/>
              </w:rPr>
              <w:t>18</w:t>
            </w:r>
          </w:p>
        </w:tc>
        <w:tc>
          <w:tcPr>
            <w:tcW w:w="1475" w:type="dxa"/>
          </w:tcPr>
          <w:p w:rsidR="00000000" w:rsidRDefault="00000000">
            <w:pPr>
              <w:pStyle w:val="BodyTextIndent"/>
              <w:spacing w:before="60" w:after="50"/>
              <w:ind w:left="0" w:right="510"/>
              <w:jc w:val="right"/>
              <w:rPr>
                <w:iCs/>
                <w:sz w:val="20"/>
              </w:rPr>
            </w:pPr>
            <w:r>
              <w:rPr>
                <w:iCs/>
                <w:sz w:val="20"/>
              </w:rPr>
              <w:t>2 374</w:t>
            </w:r>
          </w:p>
        </w:tc>
      </w:tr>
      <w:tr w:rsidR="00000000">
        <w:tblPrEx>
          <w:tblCellMar>
            <w:top w:w="0" w:type="dxa"/>
            <w:bottom w:w="0" w:type="dxa"/>
          </w:tblCellMar>
        </w:tblPrEx>
        <w:trPr>
          <w:jc w:val="center"/>
        </w:trPr>
        <w:tc>
          <w:tcPr>
            <w:tcW w:w="3302" w:type="dxa"/>
          </w:tcPr>
          <w:p w:rsidR="00000000" w:rsidRDefault="00000000">
            <w:pPr>
              <w:pStyle w:val="BodyTextIndent"/>
              <w:spacing w:before="60" w:after="50"/>
              <w:ind w:left="0"/>
              <w:rPr>
                <w:iCs/>
                <w:sz w:val="20"/>
              </w:rPr>
            </w:pPr>
            <w:r>
              <w:rPr>
                <w:iCs/>
                <w:sz w:val="20"/>
              </w:rPr>
              <w:tab/>
              <w:t>Wood</w:t>
            </w:r>
          </w:p>
        </w:tc>
        <w:tc>
          <w:tcPr>
            <w:tcW w:w="1693" w:type="dxa"/>
          </w:tcPr>
          <w:p w:rsidR="00000000" w:rsidRDefault="00000000">
            <w:pPr>
              <w:pStyle w:val="BodyTextIndent"/>
              <w:spacing w:before="60" w:after="50"/>
              <w:ind w:left="0" w:right="510"/>
              <w:jc w:val="right"/>
              <w:rPr>
                <w:iCs/>
                <w:sz w:val="20"/>
              </w:rPr>
            </w:pPr>
            <w:r>
              <w:rPr>
                <w:iCs/>
                <w:sz w:val="20"/>
              </w:rPr>
              <w:t>170 007</w:t>
            </w:r>
          </w:p>
        </w:tc>
        <w:tc>
          <w:tcPr>
            <w:tcW w:w="1495" w:type="dxa"/>
          </w:tcPr>
          <w:p w:rsidR="00000000" w:rsidRDefault="00000000">
            <w:pPr>
              <w:pStyle w:val="BodyTextIndent"/>
              <w:spacing w:before="60" w:after="50"/>
              <w:ind w:left="0" w:right="510"/>
              <w:jc w:val="right"/>
              <w:rPr>
                <w:iCs/>
                <w:sz w:val="20"/>
              </w:rPr>
            </w:pPr>
            <w:r>
              <w:rPr>
                <w:iCs/>
                <w:sz w:val="20"/>
              </w:rPr>
              <w:t>168 961</w:t>
            </w:r>
          </w:p>
        </w:tc>
        <w:tc>
          <w:tcPr>
            <w:tcW w:w="1464" w:type="dxa"/>
          </w:tcPr>
          <w:p w:rsidR="00000000" w:rsidRDefault="00000000">
            <w:pPr>
              <w:pStyle w:val="BodyTextIndent"/>
              <w:spacing w:before="60" w:after="50"/>
              <w:ind w:left="0" w:right="510"/>
              <w:jc w:val="right"/>
              <w:rPr>
                <w:iCs/>
                <w:sz w:val="20"/>
              </w:rPr>
            </w:pPr>
            <w:r>
              <w:rPr>
                <w:iCs/>
                <w:sz w:val="20"/>
              </w:rPr>
              <w:t>144</w:t>
            </w:r>
          </w:p>
        </w:tc>
        <w:tc>
          <w:tcPr>
            <w:tcW w:w="1475" w:type="dxa"/>
          </w:tcPr>
          <w:p w:rsidR="00000000" w:rsidRDefault="00000000">
            <w:pPr>
              <w:pStyle w:val="BodyTextIndent"/>
              <w:spacing w:before="60" w:after="50"/>
              <w:ind w:left="0" w:right="510"/>
              <w:jc w:val="right"/>
              <w:rPr>
                <w:iCs/>
                <w:sz w:val="20"/>
              </w:rPr>
            </w:pPr>
            <w:r>
              <w:rPr>
                <w:iCs/>
                <w:sz w:val="20"/>
              </w:rPr>
              <w:t>902</w:t>
            </w:r>
          </w:p>
        </w:tc>
      </w:tr>
      <w:tr w:rsidR="00000000">
        <w:tblPrEx>
          <w:tblCellMar>
            <w:top w:w="0" w:type="dxa"/>
            <w:bottom w:w="0" w:type="dxa"/>
          </w:tblCellMar>
        </w:tblPrEx>
        <w:trPr>
          <w:jc w:val="center"/>
        </w:trPr>
        <w:tc>
          <w:tcPr>
            <w:tcW w:w="3302" w:type="dxa"/>
          </w:tcPr>
          <w:p w:rsidR="00000000" w:rsidRDefault="00000000">
            <w:pPr>
              <w:pStyle w:val="BodyTextIndent"/>
              <w:spacing w:before="60" w:after="50"/>
              <w:ind w:left="0"/>
              <w:rPr>
                <w:iCs/>
                <w:sz w:val="20"/>
              </w:rPr>
            </w:pPr>
            <w:r>
              <w:rPr>
                <w:iCs/>
                <w:sz w:val="20"/>
              </w:rPr>
              <w:tab/>
              <w:t>Stakes</w:t>
            </w:r>
          </w:p>
        </w:tc>
        <w:tc>
          <w:tcPr>
            <w:tcW w:w="1693" w:type="dxa"/>
          </w:tcPr>
          <w:p w:rsidR="00000000" w:rsidRDefault="00000000">
            <w:pPr>
              <w:pStyle w:val="BodyTextIndent"/>
              <w:spacing w:before="60" w:after="50"/>
              <w:ind w:left="0" w:right="510"/>
              <w:jc w:val="right"/>
              <w:rPr>
                <w:iCs/>
                <w:sz w:val="20"/>
              </w:rPr>
            </w:pPr>
            <w:r>
              <w:rPr>
                <w:iCs/>
                <w:sz w:val="20"/>
              </w:rPr>
              <w:t>24 025</w:t>
            </w:r>
          </w:p>
        </w:tc>
        <w:tc>
          <w:tcPr>
            <w:tcW w:w="1495" w:type="dxa"/>
          </w:tcPr>
          <w:p w:rsidR="00000000" w:rsidRDefault="00000000">
            <w:pPr>
              <w:pStyle w:val="BodyTextIndent"/>
              <w:spacing w:before="60" w:after="50"/>
              <w:ind w:left="0" w:right="510"/>
              <w:jc w:val="right"/>
              <w:rPr>
                <w:iCs/>
                <w:sz w:val="20"/>
              </w:rPr>
            </w:pPr>
            <w:r>
              <w:rPr>
                <w:iCs/>
                <w:sz w:val="20"/>
              </w:rPr>
              <w:t>23 926</w:t>
            </w:r>
          </w:p>
        </w:tc>
        <w:tc>
          <w:tcPr>
            <w:tcW w:w="1464" w:type="dxa"/>
          </w:tcPr>
          <w:p w:rsidR="00000000" w:rsidRDefault="00000000">
            <w:pPr>
              <w:pStyle w:val="BodyTextIndent"/>
              <w:spacing w:before="60" w:after="50"/>
              <w:ind w:left="0" w:right="510"/>
              <w:jc w:val="right"/>
              <w:rPr>
                <w:iCs/>
                <w:sz w:val="20"/>
              </w:rPr>
            </w:pPr>
            <w:r>
              <w:rPr>
                <w:iCs/>
                <w:sz w:val="20"/>
              </w:rPr>
              <w:t>60</w:t>
            </w:r>
          </w:p>
        </w:tc>
        <w:tc>
          <w:tcPr>
            <w:tcW w:w="1475" w:type="dxa"/>
          </w:tcPr>
          <w:p w:rsidR="00000000" w:rsidRDefault="00000000">
            <w:pPr>
              <w:pStyle w:val="BodyTextIndent"/>
              <w:spacing w:before="60" w:after="50"/>
              <w:ind w:left="0" w:right="510"/>
              <w:jc w:val="right"/>
              <w:rPr>
                <w:iCs/>
                <w:sz w:val="20"/>
              </w:rPr>
            </w:pPr>
            <w:r>
              <w:rPr>
                <w:iCs/>
                <w:sz w:val="20"/>
              </w:rPr>
              <w:t>39</w:t>
            </w:r>
          </w:p>
        </w:tc>
      </w:tr>
      <w:tr w:rsidR="00000000">
        <w:tblPrEx>
          <w:tblCellMar>
            <w:top w:w="0" w:type="dxa"/>
            <w:bottom w:w="0" w:type="dxa"/>
          </w:tblCellMar>
        </w:tblPrEx>
        <w:trPr>
          <w:jc w:val="center"/>
        </w:trPr>
        <w:tc>
          <w:tcPr>
            <w:tcW w:w="3302" w:type="dxa"/>
          </w:tcPr>
          <w:p w:rsidR="00000000" w:rsidRDefault="00000000">
            <w:pPr>
              <w:pStyle w:val="BodyTextIndent"/>
              <w:spacing w:before="60" w:after="50"/>
              <w:ind w:left="0"/>
              <w:rPr>
                <w:iCs/>
                <w:sz w:val="20"/>
              </w:rPr>
            </w:pPr>
            <w:r>
              <w:rPr>
                <w:iCs/>
                <w:sz w:val="20"/>
              </w:rPr>
              <w:tab/>
              <w:t>Adobe</w:t>
            </w:r>
          </w:p>
        </w:tc>
        <w:tc>
          <w:tcPr>
            <w:tcW w:w="1693" w:type="dxa"/>
          </w:tcPr>
          <w:p w:rsidR="00000000" w:rsidRDefault="00000000">
            <w:pPr>
              <w:pStyle w:val="BodyTextIndent"/>
              <w:spacing w:before="60" w:after="50"/>
              <w:ind w:left="0" w:right="510"/>
              <w:jc w:val="right"/>
              <w:rPr>
                <w:iCs/>
                <w:sz w:val="20"/>
              </w:rPr>
            </w:pPr>
            <w:r>
              <w:rPr>
                <w:iCs/>
                <w:sz w:val="20"/>
              </w:rPr>
              <w:t>7 865</w:t>
            </w:r>
          </w:p>
        </w:tc>
        <w:tc>
          <w:tcPr>
            <w:tcW w:w="1495" w:type="dxa"/>
          </w:tcPr>
          <w:p w:rsidR="00000000" w:rsidRDefault="00000000">
            <w:pPr>
              <w:pStyle w:val="BodyTextIndent"/>
              <w:spacing w:before="60" w:after="50"/>
              <w:ind w:left="0" w:right="510"/>
              <w:jc w:val="right"/>
              <w:rPr>
                <w:iCs/>
                <w:sz w:val="20"/>
              </w:rPr>
            </w:pPr>
            <w:r>
              <w:rPr>
                <w:iCs/>
                <w:sz w:val="20"/>
              </w:rPr>
              <w:t>7 858</w:t>
            </w:r>
          </w:p>
        </w:tc>
        <w:tc>
          <w:tcPr>
            <w:tcW w:w="1464" w:type="dxa"/>
          </w:tcPr>
          <w:p w:rsidR="00000000" w:rsidRDefault="00000000">
            <w:pPr>
              <w:pStyle w:val="BodyTextIndent"/>
              <w:spacing w:before="60" w:after="50"/>
              <w:ind w:left="0" w:right="510"/>
              <w:jc w:val="right"/>
              <w:rPr>
                <w:iCs/>
                <w:sz w:val="20"/>
              </w:rPr>
            </w:pPr>
            <w:r>
              <w:rPr>
                <w:iCs/>
                <w:sz w:val="20"/>
              </w:rPr>
              <w:t>3</w:t>
            </w:r>
          </w:p>
        </w:tc>
        <w:tc>
          <w:tcPr>
            <w:tcW w:w="1475" w:type="dxa"/>
          </w:tcPr>
          <w:p w:rsidR="00000000" w:rsidRDefault="00000000">
            <w:pPr>
              <w:pStyle w:val="BodyTextIndent"/>
              <w:spacing w:before="60" w:after="50"/>
              <w:ind w:left="0" w:right="510"/>
              <w:jc w:val="right"/>
              <w:rPr>
                <w:iCs/>
                <w:sz w:val="20"/>
              </w:rPr>
            </w:pPr>
            <w:r>
              <w:rPr>
                <w:iCs/>
                <w:sz w:val="20"/>
              </w:rPr>
              <w:t>4</w:t>
            </w:r>
          </w:p>
        </w:tc>
      </w:tr>
      <w:tr w:rsidR="00000000">
        <w:tblPrEx>
          <w:tblCellMar>
            <w:top w:w="0" w:type="dxa"/>
            <w:bottom w:w="0" w:type="dxa"/>
          </w:tblCellMar>
        </w:tblPrEx>
        <w:trPr>
          <w:jc w:val="center"/>
        </w:trPr>
        <w:tc>
          <w:tcPr>
            <w:tcW w:w="3302" w:type="dxa"/>
          </w:tcPr>
          <w:p w:rsidR="00000000" w:rsidRDefault="00000000">
            <w:pPr>
              <w:pStyle w:val="BodyTextIndent"/>
              <w:spacing w:before="60" w:after="50"/>
              <w:ind w:left="0"/>
              <w:rPr>
                <w:iCs/>
                <w:sz w:val="20"/>
              </w:rPr>
            </w:pPr>
            <w:r>
              <w:rPr>
                <w:iCs/>
                <w:sz w:val="20"/>
              </w:rPr>
              <w:tab/>
              <w:t>Palm trunk</w:t>
            </w:r>
          </w:p>
        </w:tc>
        <w:tc>
          <w:tcPr>
            <w:tcW w:w="1693" w:type="dxa"/>
          </w:tcPr>
          <w:p w:rsidR="00000000" w:rsidRDefault="00000000">
            <w:pPr>
              <w:pStyle w:val="BodyTextIndent"/>
              <w:spacing w:before="60" w:after="50"/>
              <w:ind w:left="0" w:right="510"/>
              <w:jc w:val="right"/>
              <w:rPr>
                <w:iCs/>
                <w:sz w:val="20"/>
              </w:rPr>
            </w:pPr>
            <w:r>
              <w:rPr>
                <w:iCs/>
                <w:sz w:val="20"/>
              </w:rPr>
              <w:t>6 190</w:t>
            </w:r>
          </w:p>
        </w:tc>
        <w:tc>
          <w:tcPr>
            <w:tcW w:w="1495" w:type="dxa"/>
          </w:tcPr>
          <w:p w:rsidR="00000000" w:rsidRDefault="00000000">
            <w:pPr>
              <w:pStyle w:val="BodyTextIndent"/>
              <w:spacing w:before="60" w:after="50"/>
              <w:ind w:left="0" w:right="510"/>
              <w:jc w:val="right"/>
              <w:rPr>
                <w:iCs/>
                <w:sz w:val="20"/>
              </w:rPr>
            </w:pPr>
            <w:r>
              <w:rPr>
                <w:iCs/>
                <w:sz w:val="20"/>
              </w:rPr>
              <w:t>6 146</w:t>
            </w:r>
          </w:p>
        </w:tc>
        <w:tc>
          <w:tcPr>
            <w:tcW w:w="1464" w:type="dxa"/>
          </w:tcPr>
          <w:p w:rsidR="00000000" w:rsidRDefault="00000000">
            <w:pPr>
              <w:pStyle w:val="BodyTextIndent"/>
              <w:spacing w:before="60" w:after="50"/>
              <w:ind w:left="0" w:right="510"/>
              <w:jc w:val="right"/>
              <w:rPr>
                <w:iCs/>
                <w:sz w:val="20"/>
              </w:rPr>
            </w:pPr>
            <w:r>
              <w:rPr>
                <w:iCs/>
                <w:sz w:val="20"/>
              </w:rPr>
              <w:t>33</w:t>
            </w:r>
          </w:p>
        </w:tc>
        <w:tc>
          <w:tcPr>
            <w:tcW w:w="1475" w:type="dxa"/>
          </w:tcPr>
          <w:p w:rsidR="00000000" w:rsidRDefault="00000000">
            <w:pPr>
              <w:pStyle w:val="BodyTextIndent"/>
              <w:spacing w:before="60" w:after="50"/>
              <w:ind w:left="0" w:right="510"/>
              <w:jc w:val="right"/>
              <w:rPr>
                <w:iCs/>
                <w:sz w:val="20"/>
              </w:rPr>
            </w:pPr>
            <w:r>
              <w:rPr>
                <w:iCs/>
                <w:sz w:val="20"/>
              </w:rPr>
              <w:t>11</w:t>
            </w:r>
          </w:p>
        </w:tc>
      </w:tr>
      <w:tr w:rsidR="00000000">
        <w:tblPrEx>
          <w:tblCellMar>
            <w:top w:w="0" w:type="dxa"/>
            <w:bottom w:w="0" w:type="dxa"/>
          </w:tblCellMar>
        </w:tblPrEx>
        <w:trPr>
          <w:jc w:val="center"/>
        </w:trPr>
        <w:tc>
          <w:tcPr>
            <w:tcW w:w="3302" w:type="dxa"/>
          </w:tcPr>
          <w:p w:rsidR="00000000" w:rsidRDefault="00000000">
            <w:pPr>
              <w:pStyle w:val="BodyTextIndent"/>
              <w:spacing w:before="60" w:after="50"/>
              <w:ind w:left="0"/>
              <w:rPr>
                <w:iCs/>
                <w:sz w:val="20"/>
              </w:rPr>
            </w:pPr>
            <w:r>
              <w:rPr>
                <w:iCs/>
                <w:sz w:val="20"/>
              </w:rPr>
              <w:tab/>
              <w:t>Cement block</w:t>
            </w:r>
          </w:p>
        </w:tc>
        <w:tc>
          <w:tcPr>
            <w:tcW w:w="1693" w:type="dxa"/>
          </w:tcPr>
          <w:p w:rsidR="00000000" w:rsidRDefault="00000000">
            <w:pPr>
              <w:pStyle w:val="BodyTextIndent"/>
              <w:spacing w:before="60" w:after="50"/>
              <w:ind w:left="0" w:right="510"/>
              <w:jc w:val="right"/>
              <w:rPr>
                <w:iCs/>
                <w:sz w:val="20"/>
              </w:rPr>
            </w:pPr>
            <w:r>
              <w:rPr>
                <w:iCs/>
                <w:sz w:val="20"/>
              </w:rPr>
              <w:t>87</w:t>
            </w:r>
          </w:p>
        </w:tc>
        <w:tc>
          <w:tcPr>
            <w:tcW w:w="1495" w:type="dxa"/>
          </w:tcPr>
          <w:p w:rsidR="00000000" w:rsidRDefault="00000000">
            <w:pPr>
              <w:pStyle w:val="BodyTextIndent"/>
              <w:spacing w:before="60" w:after="50"/>
              <w:ind w:left="0" w:right="510"/>
              <w:jc w:val="right"/>
              <w:rPr>
                <w:iCs/>
                <w:sz w:val="20"/>
              </w:rPr>
            </w:pPr>
            <w:r>
              <w:rPr>
                <w:iCs/>
                <w:sz w:val="20"/>
              </w:rPr>
              <w:t>-</w:t>
            </w:r>
          </w:p>
        </w:tc>
        <w:tc>
          <w:tcPr>
            <w:tcW w:w="1464" w:type="dxa"/>
          </w:tcPr>
          <w:p w:rsidR="00000000" w:rsidRDefault="00000000">
            <w:pPr>
              <w:pStyle w:val="BodyTextIndent"/>
              <w:spacing w:before="60" w:after="50"/>
              <w:ind w:left="0" w:right="510"/>
              <w:jc w:val="right"/>
              <w:rPr>
                <w:iCs/>
                <w:sz w:val="20"/>
              </w:rPr>
            </w:pPr>
            <w:r>
              <w:rPr>
                <w:iCs/>
                <w:sz w:val="20"/>
              </w:rPr>
              <w:t>-</w:t>
            </w:r>
          </w:p>
        </w:tc>
        <w:tc>
          <w:tcPr>
            <w:tcW w:w="1475" w:type="dxa"/>
          </w:tcPr>
          <w:p w:rsidR="00000000" w:rsidRDefault="00000000">
            <w:pPr>
              <w:pStyle w:val="BodyTextIndent"/>
              <w:spacing w:before="60" w:after="50"/>
              <w:ind w:left="0" w:right="510"/>
              <w:jc w:val="right"/>
              <w:rPr>
                <w:iCs/>
                <w:sz w:val="20"/>
              </w:rPr>
            </w:pPr>
            <w:r>
              <w:rPr>
                <w:iCs/>
                <w:sz w:val="20"/>
              </w:rPr>
              <w:t>87</w:t>
            </w:r>
          </w:p>
        </w:tc>
      </w:tr>
      <w:tr w:rsidR="00000000">
        <w:tblPrEx>
          <w:tblCellMar>
            <w:top w:w="0" w:type="dxa"/>
            <w:bottom w:w="0" w:type="dxa"/>
          </w:tblCellMar>
        </w:tblPrEx>
        <w:trPr>
          <w:jc w:val="center"/>
        </w:trPr>
        <w:tc>
          <w:tcPr>
            <w:tcW w:w="3302" w:type="dxa"/>
          </w:tcPr>
          <w:p w:rsidR="00000000" w:rsidRDefault="00000000">
            <w:pPr>
              <w:pStyle w:val="BodyTextIndent"/>
              <w:spacing w:before="60" w:after="50"/>
              <w:ind w:left="0"/>
              <w:rPr>
                <w:iCs/>
                <w:sz w:val="20"/>
                <w:lang w:val="en-US"/>
              </w:rPr>
            </w:pPr>
            <w:r>
              <w:rPr>
                <w:iCs/>
                <w:sz w:val="20"/>
                <w:lang w:val="en-US"/>
              </w:rPr>
              <w:tab/>
              <w:t>Cardboard, oilcloth, wood from</w:t>
            </w:r>
            <w:r>
              <w:rPr>
                <w:iCs/>
                <w:sz w:val="20"/>
                <w:lang w:val="en-US"/>
              </w:rPr>
              <w:br/>
            </w:r>
            <w:r>
              <w:rPr>
                <w:iCs/>
                <w:sz w:val="20"/>
                <w:lang w:val="en-US"/>
              </w:rPr>
              <w:tab/>
              <w:t>packaging</w:t>
            </w:r>
          </w:p>
        </w:tc>
        <w:tc>
          <w:tcPr>
            <w:tcW w:w="1693" w:type="dxa"/>
          </w:tcPr>
          <w:p w:rsidR="00000000" w:rsidRDefault="00000000">
            <w:pPr>
              <w:pStyle w:val="BodyTextIndent"/>
              <w:spacing w:before="60" w:after="50"/>
              <w:ind w:left="0" w:right="510"/>
              <w:jc w:val="right"/>
              <w:rPr>
                <w:iCs/>
                <w:sz w:val="20"/>
              </w:rPr>
            </w:pPr>
            <w:r>
              <w:rPr>
                <w:iCs/>
                <w:sz w:val="20"/>
              </w:rPr>
              <w:t>1 660</w:t>
            </w:r>
          </w:p>
        </w:tc>
        <w:tc>
          <w:tcPr>
            <w:tcW w:w="1495" w:type="dxa"/>
          </w:tcPr>
          <w:p w:rsidR="00000000" w:rsidRDefault="00000000">
            <w:pPr>
              <w:pStyle w:val="BodyTextIndent"/>
              <w:spacing w:before="60" w:after="50"/>
              <w:ind w:left="0" w:right="510"/>
              <w:jc w:val="right"/>
              <w:rPr>
                <w:iCs/>
                <w:sz w:val="20"/>
              </w:rPr>
            </w:pPr>
            <w:r>
              <w:rPr>
                <w:iCs/>
                <w:sz w:val="20"/>
              </w:rPr>
              <w:t>-</w:t>
            </w:r>
          </w:p>
        </w:tc>
        <w:tc>
          <w:tcPr>
            <w:tcW w:w="1464" w:type="dxa"/>
          </w:tcPr>
          <w:p w:rsidR="00000000" w:rsidRDefault="00000000">
            <w:pPr>
              <w:pStyle w:val="BodyTextIndent"/>
              <w:spacing w:before="60" w:after="50"/>
              <w:ind w:left="0" w:right="510"/>
              <w:jc w:val="right"/>
              <w:rPr>
                <w:iCs/>
                <w:sz w:val="20"/>
              </w:rPr>
            </w:pPr>
            <w:r>
              <w:rPr>
                <w:iCs/>
                <w:sz w:val="20"/>
              </w:rPr>
              <w:t>1 660</w:t>
            </w:r>
          </w:p>
        </w:tc>
        <w:tc>
          <w:tcPr>
            <w:tcW w:w="1475" w:type="dxa"/>
          </w:tcPr>
          <w:p w:rsidR="00000000" w:rsidRDefault="00000000">
            <w:pPr>
              <w:pStyle w:val="BodyTextIndent"/>
              <w:spacing w:before="60" w:after="50"/>
              <w:ind w:left="0" w:right="510"/>
              <w:jc w:val="right"/>
              <w:rPr>
                <w:iCs/>
                <w:sz w:val="20"/>
              </w:rPr>
            </w:pPr>
            <w:r>
              <w:rPr>
                <w:iCs/>
                <w:sz w:val="20"/>
              </w:rPr>
              <w:t>-</w:t>
            </w:r>
          </w:p>
        </w:tc>
      </w:tr>
      <w:tr w:rsidR="00000000">
        <w:tblPrEx>
          <w:tblCellMar>
            <w:top w:w="0" w:type="dxa"/>
            <w:bottom w:w="0" w:type="dxa"/>
          </w:tblCellMar>
        </w:tblPrEx>
        <w:trPr>
          <w:jc w:val="center"/>
        </w:trPr>
        <w:tc>
          <w:tcPr>
            <w:tcW w:w="3302" w:type="dxa"/>
          </w:tcPr>
          <w:p w:rsidR="00000000" w:rsidRDefault="00000000">
            <w:pPr>
              <w:pStyle w:val="BodyTextIndent"/>
              <w:spacing w:before="60" w:after="50"/>
              <w:ind w:left="0"/>
              <w:rPr>
                <w:iCs/>
                <w:sz w:val="20"/>
              </w:rPr>
            </w:pPr>
            <w:r>
              <w:rPr>
                <w:iCs/>
                <w:sz w:val="20"/>
              </w:rPr>
              <w:tab/>
              <w:t>No wall</w:t>
            </w:r>
          </w:p>
        </w:tc>
        <w:tc>
          <w:tcPr>
            <w:tcW w:w="1693" w:type="dxa"/>
          </w:tcPr>
          <w:p w:rsidR="00000000" w:rsidRDefault="00000000">
            <w:pPr>
              <w:pStyle w:val="BodyTextIndent"/>
              <w:spacing w:before="60" w:after="50"/>
              <w:ind w:left="0" w:right="510"/>
              <w:jc w:val="right"/>
              <w:rPr>
                <w:iCs/>
                <w:sz w:val="20"/>
              </w:rPr>
            </w:pPr>
            <w:r>
              <w:rPr>
                <w:iCs/>
                <w:sz w:val="20"/>
              </w:rPr>
              <w:t>441</w:t>
            </w:r>
          </w:p>
        </w:tc>
        <w:tc>
          <w:tcPr>
            <w:tcW w:w="1495" w:type="dxa"/>
          </w:tcPr>
          <w:p w:rsidR="00000000" w:rsidRDefault="00000000">
            <w:pPr>
              <w:pStyle w:val="BodyTextIndent"/>
              <w:spacing w:before="60" w:after="50"/>
              <w:ind w:left="0" w:right="510"/>
              <w:jc w:val="right"/>
              <w:rPr>
                <w:iCs/>
                <w:sz w:val="20"/>
              </w:rPr>
            </w:pPr>
            <w:r>
              <w:rPr>
                <w:iCs/>
                <w:sz w:val="20"/>
              </w:rPr>
              <w:t>-</w:t>
            </w:r>
          </w:p>
        </w:tc>
        <w:tc>
          <w:tcPr>
            <w:tcW w:w="1464" w:type="dxa"/>
          </w:tcPr>
          <w:p w:rsidR="00000000" w:rsidRDefault="00000000">
            <w:pPr>
              <w:pStyle w:val="BodyTextIndent"/>
              <w:spacing w:before="60" w:after="50"/>
              <w:ind w:left="0" w:right="510"/>
              <w:jc w:val="right"/>
              <w:rPr>
                <w:iCs/>
                <w:sz w:val="20"/>
              </w:rPr>
            </w:pPr>
            <w:r>
              <w:rPr>
                <w:iCs/>
                <w:sz w:val="20"/>
              </w:rPr>
              <w:t>17</w:t>
            </w:r>
          </w:p>
        </w:tc>
        <w:tc>
          <w:tcPr>
            <w:tcW w:w="1475" w:type="dxa"/>
          </w:tcPr>
          <w:p w:rsidR="00000000" w:rsidRDefault="00000000">
            <w:pPr>
              <w:pStyle w:val="BodyTextIndent"/>
              <w:spacing w:before="60" w:after="50"/>
              <w:ind w:left="0" w:right="510"/>
              <w:jc w:val="right"/>
              <w:rPr>
                <w:iCs/>
                <w:sz w:val="20"/>
              </w:rPr>
            </w:pPr>
            <w:r>
              <w:rPr>
                <w:iCs/>
                <w:sz w:val="20"/>
              </w:rPr>
              <w:t>424</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Others</w:t>
            </w:r>
          </w:p>
        </w:tc>
        <w:tc>
          <w:tcPr>
            <w:tcW w:w="1693" w:type="dxa"/>
          </w:tcPr>
          <w:p w:rsidR="00000000" w:rsidRDefault="00000000">
            <w:pPr>
              <w:pStyle w:val="BodyTextIndent"/>
              <w:spacing w:before="60" w:after="60"/>
              <w:ind w:left="0" w:right="510"/>
              <w:jc w:val="right"/>
              <w:rPr>
                <w:iCs/>
                <w:sz w:val="20"/>
              </w:rPr>
            </w:pPr>
            <w:r>
              <w:rPr>
                <w:iCs/>
                <w:sz w:val="20"/>
              </w:rPr>
              <w:t>1 290</w:t>
            </w:r>
          </w:p>
        </w:tc>
        <w:tc>
          <w:tcPr>
            <w:tcW w:w="1495" w:type="dxa"/>
          </w:tcPr>
          <w:p w:rsidR="00000000" w:rsidRDefault="00000000">
            <w:pPr>
              <w:pStyle w:val="BodyTextIndent"/>
              <w:spacing w:before="60" w:after="60"/>
              <w:ind w:left="0" w:right="510"/>
              <w:jc w:val="right"/>
              <w:rPr>
                <w:iCs/>
                <w:sz w:val="20"/>
              </w:rPr>
            </w:pPr>
            <w:r>
              <w:rPr>
                <w:iCs/>
                <w:sz w:val="20"/>
              </w:rPr>
              <w:t>1 019</w:t>
            </w:r>
          </w:p>
        </w:tc>
        <w:tc>
          <w:tcPr>
            <w:tcW w:w="1464" w:type="dxa"/>
          </w:tcPr>
          <w:p w:rsidR="00000000" w:rsidRDefault="00000000">
            <w:pPr>
              <w:pStyle w:val="BodyTextIndent"/>
              <w:spacing w:before="60" w:after="60"/>
              <w:ind w:left="0" w:right="510"/>
              <w:jc w:val="right"/>
              <w:rPr>
                <w:iCs/>
                <w:sz w:val="20"/>
              </w:rPr>
            </w:pPr>
            <w:r>
              <w:rPr>
                <w:iCs/>
                <w:sz w:val="20"/>
              </w:rPr>
              <w:t>156</w:t>
            </w:r>
          </w:p>
        </w:tc>
        <w:tc>
          <w:tcPr>
            <w:tcW w:w="1475" w:type="dxa"/>
          </w:tcPr>
          <w:p w:rsidR="00000000" w:rsidRDefault="00000000">
            <w:pPr>
              <w:pStyle w:val="BodyTextIndent"/>
              <w:spacing w:before="60" w:after="60"/>
              <w:ind w:left="0" w:right="510"/>
              <w:jc w:val="right"/>
              <w:rPr>
                <w:iCs/>
                <w:sz w:val="20"/>
              </w:rPr>
            </w:pPr>
            <w:r>
              <w:rPr>
                <w:iCs/>
                <w:sz w:val="20"/>
              </w:rPr>
              <w:t>115</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mallCaps/>
                <w:sz w:val="20"/>
              </w:rPr>
            </w:pPr>
            <w:r>
              <w:rPr>
                <w:iCs/>
                <w:smallCaps/>
                <w:sz w:val="20"/>
              </w:rPr>
              <w:t>B.  Floor</w:t>
            </w:r>
          </w:p>
        </w:tc>
        <w:tc>
          <w:tcPr>
            <w:tcW w:w="1693" w:type="dxa"/>
          </w:tcPr>
          <w:p w:rsidR="00000000" w:rsidRDefault="00000000">
            <w:pPr>
              <w:pStyle w:val="BodyTextIndent"/>
              <w:spacing w:before="60" w:after="60"/>
              <w:ind w:left="0" w:right="510"/>
              <w:jc w:val="right"/>
              <w:rPr>
                <w:iCs/>
                <w:sz w:val="20"/>
              </w:rPr>
            </w:pPr>
          </w:p>
        </w:tc>
        <w:tc>
          <w:tcPr>
            <w:tcW w:w="1495" w:type="dxa"/>
          </w:tcPr>
          <w:p w:rsidR="00000000" w:rsidRDefault="00000000">
            <w:pPr>
              <w:pStyle w:val="BodyTextIndent"/>
              <w:spacing w:before="60" w:after="60"/>
              <w:ind w:left="0" w:right="510"/>
              <w:jc w:val="right"/>
              <w:rPr>
                <w:iCs/>
                <w:sz w:val="20"/>
              </w:rPr>
            </w:pPr>
          </w:p>
        </w:tc>
        <w:tc>
          <w:tcPr>
            <w:tcW w:w="1464" w:type="dxa"/>
          </w:tcPr>
          <w:p w:rsidR="00000000" w:rsidRDefault="00000000">
            <w:pPr>
              <w:pStyle w:val="BodyTextIndent"/>
              <w:spacing w:before="60" w:after="60"/>
              <w:ind w:left="0" w:right="510"/>
              <w:jc w:val="right"/>
              <w:rPr>
                <w:iCs/>
                <w:sz w:val="20"/>
              </w:rPr>
            </w:pPr>
          </w:p>
        </w:tc>
        <w:tc>
          <w:tcPr>
            <w:tcW w:w="1475" w:type="dxa"/>
          </w:tcPr>
          <w:p w:rsidR="00000000" w:rsidRDefault="00000000">
            <w:pPr>
              <w:pStyle w:val="BodyTextIndent"/>
              <w:spacing w:before="60" w:after="60"/>
              <w:ind w:left="0" w:right="510"/>
              <w:jc w:val="right"/>
              <w:rPr>
                <w:iCs/>
                <w:sz w:val="20"/>
              </w:rPr>
            </w:pP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Earth</w:t>
            </w:r>
          </w:p>
        </w:tc>
        <w:tc>
          <w:tcPr>
            <w:tcW w:w="1693" w:type="dxa"/>
          </w:tcPr>
          <w:p w:rsidR="00000000" w:rsidRDefault="00000000">
            <w:pPr>
              <w:pStyle w:val="BodyTextIndent"/>
              <w:spacing w:before="60" w:after="60"/>
              <w:ind w:left="0" w:right="510"/>
              <w:jc w:val="right"/>
              <w:rPr>
                <w:iCs/>
                <w:sz w:val="20"/>
              </w:rPr>
            </w:pPr>
            <w:r>
              <w:rPr>
                <w:iCs/>
                <w:sz w:val="20"/>
              </w:rPr>
              <w:t>177 143</w:t>
            </w:r>
          </w:p>
        </w:tc>
        <w:tc>
          <w:tcPr>
            <w:tcW w:w="1495" w:type="dxa"/>
          </w:tcPr>
          <w:p w:rsidR="00000000" w:rsidRDefault="00000000">
            <w:pPr>
              <w:pStyle w:val="BodyTextIndent"/>
              <w:spacing w:before="60" w:after="60"/>
              <w:ind w:left="0" w:right="510"/>
              <w:jc w:val="right"/>
              <w:rPr>
                <w:iCs/>
                <w:sz w:val="20"/>
              </w:rPr>
            </w:pPr>
            <w:r>
              <w:rPr>
                <w:iCs/>
                <w:sz w:val="20"/>
              </w:rPr>
              <w:t>174 221</w:t>
            </w:r>
          </w:p>
        </w:tc>
        <w:tc>
          <w:tcPr>
            <w:tcW w:w="1464" w:type="dxa"/>
          </w:tcPr>
          <w:p w:rsidR="00000000" w:rsidRDefault="00000000">
            <w:pPr>
              <w:pStyle w:val="BodyTextIndent"/>
              <w:spacing w:before="60" w:after="60"/>
              <w:ind w:left="0" w:right="510"/>
              <w:jc w:val="right"/>
              <w:rPr>
                <w:iCs/>
                <w:sz w:val="20"/>
              </w:rPr>
            </w:pPr>
            <w:r>
              <w:rPr>
                <w:iCs/>
                <w:sz w:val="20"/>
              </w:rPr>
              <w:t>1 981</w:t>
            </w:r>
          </w:p>
        </w:tc>
        <w:tc>
          <w:tcPr>
            <w:tcW w:w="1475" w:type="dxa"/>
          </w:tcPr>
          <w:p w:rsidR="00000000" w:rsidRDefault="00000000">
            <w:pPr>
              <w:pStyle w:val="BodyTextIndent"/>
              <w:spacing w:before="60" w:after="60"/>
              <w:ind w:left="0" w:right="510"/>
              <w:jc w:val="right"/>
              <w:rPr>
                <w:iCs/>
                <w:sz w:val="20"/>
              </w:rPr>
            </w:pPr>
            <w:r>
              <w:rPr>
                <w:iCs/>
                <w:sz w:val="20"/>
              </w:rPr>
              <w:t>941</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Brick</w:t>
            </w:r>
            <w:r>
              <w:rPr>
                <w:iCs/>
                <w:sz w:val="20"/>
              </w:rPr>
              <w:tab/>
            </w:r>
          </w:p>
        </w:tc>
        <w:tc>
          <w:tcPr>
            <w:tcW w:w="1693" w:type="dxa"/>
          </w:tcPr>
          <w:p w:rsidR="00000000" w:rsidRDefault="00000000">
            <w:pPr>
              <w:pStyle w:val="BodyTextIndent"/>
              <w:spacing w:before="60" w:after="60"/>
              <w:ind w:left="0" w:right="510"/>
              <w:jc w:val="right"/>
              <w:rPr>
                <w:iCs/>
                <w:sz w:val="20"/>
              </w:rPr>
            </w:pPr>
            <w:r>
              <w:rPr>
                <w:iCs/>
                <w:sz w:val="20"/>
              </w:rPr>
              <w:t>8 731</w:t>
            </w:r>
          </w:p>
        </w:tc>
        <w:tc>
          <w:tcPr>
            <w:tcW w:w="1495" w:type="dxa"/>
          </w:tcPr>
          <w:p w:rsidR="00000000" w:rsidRDefault="00000000">
            <w:pPr>
              <w:pStyle w:val="BodyTextIndent"/>
              <w:spacing w:before="60" w:after="60"/>
              <w:ind w:left="0" w:right="510"/>
              <w:jc w:val="right"/>
              <w:rPr>
                <w:iCs/>
                <w:sz w:val="20"/>
              </w:rPr>
            </w:pPr>
            <w:r>
              <w:rPr>
                <w:iCs/>
                <w:sz w:val="20"/>
              </w:rPr>
              <w:t>8 386</w:t>
            </w:r>
          </w:p>
        </w:tc>
        <w:tc>
          <w:tcPr>
            <w:tcW w:w="1464" w:type="dxa"/>
          </w:tcPr>
          <w:p w:rsidR="00000000" w:rsidRDefault="00000000">
            <w:pPr>
              <w:pStyle w:val="BodyTextIndent"/>
              <w:spacing w:before="60" w:after="60"/>
              <w:ind w:left="0" w:right="510"/>
              <w:jc w:val="right"/>
              <w:rPr>
                <w:iCs/>
                <w:sz w:val="20"/>
              </w:rPr>
            </w:pPr>
            <w:r>
              <w:rPr>
                <w:iCs/>
                <w:sz w:val="20"/>
              </w:rPr>
              <w:t>18</w:t>
            </w:r>
          </w:p>
        </w:tc>
        <w:tc>
          <w:tcPr>
            <w:tcW w:w="1475" w:type="dxa"/>
          </w:tcPr>
          <w:p w:rsidR="00000000" w:rsidRDefault="00000000">
            <w:pPr>
              <w:pStyle w:val="BodyTextIndent"/>
              <w:spacing w:before="60" w:after="60"/>
              <w:ind w:left="0" w:right="510"/>
              <w:jc w:val="right"/>
              <w:rPr>
                <w:iCs/>
                <w:sz w:val="20"/>
              </w:rPr>
            </w:pPr>
            <w:r>
              <w:rPr>
                <w:iCs/>
                <w:sz w:val="20"/>
              </w:rPr>
              <w:t>327</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Ordinary tile</w:t>
            </w:r>
          </w:p>
        </w:tc>
        <w:tc>
          <w:tcPr>
            <w:tcW w:w="1693" w:type="dxa"/>
          </w:tcPr>
          <w:p w:rsidR="00000000" w:rsidRDefault="00000000">
            <w:pPr>
              <w:pStyle w:val="BodyTextIndent"/>
              <w:spacing w:before="60" w:after="60"/>
              <w:ind w:left="0" w:right="510"/>
              <w:jc w:val="right"/>
              <w:rPr>
                <w:iCs/>
                <w:sz w:val="20"/>
              </w:rPr>
            </w:pPr>
            <w:r>
              <w:rPr>
                <w:iCs/>
                <w:sz w:val="20"/>
              </w:rPr>
              <w:t>1 177</w:t>
            </w:r>
          </w:p>
        </w:tc>
        <w:tc>
          <w:tcPr>
            <w:tcW w:w="1495" w:type="dxa"/>
          </w:tcPr>
          <w:p w:rsidR="00000000" w:rsidRDefault="00000000">
            <w:pPr>
              <w:pStyle w:val="BodyTextIndent"/>
              <w:spacing w:before="60" w:after="60"/>
              <w:ind w:left="0" w:right="510"/>
              <w:jc w:val="right"/>
              <w:rPr>
                <w:iCs/>
                <w:sz w:val="20"/>
              </w:rPr>
            </w:pPr>
            <w:r>
              <w:rPr>
                <w:iCs/>
                <w:sz w:val="20"/>
              </w:rPr>
              <w:t>24</w:t>
            </w:r>
          </w:p>
        </w:tc>
        <w:tc>
          <w:tcPr>
            <w:tcW w:w="1464" w:type="dxa"/>
          </w:tcPr>
          <w:p w:rsidR="00000000" w:rsidRDefault="00000000">
            <w:pPr>
              <w:pStyle w:val="BodyTextIndent"/>
              <w:spacing w:before="60" w:after="60"/>
              <w:ind w:left="0" w:right="510"/>
              <w:jc w:val="right"/>
              <w:rPr>
                <w:iCs/>
                <w:sz w:val="20"/>
              </w:rPr>
            </w:pPr>
            <w:r>
              <w:rPr>
                <w:iCs/>
                <w:sz w:val="20"/>
              </w:rPr>
              <w:t>7</w:t>
            </w:r>
          </w:p>
        </w:tc>
        <w:tc>
          <w:tcPr>
            <w:tcW w:w="1475" w:type="dxa"/>
          </w:tcPr>
          <w:p w:rsidR="00000000" w:rsidRDefault="00000000">
            <w:pPr>
              <w:pStyle w:val="BodyTextIndent"/>
              <w:spacing w:before="60" w:after="60"/>
              <w:ind w:left="0" w:right="510"/>
              <w:jc w:val="right"/>
              <w:rPr>
                <w:iCs/>
                <w:sz w:val="20"/>
              </w:rPr>
            </w:pPr>
            <w:r>
              <w:rPr>
                <w:iCs/>
                <w:sz w:val="20"/>
              </w:rPr>
              <w:t>1 146</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Cement (whitewashed)</w:t>
            </w:r>
          </w:p>
        </w:tc>
        <w:tc>
          <w:tcPr>
            <w:tcW w:w="1693" w:type="dxa"/>
          </w:tcPr>
          <w:p w:rsidR="00000000" w:rsidRDefault="00000000">
            <w:pPr>
              <w:pStyle w:val="BodyTextIndent"/>
              <w:spacing w:before="60" w:after="60"/>
              <w:ind w:left="0" w:right="510"/>
              <w:jc w:val="right"/>
              <w:rPr>
                <w:iCs/>
                <w:sz w:val="20"/>
              </w:rPr>
            </w:pPr>
            <w:r>
              <w:rPr>
                <w:iCs/>
                <w:sz w:val="20"/>
              </w:rPr>
              <w:t>21 407</w:t>
            </w:r>
          </w:p>
        </w:tc>
        <w:tc>
          <w:tcPr>
            <w:tcW w:w="1495" w:type="dxa"/>
          </w:tcPr>
          <w:p w:rsidR="00000000" w:rsidRDefault="00000000">
            <w:pPr>
              <w:pStyle w:val="BodyTextIndent"/>
              <w:spacing w:before="60" w:after="60"/>
              <w:ind w:left="0" w:right="510"/>
              <w:jc w:val="right"/>
              <w:rPr>
                <w:iCs/>
                <w:sz w:val="20"/>
              </w:rPr>
            </w:pPr>
            <w:r>
              <w:rPr>
                <w:iCs/>
                <w:sz w:val="20"/>
              </w:rPr>
              <w:t>20 397</w:t>
            </w:r>
          </w:p>
        </w:tc>
        <w:tc>
          <w:tcPr>
            <w:tcW w:w="1464" w:type="dxa"/>
          </w:tcPr>
          <w:p w:rsidR="00000000" w:rsidRDefault="00000000">
            <w:pPr>
              <w:pStyle w:val="BodyTextIndent"/>
              <w:spacing w:before="60" w:after="60"/>
              <w:ind w:left="0" w:right="510"/>
              <w:jc w:val="right"/>
              <w:rPr>
                <w:iCs/>
                <w:sz w:val="20"/>
              </w:rPr>
            </w:pPr>
            <w:r>
              <w:rPr>
                <w:iCs/>
                <w:sz w:val="20"/>
              </w:rPr>
              <w:t>38</w:t>
            </w:r>
          </w:p>
        </w:tc>
        <w:tc>
          <w:tcPr>
            <w:tcW w:w="1475" w:type="dxa"/>
          </w:tcPr>
          <w:p w:rsidR="00000000" w:rsidRDefault="00000000">
            <w:pPr>
              <w:pStyle w:val="BodyTextIndent"/>
              <w:spacing w:before="60" w:after="60"/>
              <w:ind w:left="0" w:right="510"/>
              <w:jc w:val="right"/>
              <w:rPr>
                <w:iCs/>
                <w:sz w:val="20"/>
              </w:rPr>
            </w:pPr>
            <w:r>
              <w:rPr>
                <w:iCs/>
                <w:sz w:val="20"/>
              </w:rPr>
              <w:t>972</w:t>
            </w:r>
          </w:p>
        </w:tc>
      </w:tr>
      <w:tr w:rsidR="00000000">
        <w:tblPrEx>
          <w:tblCellMar>
            <w:top w:w="0" w:type="dxa"/>
            <w:bottom w:w="0" w:type="dxa"/>
          </w:tblCellMar>
        </w:tblPrEx>
        <w:trPr>
          <w:jc w:val="center"/>
        </w:trPr>
        <w:tc>
          <w:tcPr>
            <w:tcW w:w="3302" w:type="dxa"/>
            <w:vAlign w:val="center"/>
          </w:tcPr>
          <w:p w:rsidR="00000000" w:rsidRDefault="00000000">
            <w:pPr>
              <w:pStyle w:val="BodyTextIndent"/>
              <w:spacing w:before="60" w:after="60"/>
              <w:ind w:left="567" w:hanging="567"/>
              <w:rPr>
                <w:iCs/>
                <w:sz w:val="20"/>
                <w:lang w:val="en-US"/>
              </w:rPr>
            </w:pPr>
            <w:r>
              <w:rPr>
                <w:iCs/>
                <w:sz w:val="20"/>
                <w:lang w:val="en-US"/>
              </w:rPr>
              <w:tab/>
              <w:t>Mosaic, ceramic, granite and</w:t>
            </w:r>
            <w:r>
              <w:rPr>
                <w:iCs/>
                <w:sz w:val="20"/>
                <w:lang w:val="en-US"/>
              </w:rPr>
              <w:br/>
              <w:t>marble</w:t>
            </w:r>
          </w:p>
        </w:tc>
        <w:tc>
          <w:tcPr>
            <w:tcW w:w="1693" w:type="dxa"/>
            <w:vAlign w:val="center"/>
          </w:tcPr>
          <w:p w:rsidR="00000000" w:rsidRDefault="00000000">
            <w:pPr>
              <w:pStyle w:val="BodyTextIndent"/>
              <w:spacing w:before="60" w:after="60"/>
              <w:ind w:left="0" w:right="510"/>
              <w:jc w:val="right"/>
              <w:rPr>
                <w:iCs/>
                <w:sz w:val="20"/>
                <w:lang w:val="nl-NL"/>
              </w:rPr>
            </w:pPr>
            <w:r>
              <w:rPr>
                <w:iCs/>
                <w:sz w:val="20"/>
                <w:lang w:val="nl-NL"/>
              </w:rPr>
              <w:t>346</w:t>
            </w:r>
          </w:p>
        </w:tc>
        <w:tc>
          <w:tcPr>
            <w:tcW w:w="1495" w:type="dxa"/>
            <w:vAlign w:val="center"/>
          </w:tcPr>
          <w:p w:rsidR="00000000" w:rsidRDefault="00000000">
            <w:pPr>
              <w:pStyle w:val="BodyTextIndent"/>
              <w:spacing w:before="60" w:after="60"/>
              <w:ind w:left="0" w:right="510"/>
              <w:jc w:val="right"/>
              <w:rPr>
                <w:iCs/>
                <w:sz w:val="20"/>
                <w:lang w:val="nl-NL"/>
              </w:rPr>
            </w:pPr>
            <w:r>
              <w:rPr>
                <w:iCs/>
                <w:sz w:val="20"/>
                <w:lang w:val="nl-NL"/>
              </w:rPr>
              <w:t>3</w:t>
            </w:r>
          </w:p>
        </w:tc>
        <w:tc>
          <w:tcPr>
            <w:tcW w:w="1464" w:type="dxa"/>
            <w:vAlign w:val="center"/>
          </w:tcPr>
          <w:p w:rsidR="00000000" w:rsidRDefault="00000000">
            <w:pPr>
              <w:pStyle w:val="BodyTextIndent"/>
              <w:spacing w:before="60" w:after="60"/>
              <w:ind w:left="0" w:right="510"/>
              <w:jc w:val="right"/>
              <w:rPr>
                <w:iCs/>
                <w:sz w:val="20"/>
                <w:lang w:val="nl-NL"/>
              </w:rPr>
            </w:pPr>
            <w:r>
              <w:rPr>
                <w:iCs/>
                <w:sz w:val="20"/>
                <w:lang w:val="nl-NL"/>
              </w:rPr>
              <w:t>-</w:t>
            </w:r>
          </w:p>
        </w:tc>
        <w:tc>
          <w:tcPr>
            <w:tcW w:w="1475" w:type="dxa"/>
            <w:vAlign w:val="center"/>
          </w:tcPr>
          <w:p w:rsidR="00000000" w:rsidRDefault="00000000">
            <w:pPr>
              <w:pStyle w:val="BodyTextIndent"/>
              <w:spacing w:before="60" w:after="60"/>
              <w:ind w:left="0" w:right="510"/>
              <w:jc w:val="right"/>
              <w:rPr>
                <w:iCs/>
                <w:sz w:val="20"/>
                <w:lang w:val="nl-NL"/>
              </w:rPr>
            </w:pPr>
            <w:r>
              <w:rPr>
                <w:iCs/>
                <w:sz w:val="20"/>
                <w:lang w:val="nl-NL"/>
              </w:rPr>
              <w:t>343</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nl-NL"/>
              </w:rPr>
            </w:pPr>
            <w:r>
              <w:rPr>
                <w:iCs/>
                <w:sz w:val="20"/>
                <w:lang w:val="nl-NL"/>
              </w:rPr>
              <w:tab/>
              <w:t>Wooden planks</w:t>
            </w:r>
          </w:p>
        </w:tc>
        <w:tc>
          <w:tcPr>
            <w:tcW w:w="1693" w:type="dxa"/>
          </w:tcPr>
          <w:p w:rsidR="00000000" w:rsidRDefault="00000000">
            <w:pPr>
              <w:pStyle w:val="BodyTextIndent"/>
              <w:spacing w:before="60" w:after="60"/>
              <w:ind w:left="0" w:right="510"/>
              <w:jc w:val="right"/>
              <w:rPr>
                <w:iCs/>
                <w:sz w:val="20"/>
                <w:lang w:val="nl-NL"/>
              </w:rPr>
            </w:pPr>
            <w:r>
              <w:rPr>
                <w:iCs/>
                <w:sz w:val="20"/>
                <w:lang w:val="nl-NL"/>
              </w:rPr>
              <w:t>12 466</w:t>
            </w:r>
          </w:p>
        </w:tc>
        <w:tc>
          <w:tcPr>
            <w:tcW w:w="1495" w:type="dxa"/>
          </w:tcPr>
          <w:p w:rsidR="00000000" w:rsidRDefault="00000000">
            <w:pPr>
              <w:pStyle w:val="BodyTextIndent"/>
              <w:spacing w:before="60" w:after="60"/>
              <w:ind w:left="0" w:right="510"/>
              <w:jc w:val="right"/>
              <w:rPr>
                <w:iCs/>
                <w:sz w:val="20"/>
                <w:lang w:val="nl-NL"/>
              </w:rPr>
            </w:pPr>
            <w:r>
              <w:rPr>
                <w:iCs/>
                <w:sz w:val="20"/>
                <w:lang w:val="nl-NL"/>
              </w:rPr>
              <w:t>12 339</w:t>
            </w:r>
          </w:p>
        </w:tc>
        <w:tc>
          <w:tcPr>
            <w:tcW w:w="1464" w:type="dxa"/>
          </w:tcPr>
          <w:p w:rsidR="00000000" w:rsidRDefault="00000000">
            <w:pPr>
              <w:pStyle w:val="BodyTextIndent"/>
              <w:spacing w:before="60" w:after="60"/>
              <w:ind w:left="0" w:right="510"/>
              <w:jc w:val="right"/>
              <w:rPr>
                <w:iCs/>
                <w:sz w:val="20"/>
                <w:lang w:val="nl-NL"/>
              </w:rPr>
            </w:pPr>
            <w:r>
              <w:rPr>
                <w:iCs/>
                <w:sz w:val="20"/>
                <w:lang w:val="nl-NL"/>
              </w:rPr>
              <w:t>26</w:t>
            </w:r>
          </w:p>
        </w:tc>
        <w:tc>
          <w:tcPr>
            <w:tcW w:w="1475" w:type="dxa"/>
          </w:tcPr>
          <w:p w:rsidR="00000000" w:rsidRDefault="00000000">
            <w:pPr>
              <w:pStyle w:val="BodyTextIndent"/>
              <w:spacing w:before="60" w:after="60"/>
              <w:ind w:left="0" w:right="510"/>
              <w:jc w:val="right"/>
              <w:rPr>
                <w:iCs/>
                <w:sz w:val="20"/>
                <w:lang w:val="nl-NL"/>
              </w:rPr>
            </w:pPr>
            <w:r>
              <w:rPr>
                <w:iCs/>
                <w:sz w:val="20"/>
                <w:lang w:val="nl-NL"/>
              </w:rPr>
              <w:t>101</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nl-NL"/>
              </w:rPr>
            </w:pPr>
            <w:r>
              <w:rPr>
                <w:iCs/>
                <w:sz w:val="20"/>
                <w:lang w:val="nl-NL"/>
              </w:rPr>
              <w:tab/>
              <w:t>Parquet</w:t>
            </w:r>
          </w:p>
        </w:tc>
        <w:tc>
          <w:tcPr>
            <w:tcW w:w="1693" w:type="dxa"/>
          </w:tcPr>
          <w:p w:rsidR="00000000" w:rsidRDefault="00000000">
            <w:pPr>
              <w:pStyle w:val="BodyTextIndent"/>
              <w:spacing w:before="60" w:after="60"/>
              <w:ind w:left="0" w:right="510"/>
              <w:jc w:val="right"/>
              <w:rPr>
                <w:iCs/>
                <w:sz w:val="20"/>
              </w:rPr>
            </w:pPr>
            <w:r>
              <w:rPr>
                <w:iCs/>
                <w:sz w:val="20"/>
              </w:rPr>
              <w:t>-</w:t>
            </w:r>
          </w:p>
        </w:tc>
        <w:tc>
          <w:tcPr>
            <w:tcW w:w="1495" w:type="dxa"/>
          </w:tcPr>
          <w:p w:rsidR="00000000" w:rsidRDefault="00000000">
            <w:pPr>
              <w:pStyle w:val="BodyTextIndent"/>
              <w:spacing w:before="60" w:after="60"/>
              <w:ind w:left="0" w:right="510"/>
              <w:jc w:val="right"/>
              <w:rPr>
                <w:iCs/>
                <w:sz w:val="20"/>
              </w:rPr>
            </w:pPr>
            <w:r>
              <w:rPr>
                <w:iCs/>
                <w:sz w:val="20"/>
              </w:rPr>
              <w:t>-</w:t>
            </w:r>
          </w:p>
        </w:tc>
        <w:tc>
          <w:tcPr>
            <w:tcW w:w="1464" w:type="dxa"/>
          </w:tcPr>
          <w:p w:rsidR="00000000" w:rsidRDefault="00000000">
            <w:pPr>
              <w:pStyle w:val="BodyTextIndent"/>
              <w:spacing w:before="60" w:after="60"/>
              <w:ind w:left="0" w:right="510"/>
              <w:jc w:val="right"/>
              <w:rPr>
                <w:iCs/>
                <w:sz w:val="20"/>
              </w:rPr>
            </w:pPr>
            <w:r>
              <w:rPr>
                <w:iCs/>
                <w:sz w:val="20"/>
              </w:rPr>
              <w:t>-</w:t>
            </w:r>
          </w:p>
        </w:tc>
        <w:tc>
          <w:tcPr>
            <w:tcW w:w="1475" w:type="dxa"/>
          </w:tcPr>
          <w:p w:rsidR="00000000" w:rsidRDefault="00000000">
            <w:pPr>
              <w:pStyle w:val="BodyTextIndent"/>
              <w:spacing w:before="60" w:after="60"/>
              <w:ind w:left="0" w:right="510"/>
              <w:jc w:val="right"/>
              <w:rPr>
                <w:iCs/>
                <w:sz w:val="20"/>
              </w:rPr>
            </w:pPr>
            <w:r>
              <w:rPr>
                <w:iCs/>
                <w:sz w:val="20"/>
              </w:rPr>
              <w:t>-</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Carpeting</w:t>
            </w:r>
          </w:p>
        </w:tc>
        <w:tc>
          <w:tcPr>
            <w:tcW w:w="1693" w:type="dxa"/>
          </w:tcPr>
          <w:p w:rsidR="00000000" w:rsidRDefault="00000000">
            <w:pPr>
              <w:pStyle w:val="BodyTextIndent"/>
              <w:spacing w:before="60" w:after="60"/>
              <w:ind w:left="0" w:right="510"/>
              <w:jc w:val="right"/>
              <w:rPr>
                <w:iCs/>
                <w:sz w:val="20"/>
              </w:rPr>
            </w:pPr>
            <w:r>
              <w:rPr>
                <w:iCs/>
                <w:sz w:val="20"/>
              </w:rPr>
              <w:t>12</w:t>
            </w:r>
          </w:p>
        </w:tc>
        <w:tc>
          <w:tcPr>
            <w:tcW w:w="1495" w:type="dxa"/>
          </w:tcPr>
          <w:p w:rsidR="00000000" w:rsidRDefault="00000000">
            <w:pPr>
              <w:pStyle w:val="BodyTextIndent"/>
              <w:spacing w:before="60" w:after="60"/>
              <w:ind w:left="0" w:right="510"/>
              <w:jc w:val="right"/>
              <w:rPr>
                <w:iCs/>
                <w:sz w:val="20"/>
              </w:rPr>
            </w:pPr>
            <w:r>
              <w:rPr>
                <w:iCs/>
                <w:sz w:val="20"/>
              </w:rPr>
              <w:t>-</w:t>
            </w:r>
          </w:p>
        </w:tc>
        <w:tc>
          <w:tcPr>
            <w:tcW w:w="1464" w:type="dxa"/>
          </w:tcPr>
          <w:p w:rsidR="00000000" w:rsidRDefault="00000000">
            <w:pPr>
              <w:pStyle w:val="BodyTextIndent"/>
              <w:spacing w:before="60" w:after="60"/>
              <w:ind w:left="0" w:right="510"/>
              <w:jc w:val="right"/>
              <w:rPr>
                <w:iCs/>
                <w:sz w:val="20"/>
              </w:rPr>
            </w:pPr>
            <w:r>
              <w:rPr>
                <w:iCs/>
                <w:sz w:val="20"/>
              </w:rPr>
              <w:t>-</w:t>
            </w:r>
          </w:p>
        </w:tc>
        <w:tc>
          <w:tcPr>
            <w:tcW w:w="1475" w:type="dxa"/>
          </w:tcPr>
          <w:p w:rsidR="00000000" w:rsidRDefault="00000000">
            <w:pPr>
              <w:pStyle w:val="BodyTextIndent"/>
              <w:spacing w:before="60" w:after="60"/>
              <w:ind w:left="0" w:right="510"/>
              <w:jc w:val="right"/>
              <w:rPr>
                <w:iCs/>
                <w:sz w:val="20"/>
              </w:rPr>
            </w:pPr>
            <w:r>
              <w:rPr>
                <w:iCs/>
                <w:sz w:val="20"/>
              </w:rPr>
              <w:t>12</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Other</w:t>
            </w:r>
          </w:p>
        </w:tc>
        <w:tc>
          <w:tcPr>
            <w:tcW w:w="1693" w:type="dxa"/>
          </w:tcPr>
          <w:p w:rsidR="00000000" w:rsidRDefault="00000000">
            <w:pPr>
              <w:pStyle w:val="BodyTextIndent"/>
              <w:spacing w:before="60" w:after="60"/>
              <w:ind w:left="0" w:right="510"/>
              <w:jc w:val="right"/>
              <w:rPr>
                <w:iCs/>
                <w:sz w:val="20"/>
              </w:rPr>
            </w:pPr>
            <w:r>
              <w:rPr>
                <w:iCs/>
                <w:sz w:val="20"/>
              </w:rPr>
              <w:t>1 016</w:t>
            </w:r>
          </w:p>
        </w:tc>
        <w:tc>
          <w:tcPr>
            <w:tcW w:w="1495" w:type="dxa"/>
          </w:tcPr>
          <w:p w:rsidR="00000000" w:rsidRDefault="00000000">
            <w:pPr>
              <w:pStyle w:val="BodyTextIndent"/>
              <w:spacing w:before="60" w:after="60"/>
              <w:ind w:left="0" w:right="510"/>
              <w:jc w:val="right"/>
              <w:rPr>
                <w:iCs/>
                <w:sz w:val="20"/>
              </w:rPr>
            </w:pPr>
            <w:r>
              <w:rPr>
                <w:iCs/>
                <w:sz w:val="20"/>
              </w:rPr>
              <w:t>881</w:t>
            </w:r>
          </w:p>
        </w:tc>
        <w:tc>
          <w:tcPr>
            <w:tcW w:w="1464" w:type="dxa"/>
          </w:tcPr>
          <w:p w:rsidR="00000000" w:rsidRDefault="00000000">
            <w:pPr>
              <w:pStyle w:val="BodyTextIndent"/>
              <w:spacing w:before="60" w:after="60"/>
              <w:ind w:left="0" w:right="510"/>
              <w:jc w:val="right"/>
              <w:rPr>
                <w:iCs/>
                <w:sz w:val="20"/>
              </w:rPr>
            </w:pPr>
            <w:r>
              <w:rPr>
                <w:iCs/>
                <w:sz w:val="20"/>
              </w:rPr>
              <w:t>21</w:t>
            </w:r>
          </w:p>
        </w:tc>
        <w:tc>
          <w:tcPr>
            <w:tcW w:w="1475" w:type="dxa"/>
          </w:tcPr>
          <w:p w:rsidR="00000000" w:rsidRDefault="00000000">
            <w:pPr>
              <w:pStyle w:val="BodyTextIndent"/>
              <w:spacing w:before="60" w:after="60"/>
              <w:ind w:left="0" w:right="510"/>
              <w:jc w:val="right"/>
              <w:rPr>
                <w:iCs/>
                <w:sz w:val="20"/>
              </w:rPr>
            </w:pPr>
            <w:r>
              <w:rPr>
                <w:iCs/>
                <w:sz w:val="20"/>
              </w:rPr>
              <w:t>114</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mallCaps/>
                <w:sz w:val="20"/>
              </w:rPr>
            </w:pPr>
            <w:r>
              <w:rPr>
                <w:iCs/>
                <w:smallCaps/>
                <w:sz w:val="20"/>
              </w:rPr>
              <w:t>C.  Roof</w:t>
            </w:r>
          </w:p>
        </w:tc>
        <w:tc>
          <w:tcPr>
            <w:tcW w:w="1693" w:type="dxa"/>
          </w:tcPr>
          <w:p w:rsidR="00000000" w:rsidRDefault="00000000">
            <w:pPr>
              <w:pStyle w:val="BodyTextIndent"/>
              <w:spacing w:before="60" w:after="60"/>
              <w:ind w:left="0" w:right="510"/>
              <w:jc w:val="right"/>
              <w:rPr>
                <w:iCs/>
                <w:sz w:val="20"/>
              </w:rPr>
            </w:pPr>
          </w:p>
        </w:tc>
        <w:tc>
          <w:tcPr>
            <w:tcW w:w="1495" w:type="dxa"/>
          </w:tcPr>
          <w:p w:rsidR="00000000" w:rsidRDefault="00000000">
            <w:pPr>
              <w:pStyle w:val="BodyTextIndent"/>
              <w:spacing w:before="60" w:after="60"/>
              <w:ind w:left="0" w:right="510"/>
              <w:jc w:val="right"/>
              <w:rPr>
                <w:iCs/>
                <w:sz w:val="20"/>
              </w:rPr>
            </w:pPr>
          </w:p>
        </w:tc>
        <w:tc>
          <w:tcPr>
            <w:tcW w:w="1464" w:type="dxa"/>
          </w:tcPr>
          <w:p w:rsidR="00000000" w:rsidRDefault="00000000">
            <w:pPr>
              <w:pStyle w:val="BodyTextIndent"/>
              <w:spacing w:before="60" w:after="60"/>
              <w:ind w:left="0" w:right="510"/>
              <w:jc w:val="right"/>
              <w:rPr>
                <w:iCs/>
                <w:sz w:val="20"/>
              </w:rPr>
            </w:pPr>
          </w:p>
        </w:tc>
        <w:tc>
          <w:tcPr>
            <w:tcW w:w="1475" w:type="dxa"/>
          </w:tcPr>
          <w:p w:rsidR="00000000" w:rsidRDefault="00000000">
            <w:pPr>
              <w:pStyle w:val="BodyTextIndent"/>
              <w:spacing w:before="60" w:after="60"/>
              <w:ind w:left="0" w:right="510"/>
              <w:jc w:val="right"/>
              <w:rPr>
                <w:iCs/>
                <w:sz w:val="20"/>
              </w:rPr>
            </w:pP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Tile</w:t>
            </w:r>
          </w:p>
        </w:tc>
        <w:tc>
          <w:tcPr>
            <w:tcW w:w="1693" w:type="dxa"/>
          </w:tcPr>
          <w:p w:rsidR="00000000" w:rsidRDefault="00000000">
            <w:pPr>
              <w:pStyle w:val="BodyTextIndent"/>
              <w:spacing w:before="60" w:after="60"/>
              <w:ind w:left="0" w:right="510"/>
              <w:jc w:val="right"/>
              <w:rPr>
                <w:iCs/>
                <w:sz w:val="20"/>
              </w:rPr>
            </w:pPr>
            <w:r>
              <w:rPr>
                <w:iCs/>
                <w:sz w:val="20"/>
              </w:rPr>
              <w:t>21 715</w:t>
            </w:r>
          </w:p>
        </w:tc>
        <w:tc>
          <w:tcPr>
            <w:tcW w:w="1495" w:type="dxa"/>
          </w:tcPr>
          <w:p w:rsidR="00000000" w:rsidRDefault="00000000">
            <w:pPr>
              <w:pStyle w:val="BodyTextIndent"/>
              <w:spacing w:before="60" w:after="60"/>
              <w:ind w:left="0" w:right="510"/>
              <w:jc w:val="right"/>
              <w:rPr>
                <w:iCs/>
                <w:sz w:val="20"/>
              </w:rPr>
            </w:pPr>
            <w:r>
              <w:rPr>
                <w:iCs/>
                <w:sz w:val="20"/>
              </w:rPr>
              <w:t>20 132</w:t>
            </w:r>
          </w:p>
        </w:tc>
        <w:tc>
          <w:tcPr>
            <w:tcW w:w="1464" w:type="dxa"/>
          </w:tcPr>
          <w:p w:rsidR="00000000" w:rsidRDefault="00000000">
            <w:pPr>
              <w:pStyle w:val="BodyTextIndent"/>
              <w:spacing w:before="60" w:after="60"/>
              <w:ind w:left="0" w:right="510"/>
              <w:jc w:val="right"/>
              <w:rPr>
                <w:iCs/>
                <w:sz w:val="20"/>
              </w:rPr>
            </w:pPr>
            <w:r>
              <w:rPr>
                <w:iCs/>
                <w:sz w:val="20"/>
              </w:rPr>
              <w:t>44</w:t>
            </w:r>
          </w:p>
        </w:tc>
        <w:tc>
          <w:tcPr>
            <w:tcW w:w="1475" w:type="dxa"/>
          </w:tcPr>
          <w:p w:rsidR="00000000" w:rsidRDefault="00000000">
            <w:pPr>
              <w:pStyle w:val="BodyTextIndent"/>
              <w:spacing w:before="60" w:after="60"/>
              <w:ind w:left="0" w:right="510"/>
              <w:jc w:val="right"/>
              <w:rPr>
                <w:iCs/>
                <w:sz w:val="20"/>
              </w:rPr>
            </w:pPr>
            <w:r>
              <w:rPr>
                <w:iCs/>
                <w:sz w:val="20"/>
              </w:rPr>
              <w:t>1 539</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Straw</w:t>
            </w:r>
          </w:p>
        </w:tc>
        <w:tc>
          <w:tcPr>
            <w:tcW w:w="1693" w:type="dxa"/>
          </w:tcPr>
          <w:p w:rsidR="00000000" w:rsidRDefault="00000000">
            <w:pPr>
              <w:pStyle w:val="BodyTextIndent"/>
              <w:spacing w:before="60" w:after="60"/>
              <w:ind w:left="0" w:right="510"/>
              <w:jc w:val="right"/>
              <w:rPr>
                <w:iCs/>
                <w:sz w:val="20"/>
              </w:rPr>
            </w:pPr>
            <w:r>
              <w:rPr>
                <w:iCs/>
                <w:sz w:val="20"/>
              </w:rPr>
              <w:t>90 844</w:t>
            </w:r>
          </w:p>
        </w:tc>
        <w:tc>
          <w:tcPr>
            <w:tcW w:w="1495" w:type="dxa"/>
          </w:tcPr>
          <w:p w:rsidR="00000000" w:rsidRDefault="00000000">
            <w:pPr>
              <w:pStyle w:val="BodyTextIndent"/>
              <w:spacing w:before="60" w:after="60"/>
              <w:ind w:left="0" w:right="510"/>
              <w:jc w:val="right"/>
              <w:rPr>
                <w:iCs/>
                <w:sz w:val="20"/>
              </w:rPr>
            </w:pPr>
            <w:r>
              <w:rPr>
                <w:iCs/>
                <w:sz w:val="20"/>
              </w:rPr>
              <w:t>90 338</w:t>
            </w:r>
          </w:p>
        </w:tc>
        <w:tc>
          <w:tcPr>
            <w:tcW w:w="1464" w:type="dxa"/>
          </w:tcPr>
          <w:p w:rsidR="00000000" w:rsidRDefault="00000000">
            <w:pPr>
              <w:pStyle w:val="BodyTextIndent"/>
              <w:spacing w:before="60" w:after="60"/>
              <w:ind w:left="0" w:right="510"/>
              <w:jc w:val="right"/>
              <w:rPr>
                <w:iCs/>
                <w:sz w:val="20"/>
              </w:rPr>
            </w:pPr>
            <w:r>
              <w:rPr>
                <w:iCs/>
                <w:sz w:val="20"/>
              </w:rPr>
              <w:t>298</w:t>
            </w:r>
          </w:p>
        </w:tc>
        <w:tc>
          <w:tcPr>
            <w:tcW w:w="1475" w:type="dxa"/>
          </w:tcPr>
          <w:p w:rsidR="00000000" w:rsidRDefault="00000000">
            <w:pPr>
              <w:pStyle w:val="BodyTextIndent"/>
              <w:spacing w:before="60" w:after="60"/>
              <w:ind w:left="0" w:right="510"/>
              <w:jc w:val="right"/>
              <w:rPr>
                <w:iCs/>
                <w:sz w:val="20"/>
              </w:rPr>
            </w:pPr>
            <w:r>
              <w:rPr>
                <w:iCs/>
                <w:sz w:val="20"/>
              </w:rPr>
              <w:t>208</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Fibrocement or similar (Eternit)</w:t>
            </w:r>
          </w:p>
        </w:tc>
        <w:tc>
          <w:tcPr>
            <w:tcW w:w="1693" w:type="dxa"/>
          </w:tcPr>
          <w:p w:rsidR="00000000" w:rsidRDefault="00000000">
            <w:pPr>
              <w:pStyle w:val="BodyTextIndent"/>
              <w:spacing w:before="60" w:after="60"/>
              <w:ind w:left="0" w:right="510"/>
              <w:jc w:val="right"/>
              <w:rPr>
                <w:iCs/>
                <w:sz w:val="20"/>
                <w:lang w:val="nl-NL"/>
              </w:rPr>
            </w:pPr>
            <w:r>
              <w:rPr>
                <w:iCs/>
                <w:sz w:val="20"/>
                <w:lang w:val="nl-NL"/>
              </w:rPr>
              <w:t>55 347</w:t>
            </w:r>
          </w:p>
        </w:tc>
        <w:tc>
          <w:tcPr>
            <w:tcW w:w="1495" w:type="dxa"/>
          </w:tcPr>
          <w:p w:rsidR="00000000" w:rsidRDefault="00000000">
            <w:pPr>
              <w:pStyle w:val="BodyTextIndent"/>
              <w:spacing w:before="60" w:after="60"/>
              <w:ind w:left="0" w:right="510"/>
              <w:jc w:val="right"/>
              <w:rPr>
                <w:iCs/>
                <w:sz w:val="20"/>
                <w:lang w:val="nl-NL"/>
              </w:rPr>
            </w:pPr>
            <w:r>
              <w:rPr>
                <w:iCs/>
                <w:sz w:val="20"/>
                <w:lang w:val="nl-NL"/>
              </w:rPr>
              <w:t>54 568</w:t>
            </w:r>
          </w:p>
        </w:tc>
        <w:tc>
          <w:tcPr>
            <w:tcW w:w="1464" w:type="dxa"/>
          </w:tcPr>
          <w:p w:rsidR="00000000" w:rsidRDefault="00000000">
            <w:pPr>
              <w:pStyle w:val="BodyTextIndent"/>
              <w:spacing w:before="60" w:after="60"/>
              <w:ind w:left="0" w:right="510"/>
              <w:jc w:val="right"/>
              <w:rPr>
                <w:iCs/>
                <w:sz w:val="20"/>
                <w:lang w:val="nl-NL"/>
              </w:rPr>
            </w:pPr>
            <w:r>
              <w:rPr>
                <w:iCs/>
                <w:sz w:val="20"/>
                <w:lang w:val="nl-NL"/>
              </w:rPr>
              <w:t>207</w:t>
            </w:r>
          </w:p>
        </w:tc>
        <w:tc>
          <w:tcPr>
            <w:tcW w:w="1475" w:type="dxa"/>
          </w:tcPr>
          <w:p w:rsidR="00000000" w:rsidRDefault="00000000">
            <w:pPr>
              <w:pStyle w:val="BodyTextIndent"/>
              <w:spacing w:before="60" w:after="60"/>
              <w:ind w:left="0" w:right="510"/>
              <w:jc w:val="right"/>
              <w:rPr>
                <w:iCs/>
                <w:sz w:val="20"/>
                <w:lang w:val="nl-NL"/>
              </w:rPr>
            </w:pPr>
            <w:r>
              <w:rPr>
                <w:iCs/>
                <w:sz w:val="20"/>
                <w:lang w:val="nl-NL"/>
              </w:rPr>
              <w:t>572</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nl-NL"/>
              </w:rPr>
            </w:pPr>
            <w:r>
              <w:rPr>
                <w:iCs/>
                <w:sz w:val="20"/>
                <w:lang w:val="nl-NL"/>
              </w:rPr>
              <w:tab/>
              <w:t>Sheet metal</w:t>
            </w:r>
          </w:p>
        </w:tc>
        <w:tc>
          <w:tcPr>
            <w:tcW w:w="1693" w:type="dxa"/>
          </w:tcPr>
          <w:p w:rsidR="00000000" w:rsidRDefault="00000000">
            <w:pPr>
              <w:pStyle w:val="BodyTextIndent"/>
              <w:spacing w:before="60" w:after="60"/>
              <w:ind w:left="0" w:right="510"/>
              <w:jc w:val="right"/>
              <w:rPr>
                <w:iCs/>
                <w:sz w:val="20"/>
                <w:lang w:val="nl-NL"/>
              </w:rPr>
            </w:pPr>
            <w:r>
              <w:rPr>
                <w:iCs/>
                <w:sz w:val="20"/>
                <w:lang w:val="nl-NL"/>
              </w:rPr>
              <w:t>44 684</w:t>
            </w:r>
          </w:p>
        </w:tc>
        <w:tc>
          <w:tcPr>
            <w:tcW w:w="1495" w:type="dxa"/>
          </w:tcPr>
          <w:p w:rsidR="00000000" w:rsidRDefault="00000000">
            <w:pPr>
              <w:pStyle w:val="BodyTextIndent"/>
              <w:spacing w:before="60" w:after="60"/>
              <w:ind w:left="0" w:right="510"/>
              <w:jc w:val="right"/>
              <w:rPr>
                <w:iCs/>
                <w:sz w:val="20"/>
                <w:lang w:val="nl-NL"/>
              </w:rPr>
            </w:pPr>
            <w:r>
              <w:rPr>
                <w:iCs/>
                <w:sz w:val="20"/>
                <w:lang w:val="nl-NL"/>
              </w:rPr>
              <w:t>43 006</w:t>
            </w:r>
          </w:p>
        </w:tc>
        <w:tc>
          <w:tcPr>
            <w:tcW w:w="1464" w:type="dxa"/>
          </w:tcPr>
          <w:p w:rsidR="00000000" w:rsidRDefault="00000000">
            <w:pPr>
              <w:pStyle w:val="BodyTextIndent"/>
              <w:spacing w:before="60" w:after="60"/>
              <w:ind w:left="0" w:right="510"/>
              <w:jc w:val="right"/>
              <w:rPr>
                <w:iCs/>
                <w:sz w:val="20"/>
                <w:lang w:val="nl-NL"/>
              </w:rPr>
            </w:pPr>
            <w:r>
              <w:rPr>
                <w:iCs/>
                <w:sz w:val="20"/>
                <w:lang w:val="nl-NL"/>
              </w:rPr>
              <w:t>419</w:t>
            </w:r>
          </w:p>
        </w:tc>
        <w:tc>
          <w:tcPr>
            <w:tcW w:w="1475" w:type="dxa"/>
          </w:tcPr>
          <w:p w:rsidR="00000000" w:rsidRDefault="00000000">
            <w:pPr>
              <w:pStyle w:val="BodyTextIndent"/>
              <w:spacing w:before="60" w:after="60"/>
              <w:ind w:left="0" w:right="510"/>
              <w:jc w:val="right"/>
              <w:rPr>
                <w:iCs/>
                <w:sz w:val="20"/>
                <w:lang w:val="nl-NL"/>
              </w:rPr>
            </w:pPr>
            <w:r>
              <w:rPr>
                <w:iCs/>
                <w:sz w:val="20"/>
                <w:lang w:val="nl-NL"/>
              </w:rPr>
              <w:t>1 259</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nl-NL"/>
              </w:rPr>
            </w:pPr>
            <w:r>
              <w:rPr>
                <w:iCs/>
                <w:sz w:val="20"/>
                <w:lang w:val="nl-NL"/>
              </w:rPr>
              <w:tab/>
              <w:t>Wooden planks</w:t>
            </w:r>
          </w:p>
        </w:tc>
        <w:tc>
          <w:tcPr>
            <w:tcW w:w="1693" w:type="dxa"/>
          </w:tcPr>
          <w:p w:rsidR="00000000" w:rsidRDefault="00000000">
            <w:pPr>
              <w:pStyle w:val="BodyTextIndent"/>
              <w:spacing w:before="60" w:after="60"/>
              <w:ind w:left="0" w:right="510"/>
              <w:jc w:val="right"/>
              <w:rPr>
                <w:iCs/>
                <w:sz w:val="20"/>
              </w:rPr>
            </w:pPr>
            <w:r>
              <w:rPr>
                <w:iCs/>
                <w:sz w:val="20"/>
              </w:rPr>
              <w:t>6 232</w:t>
            </w:r>
          </w:p>
        </w:tc>
        <w:tc>
          <w:tcPr>
            <w:tcW w:w="1495" w:type="dxa"/>
          </w:tcPr>
          <w:p w:rsidR="00000000" w:rsidRDefault="00000000">
            <w:pPr>
              <w:pStyle w:val="BodyTextIndent"/>
              <w:spacing w:before="60" w:after="60"/>
              <w:ind w:left="0" w:right="510"/>
              <w:jc w:val="right"/>
              <w:rPr>
                <w:iCs/>
                <w:sz w:val="20"/>
              </w:rPr>
            </w:pPr>
            <w:r>
              <w:rPr>
                <w:iCs/>
                <w:sz w:val="20"/>
              </w:rPr>
              <w:t>6 197</w:t>
            </w:r>
          </w:p>
        </w:tc>
        <w:tc>
          <w:tcPr>
            <w:tcW w:w="1464" w:type="dxa"/>
          </w:tcPr>
          <w:p w:rsidR="00000000" w:rsidRDefault="00000000">
            <w:pPr>
              <w:pStyle w:val="BodyTextIndent"/>
              <w:spacing w:before="60" w:after="60"/>
              <w:ind w:left="0" w:right="510"/>
              <w:jc w:val="right"/>
              <w:rPr>
                <w:iCs/>
                <w:sz w:val="20"/>
              </w:rPr>
            </w:pPr>
            <w:r>
              <w:rPr>
                <w:iCs/>
                <w:sz w:val="20"/>
              </w:rPr>
              <w:t>16</w:t>
            </w:r>
          </w:p>
        </w:tc>
        <w:tc>
          <w:tcPr>
            <w:tcW w:w="1475" w:type="dxa"/>
          </w:tcPr>
          <w:p w:rsidR="00000000" w:rsidRDefault="00000000">
            <w:pPr>
              <w:pStyle w:val="BodyTextIndent"/>
              <w:spacing w:before="60" w:after="60"/>
              <w:ind w:left="0" w:right="510"/>
              <w:jc w:val="right"/>
              <w:rPr>
                <w:iCs/>
                <w:sz w:val="20"/>
              </w:rPr>
            </w:pPr>
            <w:r>
              <w:rPr>
                <w:iCs/>
                <w:sz w:val="20"/>
              </w:rPr>
              <w:t>19</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en-US"/>
              </w:rPr>
            </w:pPr>
            <w:r>
              <w:rPr>
                <w:iCs/>
                <w:sz w:val="20"/>
                <w:lang w:val="en-US"/>
              </w:rPr>
              <w:tab/>
              <w:t>Reinforced concrete,  tiles or</w:t>
            </w:r>
            <w:r>
              <w:rPr>
                <w:iCs/>
                <w:sz w:val="20"/>
                <w:lang w:val="en-US"/>
              </w:rPr>
              <w:br/>
            </w:r>
            <w:r>
              <w:rPr>
                <w:iCs/>
                <w:sz w:val="20"/>
                <w:lang w:val="en-US"/>
              </w:rPr>
              <w:tab/>
              <w:t>vaulted</w:t>
            </w:r>
          </w:p>
        </w:tc>
        <w:tc>
          <w:tcPr>
            <w:tcW w:w="1693" w:type="dxa"/>
          </w:tcPr>
          <w:p w:rsidR="00000000" w:rsidRDefault="00000000">
            <w:pPr>
              <w:pStyle w:val="BodyTextIndent"/>
              <w:spacing w:before="60" w:after="60"/>
              <w:ind w:left="0" w:right="510"/>
              <w:jc w:val="right"/>
              <w:rPr>
                <w:iCs/>
                <w:sz w:val="20"/>
              </w:rPr>
            </w:pPr>
            <w:r>
              <w:rPr>
                <w:iCs/>
                <w:sz w:val="20"/>
              </w:rPr>
              <w:t>292</w:t>
            </w:r>
          </w:p>
          <w:p w:rsidR="00000000" w:rsidRDefault="00000000">
            <w:pPr>
              <w:pStyle w:val="BodyTextIndent"/>
              <w:spacing w:before="60" w:after="60"/>
              <w:ind w:left="0" w:right="510"/>
              <w:jc w:val="right"/>
              <w:rPr>
                <w:iCs/>
                <w:sz w:val="20"/>
              </w:rPr>
            </w:pPr>
          </w:p>
        </w:tc>
        <w:tc>
          <w:tcPr>
            <w:tcW w:w="1495" w:type="dxa"/>
            <w:vAlign w:val="center"/>
          </w:tcPr>
          <w:p w:rsidR="00000000" w:rsidRDefault="00000000">
            <w:pPr>
              <w:pStyle w:val="BodyTextIndent"/>
              <w:spacing w:before="60" w:after="60"/>
              <w:ind w:left="0" w:right="510"/>
              <w:jc w:val="right"/>
              <w:rPr>
                <w:iCs/>
                <w:sz w:val="20"/>
              </w:rPr>
            </w:pPr>
            <w:r>
              <w:rPr>
                <w:iCs/>
                <w:sz w:val="20"/>
              </w:rPr>
              <w:t>-</w:t>
            </w:r>
          </w:p>
        </w:tc>
        <w:tc>
          <w:tcPr>
            <w:tcW w:w="1464" w:type="dxa"/>
            <w:vAlign w:val="center"/>
          </w:tcPr>
          <w:p w:rsidR="00000000" w:rsidRDefault="00000000">
            <w:pPr>
              <w:pStyle w:val="BodyTextIndent"/>
              <w:spacing w:before="60" w:after="60"/>
              <w:ind w:left="0" w:right="510"/>
              <w:jc w:val="right"/>
              <w:rPr>
                <w:iCs/>
                <w:sz w:val="20"/>
              </w:rPr>
            </w:pPr>
            <w:r>
              <w:rPr>
                <w:iCs/>
                <w:sz w:val="20"/>
              </w:rPr>
              <w:t>1</w:t>
            </w:r>
          </w:p>
        </w:tc>
        <w:tc>
          <w:tcPr>
            <w:tcW w:w="1475" w:type="dxa"/>
            <w:vAlign w:val="center"/>
          </w:tcPr>
          <w:p w:rsidR="00000000" w:rsidRDefault="00000000">
            <w:pPr>
              <w:pStyle w:val="BodyTextIndent"/>
              <w:spacing w:before="60" w:after="60"/>
              <w:ind w:left="0" w:right="510"/>
              <w:jc w:val="right"/>
              <w:rPr>
                <w:iCs/>
                <w:sz w:val="20"/>
              </w:rPr>
            </w:pPr>
            <w:r>
              <w:rPr>
                <w:iCs/>
                <w:sz w:val="20"/>
              </w:rPr>
              <w:t>291</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Palm trunk</w:t>
            </w:r>
          </w:p>
        </w:tc>
        <w:tc>
          <w:tcPr>
            <w:tcW w:w="1693" w:type="dxa"/>
          </w:tcPr>
          <w:p w:rsidR="00000000" w:rsidRDefault="00000000">
            <w:pPr>
              <w:pStyle w:val="BodyTextIndent"/>
              <w:spacing w:before="60" w:after="60"/>
              <w:ind w:left="0" w:right="510"/>
              <w:jc w:val="right"/>
              <w:rPr>
                <w:iCs/>
                <w:sz w:val="20"/>
              </w:rPr>
            </w:pPr>
            <w:r>
              <w:rPr>
                <w:iCs/>
                <w:sz w:val="20"/>
              </w:rPr>
              <w:t>1 973</w:t>
            </w:r>
          </w:p>
        </w:tc>
        <w:tc>
          <w:tcPr>
            <w:tcW w:w="1495" w:type="dxa"/>
          </w:tcPr>
          <w:p w:rsidR="00000000" w:rsidRDefault="00000000">
            <w:pPr>
              <w:pStyle w:val="BodyTextIndent"/>
              <w:spacing w:before="60" w:after="60"/>
              <w:ind w:left="0" w:right="510"/>
              <w:jc w:val="right"/>
              <w:rPr>
                <w:iCs/>
                <w:sz w:val="20"/>
              </w:rPr>
            </w:pPr>
            <w:r>
              <w:rPr>
                <w:iCs/>
                <w:sz w:val="20"/>
              </w:rPr>
              <w:t>1 927</w:t>
            </w:r>
          </w:p>
        </w:tc>
        <w:tc>
          <w:tcPr>
            <w:tcW w:w="1464" w:type="dxa"/>
          </w:tcPr>
          <w:p w:rsidR="00000000" w:rsidRDefault="00000000">
            <w:pPr>
              <w:pStyle w:val="BodyTextIndent"/>
              <w:spacing w:before="60" w:after="60"/>
              <w:ind w:left="0" w:right="510"/>
              <w:jc w:val="right"/>
              <w:rPr>
                <w:iCs/>
                <w:sz w:val="20"/>
              </w:rPr>
            </w:pPr>
            <w:r>
              <w:rPr>
                <w:iCs/>
                <w:sz w:val="20"/>
              </w:rPr>
              <w:t>29</w:t>
            </w:r>
          </w:p>
        </w:tc>
        <w:tc>
          <w:tcPr>
            <w:tcW w:w="1475" w:type="dxa"/>
          </w:tcPr>
          <w:p w:rsidR="00000000" w:rsidRDefault="00000000">
            <w:pPr>
              <w:pStyle w:val="BodyTextIndent"/>
              <w:spacing w:before="60" w:after="60"/>
              <w:ind w:left="0" w:right="510"/>
              <w:jc w:val="right"/>
              <w:rPr>
                <w:iCs/>
                <w:sz w:val="20"/>
              </w:rPr>
            </w:pPr>
            <w:r>
              <w:rPr>
                <w:iCs/>
                <w:sz w:val="20"/>
              </w:rPr>
              <w:t>17</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es-ES_tradnl"/>
              </w:rPr>
            </w:pPr>
            <w:r>
              <w:rPr>
                <w:iCs/>
                <w:sz w:val="20"/>
                <w:lang w:val="es-ES_tradnl"/>
              </w:rPr>
              <w:tab/>
              <w:t>Cardboard, oilcloth, wood from</w:t>
            </w:r>
            <w:r>
              <w:rPr>
                <w:iCs/>
                <w:sz w:val="20"/>
                <w:lang w:val="es-ES_tradnl"/>
              </w:rPr>
              <w:br/>
            </w:r>
            <w:r>
              <w:rPr>
                <w:iCs/>
                <w:sz w:val="20"/>
                <w:lang w:val="es-ES_tradnl"/>
              </w:rPr>
              <w:tab/>
              <w:t xml:space="preserve"> packaging</w:t>
            </w:r>
          </w:p>
        </w:tc>
        <w:tc>
          <w:tcPr>
            <w:tcW w:w="1693" w:type="dxa"/>
          </w:tcPr>
          <w:p w:rsidR="00000000" w:rsidRDefault="00000000">
            <w:pPr>
              <w:pStyle w:val="BodyTextIndent"/>
              <w:spacing w:before="60" w:after="60"/>
              <w:ind w:left="0" w:right="510"/>
              <w:jc w:val="right"/>
              <w:rPr>
                <w:iCs/>
                <w:sz w:val="20"/>
              </w:rPr>
            </w:pPr>
            <w:r>
              <w:rPr>
                <w:iCs/>
                <w:sz w:val="20"/>
              </w:rPr>
              <w:t>1 030</w:t>
            </w:r>
          </w:p>
        </w:tc>
        <w:tc>
          <w:tcPr>
            <w:tcW w:w="1495" w:type="dxa"/>
          </w:tcPr>
          <w:p w:rsidR="00000000" w:rsidRDefault="00000000">
            <w:pPr>
              <w:pStyle w:val="BodyTextIndent"/>
              <w:spacing w:before="60" w:after="60"/>
              <w:ind w:left="0" w:right="510"/>
              <w:jc w:val="right"/>
              <w:rPr>
                <w:iCs/>
                <w:sz w:val="20"/>
              </w:rPr>
            </w:pPr>
            <w:r>
              <w:rPr>
                <w:iCs/>
                <w:sz w:val="20"/>
              </w:rPr>
              <w:t>-</w:t>
            </w:r>
          </w:p>
        </w:tc>
        <w:tc>
          <w:tcPr>
            <w:tcW w:w="1464" w:type="dxa"/>
          </w:tcPr>
          <w:p w:rsidR="00000000" w:rsidRDefault="00000000">
            <w:pPr>
              <w:pStyle w:val="BodyTextIndent"/>
              <w:spacing w:before="60" w:after="60"/>
              <w:ind w:left="0" w:right="510"/>
              <w:jc w:val="right"/>
              <w:rPr>
                <w:iCs/>
                <w:sz w:val="20"/>
              </w:rPr>
            </w:pPr>
            <w:r>
              <w:rPr>
                <w:iCs/>
                <w:sz w:val="20"/>
              </w:rPr>
              <w:t>1 021</w:t>
            </w:r>
          </w:p>
        </w:tc>
        <w:tc>
          <w:tcPr>
            <w:tcW w:w="1475" w:type="dxa"/>
          </w:tcPr>
          <w:p w:rsidR="00000000" w:rsidRDefault="00000000">
            <w:pPr>
              <w:pStyle w:val="BodyTextIndent"/>
              <w:spacing w:before="60" w:after="60"/>
              <w:ind w:left="0" w:right="510"/>
              <w:jc w:val="right"/>
              <w:rPr>
                <w:iCs/>
                <w:sz w:val="20"/>
              </w:rPr>
            </w:pPr>
            <w:r>
              <w:rPr>
                <w:iCs/>
                <w:sz w:val="20"/>
              </w:rPr>
              <w:t>9</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Other</w:t>
            </w:r>
          </w:p>
        </w:tc>
        <w:tc>
          <w:tcPr>
            <w:tcW w:w="1693" w:type="dxa"/>
          </w:tcPr>
          <w:p w:rsidR="00000000" w:rsidRDefault="00000000">
            <w:pPr>
              <w:pStyle w:val="BodyTextIndent"/>
              <w:spacing w:before="60" w:after="60"/>
              <w:ind w:left="0" w:right="510"/>
              <w:jc w:val="right"/>
              <w:rPr>
                <w:iCs/>
                <w:sz w:val="20"/>
              </w:rPr>
            </w:pPr>
            <w:r>
              <w:rPr>
                <w:iCs/>
                <w:sz w:val="20"/>
              </w:rPr>
              <w:t>181</w:t>
            </w:r>
          </w:p>
        </w:tc>
        <w:tc>
          <w:tcPr>
            <w:tcW w:w="1495" w:type="dxa"/>
          </w:tcPr>
          <w:p w:rsidR="00000000" w:rsidRDefault="00000000">
            <w:pPr>
              <w:pStyle w:val="BodyTextIndent"/>
              <w:spacing w:before="60" w:after="60"/>
              <w:ind w:left="0" w:right="510"/>
              <w:jc w:val="right"/>
              <w:rPr>
                <w:iCs/>
                <w:sz w:val="20"/>
              </w:rPr>
            </w:pPr>
            <w:r>
              <w:rPr>
                <w:iCs/>
                <w:sz w:val="20"/>
              </w:rPr>
              <w:t>83</w:t>
            </w:r>
          </w:p>
        </w:tc>
        <w:tc>
          <w:tcPr>
            <w:tcW w:w="1464" w:type="dxa"/>
          </w:tcPr>
          <w:p w:rsidR="00000000" w:rsidRDefault="00000000">
            <w:pPr>
              <w:pStyle w:val="BodyTextIndent"/>
              <w:spacing w:before="60" w:after="60"/>
              <w:ind w:left="0" w:right="510"/>
              <w:jc w:val="right"/>
              <w:rPr>
                <w:iCs/>
                <w:sz w:val="20"/>
              </w:rPr>
            </w:pPr>
            <w:r>
              <w:rPr>
                <w:iCs/>
                <w:sz w:val="20"/>
              </w:rPr>
              <w:t>56</w:t>
            </w:r>
          </w:p>
        </w:tc>
        <w:tc>
          <w:tcPr>
            <w:tcW w:w="1475" w:type="dxa"/>
          </w:tcPr>
          <w:p w:rsidR="00000000" w:rsidRDefault="00000000">
            <w:pPr>
              <w:pStyle w:val="BodyTextIndent"/>
              <w:spacing w:before="60" w:after="60"/>
              <w:ind w:left="0" w:right="510"/>
              <w:jc w:val="right"/>
              <w:rPr>
                <w:iCs/>
                <w:sz w:val="20"/>
              </w:rPr>
            </w:pPr>
            <w:r>
              <w:rPr>
                <w:iCs/>
                <w:sz w:val="20"/>
              </w:rPr>
              <w:t>42</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b/>
                <w:bCs/>
                <w:sz w:val="20"/>
              </w:rPr>
            </w:pPr>
            <w:r>
              <w:rPr>
                <w:b/>
                <w:bCs/>
                <w:sz w:val="20"/>
              </w:rPr>
              <w:t>URBAN AREA</w:t>
            </w:r>
          </w:p>
        </w:tc>
        <w:tc>
          <w:tcPr>
            <w:tcW w:w="1693" w:type="dxa"/>
          </w:tcPr>
          <w:p w:rsidR="00000000" w:rsidRDefault="00000000">
            <w:pPr>
              <w:pStyle w:val="BodyTextIndent"/>
              <w:spacing w:before="60" w:after="60"/>
              <w:ind w:left="0" w:right="510"/>
              <w:jc w:val="right"/>
              <w:rPr>
                <w:sz w:val="20"/>
              </w:rPr>
            </w:pPr>
          </w:p>
        </w:tc>
        <w:tc>
          <w:tcPr>
            <w:tcW w:w="1495" w:type="dxa"/>
          </w:tcPr>
          <w:p w:rsidR="00000000" w:rsidRDefault="00000000">
            <w:pPr>
              <w:pStyle w:val="BodyTextIndent"/>
              <w:spacing w:before="60" w:after="60"/>
              <w:ind w:left="0" w:right="510"/>
              <w:jc w:val="right"/>
              <w:rPr>
                <w:sz w:val="20"/>
              </w:rPr>
            </w:pPr>
          </w:p>
        </w:tc>
        <w:tc>
          <w:tcPr>
            <w:tcW w:w="1464" w:type="dxa"/>
          </w:tcPr>
          <w:p w:rsidR="00000000" w:rsidRDefault="00000000">
            <w:pPr>
              <w:pStyle w:val="BodyTextIndent"/>
              <w:spacing w:before="60" w:after="60"/>
              <w:ind w:left="0" w:right="510"/>
              <w:jc w:val="right"/>
              <w:rPr>
                <w:sz w:val="20"/>
              </w:rPr>
            </w:pPr>
          </w:p>
        </w:tc>
        <w:tc>
          <w:tcPr>
            <w:tcW w:w="1475" w:type="dxa"/>
          </w:tcPr>
          <w:p w:rsidR="00000000" w:rsidRDefault="00000000">
            <w:pPr>
              <w:pStyle w:val="BodyTextIndent"/>
              <w:spacing w:before="60" w:after="60"/>
              <w:ind w:left="0" w:right="510"/>
              <w:jc w:val="right"/>
              <w:rPr>
                <w:sz w:val="20"/>
              </w:rPr>
            </w:pP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Total dwellings</w:t>
            </w:r>
          </w:p>
        </w:tc>
        <w:tc>
          <w:tcPr>
            <w:tcW w:w="1693" w:type="dxa"/>
          </w:tcPr>
          <w:p w:rsidR="00000000" w:rsidRDefault="00000000">
            <w:pPr>
              <w:pStyle w:val="BodyTextIndent"/>
              <w:spacing w:before="60" w:after="60"/>
              <w:ind w:left="0" w:right="510"/>
              <w:jc w:val="right"/>
              <w:rPr>
                <w:iCs/>
                <w:sz w:val="20"/>
              </w:rPr>
            </w:pPr>
            <w:r>
              <w:rPr>
                <w:iCs/>
                <w:sz w:val="20"/>
              </w:rPr>
              <w:t>48 194</w:t>
            </w:r>
          </w:p>
        </w:tc>
        <w:tc>
          <w:tcPr>
            <w:tcW w:w="1495" w:type="dxa"/>
          </w:tcPr>
          <w:p w:rsidR="00000000" w:rsidRDefault="00000000">
            <w:pPr>
              <w:pStyle w:val="BodyTextIndent"/>
              <w:spacing w:before="60" w:after="60"/>
              <w:ind w:left="0" w:right="510"/>
              <w:jc w:val="right"/>
              <w:rPr>
                <w:iCs/>
                <w:sz w:val="20"/>
              </w:rPr>
            </w:pPr>
            <w:r>
              <w:rPr>
                <w:iCs/>
                <w:sz w:val="20"/>
              </w:rPr>
              <w:t>44 648</w:t>
            </w:r>
          </w:p>
        </w:tc>
        <w:tc>
          <w:tcPr>
            <w:tcW w:w="1464" w:type="dxa"/>
          </w:tcPr>
          <w:p w:rsidR="00000000" w:rsidRDefault="00000000">
            <w:pPr>
              <w:pStyle w:val="BodyTextIndent"/>
              <w:spacing w:before="60" w:after="60"/>
              <w:ind w:left="0" w:right="510"/>
              <w:jc w:val="right"/>
              <w:rPr>
                <w:iCs/>
                <w:sz w:val="20"/>
              </w:rPr>
            </w:pPr>
            <w:r>
              <w:rPr>
                <w:iCs/>
                <w:sz w:val="20"/>
              </w:rPr>
              <w:t>681</w:t>
            </w:r>
          </w:p>
        </w:tc>
        <w:tc>
          <w:tcPr>
            <w:tcW w:w="1475" w:type="dxa"/>
          </w:tcPr>
          <w:p w:rsidR="00000000" w:rsidRDefault="00000000">
            <w:pPr>
              <w:pStyle w:val="BodyTextIndent"/>
              <w:spacing w:before="60" w:after="60"/>
              <w:ind w:left="0" w:right="510"/>
              <w:jc w:val="right"/>
              <w:rPr>
                <w:iCs/>
                <w:sz w:val="20"/>
              </w:rPr>
            </w:pPr>
            <w:r>
              <w:rPr>
                <w:iCs/>
                <w:sz w:val="20"/>
              </w:rPr>
              <w:t>2 865</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mallCaps/>
                <w:sz w:val="20"/>
              </w:rPr>
            </w:pPr>
            <w:r>
              <w:rPr>
                <w:iCs/>
                <w:smallCaps/>
                <w:sz w:val="20"/>
              </w:rPr>
              <w:t>A.  Outer  walls</w:t>
            </w:r>
          </w:p>
        </w:tc>
        <w:tc>
          <w:tcPr>
            <w:tcW w:w="1693" w:type="dxa"/>
          </w:tcPr>
          <w:p w:rsidR="00000000" w:rsidRDefault="00000000">
            <w:pPr>
              <w:pStyle w:val="BodyTextIndent"/>
              <w:spacing w:before="60" w:after="60"/>
              <w:ind w:left="0" w:right="510"/>
              <w:jc w:val="right"/>
              <w:rPr>
                <w:iCs/>
                <w:sz w:val="20"/>
              </w:rPr>
            </w:pPr>
          </w:p>
        </w:tc>
        <w:tc>
          <w:tcPr>
            <w:tcW w:w="1495" w:type="dxa"/>
          </w:tcPr>
          <w:p w:rsidR="00000000" w:rsidRDefault="00000000">
            <w:pPr>
              <w:pStyle w:val="BodyTextIndent"/>
              <w:spacing w:before="60" w:after="60"/>
              <w:ind w:left="0" w:right="510"/>
              <w:jc w:val="right"/>
              <w:rPr>
                <w:iCs/>
                <w:sz w:val="20"/>
              </w:rPr>
            </w:pPr>
          </w:p>
        </w:tc>
        <w:tc>
          <w:tcPr>
            <w:tcW w:w="1464" w:type="dxa"/>
          </w:tcPr>
          <w:p w:rsidR="00000000" w:rsidRDefault="00000000">
            <w:pPr>
              <w:pStyle w:val="BodyTextIndent"/>
              <w:spacing w:before="60" w:after="60"/>
              <w:ind w:left="0" w:right="510"/>
              <w:jc w:val="right"/>
              <w:rPr>
                <w:iCs/>
                <w:sz w:val="20"/>
              </w:rPr>
            </w:pPr>
          </w:p>
        </w:tc>
        <w:tc>
          <w:tcPr>
            <w:tcW w:w="1475" w:type="dxa"/>
          </w:tcPr>
          <w:p w:rsidR="00000000" w:rsidRDefault="00000000">
            <w:pPr>
              <w:pStyle w:val="BodyTextIndent"/>
              <w:spacing w:before="60" w:after="60"/>
              <w:ind w:left="0" w:right="510"/>
              <w:jc w:val="right"/>
              <w:rPr>
                <w:iCs/>
                <w:sz w:val="20"/>
              </w:rPr>
            </w:pP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Brick</w:t>
            </w:r>
          </w:p>
        </w:tc>
        <w:tc>
          <w:tcPr>
            <w:tcW w:w="1693" w:type="dxa"/>
          </w:tcPr>
          <w:p w:rsidR="00000000" w:rsidRDefault="00000000">
            <w:pPr>
              <w:pStyle w:val="BodyTextIndent"/>
              <w:spacing w:before="60" w:after="60"/>
              <w:ind w:left="0" w:right="510"/>
              <w:jc w:val="right"/>
              <w:rPr>
                <w:iCs/>
                <w:sz w:val="20"/>
              </w:rPr>
            </w:pPr>
            <w:r>
              <w:rPr>
                <w:iCs/>
                <w:sz w:val="20"/>
              </w:rPr>
              <w:t>4 652</w:t>
            </w:r>
          </w:p>
        </w:tc>
        <w:tc>
          <w:tcPr>
            <w:tcW w:w="1495" w:type="dxa"/>
          </w:tcPr>
          <w:p w:rsidR="00000000" w:rsidRDefault="00000000">
            <w:pPr>
              <w:pStyle w:val="BodyTextIndent"/>
              <w:spacing w:before="60" w:after="60"/>
              <w:ind w:left="0" w:right="510"/>
              <w:jc w:val="right"/>
              <w:rPr>
                <w:iCs/>
                <w:sz w:val="20"/>
              </w:rPr>
            </w:pPr>
            <w:r>
              <w:rPr>
                <w:iCs/>
                <w:sz w:val="20"/>
              </w:rPr>
              <w:t>2 591</w:t>
            </w:r>
          </w:p>
        </w:tc>
        <w:tc>
          <w:tcPr>
            <w:tcW w:w="1464" w:type="dxa"/>
          </w:tcPr>
          <w:p w:rsidR="00000000" w:rsidRDefault="00000000">
            <w:pPr>
              <w:pStyle w:val="BodyTextIndent"/>
              <w:spacing w:before="60" w:after="60"/>
              <w:ind w:left="0" w:right="510"/>
              <w:jc w:val="right"/>
              <w:rPr>
                <w:iCs/>
                <w:sz w:val="20"/>
              </w:rPr>
            </w:pPr>
            <w:r>
              <w:rPr>
                <w:iCs/>
                <w:sz w:val="20"/>
              </w:rPr>
              <w:t>4</w:t>
            </w:r>
          </w:p>
        </w:tc>
        <w:tc>
          <w:tcPr>
            <w:tcW w:w="1475" w:type="dxa"/>
          </w:tcPr>
          <w:p w:rsidR="00000000" w:rsidRDefault="00000000">
            <w:pPr>
              <w:pStyle w:val="BodyTextIndent"/>
              <w:spacing w:before="60" w:after="60"/>
              <w:ind w:left="0" w:right="510"/>
              <w:jc w:val="right"/>
              <w:rPr>
                <w:iCs/>
                <w:sz w:val="20"/>
              </w:rPr>
            </w:pPr>
            <w:r>
              <w:rPr>
                <w:iCs/>
                <w:sz w:val="20"/>
              </w:rPr>
              <w:t>2 057</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Wood</w:t>
            </w:r>
          </w:p>
        </w:tc>
        <w:tc>
          <w:tcPr>
            <w:tcW w:w="1693" w:type="dxa"/>
          </w:tcPr>
          <w:p w:rsidR="00000000" w:rsidRDefault="00000000">
            <w:pPr>
              <w:pStyle w:val="BodyTextIndent"/>
              <w:spacing w:before="60" w:after="60"/>
              <w:ind w:left="0" w:right="510"/>
              <w:jc w:val="right"/>
              <w:rPr>
                <w:iCs/>
                <w:sz w:val="20"/>
              </w:rPr>
            </w:pPr>
            <w:r>
              <w:rPr>
                <w:iCs/>
                <w:sz w:val="20"/>
              </w:rPr>
              <w:t>39 436</w:t>
            </w:r>
          </w:p>
        </w:tc>
        <w:tc>
          <w:tcPr>
            <w:tcW w:w="1495" w:type="dxa"/>
          </w:tcPr>
          <w:p w:rsidR="00000000" w:rsidRDefault="00000000">
            <w:pPr>
              <w:pStyle w:val="BodyTextIndent"/>
              <w:spacing w:before="60" w:after="60"/>
              <w:ind w:left="0" w:right="510"/>
              <w:jc w:val="right"/>
              <w:rPr>
                <w:iCs/>
                <w:sz w:val="20"/>
              </w:rPr>
            </w:pPr>
            <w:r>
              <w:rPr>
                <w:iCs/>
                <w:sz w:val="20"/>
              </w:rPr>
              <w:t>38 827</w:t>
            </w:r>
          </w:p>
        </w:tc>
        <w:tc>
          <w:tcPr>
            <w:tcW w:w="1464" w:type="dxa"/>
          </w:tcPr>
          <w:p w:rsidR="00000000" w:rsidRDefault="00000000">
            <w:pPr>
              <w:pStyle w:val="BodyTextIndent"/>
              <w:spacing w:before="60" w:after="60"/>
              <w:ind w:left="0" w:right="510"/>
              <w:jc w:val="right"/>
              <w:rPr>
                <w:iCs/>
                <w:sz w:val="20"/>
              </w:rPr>
            </w:pPr>
            <w:r>
              <w:rPr>
                <w:iCs/>
                <w:sz w:val="20"/>
              </w:rPr>
              <w:t>14</w:t>
            </w:r>
          </w:p>
        </w:tc>
        <w:tc>
          <w:tcPr>
            <w:tcW w:w="1475" w:type="dxa"/>
          </w:tcPr>
          <w:p w:rsidR="00000000" w:rsidRDefault="00000000">
            <w:pPr>
              <w:pStyle w:val="BodyTextIndent"/>
              <w:spacing w:before="60" w:after="60"/>
              <w:ind w:left="0" w:right="510"/>
              <w:jc w:val="right"/>
              <w:rPr>
                <w:iCs/>
                <w:sz w:val="20"/>
              </w:rPr>
            </w:pPr>
            <w:r>
              <w:rPr>
                <w:iCs/>
                <w:sz w:val="20"/>
              </w:rPr>
              <w:t>595</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es-ES_tradnl"/>
              </w:rPr>
            </w:pPr>
            <w:r>
              <w:rPr>
                <w:iCs/>
                <w:sz w:val="20"/>
              </w:rPr>
              <w:tab/>
            </w:r>
            <w:r>
              <w:rPr>
                <w:iCs/>
                <w:sz w:val="20"/>
                <w:lang w:val="es-ES_tradnl"/>
              </w:rPr>
              <w:t>Stakes</w:t>
            </w:r>
          </w:p>
        </w:tc>
        <w:tc>
          <w:tcPr>
            <w:tcW w:w="1693" w:type="dxa"/>
          </w:tcPr>
          <w:p w:rsidR="00000000" w:rsidRDefault="00000000">
            <w:pPr>
              <w:pStyle w:val="BodyTextIndent"/>
              <w:spacing w:before="60" w:after="60"/>
              <w:ind w:left="0" w:right="510"/>
              <w:jc w:val="right"/>
              <w:rPr>
                <w:iCs/>
                <w:sz w:val="20"/>
                <w:lang w:val="es-ES_tradnl"/>
              </w:rPr>
            </w:pPr>
            <w:r>
              <w:rPr>
                <w:iCs/>
                <w:sz w:val="20"/>
                <w:lang w:val="es-ES_tradnl"/>
              </w:rPr>
              <w:t>1 704</w:t>
            </w:r>
          </w:p>
        </w:tc>
        <w:tc>
          <w:tcPr>
            <w:tcW w:w="1495" w:type="dxa"/>
          </w:tcPr>
          <w:p w:rsidR="00000000" w:rsidRDefault="00000000">
            <w:pPr>
              <w:pStyle w:val="BodyTextIndent"/>
              <w:spacing w:before="60" w:after="60"/>
              <w:ind w:left="0" w:right="510"/>
              <w:jc w:val="right"/>
              <w:rPr>
                <w:iCs/>
                <w:sz w:val="20"/>
                <w:lang w:val="es-ES_tradnl"/>
              </w:rPr>
            </w:pPr>
            <w:r>
              <w:rPr>
                <w:iCs/>
                <w:sz w:val="20"/>
                <w:lang w:val="es-ES_tradnl"/>
              </w:rPr>
              <w:t>1 692</w:t>
            </w:r>
          </w:p>
        </w:tc>
        <w:tc>
          <w:tcPr>
            <w:tcW w:w="1464" w:type="dxa"/>
          </w:tcPr>
          <w:p w:rsidR="00000000" w:rsidRDefault="00000000">
            <w:pPr>
              <w:pStyle w:val="BodyTextIndent"/>
              <w:spacing w:before="60" w:after="60"/>
              <w:ind w:left="0" w:right="510"/>
              <w:jc w:val="right"/>
              <w:rPr>
                <w:iCs/>
                <w:sz w:val="20"/>
                <w:lang w:val="es-ES_tradnl"/>
              </w:rPr>
            </w:pPr>
            <w:r>
              <w:rPr>
                <w:iCs/>
                <w:sz w:val="20"/>
                <w:lang w:val="es-ES_tradnl"/>
              </w:rPr>
              <w:t>5</w:t>
            </w:r>
          </w:p>
        </w:tc>
        <w:tc>
          <w:tcPr>
            <w:tcW w:w="1475" w:type="dxa"/>
          </w:tcPr>
          <w:p w:rsidR="00000000" w:rsidRDefault="00000000">
            <w:pPr>
              <w:pStyle w:val="BodyTextIndent"/>
              <w:spacing w:before="60" w:after="60"/>
              <w:ind w:left="0" w:right="510"/>
              <w:jc w:val="right"/>
              <w:rPr>
                <w:iCs/>
                <w:sz w:val="20"/>
                <w:lang w:val="es-ES_tradnl"/>
              </w:rPr>
            </w:pPr>
            <w:r>
              <w:rPr>
                <w:iCs/>
                <w:sz w:val="20"/>
                <w:lang w:val="es-ES_tradnl"/>
              </w:rPr>
              <w:t>7</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es-ES_tradnl"/>
              </w:rPr>
            </w:pPr>
            <w:r>
              <w:rPr>
                <w:iCs/>
                <w:sz w:val="20"/>
                <w:lang w:val="es-ES_tradnl"/>
              </w:rPr>
              <w:tab/>
              <w:t>Adobe</w:t>
            </w:r>
          </w:p>
        </w:tc>
        <w:tc>
          <w:tcPr>
            <w:tcW w:w="1693" w:type="dxa"/>
          </w:tcPr>
          <w:p w:rsidR="00000000" w:rsidRDefault="00000000">
            <w:pPr>
              <w:pStyle w:val="BodyTextIndent"/>
              <w:spacing w:before="60" w:after="60"/>
              <w:ind w:left="0" w:right="510"/>
              <w:jc w:val="right"/>
              <w:rPr>
                <w:iCs/>
                <w:sz w:val="20"/>
                <w:lang w:val="es-ES_tradnl"/>
              </w:rPr>
            </w:pPr>
            <w:r>
              <w:rPr>
                <w:iCs/>
                <w:sz w:val="20"/>
                <w:lang w:val="es-ES_tradnl"/>
              </w:rPr>
              <w:t>622</w:t>
            </w:r>
          </w:p>
        </w:tc>
        <w:tc>
          <w:tcPr>
            <w:tcW w:w="1495" w:type="dxa"/>
          </w:tcPr>
          <w:p w:rsidR="00000000" w:rsidRDefault="00000000">
            <w:pPr>
              <w:pStyle w:val="BodyTextIndent"/>
              <w:spacing w:before="60" w:after="60"/>
              <w:ind w:left="0" w:right="510"/>
              <w:jc w:val="right"/>
              <w:rPr>
                <w:iCs/>
                <w:sz w:val="20"/>
                <w:lang w:val="es-ES_tradnl"/>
              </w:rPr>
            </w:pPr>
            <w:r>
              <w:rPr>
                <w:iCs/>
                <w:sz w:val="20"/>
                <w:lang w:val="es-ES_tradnl"/>
              </w:rPr>
              <w:t>619</w:t>
            </w:r>
          </w:p>
        </w:tc>
        <w:tc>
          <w:tcPr>
            <w:tcW w:w="1464" w:type="dxa"/>
          </w:tcPr>
          <w:p w:rsidR="00000000" w:rsidRDefault="00000000">
            <w:pPr>
              <w:pStyle w:val="BodyTextIndent"/>
              <w:spacing w:before="60" w:after="60"/>
              <w:ind w:left="0" w:right="510"/>
              <w:jc w:val="right"/>
              <w:rPr>
                <w:iCs/>
                <w:sz w:val="20"/>
                <w:lang w:val="es-ES_tradnl"/>
              </w:rPr>
            </w:pPr>
            <w:r>
              <w:rPr>
                <w:iCs/>
                <w:sz w:val="20"/>
                <w:lang w:val="es-ES_tradnl"/>
              </w:rPr>
              <w:t>-</w:t>
            </w:r>
          </w:p>
        </w:tc>
        <w:tc>
          <w:tcPr>
            <w:tcW w:w="1475" w:type="dxa"/>
          </w:tcPr>
          <w:p w:rsidR="00000000" w:rsidRDefault="00000000">
            <w:pPr>
              <w:pStyle w:val="BodyTextIndent"/>
              <w:spacing w:before="60" w:after="60"/>
              <w:ind w:left="0" w:right="510"/>
              <w:jc w:val="right"/>
              <w:rPr>
                <w:iCs/>
                <w:sz w:val="20"/>
                <w:lang w:val="es-ES_tradnl"/>
              </w:rPr>
            </w:pPr>
            <w:r>
              <w:rPr>
                <w:iCs/>
                <w:sz w:val="20"/>
                <w:lang w:val="es-ES_tradnl"/>
              </w:rPr>
              <w:t>3</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es-ES_tradnl"/>
              </w:rPr>
            </w:pPr>
            <w:r>
              <w:rPr>
                <w:iCs/>
                <w:sz w:val="20"/>
                <w:lang w:val="es-ES_tradnl"/>
              </w:rPr>
              <w:tab/>
              <w:t>Palm trunks</w:t>
            </w:r>
          </w:p>
        </w:tc>
        <w:tc>
          <w:tcPr>
            <w:tcW w:w="1693" w:type="dxa"/>
          </w:tcPr>
          <w:p w:rsidR="00000000" w:rsidRDefault="00000000">
            <w:pPr>
              <w:pStyle w:val="BodyTextIndent"/>
              <w:spacing w:before="60" w:after="60"/>
              <w:ind w:left="0" w:right="510"/>
              <w:jc w:val="right"/>
              <w:rPr>
                <w:iCs/>
                <w:sz w:val="20"/>
                <w:lang w:val="es-ES_tradnl"/>
              </w:rPr>
            </w:pPr>
            <w:r>
              <w:rPr>
                <w:iCs/>
                <w:sz w:val="20"/>
                <w:lang w:val="es-ES_tradnl"/>
              </w:rPr>
              <w:t>698</w:t>
            </w:r>
          </w:p>
        </w:tc>
        <w:tc>
          <w:tcPr>
            <w:tcW w:w="1495" w:type="dxa"/>
          </w:tcPr>
          <w:p w:rsidR="00000000" w:rsidRDefault="00000000">
            <w:pPr>
              <w:pStyle w:val="BodyTextIndent"/>
              <w:spacing w:before="60" w:after="60"/>
              <w:ind w:left="0" w:right="510"/>
              <w:jc w:val="right"/>
              <w:rPr>
                <w:iCs/>
                <w:sz w:val="20"/>
                <w:lang w:val="es-ES_tradnl"/>
              </w:rPr>
            </w:pPr>
            <w:r>
              <w:rPr>
                <w:iCs/>
                <w:sz w:val="20"/>
                <w:lang w:val="es-ES_tradnl"/>
              </w:rPr>
              <w:t>689</w:t>
            </w:r>
          </w:p>
        </w:tc>
        <w:tc>
          <w:tcPr>
            <w:tcW w:w="1464" w:type="dxa"/>
          </w:tcPr>
          <w:p w:rsidR="00000000" w:rsidRDefault="00000000">
            <w:pPr>
              <w:pStyle w:val="BodyTextIndent"/>
              <w:spacing w:before="60" w:after="60"/>
              <w:ind w:left="0" w:right="510"/>
              <w:jc w:val="right"/>
              <w:rPr>
                <w:iCs/>
                <w:sz w:val="20"/>
                <w:lang w:val="es-ES_tradnl"/>
              </w:rPr>
            </w:pPr>
            <w:r>
              <w:rPr>
                <w:iCs/>
                <w:sz w:val="20"/>
                <w:lang w:val="es-ES_tradnl"/>
              </w:rPr>
              <w:t>5</w:t>
            </w:r>
          </w:p>
        </w:tc>
        <w:tc>
          <w:tcPr>
            <w:tcW w:w="1475" w:type="dxa"/>
          </w:tcPr>
          <w:p w:rsidR="00000000" w:rsidRDefault="00000000">
            <w:pPr>
              <w:pStyle w:val="BodyTextIndent"/>
              <w:spacing w:before="60" w:after="60"/>
              <w:ind w:left="0" w:right="510"/>
              <w:jc w:val="right"/>
              <w:rPr>
                <w:iCs/>
                <w:sz w:val="20"/>
                <w:lang w:val="es-ES_tradnl"/>
              </w:rPr>
            </w:pPr>
            <w:r>
              <w:rPr>
                <w:iCs/>
                <w:sz w:val="20"/>
                <w:lang w:val="es-ES_tradnl"/>
              </w:rPr>
              <w:t>4</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es-ES_tradnl"/>
              </w:rPr>
            </w:pPr>
            <w:r>
              <w:rPr>
                <w:iCs/>
                <w:sz w:val="20"/>
                <w:lang w:val="es-ES_tradnl"/>
              </w:rPr>
              <w:tab/>
              <w:t>Cement blocks</w:t>
            </w:r>
          </w:p>
        </w:tc>
        <w:tc>
          <w:tcPr>
            <w:tcW w:w="1693" w:type="dxa"/>
          </w:tcPr>
          <w:p w:rsidR="00000000" w:rsidRDefault="00000000">
            <w:pPr>
              <w:pStyle w:val="BodyTextIndent"/>
              <w:spacing w:before="60" w:after="60"/>
              <w:ind w:left="0" w:right="510"/>
              <w:jc w:val="right"/>
              <w:rPr>
                <w:iCs/>
                <w:sz w:val="20"/>
                <w:lang w:val="es-ES_tradnl"/>
              </w:rPr>
            </w:pPr>
            <w:r>
              <w:rPr>
                <w:iCs/>
                <w:sz w:val="20"/>
                <w:lang w:val="es-ES_tradnl"/>
              </w:rPr>
              <w:t>78</w:t>
            </w:r>
          </w:p>
        </w:tc>
        <w:tc>
          <w:tcPr>
            <w:tcW w:w="1495" w:type="dxa"/>
          </w:tcPr>
          <w:p w:rsidR="00000000" w:rsidRDefault="00000000">
            <w:pPr>
              <w:pStyle w:val="BodyTextIndent"/>
              <w:spacing w:before="60" w:after="60"/>
              <w:ind w:left="0" w:right="510"/>
              <w:jc w:val="right"/>
              <w:rPr>
                <w:iCs/>
                <w:sz w:val="20"/>
                <w:lang w:val="es-ES_tradnl"/>
              </w:rPr>
            </w:pPr>
            <w:r>
              <w:rPr>
                <w:iCs/>
                <w:sz w:val="20"/>
                <w:lang w:val="es-ES_tradnl"/>
              </w:rPr>
              <w:t>-</w:t>
            </w:r>
          </w:p>
        </w:tc>
        <w:tc>
          <w:tcPr>
            <w:tcW w:w="1464" w:type="dxa"/>
          </w:tcPr>
          <w:p w:rsidR="00000000" w:rsidRDefault="00000000">
            <w:pPr>
              <w:pStyle w:val="BodyTextIndent"/>
              <w:spacing w:before="60" w:after="60"/>
              <w:ind w:left="0" w:right="510"/>
              <w:jc w:val="right"/>
              <w:rPr>
                <w:iCs/>
                <w:sz w:val="20"/>
                <w:lang w:val="es-ES_tradnl"/>
              </w:rPr>
            </w:pPr>
            <w:r>
              <w:rPr>
                <w:iCs/>
                <w:sz w:val="20"/>
                <w:lang w:val="es-ES_tradnl"/>
              </w:rPr>
              <w:t>-</w:t>
            </w:r>
          </w:p>
        </w:tc>
        <w:tc>
          <w:tcPr>
            <w:tcW w:w="1475" w:type="dxa"/>
          </w:tcPr>
          <w:p w:rsidR="00000000" w:rsidRDefault="00000000">
            <w:pPr>
              <w:pStyle w:val="BodyTextIndent"/>
              <w:spacing w:before="60" w:after="60"/>
              <w:ind w:left="0" w:right="510"/>
              <w:jc w:val="right"/>
              <w:rPr>
                <w:iCs/>
                <w:sz w:val="20"/>
                <w:lang w:val="es-ES_tradnl"/>
              </w:rPr>
            </w:pPr>
            <w:r>
              <w:rPr>
                <w:iCs/>
                <w:sz w:val="20"/>
                <w:lang w:val="es-ES_tradnl"/>
              </w:rPr>
              <w:t>78</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en-US"/>
              </w:rPr>
            </w:pPr>
            <w:r>
              <w:rPr>
                <w:iCs/>
                <w:sz w:val="20"/>
                <w:lang w:val="en-US"/>
              </w:rPr>
              <w:tab/>
              <w:t>Cardboard, oilcloth, wood from</w:t>
            </w:r>
            <w:r>
              <w:rPr>
                <w:iCs/>
                <w:sz w:val="20"/>
                <w:lang w:val="en-US"/>
              </w:rPr>
              <w:br/>
            </w:r>
            <w:r>
              <w:rPr>
                <w:iCs/>
                <w:sz w:val="20"/>
                <w:lang w:val="en-US"/>
              </w:rPr>
              <w:tab/>
              <w:t>packaging</w:t>
            </w:r>
          </w:p>
        </w:tc>
        <w:tc>
          <w:tcPr>
            <w:tcW w:w="1693" w:type="dxa"/>
          </w:tcPr>
          <w:p w:rsidR="00000000" w:rsidRDefault="00000000">
            <w:pPr>
              <w:pStyle w:val="BodyTextIndent"/>
              <w:spacing w:before="60" w:after="60"/>
              <w:ind w:left="0" w:right="510"/>
              <w:jc w:val="right"/>
              <w:rPr>
                <w:iCs/>
                <w:sz w:val="20"/>
              </w:rPr>
            </w:pPr>
            <w:r>
              <w:rPr>
                <w:iCs/>
                <w:sz w:val="20"/>
              </w:rPr>
              <w:t>646</w:t>
            </w:r>
          </w:p>
        </w:tc>
        <w:tc>
          <w:tcPr>
            <w:tcW w:w="1495" w:type="dxa"/>
          </w:tcPr>
          <w:p w:rsidR="00000000" w:rsidRDefault="00000000">
            <w:pPr>
              <w:pStyle w:val="BodyTextIndent"/>
              <w:spacing w:before="60" w:after="60"/>
              <w:ind w:left="0" w:right="510"/>
              <w:jc w:val="right"/>
              <w:rPr>
                <w:iCs/>
                <w:sz w:val="20"/>
              </w:rPr>
            </w:pPr>
            <w:r>
              <w:rPr>
                <w:iCs/>
                <w:sz w:val="20"/>
              </w:rPr>
              <w:t>-</w:t>
            </w:r>
          </w:p>
        </w:tc>
        <w:tc>
          <w:tcPr>
            <w:tcW w:w="1464" w:type="dxa"/>
          </w:tcPr>
          <w:p w:rsidR="00000000" w:rsidRDefault="00000000">
            <w:pPr>
              <w:pStyle w:val="BodyTextIndent"/>
              <w:spacing w:before="60" w:after="60"/>
              <w:ind w:left="0" w:right="510"/>
              <w:jc w:val="right"/>
              <w:rPr>
                <w:iCs/>
                <w:sz w:val="20"/>
              </w:rPr>
            </w:pPr>
            <w:r>
              <w:rPr>
                <w:iCs/>
                <w:sz w:val="20"/>
              </w:rPr>
              <w:t>646</w:t>
            </w:r>
          </w:p>
        </w:tc>
        <w:tc>
          <w:tcPr>
            <w:tcW w:w="1475" w:type="dxa"/>
          </w:tcPr>
          <w:p w:rsidR="00000000" w:rsidRDefault="00000000">
            <w:pPr>
              <w:pStyle w:val="BodyTextIndent"/>
              <w:spacing w:before="60" w:after="60"/>
              <w:ind w:left="0" w:right="510"/>
              <w:jc w:val="right"/>
              <w:rPr>
                <w:iCs/>
                <w:sz w:val="20"/>
              </w:rPr>
            </w:pPr>
            <w:r>
              <w:rPr>
                <w:iCs/>
                <w:sz w:val="20"/>
              </w:rPr>
              <w:t>-</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No walls</w:t>
            </w:r>
          </w:p>
        </w:tc>
        <w:tc>
          <w:tcPr>
            <w:tcW w:w="1693" w:type="dxa"/>
          </w:tcPr>
          <w:p w:rsidR="00000000" w:rsidRDefault="00000000">
            <w:pPr>
              <w:pStyle w:val="BodyTextIndent"/>
              <w:spacing w:before="60" w:after="60"/>
              <w:ind w:left="0" w:right="510"/>
              <w:jc w:val="right"/>
              <w:rPr>
                <w:iCs/>
                <w:sz w:val="20"/>
              </w:rPr>
            </w:pPr>
            <w:r>
              <w:rPr>
                <w:iCs/>
                <w:sz w:val="20"/>
              </w:rPr>
              <w:t>33</w:t>
            </w:r>
          </w:p>
        </w:tc>
        <w:tc>
          <w:tcPr>
            <w:tcW w:w="1495" w:type="dxa"/>
          </w:tcPr>
          <w:p w:rsidR="00000000" w:rsidRDefault="00000000">
            <w:pPr>
              <w:pStyle w:val="BodyTextIndent"/>
              <w:spacing w:before="60" w:after="60"/>
              <w:ind w:left="0" w:right="510"/>
              <w:jc w:val="right"/>
              <w:rPr>
                <w:iCs/>
                <w:sz w:val="20"/>
              </w:rPr>
            </w:pPr>
            <w:r>
              <w:rPr>
                <w:iCs/>
                <w:sz w:val="20"/>
              </w:rPr>
              <w:t>-</w:t>
            </w:r>
          </w:p>
        </w:tc>
        <w:tc>
          <w:tcPr>
            <w:tcW w:w="1464" w:type="dxa"/>
          </w:tcPr>
          <w:p w:rsidR="00000000" w:rsidRDefault="00000000">
            <w:pPr>
              <w:pStyle w:val="BodyTextIndent"/>
              <w:spacing w:before="60" w:after="60"/>
              <w:ind w:left="0" w:right="510"/>
              <w:jc w:val="right"/>
              <w:rPr>
                <w:iCs/>
                <w:sz w:val="20"/>
              </w:rPr>
            </w:pPr>
            <w:r>
              <w:rPr>
                <w:iCs/>
                <w:sz w:val="20"/>
              </w:rPr>
              <w:t>3</w:t>
            </w:r>
          </w:p>
        </w:tc>
        <w:tc>
          <w:tcPr>
            <w:tcW w:w="1475" w:type="dxa"/>
          </w:tcPr>
          <w:p w:rsidR="00000000" w:rsidRDefault="00000000">
            <w:pPr>
              <w:pStyle w:val="BodyTextIndent"/>
              <w:spacing w:before="60" w:after="60"/>
              <w:ind w:left="0" w:right="510"/>
              <w:jc w:val="right"/>
              <w:rPr>
                <w:iCs/>
                <w:sz w:val="20"/>
              </w:rPr>
            </w:pPr>
            <w:r>
              <w:rPr>
                <w:iCs/>
                <w:sz w:val="20"/>
              </w:rPr>
              <w:t>30</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Other</w:t>
            </w:r>
          </w:p>
        </w:tc>
        <w:tc>
          <w:tcPr>
            <w:tcW w:w="1693" w:type="dxa"/>
          </w:tcPr>
          <w:p w:rsidR="00000000" w:rsidRDefault="00000000">
            <w:pPr>
              <w:pStyle w:val="BodyTextIndent"/>
              <w:spacing w:before="60" w:after="60"/>
              <w:ind w:left="0" w:right="510"/>
              <w:jc w:val="right"/>
              <w:rPr>
                <w:iCs/>
                <w:sz w:val="20"/>
              </w:rPr>
            </w:pPr>
            <w:r>
              <w:rPr>
                <w:iCs/>
                <w:sz w:val="20"/>
              </w:rPr>
              <w:t>325</w:t>
            </w:r>
          </w:p>
        </w:tc>
        <w:tc>
          <w:tcPr>
            <w:tcW w:w="1495" w:type="dxa"/>
          </w:tcPr>
          <w:p w:rsidR="00000000" w:rsidRDefault="00000000">
            <w:pPr>
              <w:pStyle w:val="BodyTextIndent"/>
              <w:spacing w:before="60" w:after="60"/>
              <w:ind w:left="0" w:right="510"/>
              <w:jc w:val="right"/>
              <w:rPr>
                <w:iCs/>
                <w:sz w:val="20"/>
              </w:rPr>
            </w:pPr>
            <w:r>
              <w:rPr>
                <w:iCs/>
                <w:sz w:val="20"/>
              </w:rPr>
              <w:t>230</w:t>
            </w:r>
          </w:p>
        </w:tc>
        <w:tc>
          <w:tcPr>
            <w:tcW w:w="1464" w:type="dxa"/>
          </w:tcPr>
          <w:p w:rsidR="00000000" w:rsidRDefault="00000000">
            <w:pPr>
              <w:pStyle w:val="BodyTextIndent"/>
              <w:spacing w:before="60" w:after="60"/>
              <w:ind w:left="0" w:right="510"/>
              <w:jc w:val="right"/>
              <w:rPr>
                <w:iCs/>
                <w:sz w:val="20"/>
              </w:rPr>
            </w:pPr>
            <w:r>
              <w:rPr>
                <w:iCs/>
                <w:sz w:val="20"/>
              </w:rPr>
              <w:t>4</w:t>
            </w:r>
          </w:p>
        </w:tc>
        <w:tc>
          <w:tcPr>
            <w:tcW w:w="1475" w:type="dxa"/>
          </w:tcPr>
          <w:p w:rsidR="00000000" w:rsidRDefault="00000000">
            <w:pPr>
              <w:pStyle w:val="BodyTextIndent"/>
              <w:spacing w:before="60" w:after="60"/>
              <w:ind w:left="0" w:right="510"/>
              <w:jc w:val="right"/>
              <w:rPr>
                <w:iCs/>
                <w:sz w:val="20"/>
              </w:rPr>
            </w:pPr>
            <w:r>
              <w:rPr>
                <w:iCs/>
                <w:sz w:val="20"/>
              </w:rPr>
              <w:t>91</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mallCaps/>
                <w:sz w:val="20"/>
              </w:rPr>
            </w:pPr>
            <w:r>
              <w:rPr>
                <w:iCs/>
                <w:smallCaps/>
                <w:sz w:val="20"/>
              </w:rPr>
              <w:t>B. Floor</w:t>
            </w:r>
          </w:p>
        </w:tc>
        <w:tc>
          <w:tcPr>
            <w:tcW w:w="1693" w:type="dxa"/>
          </w:tcPr>
          <w:p w:rsidR="00000000" w:rsidRDefault="00000000">
            <w:pPr>
              <w:pStyle w:val="BodyTextIndent"/>
              <w:spacing w:before="80" w:after="60"/>
              <w:ind w:left="0" w:right="510"/>
              <w:jc w:val="right"/>
              <w:rPr>
                <w:iCs/>
                <w:sz w:val="20"/>
              </w:rPr>
            </w:pPr>
          </w:p>
        </w:tc>
        <w:tc>
          <w:tcPr>
            <w:tcW w:w="1495" w:type="dxa"/>
          </w:tcPr>
          <w:p w:rsidR="00000000" w:rsidRDefault="00000000">
            <w:pPr>
              <w:pStyle w:val="BodyTextIndent"/>
              <w:spacing w:before="80" w:after="60"/>
              <w:ind w:left="0" w:right="510"/>
              <w:jc w:val="right"/>
              <w:rPr>
                <w:iCs/>
                <w:sz w:val="20"/>
              </w:rPr>
            </w:pPr>
          </w:p>
        </w:tc>
        <w:tc>
          <w:tcPr>
            <w:tcW w:w="1464" w:type="dxa"/>
          </w:tcPr>
          <w:p w:rsidR="00000000" w:rsidRDefault="00000000">
            <w:pPr>
              <w:pStyle w:val="BodyTextIndent"/>
              <w:spacing w:before="80" w:after="60"/>
              <w:ind w:left="0" w:right="510"/>
              <w:jc w:val="right"/>
              <w:rPr>
                <w:iCs/>
                <w:sz w:val="20"/>
              </w:rPr>
            </w:pPr>
          </w:p>
        </w:tc>
        <w:tc>
          <w:tcPr>
            <w:tcW w:w="1475" w:type="dxa"/>
          </w:tcPr>
          <w:p w:rsidR="00000000" w:rsidRDefault="00000000">
            <w:pPr>
              <w:pStyle w:val="BodyTextIndent"/>
              <w:spacing w:before="80" w:after="60"/>
              <w:ind w:left="0" w:right="510"/>
              <w:jc w:val="right"/>
              <w:rPr>
                <w:iCs/>
                <w:sz w:val="20"/>
              </w:rPr>
            </w:pP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z w:val="20"/>
              </w:rPr>
            </w:pPr>
            <w:r>
              <w:rPr>
                <w:iCs/>
                <w:sz w:val="20"/>
              </w:rPr>
              <w:tab/>
              <w:t>Earth</w:t>
            </w:r>
          </w:p>
        </w:tc>
        <w:tc>
          <w:tcPr>
            <w:tcW w:w="1693" w:type="dxa"/>
          </w:tcPr>
          <w:p w:rsidR="00000000" w:rsidRDefault="00000000">
            <w:pPr>
              <w:pStyle w:val="BodyTextIndent"/>
              <w:spacing w:before="80" w:after="60"/>
              <w:ind w:left="0" w:right="510"/>
              <w:jc w:val="right"/>
              <w:rPr>
                <w:iCs/>
                <w:sz w:val="20"/>
              </w:rPr>
            </w:pPr>
            <w:r>
              <w:rPr>
                <w:iCs/>
                <w:sz w:val="20"/>
              </w:rPr>
              <w:t>28 659</w:t>
            </w:r>
          </w:p>
        </w:tc>
        <w:tc>
          <w:tcPr>
            <w:tcW w:w="1495" w:type="dxa"/>
          </w:tcPr>
          <w:p w:rsidR="00000000" w:rsidRDefault="00000000">
            <w:pPr>
              <w:pStyle w:val="BodyTextIndent"/>
              <w:spacing w:before="80" w:after="60"/>
              <w:ind w:left="0" w:right="510"/>
              <w:jc w:val="right"/>
              <w:rPr>
                <w:iCs/>
                <w:sz w:val="20"/>
              </w:rPr>
            </w:pPr>
            <w:r>
              <w:rPr>
                <w:iCs/>
                <w:sz w:val="20"/>
              </w:rPr>
              <w:t>27 670</w:t>
            </w:r>
          </w:p>
        </w:tc>
        <w:tc>
          <w:tcPr>
            <w:tcW w:w="1464" w:type="dxa"/>
          </w:tcPr>
          <w:p w:rsidR="00000000" w:rsidRDefault="00000000">
            <w:pPr>
              <w:pStyle w:val="BodyTextIndent"/>
              <w:spacing w:before="80" w:after="60"/>
              <w:ind w:left="0" w:right="510"/>
              <w:jc w:val="right"/>
              <w:rPr>
                <w:iCs/>
                <w:sz w:val="20"/>
              </w:rPr>
            </w:pPr>
            <w:r>
              <w:rPr>
                <w:iCs/>
                <w:sz w:val="20"/>
              </w:rPr>
              <w:t>627</w:t>
            </w:r>
          </w:p>
        </w:tc>
        <w:tc>
          <w:tcPr>
            <w:tcW w:w="1475" w:type="dxa"/>
          </w:tcPr>
          <w:p w:rsidR="00000000" w:rsidRDefault="00000000">
            <w:pPr>
              <w:pStyle w:val="BodyTextIndent"/>
              <w:spacing w:before="80" w:after="60"/>
              <w:ind w:left="0" w:right="510"/>
              <w:jc w:val="right"/>
              <w:rPr>
                <w:iCs/>
                <w:sz w:val="20"/>
              </w:rPr>
            </w:pPr>
            <w:r>
              <w:rPr>
                <w:iCs/>
                <w:sz w:val="20"/>
              </w:rPr>
              <w:t>362</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z w:val="20"/>
              </w:rPr>
            </w:pPr>
            <w:r>
              <w:rPr>
                <w:iCs/>
                <w:sz w:val="20"/>
              </w:rPr>
              <w:tab/>
              <w:t>Brick</w:t>
            </w:r>
            <w:r>
              <w:rPr>
                <w:iCs/>
                <w:sz w:val="20"/>
              </w:rPr>
              <w:tab/>
            </w:r>
          </w:p>
        </w:tc>
        <w:tc>
          <w:tcPr>
            <w:tcW w:w="1693" w:type="dxa"/>
          </w:tcPr>
          <w:p w:rsidR="00000000" w:rsidRDefault="00000000">
            <w:pPr>
              <w:pStyle w:val="BodyTextIndent"/>
              <w:spacing w:before="80" w:after="60"/>
              <w:ind w:left="0" w:right="510"/>
              <w:jc w:val="right"/>
              <w:rPr>
                <w:iCs/>
                <w:sz w:val="20"/>
              </w:rPr>
            </w:pPr>
            <w:r>
              <w:rPr>
                <w:iCs/>
                <w:sz w:val="20"/>
              </w:rPr>
              <w:t>2 937</w:t>
            </w:r>
          </w:p>
        </w:tc>
        <w:tc>
          <w:tcPr>
            <w:tcW w:w="1495" w:type="dxa"/>
          </w:tcPr>
          <w:p w:rsidR="00000000" w:rsidRDefault="00000000">
            <w:pPr>
              <w:pStyle w:val="BodyTextIndent"/>
              <w:spacing w:before="80" w:after="60"/>
              <w:ind w:left="0" w:right="510"/>
              <w:jc w:val="right"/>
              <w:rPr>
                <w:iCs/>
                <w:sz w:val="20"/>
              </w:rPr>
            </w:pPr>
            <w:r>
              <w:rPr>
                <w:iCs/>
                <w:sz w:val="20"/>
              </w:rPr>
              <w:t>2 718</w:t>
            </w:r>
          </w:p>
        </w:tc>
        <w:tc>
          <w:tcPr>
            <w:tcW w:w="1464" w:type="dxa"/>
          </w:tcPr>
          <w:p w:rsidR="00000000" w:rsidRDefault="00000000">
            <w:pPr>
              <w:pStyle w:val="BodyTextIndent"/>
              <w:spacing w:before="80" w:after="60"/>
              <w:ind w:left="0" w:right="510"/>
              <w:jc w:val="right"/>
              <w:rPr>
                <w:iCs/>
                <w:sz w:val="20"/>
              </w:rPr>
            </w:pPr>
            <w:r>
              <w:rPr>
                <w:iCs/>
                <w:sz w:val="20"/>
              </w:rPr>
              <w:t>7</w:t>
            </w:r>
          </w:p>
        </w:tc>
        <w:tc>
          <w:tcPr>
            <w:tcW w:w="1475" w:type="dxa"/>
          </w:tcPr>
          <w:p w:rsidR="00000000" w:rsidRDefault="00000000">
            <w:pPr>
              <w:pStyle w:val="BodyTextIndent"/>
              <w:spacing w:before="80" w:after="60"/>
              <w:ind w:left="0" w:right="510"/>
              <w:jc w:val="right"/>
              <w:rPr>
                <w:iCs/>
                <w:sz w:val="20"/>
              </w:rPr>
            </w:pPr>
            <w:r>
              <w:rPr>
                <w:iCs/>
                <w:sz w:val="20"/>
              </w:rPr>
              <w:t>212</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z w:val="20"/>
              </w:rPr>
            </w:pPr>
            <w:r>
              <w:rPr>
                <w:iCs/>
                <w:sz w:val="20"/>
              </w:rPr>
              <w:tab/>
              <w:t>Ordinary tiles</w:t>
            </w:r>
          </w:p>
        </w:tc>
        <w:tc>
          <w:tcPr>
            <w:tcW w:w="1693" w:type="dxa"/>
          </w:tcPr>
          <w:p w:rsidR="00000000" w:rsidRDefault="00000000">
            <w:pPr>
              <w:pStyle w:val="BodyTextIndent"/>
              <w:spacing w:before="80" w:after="60"/>
              <w:ind w:left="0" w:right="510"/>
              <w:jc w:val="right"/>
              <w:rPr>
                <w:iCs/>
                <w:sz w:val="20"/>
              </w:rPr>
            </w:pPr>
            <w:r>
              <w:rPr>
                <w:iCs/>
                <w:sz w:val="20"/>
              </w:rPr>
              <w:t>1 055</w:t>
            </w:r>
          </w:p>
        </w:tc>
        <w:tc>
          <w:tcPr>
            <w:tcW w:w="1495" w:type="dxa"/>
          </w:tcPr>
          <w:p w:rsidR="00000000" w:rsidRDefault="00000000">
            <w:pPr>
              <w:pStyle w:val="BodyTextIndent"/>
              <w:spacing w:before="80" w:after="60"/>
              <w:ind w:left="0" w:right="510"/>
              <w:jc w:val="right"/>
              <w:rPr>
                <w:iCs/>
                <w:sz w:val="20"/>
              </w:rPr>
            </w:pPr>
            <w:r>
              <w:rPr>
                <w:iCs/>
                <w:sz w:val="20"/>
              </w:rPr>
              <w:t>19</w:t>
            </w:r>
          </w:p>
        </w:tc>
        <w:tc>
          <w:tcPr>
            <w:tcW w:w="1464" w:type="dxa"/>
          </w:tcPr>
          <w:p w:rsidR="00000000" w:rsidRDefault="00000000">
            <w:pPr>
              <w:pStyle w:val="BodyTextIndent"/>
              <w:spacing w:before="80" w:after="60"/>
              <w:ind w:left="0" w:right="510"/>
              <w:jc w:val="right"/>
              <w:rPr>
                <w:iCs/>
                <w:sz w:val="20"/>
              </w:rPr>
            </w:pPr>
            <w:r>
              <w:rPr>
                <w:iCs/>
                <w:sz w:val="20"/>
              </w:rPr>
              <w:t>7</w:t>
            </w:r>
          </w:p>
        </w:tc>
        <w:tc>
          <w:tcPr>
            <w:tcW w:w="1475" w:type="dxa"/>
          </w:tcPr>
          <w:p w:rsidR="00000000" w:rsidRDefault="00000000">
            <w:pPr>
              <w:pStyle w:val="BodyTextIndent"/>
              <w:spacing w:before="80" w:after="60"/>
              <w:ind w:left="0" w:right="510"/>
              <w:jc w:val="right"/>
              <w:rPr>
                <w:iCs/>
                <w:sz w:val="20"/>
              </w:rPr>
            </w:pPr>
            <w:r>
              <w:rPr>
                <w:iCs/>
                <w:sz w:val="20"/>
              </w:rPr>
              <w:t>1 029</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z w:val="20"/>
              </w:rPr>
            </w:pPr>
            <w:r>
              <w:rPr>
                <w:iCs/>
                <w:sz w:val="20"/>
              </w:rPr>
              <w:tab/>
              <w:t>Cement (whitewashed)</w:t>
            </w:r>
          </w:p>
        </w:tc>
        <w:tc>
          <w:tcPr>
            <w:tcW w:w="1693" w:type="dxa"/>
          </w:tcPr>
          <w:p w:rsidR="00000000" w:rsidRDefault="00000000">
            <w:pPr>
              <w:pStyle w:val="BodyTextIndent"/>
              <w:spacing w:before="80" w:after="60"/>
              <w:ind w:left="0" w:right="510"/>
              <w:jc w:val="right"/>
              <w:rPr>
                <w:iCs/>
                <w:sz w:val="20"/>
              </w:rPr>
            </w:pPr>
            <w:r>
              <w:rPr>
                <w:iCs/>
                <w:sz w:val="20"/>
              </w:rPr>
              <w:t>11 498</w:t>
            </w:r>
          </w:p>
        </w:tc>
        <w:tc>
          <w:tcPr>
            <w:tcW w:w="1495" w:type="dxa"/>
          </w:tcPr>
          <w:p w:rsidR="00000000" w:rsidRDefault="00000000">
            <w:pPr>
              <w:pStyle w:val="BodyTextIndent"/>
              <w:spacing w:before="80" w:after="60"/>
              <w:ind w:left="0" w:right="510"/>
              <w:jc w:val="right"/>
              <w:rPr>
                <w:iCs/>
                <w:sz w:val="20"/>
              </w:rPr>
            </w:pPr>
            <w:r>
              <w:rPr>
                <w:iCs/>
                <w:sz w:val="20"/>
              </w:rPr>
              <w:t>10 687</w:t>
            </w:r>
          </w:p>
        </w:tc>
        <w:tc>
          <w:tcPr>
            <w:tcW w:w="1464" w:type="dxa"/>
          </w:tcPr>
          <w:p w:rsidR="00000000" w:rsidRDefault="00000000">
            <w:pPr>
              <w:pStyle w:val="BodyTextIndent"/>
              <w:spacing w:before="80" w:after="60"/>
              <w:ind w:left="0" w:right="510"/>
              <w:jc w:val="right"/>
              <w:rPr>
                <w:iCs/>
                <w:sz w:val="20"/>
              </w:rPr>
            </w:pPr>
            <w:r>
              <w:rPr>
                <w:iCs/>
                <w:sz w:val="20"/>
              </w:rPr>
              <w:t>26</w:t>
            </w:r>
          </w:p>
        </w:tc>
        <w:tc>
          <w:tcPr>
            <w:tcW w:w="1475" w:type="dxa"/>
          </w:tcPr>
          <w:p w:rsidR="00000000" w:rsidRDefault="00000000">
            <w:pPr>
              <w:pStyle w:val="BodyTextIndent"/>
              <w:spacing w:before="80" w:after="60"/>
              <w:ind w:left="0" w:right="510"/>
              <w:jc w:val="right"/>
              <w:rPr>
                <w:iCs/>
                <w:sz w:val="20"/>
              </w:rPr>
            </w:pPr>
            <w:r>
              <w:rPr>
                <w:iCs/>
                <w:sz w:val="20"/>
              </w:rPr>
              <w:t>785</w:t>
            </w:r>
          </w:p>
        </w:tc>
      </w:tr>
      <w:tr w:rsidR="00000000">
        <w:tblPrEx>
          <w:tblCellMar>
            <w:top w:w="0" w:type="dxa"/>
            <w:bottom w:w="0" w:type="dxa"/>
          </w:tblCellMar>
        </w:tblPrEx>
        <w:trPr>
          <w:jc w:val="center"/>
        </w:trPr>
        <w:tc>
          <w:tcPr>
            <w:tcW w:w="3302" w:type="dxa"/>
            <w:vAlign w:val="center"/>
          </w:tcPr>
          <w:p w:rsidR="00000000" w:rsidRDefault="00000000">
            <w:pPr>
              <w:pStyle w:val="BodyTextIndent"/>
              <w:spacing w:before="80" w:after="60"/>
              <w:ind w:left="0"/>
              <w:rPr>
                <w:iCs/>
                <w:sz w:val="20"/>
                <w:lang w:val="en-US"/>
              </w:rPr>
            </w:pPr>
            <w:r>
              <w:rPr>
                <w:iCs/>
                <w:sz w:val="20"/>
                <w:lang w:val="en-US"/>
              </w:rPr>
              <w:tab/>
              <w:t>Mosaic, ceramic, granite and</w:t>
            </w:r>
            <w:r>
              <w:rPr>
                <w:iCs/>
                <w:sz w:val="20"/>
                <w:lang w:val="en-US"/>
              </w:rPr>
              <w:br/>
            </w:r>
            <w:r>
              <w:rPr>
                <w:iCs/>
                <w:sz w:val="20"/>
                <w:lang w:val="en-US"/>
              </w:rPr>
              <w:tab/>
              <w:t>marble</w:t>
            </w:r>
          </w:p>
        </w:tc>
        <w:tc>
          <w:tcPr>
            <w:tcW w:w="1693" w:type="dxa"/>
            <w:vAlign w:val="center"/>
          </w:tcPr>
          <w:p w:rsidR="00000000" w:rsidRDefault="00000000">
            <w:pPr>
              <w:pStyle w:val="BodyTextIndent"/>
              <w:spacing w:before="80" w:after="60"/>
              <w:ind w:left="0" w:right="510"/>
              <w:jc w:val="right"/>
              <w:rPr>
                <w:iCs/>
                <w:sz w:val="20"/>
                <w:lang w:val="en-US"/>
              </w:rPr>
            </w:pPr>
            <w:r>
              <w:rPr>
                <w:iCs/>
                <w:sz w:val="20"/>
                <w:lang w:val="en-US"/>
              </w:rPr>
              <w:t>322</w:t>
            </w:r>
          </w:p>
        </w:tc>
        <w:tc>
          <w:tcPr>
            <w:tcW w:w="1495" w:type="dxa"/>
            <w:vAlign w:val="center"/>
          </w:tcPr>
          <w:p w:rsidR="00000000" w:rsidRDefault="00000000">
            <w:pPr>
              <w:pStyle w:val="BodyTextIndent"/>
              <w:spacing w:before="80" w:after="60"/>
              <w:ind w:left="0" w:right="510"/>
              <w:jc w:val="right"/>
              <w:rPr>
                <w:iCs/>
                <w:sz w:val="20"/>
                <w:lang w:val="en-US"/>
              </w:rPr>
            </w:pPr>
            <w:r>
              <w:rPr>
                <w:iCs/>
                <w:sz w:val="20"/>
                <w:lang w:val="en-US"/>
              </w:rPr>
              <w:t>3</w:t>
            </w:r>
          </w:p>
        </w:tc>
        <w:tc>
          <w:tcPr>
            <w:tcW w:w="1464" w:type="dxa"/>
            <w:vAlign w:val="center"/>
          </w:tcPr>
          <w:p w:rsidR="00000000" w:rsidRDefault="00000000">
            <w:pPr>
              <w:pStyle w:val="BodyTextIndent"/>
              <w:spacing w:before="80" w:after="60"/>
              <w:ind w:left="0" w:right="510"/>
              <w:jc w:val="right"/>
              <w:rPr>
                <w:iCs/>
                <w:sz w:val="20"/>
                <w:lang w:val="en-US"/>
              </w:rPr>
            </w:pPr>
            <w:r>
              <w:rPr>
                <w:iCs/>
                <w:sz w:val="20"/>
                <w:lang w:val="en-US"/>
              </w:rPr>
              <w:t>-</w:t>
            </w:r>
          </w:p>
        </w:tc>
        <w:tc>
          <w:tcPr>
            <w:tcW w:w="1475" w:type="dxa"/>
            <w:vAlign w:val="center"/>
          </w:tcPr>
          <w:p w:rsidR="00000000" w:rsidRDefault="00000000">
            <w:pPr>
              <w:pStyle w:val="BodyTextIndent"/>
              <w:spacing w:before="80" w:after="60"/>
              <w:ind w:left="0" w:right="510"/>
              <w:jc w:val="right"/>
              <w:rPr>
                <w:iCs/>
                <w:sz w:val="20"/>
                <w:lang w:val="en-US"/>
              </w:rPr>
            </w:pPr>
            <w:r>
              <w:rPr>
                <w:iCs/>
                <w:sz w:val="20"/>
                <w:lang w:val="en-US"/>
              </w:rPr>
              <w:t>319</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z w:val="20"/>
                <w:lang w:val="en-US"/>
              </w:rPr>
            </w:pPr>
            <w:r>
              <w:rPr>
                <w:iCs/>
                <w:sz w:val="20"/>
                <w:lang w:val="en-US"/>
              </w:rPr>
              <w:tab/>
              <w:t>Wooden slabs</w:t>
            </w:r>
          </w:p>
        </w:tc>
        <w:tc>
          <w:tcPr>
            <w:tcW w:w="1693" w:type="dxa"/>
          </w:tcPr>
          <w:p w:rsidR="00000000" w:rsidRDefault="00000000">
            <w:pPr>
              <w:pStyle w:val="BodyTextIndent"/>
              <w:spacing w:before="80" w:after="60"/>
              <w:ind w:left="0" w:right="510"/>
              <w:jc w:val="right"/>
              <w:rPr>
                <w:iCs/>
                <w:sz w:val="20"/>
              </w:rPr>
            </w:pPr>
            <w:r>
              <w:rPr>
                <w:iCs/>
                <w:sz w:val="20"/>
              </w:rPr>
              <w:t>3 106</w:t>
            </w:r>
          </w:p>
        </w:tc>
        <w:tc>
          <w:tcPr>
            <w:tcW w:w="1495" w:type="dxa"/>
          </w:tcPr>
          <w:p w:rsidR="00000000" w:rsidRDefault="00000000">
            <w:pPr>
              <w:pStyle w:val="BodyTextIndent"/>
              <w:spacing w:before="80" w:after="60"/>
              <w:ind w:left="0" w:right="510"/>
              <w:jc w:val="right"/>
              <w:rPr>
                <w:iCs/>
                <w:sz w:val="20"/>
              </w:rPr>
            </w:pPr>
            <w:r>
              <w:rPr>
                <w:iCs/>
                <w:sz w:val="20"/>
              </w:rPr>
              <w:t>3 038</w:t>
            </w:r>
          </w:p>
        </w:tc>
        <w:tc>
          <w:tcPr>
            <w:tcW w:w="1464" w:type="dxa"/>
          </w:tcPr>
          <w:p w:rsidR="00000000" w:rsidRDefault="00000000">
            <w:pPr>
              <w:pStyle w:val="BodyTextIndent"/>
              <w:spacing w:before="80" w:after="60"/>
              <w:ind w:left="0" w:right="510"/>
              <w:jc w:val="right"/>
              <w:rPr>
                <w:iCs/>
                <w:sz w:val="20"/>
              </w:rPr>
            </w:pPr>
            <w:r>
              <w:rPr>
                <w:iCs/>
                <w:sz w:val="20"/>
              </w:rPr>
              <w:t>11</w:t>
            </w:r>
          </w:p>
        </w:tc>
        <w:tc>
          <w:tcPr>
            <w:tcW w:w="1475" w:type="dxa"/>
          </w:tcPr>
          <w:p w:rsidR="00000000" w:rsidRDefault="00000000">
            <w:pPr>
              <w:pStyle w:val="BodyTextIndent"/>
              <w:spacing w:before="80" w:after="60"/>
              <w:ind w:left="0" w:right="510"/>
              <w:jc w:val="right"/>
              <w:rPr>
                <w:iCs/>
                <w:sz w:val="20"/>
              </w:rPr>
            </w:pPr>
            <w:r>
              <w:rPr>
                <w:iCs/>
                <w:sz w:val="20"/>
              </w:rPr>
              <w:t>57</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z w:val="20"/>
              </w:rPr>
            </w:pPr>
            <w:r>
              <w:rPr>
                <w:iCs/>
                <w:sz w:val="20"/>
              </w:rPr>
              <w:tab/>
              <w:t>Parquet</w:t>
            </w:r>
          </w:p>
        </w:tc>
        <w:tc>
          <w:tcPr>
            <w:tcW w:w="1693" w:type="dxa"/>
          </w:tcPr>
          <w:p w:rsidR="00000000" w:rsidRDefault="00000000">
            <w:pPr>
              <w:pStyle w:val="BodyTextIndent"/>
              <w:spacing w:before="80" w:after="60"/>
              <w:ind w:left="0" w:right="510"/>
              <w:jc w:val="right"/>
              <w:rPr>
                <w:iCs/>
                <w:sz w:val="20"/>
              </w:rPr>
            </w:pPr>
            <w:r>
              <w:rPr>
                <w:iCs/>
                <w:sz w:val="20"/>
              </w:rPr>
              <w:t>-</w:t>
            </w:r>
          </w:p>
        </w:tc>
        <w:tc>
          <w:tcPr>
            <w:tcW w:w="1495" w:type="dxa"/>
          </w:tcPr>
          <w:p w:rsidR="00000000" w:rsidRDefault="00000000">
            <w:pPr>
              <w:pStyle w:val="BodyTextIndent"/>
              <w:spacing w:before="80" w:after="60"/>
              <w:ind w:left="0" w:right="510"/>
              <w:jc w:val="right"/>
              <w:rPr>
                <w:iCs/>
                <w:sz w:val="20"/>
              </w:rPr>
            </w:pPr>
            <w:r>
              <w:rPr>
                <w:iCs/>
                <w:sz w:val="20"/>
              </w:rPr>
              <w:t>-</w:t>
            </w:r>
          </w:p>
        </w:tc>
        <w:tc>
          <w:tcPr>
            <w:tcW w:w="1464" w:type="dxa"/>
          </w:tcPr>
          <w:p w:rsidR="00000000" w:rsidRDefault="00000000">
            <w:pPr>
              <w:pStyle w:val="BodyTextIndent"/>
              <w:spacing w:before="80" w:after="60"/>
              <w:ind w:left="0" w:right="510"/>
              <w:jc w:val="right"/>
              <w:rPr>
                <w:iCs/>
                <w:sz w:val="20"/>
              </w:rPr>
            </w:pPr>
            <w:r>
              <w:rPr>
                <w:iCs/>
                <w:sz w:val="20"/>
              </w:rPr>
              <w:t>-</w:t>
            </w:r>
          </w:p>
        </w:tc>
        <w:tc>
          <w:tcPr>
            <w:tcW w:w="1475" w:type="dxa"/>
          </w:tcPr>
          <w:p w:rsidR="00000000" w:rsidRDefault="00000000">
            <w:pPr>
              <w:pStyle w:val="BodyTextIndent"/>
              <w:spacing w:before="80" w:after="60"/>
              <w:ind w:left="0" w:right="510"/>
              <w:jc w:val="right"/>
              <w:rPr>
                <w:iCs/>
                <w:sz w:val="20"/>
              </w:rPr>
            </w:pPr>
            <w:r>
              <w:rPr>
                <w:iCs/>
                <w:sz w:val="20"/>
              </w:rPr>
              <w:t>-</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z w:val="20"/>
              </w:rPr>
            </w:pPr>
            <w:r>
              <w:rPr>
                <w:iCs/>
                <w:sz w:val="20"/>
              </w:rPr>
              <w:tab/>
              <w:t>Carpeting</w:t>
            </w:r>
          </w:p>
        </w:tc>
        <w:tc>
          <w:tcPr>
            <w:tcW w:w="1693" w:type="dxa"/>
          </w:tcPr>
          <w:p w:rsidR="00000000" w:rsidRDefault="00000000">
            <w:pPr>
              <w:pStyle w:val="BodyTextIndent"/>
              <w:spacing w:before="80" w:after="60"/>
              <w:ind w:left="0" w:right="510"/>
              <w:jc w:val="right"/>
              <w:rPr>
                <w:iCs/>
                <w:sz w:val="20"/>
              </w:rPr>
            </w:pPr>
            <w:r>
              <w:rPr>
                <w:iCs/>
                <w:sz w:val="20"/>
              </w:rPr>
              <w:t>12</w:t>
            </w:r>
          </w:p>
        </w:tc>
        <w:tc>
          <w:tcPr>
            <w:tcW w:w="1495" w:type="dxa"/>
          </w:tcPr>
          <w:p w:rsidR="00000000" w:rsidRDefault="00000000">
            <w:pPr>
              <w:pStyle w:val="BodyTextIndent"/>
              <w:spacing w:before="80" w:after="60"/>
              <w:ind w:left="0" w:right="510"/>
              <w:jc w:val="right"/>
              <w:rPr>
                <w:iCs/>
                <w:sz w:val="20"/>
              </w:rPr>
            </w:pPr>
            <w:r>
              <w:rPr>
                <w:iCs/>
                <w:sz w:val="20"/>
              </w:rPr>
              <w:t>-</w:t>
            </w:r>
          </w:p>
        </w:tc>
        <w:tc>
          <w:tcPr>
            <w:tcW w:w="1464" w:type="dxa"/>
          </w:tcPr>
          <w:p w:rsidR="00000000" w:rsidRDefault="00000000">
            <w:pPr>
              <w:pStyle w:val="BodyTextIndent"/>
              <w:spacing w:before="80" w:after="60"/>
              <w:ind w:left="0" w:right="510"/>
              <w:jc w:val="right"/>
              <w:rPr>
                <w:iCs/>
                <w:sz w:val="20"/>
              </w:rPr>
            </w:pPr>
            <w:r>
              <w:rPr>
                <w:iCs/>
                <w:sz w:val="20"/>
              </w:rPr>
              <w:t>-</w:t>
            </w:r>
          </w:p>
        </w:tc>
        <w:tc>
          <w:tcPr>
            <w:tcW w:w="1475" w:type="dxa"/>
          </w:tcPr>
          <w:p w:rsidR="00000000" w:rsidRDefault="00000000">
            <w:pPr>
              <w:pStyle w:val="BodyTextIndent"/>
              <w:spacing w:before="80" w:after="60"/>
              <w:ind w:left="0" w:right="510"/>
              <w:jc w:val="right"/>
              <w:rPr>
                <w:iCs/>
                <w:sz w:val="20"/>
              </w:rPr>
            </w:pPr>
            <w:r>
              <w:rPr>
                <w:iCs/>
                <w:sz w:val="20"/>
              </w:rPr>
              <w:t>12</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z w:val="20"/>
              </w:rPr>
            </w:pPr>
            <w:r>
              <w:rPr>
                <w:iCs/>
                <w:sz w:val="20"/>
              </w:rPr>
              <w:tab/>
              <w:t>Other</w:t>
            </w:r>
          </w:p>
        </w:tc>
        <w:tc>
          <w:tcPr>
            <w:tcW w:w="1693" w:type="dxa"/>
          </w:tcPr>
          <w:p w:rsidR="00000000" w:rsidRDefault="00000000">
            <w:pPr>
              <w:pStyle w:val="BodyTextIndent"/>
              <w:spacing w:before="80" w:after="60"/>
              <w:ind w:left="0" w:right="510"/>
              <w:jc w:val="right"/>
              <w:rPr>
                <w:iCs/>
                <w:sz w:val="20"/>
              </w:rPr>
            </w:pPr>
            <w:r>
              <w:rPr>
                <w:iCs/>
                <w:sz w:val="20"/>
              </w:rPr>
              <w:t>605</w:t>
            </w:r>
          </w:p>
        </w:tc>
        <w:tc>
          <w:tcPr>
            <w:tcW w:w="1495" w:type="dxa"/>
          </w:tcPr>
          <w:p w:rsidR="00000000" w:rsidRDefault="00000000">
            <w:pPr>
              <w:pStyle w:val="BodyTextIndent"/>
              <w:spacing w:before="80" w:after="60"/>
              <w:ind w:left="0" w:right="510"/>
              <w:jc w:val="right"/>
              <w:rPr>
                <w:iCs/>
                <w:sz w:val="20"/>
              </w:rPr>
            </w:pPr>
            <w:r>
              <w:rPr>
                <w:iCs/>
                <w:sz w:val="20"/>
              </w:rPr>
              <w:t>513</w:t>
            </w:r>
          </w:p>
        </w:tc>
        <w:tc>
          <w:tcPr>
            <w:tcW w:w="1464" w:type="dxa"/>
          </w:tcPr>
          <w:p w:rsidR="00000000" w:rsidRDefault="00000000">
            <w:pPr>
              <w:pStyle w:val="BodyTextIndent"/>
              <w:spacing w:before="80" w:after="60"/>
              <w:ind w:left="0" w:right="510"/>
              <w:jc w:val="right"/>
              <w:rPr>
                <w:iCs/>
                <w:sz w:val="20"/>
              </w:rPr>
            </w:pPr>
            <w:r>
              <w:rPr>
                <w:iCs/>
                <w:sz w:val="20"/>
              </w:rPr>
              <w:t>3</w:t>
            </w:r>
          </w:p>
        </w:tc>
        <w:tc>
          <w:tcPr>
            <w:tcW w:w="1475" w:type="dxa"/>
          </w:tcPr>
          <w:p w:rsidR="00000000" w:rsidRDefault="00000000">
            <w:pPr>
              <w:pStyle w:val="BodyTextIndent"/>
              <w:spacing w:before="80" w:after="60"/>
              <w:ind w:left="0" w:right="510"/>
              <w:jc w:val="right"/>
              <w:rPr>
                <w:iCs/>
                <w:sz w:val="20"/>
              </w:rPr>
            </w:pPr>
            <w:r>
              <w:rPr>
                <w:iCs/>
                <w:sz w:val="20"/>
              </w:rPr>
              <w:t>89</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mallCaps/>
                <w:sz w:val="20"/>
              </w:rPr>
            </w:pPr>
            <w:r>
              <w:rPr>
                <w:iCs/>
                <w:smallCaps/>
                <w:sz w:val="20"/>
              </w:rPr>
              <w:t>C.  Roof</w:t>
            </w:r>
          </w:p>
        </w:tc>
        <w:tc>
          <w:tcPr>
            <w:tcW w:w="1693" w:type="dxa"/>
          </w:tcPr>
          <w:p w:rsidR="00000000" w:rsidRDefault="00000000">
            <w:pPr>
              <w:pStyle w:val="BodyTextIndent"/>
              <w:spacing w:before="80" w:after="60"/>
              <w:ind w:left="0" w:right="510"/>
              <w:jc w:val="right"/>
              <w:rPr>
                <w:iCs/>
                <w:sz w:val="20"/>
              </w:rPr>
            </w:pPr>
          </w:p>
        </w:tc>
        <w:tc>
          <w:tcPr>
            <w:tcW w:w="1495" w:type="dxa"/>
          </w:tcPr>
          <w:p w:rsidR="00000000" w:rsidRDefault="00000000">
            <w:pPr>
              <w:pStyle w:val="BodyTextIndent"/>
              <w:spacing w:before="80" w:after="60"/>
              <w:ind w:left="0" w:right="510"/>
              <w:jc w:val="right"/>
              <w:rPr>
                <w:iCs/>
                <w:sz w:val="20"/>
              </w:rPr>
            </w:pPr>
          </w:p>
        </w:tc>
        <w:tc>
          <w:tcPr>
            <w:tcW w:w="1464" w:type="dxa"/>
          </w:tcPr>
          <w:p w:rsidR="00000000" w:rsidRDefault="00000000">
            <w:pPr>
              <w:pStyle w:val="BodyTextIndent"/>
              <w:spacing w:before="80" w:after="60"/>
              <w:ind w:left="0" w:right="510"/>
              <w:jc w:val="right"/>
              <w:rPr>
                <w:iCs/>
                <w:sz w:val="20"/>
              </w:rPr>
            </w:pPr>
          </w:p>
        </w:tc>
        <w:tc>
          <w:tcPr>
            <w:tcW w:w="1475" w:type="dxa"/>
          </w:tcPr>
          <w:p w:rsidR="00000000" w:rsidRDefault="00000000">
            <w:pPr>
              <w:pStyle w:val="BodyTextIndent"/>
              <w:spacing w:before="80" w:after="60"/>
              <w:ind w:left="0" w:right="510"/>
              <w:jc w:val="right"/>
              <w:rPr>
                <w:iCs/>
                <w:sz w:val="20"/>
              </w:rPr>
            </w:pP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z w:val="20"/>
              </w:rPr>
            </w:pPr>
            <w:r>
              <w:rPr>
                <w:iCs/>
                <w:sz w:val="20"/>
              </w:rPr>
              <w:tab/>
              <w:t>Tiles</w:t>
            </w:r>
          </w:p>
        </w:tc>
        <w:tc>
          <w:tcPr>
            <w:tcW w:w="1693" w:type="dxa"/>
          </w:tcPr>
          <w:p w:rsidR="00000000" w:rsidRDefault="00000000">
            <w:pPr>
              <w:pStyle w:val="BodyTextIndent"/>
              <w:spacing w:before="80" w:after="60"/>
              <w:ind w:left="0" w:right="510"/>
              <w:jc w:val="right"/>
              <w:rPr>
                <w:iCs/>
                <w:sz w:val="20"/>
              </w:rPr>
            </w:pPr>
            <w:r>
              <w:rPr>
                <w:iCs/>
                <w:sz w:val="20"/>
              </w:rPr>
              <w:t>4 898</w:t>
            </w:r>
          </w:p>
        </w:tc>
        <w:tc>
          <w:tcPr>
            <w:tcW w:w="1495" w:type="dxa"/>
          </w:tcPr>
          <w:p w:rsidR="00000000" w:rsidRDefault="00000000">
            <w:pPr>
              <w:pStyle w:val="BodyTextIndent"/>
              <w:spacing w:before="80" w:after="60"/>
              <w:ind w:left="0" w:right="510"/>
              <w:jc w:val="right"/>
              <w:rPr>
                <w:iCs/>
                <w:sz w:val="20"/>
              </w:rPr>
            </w:pPr>
            <w:r>
              <w:rPr>
                <w:iCs/>
                <w:sz w:val="20"/>
              </w:rPr>
              <w:t>3 620</w:t>
            </w:r>
          </w:p>
        </w:tc>
        <w:tc>
          <w:tcPr>
            <w:tcW w:w="1464" w:type="dxa"/>
          </w:tcPr>
          <w:p w:rsidR="00000000" w:rsidRDefault="00000000">
            <w:pPr>
              <w:pStyle w:val="BodyTextIndent"/>
              <w:spacing w:before="80" w:after="60"/>
              <w:ind w:left="0" w:right="510"/>
              <w:jc w:val="right"/>
              <w:rPr>
                <w:iCs/>
                <w:sz w:val="20"/>
              </w:rPr>
            </w:pPr>
            <w:r>
              <w:rPr>
                <w:iCs/>
                <w:sz w:val="20"/>
              </w:rPr>
              <w:t>11</w:t>
            </w:r>
          </w:p>
        </w:tc>
        <w:tc>
          <w:tcPr>
            <w:tcW w:w="1475" w:type="dxa"/>
          </w:tcPr>
          <w:p w:rsidR="00000000" w:rsidRDefault="00000000">
            <w:pPr>
              <w:pStyle w:val="BodyTextIndent"/>
              <w:spacing w:before="80" w:after="60"/>
              <w:ind w:left="0" w:right="510"/>
              <w:jc w:val="right"/>
              <w:rPr>
                <w:iCs/>
                <w:sz w:val="20"/>
              </w:rPr>
            </w:pPr>
            <w:r>
              <w:rPr>
                <w:iCs/>
                <w:sz w:val="20"/>
              </w:rPr>
              <w:t>1 267</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z w:val="20"/>
              </w:rPr>
            </w:pPr>
            <w:r>
              <w:rPr>
                <w:iCs/>
                <w:sz w:val="20"/>
              </w:rPr>
              <w:tab/>
              <w:t>Straw</w:t>
            </w:r>
          </w:p>
        </w:tc>
        <w:tc>
          <w:tcPr>
            <w:tcW w:w="1693" w:type="dxa"/>
          </w:tcPr>
          <w:p w:rsidR="00000000" w:rsidRDefault="00000000">
            <w:pPr>
              <w:pStyle w:val="BodyTextIndent"/>
              <w:spacing w:before="80" w:after="60"/>
              <w:ind w:left="0" w:right="510"/>
              <w:jc w:val="right"/>
              <w:rPr>
                <w:iCs/>
                <w:sz w:val="20"/>
              </w:rPr>
            </w:pPr>
            <w:r>
              <w:rPr>
                <w:iCs/>
                <w:sz w:val="20"/>
              </w:rPr>
              <w:t>5 574</w:t>
            </w:r>
          </w:p>
        </w:tc>
        <w:tc>
          <w:tcPr>
            <w:tcW w:w="1495" w:type="dxa"/>
          </w:tcPr>
          <w:p w:rsidR="00000000" w:rsidRDefault="00000000">
            <w:pPr>
              <w:pStyle w:val="BodyTextIndent"/>
              <w:spacing w:before="80" w:after="60"/>
              <w:ind w:left="0" w:right="510"/>
              <w:jc w:val="right"/>
              <w:rPr>
                <w:iCs/>
                <w:sz w:val="20"/>
              </w:rPr>
            </w:pPr>
            <w:r>
              <w:rPr>
                <w:iCs/>
                <w:sz w:val="20"/>
              </w:rPr>
              <w:t>5 545</w:t>
            </w:r>
          </w:p>
        </w:tc>
        <w:tc>
          <w:tcPr>
            <w:tcW w:w="1464" w:type="dxa"/>
          </w:tcPr>
          <w:p w:rsidR="00000000" w:rsidRDefault="00000000">
            <w:pPr>
              <w:pStyle w:val="BodyTextIndent"/>
              <w:spacing w:before="80" w:after="60"/>
              <w:ind w:left="0" w:right="510"/>
              <w:jc w:val="right"/>
              <w:rPr>
                <w:iCs/>
                <w:sz w:val="20"/>
              </w:rPr>
            </w:pPr>
            <w:r>
              <w:rPr>
                <w:iCs/>
                <w:sz w:val="20"/>
              </w:rPr>
              <w:t>17</w:t>
            </w:r>
          </w:p>
        </w:tc>
        <w:tc>
          <w:tcPr>
            <w:tcW w:w="1475" w:type="dxa"/>
          </w:tcPr>
          <w:p w:rsidR="00000000" w:rsidRDefault="00000000">
            <w:pPr>
              <w:pStyle w:val="BodyTextIndent"/>
              <w:spacing w:before="80" w:after="60"/>
              <w:ind w:left="0" w:right="510"/>
              <w:jc w:val="right"/>
              <w:rPr>
                <w:iCs/>
                <w:sz w:val="20"/>
              </w:rPr>
            </w:pPr>
            <w:r>
              <w:rPr>
                <w:iCs/>
                <w:sz w:val="20"/>
              </w:rPr>
              <w:t>12</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z w:val="20"/>
              </w:rPr>
            </w:pPr>
            <w:r>
              <w:rPr>
                <w:iCs/>
                <w:sz w:val="20"/>
              </w:rPr>
              <w:tab/>
              <w:t>Fibrocement or similar (Eternit)</w:t>
            </w:r>
          </w:p>
        </w:tc>
        <w:tc>
          <w:tcPr>
            <w:tcW w:w="1693" w:type="dxa"/>
          </w:tcPr>
          <w:p w:rsidR="00000000" w:rsidRDefault="00000000">
            <w:pPr>
              <w:pStyle w:val="BodyTextIndent"/>
              <w:spacing w:before="80" w:after="60"/>
              <w:ind w:left="0" w:right="510"/>
              <w:jc w:val="right"/>
              <w:rPr>
                <w:iCs/>
                <w:sz w:val="20"/>
                <w:lang w:val="nl-NL"/>
              </w:rPr>
            </w:pPr>
            <w:r>
              <w:rPr>
                <w:iCs/>
                <w:sz w:val="20"/>
                <w:lang w:val="nl-NL"/>
              </w:rPr>
              <w:t>19 139</w:t>
            </w:r>
          </w:p>
        </w:tc>
        <w:tc>
          <w:tcPr>
            <w:tcW w:w="1495" w:type="dxa"/>
          </w:tcPr>
          <w:p w:rsidR="00000000" w:rsidRDefault="00000000">
            <w:pPr>
              <w:pStyle w:val="BodyTextIndent"/>
              <w:spacing w:before="80" w:after="60"/>
              <w:ind w:left="0" w:right="510"/>
              <w:jc w:val="right"/>
              <w:rPr>
                <w:iCs/>
                <w:sz w:val="20"/>
                <w:lang w:val="nl-NL"/>
              </w:rPr>
            </w:pPr>
            <w:r>
              <w:rPr>
                <w:iCs/>
                <w:sz w:val="20"/>
                <w:lang w:val="nl-NL"/>
              </w:rPr>
              <w:t>18 568</w:t>
            </w:r>
          </w:p>
        </w:tc>
        <w:tc>
          <w:tcPr>
            <w:tcW w:w="1464" w:type="dxa"/>
          </w:tcPr>
          <w:p w:rsidR="00000000" w:rsidRDefault="00000000">
            <w:pPr>
              <w:pStyle w:val="BodyTextIndent"/>
              <w:spacing w:before="80" w:after="60"/>
              <w:ind w:left="0" w:right="510"/>
              <w:jc w:val="right"/>
              <w:rPr>
                <w:iCs/>
                <w:sz w:val="20"/>
                <w:lang w:val="nl-NL"/>
              </w:rPr>
            </w:pPr>
            <w:r>
              <w:rPr>
                <w:iCs/>
                <w:sz w:val="20"/>
                <w:lang w:val="nl-NL"/>
              </w:rPr>
              <w:t>144</w:t>
            </w:r>
          </w:p>
        </w:tc>
        <w:tc>
          <w:tcPr>
            <w:tcW w:w="1475" w:type="dxa"/>
          </w:tcPr>
          <w:p w:rsidR="00000000" w:rsidRDefault="00000000">
            <w:pPr>
              <w:pStyle w:val="BodyTextIndent"/>
              <w:spacing w:before="80" w:after="60"/>
              <w:ind w:left="0" w:right="510"/>
              <w:jc w:val="right"/>
              <w:rPr>
                <w:iCs/>
                <w:sz w:val="20"/>
                <w:lang w:val="nl-NL"/>
              </w:rPr>
            </w:pPr>
            <w:r>
              <w:rPr>
                <w:iCs/>
                <w:sz w:val="20"/>
                <w:lang w:val="nl-NL"/>
              </w:rPr>
              <w:t>427</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z w:val="20"/>
                <w:lang w:val="nl-NL"/>
              </w:rPr>
            </w:pPr>
            <w:r>
              <w:rPr>
                <w:iCs/>
                <w:sz w:val="20"/>
                <w:lang w:val="nl-NL"/>
              </w:rPr>
              <w:tab/>
              <w:t>Sheet metal</w:t>
            </w:r>
          </w:p>
        </w:tc>
        <w:tc>
          <w:tcPr>
            <w:tcW w:w="1693" w:type="dxa"/>
          </w:tcPr>
          <w:p w:rsidR="00000000" w:rsidRDefault="00000000">
            <w:pPr>
              <w:pStyle w:val="BodyTextIndent"/>
              <w:spacing w:before="80" w:after="60"/>
              <w:ind w:left="0" w:right="510"/>
              <w:jc w:val="right"/>
              <w:rPr>
                <w:iCs/>
                <w:sz w:val="20"/>
                <w:lang w:val="nl-NL"/>
              </w:rPr>
            </w:pPr>
            <w:r>
              <w:rPr>
                <w:iCs/>
                <w:sz w:val="20"/>
                <w:lang w:val="nl-NL"/>
              </w:rPr>
              <w:t>17 517</w:t>
            </w:r>
          </w:p>
        </w:tc>
        <w:tc>
          <w:tcPr>
            <w:tcW w:w="1495" w:type="dxa"/>
          </w:tcPr>
          <w:p w:rsidR="00000000" w:rsidRDefault="00000000">
            <w:pPr>
              <w:pStyle w:val="BodyTextIndent"/>
              <w:spacing w:before="80" w:after="60"/>
              <w:ind w:left="0" w:right="510"/>
              <w:jc w:val="right"/>
              <w:rPr>
                <w:iCs/>
                <w:sz w:val="20"/>
                <w:lang w:val="nl-NL"/>
              </w:rPr>
            </w:pPr>
            <w:r>
              <w:rPr>
                <w:iCs/>
                <w:sz w:val="20"/>
                <w:lang w:val="nl-NL"/>
              </w:rPr>
              <w:t>16 493</w:t>
            </w:r>
          </w:p>
        </w:tc>
        <w:tc>
          <w:tcPr>
            <w:tcW w:w="1464" w:type="dxa"/>
          </w:tcPr>
          <w:p w:rsidR="00000000" w:rsidRDefault="00000000">
            <w:pPr>
              <w:pStyle w:val="BodyTextIndent"/>
              <w:spacing w:before="80" w:after="60"/>
              <w:ind w:left="0" w:right="510"/>
              <w:jc w:val="right"/>
              <w:rPr>
                <w:iCs/>
                <w:sz w:val="20"/>
                <w:lang w:val="nl-NL"/>
              </w:rPr>
            </w:pPr>
            <w:r>
              <w:rPr>
                <w:iCs/>
                <w:sz w:val="20"/>
                <w:lang w:val="nl-NL"/>
              </w:rPr>
              <w:t>200</w:t>
            </w:r>
          </w:p>
        </w:tc>
        <w:tc>
          <w:tcPr>
            <w:tcW w:w="1475" w:type="dxa"/>
          </w:tcPr>
          <w:p w:rsidR="00000000" w:rsidRDefault="00000000">
            <w:pPr>
              <w:pStyle w:val="BodyTextIndent"/>
              <w:spacing w:before="80" w:after="60"/>
              <w:ind w:left="0" w:right="510"/>
              <w:jc w:val="right"/>
              <w:rPr>
                <w:iCs/>
                <w:sz w:val="20"/>
                <w:lang w:val="nl-NL"/>
              </w:rPr>
            </w:pPr>
            <w:r>
              <w:rPr>
                <w:iCs/>
                <w:sz w:val="20"/>
                <w:lang w:val="nl-NL"/>
              </w:rPr>
              <w:t>824</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z w:val="20"/>
                <w:lang w:val="nl-NL"/>
              </w:rPr>
            </w:pPr>
            <w:r>
              <w:rPr>
                <w:iCs/>
                <w:sz w:val="20"/>
                <w:lang w:val="nl-NL"/>
              </w:rPr>
              <w:tab/>
              <w:t>Wooden slabs</w:t>
            </w:r>
          </w:p>
        </w:tc>
        <w:tc>
          <w:tcPr>
            <w:tcW w:w="1693" w:type="dxa"/>
          </w:tcPr>
          <w:p w:rsidR="00000000" w:rsidRDefault="00000000">
            <w:pPr>
              <w:pStyle w:val="BodyTextIndent"/>
              <w:spacing w:before="80" w:after="60"/>
              <w:ind w:left="0" w:right="510"/>
              <w:jc w:val="right"/>
              <w:rPr>
                <w:iCs/>
                <w:sz w:val="20"/>
              </w:rPr>
            </w:pPr>
            <w:r>
              <w:rPr>
                <w:iCs/>
                <w:sz w:val="20"/>
              </w:rPr>
              <w:t>250</w:t>
            </w:r>
          </w:p>
        </w:tc>
        <w:tc>
          <w:tcPr>
            <w:tcW w:w="1495" w:type="dxa"/>
          </w:tcPr>
          <w:p w:rsidR="00000000" w:rsidRDefault="00000000">
            <w:pPr>
              <w:pStyle w:val="BodyTextIndent"/>
              <w:spacing w:before="80" w:after="60"/>
              <w:ind w:left="0" w:right="510"/>
              <w:jc w:val="right"/>
              <w:rPr>
                <w:iCs/>
                <w:sz w:val="20"/>
              </w:rPr>
            </w:pPr>
            <w:r>
              <w:rPr>
                <w:iCs/>
                <w:sz w:val="20"/>
              </w:rPr>
              <w:t>235</w:t>
            </w:r>
          </w:p>
        </w:tc>
        <w:tc>
          <w:tcPr>
            <w:tcW w:w="1464" w:type="dxa"/>
          </w:tcPr>
          <w:p w:rsidR="00000000" w:rsidRDefault="00000000">
            <w:pPr>
              <w:pStyle w:val="BodyTextIndent"/>
              <w:spacing w:before="80" w:after="60"/>
              <w:ind w:left="0" w:right="510"/>
              <w:jc w:val="right"/>
              <w:rPr>
                <w:iCs/>
                <w:sz w:val="20"/>
              </w:rPr>
            </w:pPr>
            <w:r>
              <w:rPr>
                <w:iCs/>
                <w:sz w:val="20"/>
              </w:rPr>
              <w:t>2</w:t>
            </w:r>
          </w:p>
        </w:tc>
        <w:tc>
          <w:tcPr>
            <w:tcW w:w="1475" w:type="dxa"/>
          </w:tcPr>
          <w:p w:rsidR="00000000" w:rsidRDefault="00000000">
            <w:pPr>
              <w:pStyle w:val="BodyTextIndent"/>
              <w:spacing w:before="80" w:after="60"/>
              <w:ind w:left="0" w:right="510"/>
              <w:jc w:val="right"/>
              <w:rPr>
                <w:iCs/>
                <w:sz w:val="20"/>
              </w:rPr>
            </w:pPr>
            <w:r>
              <w:rPr>
                <w:iCs/>
                <w:sz w:val="20"/>
              </w:rPr>
              <w:t>13</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567" w:hanging="567"/>
              <w:rPr>
                <w:iCs/>
                <w:sz w:val="20"/>
                <w:lang w:val="en-US"/>
              </w:rPr>
            </w:pPr>
            <w:r>
              <w:rPr>
                <w:iCs/>
                <w:sz w:val="20"/>
                <w:lang w:val="en-US"/>
              </w:rPr>
              <w:tab/>
              <w:t>Reinforced concrete, tiles orvaulted</w:t>
            </w:r>
          </w:p>
        </w:tc>
        <w:tc>
          <w:tcPr>
            <w:tcW w:w="1693" w:type="dxa"/>
          </w:tcPr>
          <w:p w:rsidR="00000000" w:rsidRDefault="00000000">
            <w:pPr>
              <w:pStyle w:val="BodyTextIndent"/>
              <w:spacing w:before="80" w:after="60"/>
              <w:ind w:left="0" w:right="510"/>
              <w:jc w:val="right"/>
              <w:rPr>
                <w:iCs/>
                <w:sz w:val="20"/>
              </w:rPr>
            </w:pPr>
            <w:r>
              <w:rPr>
                <w:iCs/>
                <w:sz w:val="20"/>
              </w:rPr>
              <w:t>278</w:t>
            </w:r>
          </w:p>
        </w:tc>
        <w:tc>
          <w:tcPr>
            <w:tcW w:w="1495" w:type="dxa"/>
            <w:vAlign w:val="center"/>
          </w:tcPr>
          <w:p w:rsidR="00000000" w:rsidRDefault="00000000">
            <w:pPr>
              <w:pStyle w:val="BodyTextIndent"/>
              <w:spacing w:before="80" w:after="60"/>
              <w:ind w:left="0" w:right="510"/>
              <w:jc w:val="right"/>
              <w:rPr>
                <w:iCs/>
                <w:sz w:val="20"/>
              </w:rPr>
            </w:pPr>
            <w:r>
              <w:rPr>
                <w:iCs/>
                <w:sz w:val="20"/>
              </w:rPr>
              <w:t>-</w:t>
            </w:r>
          </w:p>
        </w:tc>
        <w:tc>
          <w:tcPr>
            <w:tcW w:w="1464" w:type="dxa"/>
            <w:vAlign w:val="center"/>
          </w:tcPr>
          <w:p w:rsidR="00000000" w:rsidRDefault="00000000">
            <w:pPr>
              <w:pStyle w:val="BodyTextIndent"/>
              <w:spacing w:before="80" w:after="60"/>
              <w:ind w:left="0" w:right="510"/>
              <w:jc w:val="right"/>
              <w:rPr>
                <w:iCs/>
                <w:sz w:val="20"/>
              </w:rPr>
            </w:pPr>
            <w:r>
              <w:rPr>
                <w:iCs/>
                <w:sz w:val="20"/>
              </w:rPr>
              <w:t>1</w:t>
            </w:r>
          </w:p>
        </w:tc>
        <w:tc>
          <w:tcPr>
            <w:tcW w:w="1475" w:type="dxa"/>
            <w:vAlign w:val="center"/>
          </w:tcPr>
          <w:p w:rsidR="00000000" w:rsidRDefault="00000000">
            <w:pPr>
              <w:pStyle w:val="BodyTextIndent"/>
              <w:spacing w:before="80" w:after="60"/>
              <w:ind w:left="0" w:right="510"/>
              <w:jc w:val="right"/>
              <w:rPr>
                <w:iCs/>
                <w:sz w:val="20"/>
              </w:rPr>
            </w:pPr>
            <w:r>
              <w:rPr>
                <w:iCs/>
                <w:sz w:val="20"/>
              </w:rPr>
              <w:t>277</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z w:val="20"/>
              </w:rPr>
            </w:pPr>
            <w:r>
              <w:rPr>
                <w:iCs/>
                <w:sz w:val="20"/>
              </w:rPr>
              <w:tab/>
              <w:t>Palm trunk</w:t>
            </w:r>
          </w:p>
        </w:tc>
        <w:tc>
          <w:tcPr>
            <w:tcW w:w="1693" w:type="dxa"/>
          </w:tcPr>
          <w:p w:rsidR="00000000" w:rsidRDefault="00000000">
            <w:pPr>
              <w:pStyle w:val="BodyTextIndent"/>
              <w:spacing w:before="80" w:after="60"/>
              <w:ind w:left="0" w:right="510"/>
              <w:jc w:val="right"/>
              <w:rPr>
                <w:iCs/>
                <w:sz w:val="20"/>
              </w:rPr>
            </w:pPr>
            <w:r>
              <w:rPr>
                <w:iCs/>
                <w:sz w:val="20"/>
              </w:rPr>
              <w:t>154</w:t>
            </w:r>
          </w:p>
        </w:tc>
        <w:tc>
          <w:tcPr>
            <w:tcW w:w="1495" w:type="dxa"/>
          </w:tcPr>
          <w:p w:rsidR="00000000" w:rsidRDefault="00000000">
            <w:pPr>
              <w:pStyle w:val="BodyTextIndent"/>
              <w:spacing w:before="80" w:after="60"/>
              <w:ind w:left="0" w:right="510"/>
              <w:jc w:val="right"/>
              <w:rPr>
                <w:iCs/>
                <w:sz w:val="20"/>
              </w:rPr>
            </w:pPr>
            <w:r>
              <w:rPr>
                <w:iCs/>
                <w:sz w:val="20"/>
              </w:rPr>
              <w:t>143</w:t>
            </w:r>
          </w:p>
        </w:tc>
        <w:tc>
          <w:tcPr>
            <w:tcW w:w="1464" w:type="dxa"/>
          </w:tcPr>
          <w:p w:rsidR="00000000" w:rsidRDefault="00000000">
            <w:pPr>
              <w:pStyle w:val="BodyTextIndent"/>
              <w:spacing w:before="80" w:after="60"/>
              <w:ind w:left="0" w:right="510"/>
              <w:jc w:val="right"/>
              <w:rPr>
                <w:iCs/>
                <w:sz w:val="20"/>
              </w:rPr>
            </w:pPr>
            <w:r>
              <w:rPr>
                <w:iCs/>
                <w:sz w:val="20"/>
              </w:rPr>
              <w:t>4</w:t>
            </w:r>
          </w:p>
        </w:tc>
        <w:tc>
          <w:tcPr>
            <w:tcW w:w="1475" w:type="dxa"/>
          </w:tcPr>
          <w:p w:rsidR="00000000" w:rsidRDefault="00000000">
            <w:pPr>
              <w:pStyle w:val="BodyTextIndent"/>
              <w:spacing w:before="80" w:after="60"/>
              <w:ind w:left="0" w:right="510"/>
              <w:jc w:val="right"/>
              <w:rPr>
                <w:iCs/>
                <w:sz w:val="20"/>
              </w:rPr>
            </w:pPr>
            <w:r>
              <w:rPr>
                <w:iCs/>
                <w:sz w:val="20"/>
              </w:rPr>
              <w:t>7</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567" w:hanging="567"/>
              <w:rPr>
                <w:iCs/>
                <w:sz w:val="20"/>
                <w:lang w:val="es-ES_tradnl"/>
              </w:rPr>
            </w:pPr>
            <w:r>
              <w:rPr>
                <w:iCs/>
                <w:sz w:val="20"/>
                <w:lang w:val="es-ES_tradnl"/>
              </w:rPr>
              <w:tab/>
              <w:t>Cardboard, oilcloth, wood packaging</w:t>
            </w:r>
          </w:p>
        </w:tc>
        <w:tc>
          <w:tcPr>
            <w:tcW w:w="1693" w:type="dxa"/>
          </w:tcPr>
          <w:p w:rsidR="00000000" w:rsidRDefault="00000000">
            <w:pPr>
              <w:pStyle w:val="BodyTextIndent"/>
              <w:spacing w:before="80" w:after="60"/>
              <w:ind w:left="0" w:right="510"/>
              <w:jc w:val="right"/>
              <w:rPr>
                <w:iCs/>
                <w:sz w:val="20"/>
                <w:lang w:val="en-US"/>
              </w:rPr>
            </w:pPr>
            <w:r>
              <w:rPr>
                <w:iCs/>
                <w:sz w:val="20"/>
                <w:lang w:val="en-US"/>
              </w:rPr>
              <w:t>297</w:t>
            </w:r>
          </w:p>
        </w:tc>
        <w:tc>
          <w:tcPr>
            <w:tcW w:w="1495" w:type="dxa"/>
          </w:tcPr>
          <w:p w:rsidR="00000000" w:rsidRDefault="00000000">
            <w:pPr>
              <w:pStyle w:val="BodyTextIndent"/>
              <w:spacing w:before="80" w:after="60"/>
              <w:ind w:left="0" w:right="510"/>
              <w:jc w:val="right"/>
              <w:rPr>
                <w:iCs/>
                <w:sz w:val="20"/>
                <w:lang w:val="en-US"/>
              </w:rPr>
            </w:pPr>
            <w:r>
              <w:rPr>
                <w:iCs/>
                <w:sz w:val="20"/>
                <w:lang w:val="en-US"/>
              </w:rPr>
              <w:t>-</w:t>
            </w:r>
          </w:p>
        </w:tc>
        <w:tc>
          <w:tcPr>
            <w:tcW w:w="1464" w:type="dxa"/>
          </w:tcPr>
          <w:p w:rsidR="00000000" w:rsidRDefault="00000000">
            <w:pPr>
              <w:pStyle w:val="BodyTextIndent"/>
              <w:spacing w:before="80" w:after="60"/>
              <w:ind w:left="0" w:right="510"/>
              <w:jc w:val="right"/>
              <w:rPr>
                <w:iCs/>
                <w:sz w:val="20"/>
                <w:lang w:val="en-US"/>
              </w:rPr>
            </w:pPr>
            <w:r>
              <w:rPr>
                <w:iCs/>
                <w:sz w:val="20"/>
                <w:lang w:val="en-US"/>
              </w:rPr>
              <w:t>297</w:t>
            </w:r>
          </w:p>
        </w:tc>
        <w:tc>
          <w:tcPr>
            <w:tcW w:w="1475" w:type="dxa"/>
          </w:tcPr>
          <w:p w:rsidR="00000000" w:rsidRDefault="00000000">
            <w:pPr>
              <w:pStyle w:val="BodyTextIndent"/>
              <w:spacing w:before="80" w:after="60"/>
              <w:ind w:left="0" w:right="510"/>
              <w:jc w:val="right"/>
              <w:rPr>
                <w:iCs/>
                <w:sz w:val="20"/>
                <w:lang w:val="en-US"/>
              </w:rPr>
            </w:pPr>
            <w:r>
              <w:rPr>
                <w:iCs/>
                <w:sz w:val="20"/>
                <w:lang w:val="en-US"/>
              </w:rPr>
              <w:t>-</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z w:val="20"/>
                <w:lang w:val="en-US"/>
              </w:rPr>
            </w:pPr>
            <w:r>
              <w:rPr>
                <w:iCs/>
                <w:sz w:val="20"/>
                <w:lang w:val="en-US"/>
              </w:rPr>
              <w:tab/>
              <w:t>Other</w:t>
            </w:r>
          </w:p>
        </w:tc>
        <w:tc>
          <w:tcPr>
            <w:tcW w:w="1693" w:type="dxa"/>
          </w:tcPr>
          <w:p w:rsidR="00000000" w:rsidRDefault="00000000">
            <w:pPr>
              <w:pStyle w:val="BodyTextIndent"/>
              <w:spacing w:before="80" w:after="60"/>
              <w:ind w:left="0" w:right="510"/>
              <w:jc w:val="right"/>
              <w:rPr>
                <w:iCs/>
                <w:sz w:val="20"/>
                <w:lang w:val="en-US"/>
              </w:rPr>
            </w:pPr>
            <w:r>
              <w:rPr>
                <w:iCs/>
                <w:sz w:val="20"/>
                <w:lang w:val="en-US"/>
              </w:rPr>
              <w:t>87</w:t>
            </w:r>
          </w:p>
        </w:tc>
        <w:tc>
          <w:tcPr>
            <w:tcW w:w="1495" w:type="dxa"/>
          </w:tcPr>
          <w:p w:rsidR="00000000" w:rsidRDefault="00000000">
            <w:pPr>
              <w:pStyle w:val="BodyTextIndent"/>
              <w:spacing w:before="80" w:after="60"/>
              <w:ind w:left="0" w:right="510"/>
              <w:jc w:val="right"/>
              <w:rPr>
                <w:iCs/>
                <w:sz w:val="20"/>
                <w:lang w:val="en-US"/>
              </w:rPr>
            </w:pPr>
            <w:r>
              <w:rPr>
                <w:iCs/>
                <w:sz w:val="20"/>
                <w:lang w:val="en-US"/>
              </w:rPr>
              <w:t>44</w:t>
            </w:r>
          </w:p>
        </w:tc>
        <w:tc>
          <w:tcPr>
            <w:tcW w:w="1464" w:type="dxa"/>
          </w:tcPr>
          <w:p w:rsidR="00000000" w:rsidRDefault="00000000">
            <w:pPr>
              <w:pStyle w:val="BodyTextIndent"/>
              <w:spacing w:before="80" w:after="60"/>
              <w:ind w:left="0" w:right="510"/>
              <w:jc w:val="right"/>
              <w:rPr>
                <w:iCs/>
                <w:sz w:val="20"/>
                <w:lang w:val="en-US"/>
              </w:rPr>
            </w:pPr>
            <w:r>
              <w:rPr>
                <w:iCs/>
                <w:sz w:val="20"/>
                <w:lang w:val="en-US"/>
              </w:rPr>
              <w:t>5</w:t>
            </w:r>
          </w:p>
        </w:tc>
        <w:tc>
          <w:tcPr>
            <w:tcW w:w="1475" w:type="dxa"/>
          </w:tcPr>
          <w:p w:rsidR="00000000" w:rsidRDefault="00000000">
            <w:pPr>
              <w:pStyle w:val="BodyTextIndent"/>
              <w:spacing w:before="80" w:after="60"/>
              <w:ind w:left="0" w:right="510"/>
              <w:jc w:val="right"/>
              <w:rPr>
                <w:iCs/>
                <w:sz w:val="20"/>
                <w:lang w:val="en-US"/>
              </w:rPr>
            </w:pPr>
            <w:r>
              <w:rPr>
                <w:iCs/>
                <w:sz w:val="20"/>
                <w:lang w:val="en-US"/>
              </w:rPr>
              <w:t>38</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b/>
                <w:bCs/>
                <w:sz w:val="20"/>
              </w:rPr>
            </w:pPr>
            <w:r>
              <w:rPr>
                <w:b/>
                <w:bCs/>
                <w:sz w:val="20"/>
              </w:rPr>
              <w:t>RURAL AREA</w:t>
            </w:r>
          </w:p>
        </w:tc>
        <w:tc>
          <w:tcPr>
            <w:tcW w:w="1693" w:type="dxa"/>
          </w:tcPr>
          <w:p w:rsidR="00000000" w:rsidRDefault="00000000">
            <w:pPr>
              <w:pStyle w:val="BodyTextIndent"/>
              <w:spacing w:before="60" w:after="60"/>
              <w:ind w:left="0" w:right="510"/>
              <w:jc w:val="right"/>
              <w:rPr>
                <w:sz w:val="20"/>
              </w:rPr>
            </w:pPr>
          </w:p>
        </w:tc>
        <w:tc>
          <w:tcPr>
            <w:tcW w:w="1495" w:type="dxa"/>
          </w:tcPr>
          <w:p w:rsidR="00000000" w:rsidRDefault="00000000">
            <w:pPr>
              <w:pStyle w:val="BodyTextIndent"/>
              <w:spacing w:before="60" w:after="60"/>
              <w:ind w:left="0" w:right="510"/>
              <w:jc w:val="right"/>
              <w:rPr>
                <w:sz w:val="20"/>
              </w:rPr>
            </w:pPr>
          </w:p>
        </w:tc>
        <w:tc>
          <w:tcPr>
            <w:tcW w:w="1464" w:type="dxa"/>
          </w:tcPr>
          <w:p w:rsidR="00000000" w:rsidRDefault="00000000">
            <w:pPr>
              <w:pStyle w:val="BodyTextIndent"/>
              <w:spacing w:before="60" w:after="60"/>
              <w:ind w:left="0" w:right="510"/>
              <w:jc w:val="right"/>
              <w:rPr>
                <w:sz w:val="20"/>
              </w:rPr>
            </w:pPr>
          </w:p>
        </w:tc>
        <w:tc>
          <w:tcPr>
            <w:tcW w:w="1475" w:type="dxa"/>
          </w:tcPr>
          <w:p w:rsidR="00000000" w:rsidRDefault="00000000">
            <w:pPr>
              <w:pStyle w:val="BodyTextIndent"/>
              <w:spacing w:before="60" w:after="60"/>
              <w:ind w:left="0" w:right="510"/>
              <w:jc w:val="right"/>
              <w:rPr>
                <w:sz w:val="20"/>
              </w:rPr>
            </w:pP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Total dwellings: External walls</w:t>
            </w:r>
          </w:p>
        </w:tc>
        <w:tc>
          <w:tcPr>
            <w:tcW w:w="1693" w:type="dxa"/>
          </w:tcPr>
          <w:p w:rsidR="00000000" w:rsidRDefault="00000000">
            <w:pPr>
              <w:pStyle w:val="BodyTextIndent"/>
              <w:spacing w:before="60" w:after="60"/>
              <w:ind w:left="0" w:right="510"/>
              <w:jc w:val="right"/>
              <w:rPr>
                <w:iCs/>
                <w:sz w:val="20"/>
              </w:rPr>
            </w:pPr>
            <w:r>
              <w:rPr>
                <w:iCs/>
                <w:sz w:val="20"/>
              </w:rPr>
              <w:t>174 104</w:t>
            </w:r>
          </w:p>
        </w:tc>
        <w:tc>
          <w:tcPr>
            <w:tcW w:w="1495" w:type="dxa"/>
          </w:tcPr>
          <w:p w:rsidR="00000000" w:rsidRDefault="00000000">
            <w:pPr>
              <w:pStyle w:val="BodyTextIndent"/>
              <w:spacing w:before="60" w:after="60"/>
              <w:ind w:left="0" w:right="510"/>
              <w:jc w:val="right"/>
              <w:rPr>
                <w:iCs/>
                <w:sz w:val="20"/>
              </w:rPr>
            </w:pPr>
            <w:r>
              <w:rPr>
                <w:iCs/>
                <w:sz w:val="20"/>
              </w:rPr>
              <w:t>171 603</w:t>
            </w:r>
          </w:p>
        </w:tc>
        <w:tc>
          <w:tcPr>
            <w:tcW w:w="1464" w:type="dxa"/>
          </w:tcPr>
          <w:p w:rsidR="00000000" w:rsidRDefault="00000000">
            <w:pPr>
              <w:pStyle w:val="BodyTextIndent"/>
              <w:spacing w:before="60" w:after="60"/>
              <w:ind w:left="0" w:right="510"/>
              <w:jc w:val="right"/>
              <w:rPr>
                <w:iCs/>
                <w:sz w:val="20"/>
              </w:rPr>
            </w:pPr>
            <w:r>
              <w:rPr>
                <w:iCs/>
                <w:sz w:val="20"/>
              </w:rPr>
              <w:t>1 410</w:t>
            </w:r>
          </w:p>
        </w:tc>
        <w:tc>
          <w:tcPr>
            <w:tcW w:w="1475" w:type="dxa"/>
          </w:tcPr>
          <w:p w:rsidR="00000000" w:rsidRDefault="00000000">
            <w:pPr>
              <w:pStyle w:val="BodyTextIndent"/>
              <w:spacing w:before="60" w:after="60"/>
              <w:ind w:left="0" w:right="510"/>
              <w:jc w:val="right"/>
              <w:rPr>
                <w:iCs/>
                <w:sz w:val="20"/>
              </w:rPr>
            </w:pPr>
            <w:r>
              <w:rPr>
                <w:iCs/>
                <w:sz w:val="20"/>
              </w:rPr>
              <w:t>1 091</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Brick</w:t>
            </w:r>
          </w:p>
        </w:tc>
        <w:tc>
          <w:tcPr>
            <w:tcW w:w="1693" w:type="dxa"/>
          </w:tcPr>
          <w:p w:rsidR="00000000" w:rsidRDefault="00000000">
            <w:pPr>
              <w:pStyle w:val="BodyTextIndent"/>
              <w:spacing w:before="60" w:after="60"/>
              <w:ind w:left="0" w:right="510"/>
              <w:jc w:val="right"/>
              <w:rPr>
                <w:iCs/>
                <w:sz w:val="20"/>
              </w:rPr>
            </w:pPr>
            <w:r>
              <w:rPr>
                <w:iCs/>
                <w:sz w:val="20"/>
              </w:rPr>
              <w:t>6 081</w:t>
            </w:r>
          </w:p>
        </w:tc>
        <w:tc>
          <w:tcPr>
            <w:tcW w:w="1495" w:type="dxa"/>
          </w:tcPr>
          <w:p w:rsidR="00000000" w:rsidRDefault="00000000">
            <w:pPr>
              <w:pStyle w:val="BodyTextIndent"/>
              <w:spacing w:before="60" w:after="60"/>
              <w:ind w:left="0" w:right="510"/>
              <w:jc w:val="right"/>
              <w:rPr>
                <w:iCs/>
                <w:sz w:val="20"/>
              </w:rPr>
            </w:pPr>
            <w:r>
              <w:rPr>
                <w:iCs/>
                <w:sz w:val="20"/>
              </w:rPr>
              <w:t>5 750</w:t>
            </w:r>
          </w:p>
        </w:tc>
        <w:tc>
          <w:tcPr>
            <w:tcW w:w="1464" w:type="dxa"/>
          </w:tcPr>
          <w:p w:rsidR="00000000" w:rsidRDefault="00000000">
            <w:pPr>
              <w:pStyle w:val="BodyTextIndent"/>
              <w:spacing w:before="60" w:after="60"/>
              <w:ind w:left="0" w:right="510"/>
              <w:jc w:val="right"/>
              <w:rPr>
                <w:iCs/>
                <w:sz w:val="20"/>
              </w:rPr>
            </w:pPr>
            <w:r>
              <w:rPr>
                <w:iCs/>
                <w:sz w:val="20"/>
              </w:rPr>
              <w:t>14</w:t>
            </w:r>
          </w:p>
        </w:tc>
        <w:tc>
          <w:tcPr>
            <w:tcW w:w="1475" w:type="dxa"/>
          </w:tcPr>
          <w:p w:rsidR="00000000" w:rsidRDefault="00000000">
            <w:pPr>
              <w:pStyle w:val="BodyTextIndent"/>
              <w:spacing w:before="60" w:after="60"/>
              <w:ind w:left="0" w:right="510"/>
              <w:jc w:val="right"/>
              <w:rPr>
                <w:iCs/>
                <w:sz w:val="20"/>
              </w:rPr>
            </w:pPr>
            <w:r>
              <w:rPr>
                <w:iCs/>
                <w:sz w:val="20"/>
              </w:rPr>
              <w:t>317</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Wood</w:t>
            </w:r>
          </w:p>
        </w:tc>
        <w:tc>
          <w:tcPr>
            <w:tcW w:w="1693" w:type="dxa"/>
          </w:tcPr>
          <w:p w:rsidR="00000000" w:rsidRDefault="00000000">
            <w:pPr>
              <w:pStyle w:val="BodyTextIndent"/>
              <w:spacing w:before="60" w:after="60"/>
              <w:ind w:left="0" w:right="510"/>
              <w:jc w:val="right"/>
              <w:rPr>
                <w:iCs/>
                <w:sz w:val="20"/>
              </w:rPr>
            </w:pPr>
            <w:r>
              <w:rPr>
                <w:iCs/>
                <w:sz w:val="20"/>
              </w:rPr>
              <w:t>130 571</w:t>
            </w:r>
          </w:p>
        </w:tc>
        <w:tc>
          <w:tcPr>
            <w:tcW w:w="1495" w:type="dxa"/>
          </w:tcPr>
          <w:p w:rsidR="00000000" w:rsidRDefault="00000000">
            <w:pPr>
              <w:pStyle w:val="BodyTextIndent"/>
              <w:spacing w:before="60" w:after="60"/>
              <w:ind w:left="0" w:right="510"/>
              <w:jc w:val="right"/>
              <w:rPr>
                <w:iCs/>
                <w:sz w:val="20"/>
              </w:rPr>
            </w:pPr>
            <w:r>
              <w:rPr>
                <w:iCs/>
                <w:sz w:val="20"/>
              </w:rPr>
              <w:t>130 134</w:t>
            </w:r>
          </w:p>
        </w:tc>
        <w:tc>
          <w:tcPr>
            <w:tcW w:w="1464" w:type="dxa"/>
          </w:tcPr>
          <w:p w:rsidR="00000000" w:rsidRDefault="00000000">
            <w:pPr>
              <w:pStyle w:val="BodyTextIndent"/>
              <w:spacing w:before="60" w:after="60"/>
              <w:ind w:left="0" w:right="510"/>
              <w:jc w:val="right"/>
              <w:rPr>
                <w:iCs/>
                <w:sz w:val="20"/>
              </w:rPr>
            </w:pPr>
            <w:r>
              <w:rPr>
                <w:iCs/>
                <w:sz w:val="20"/>
              </w:rPr>
              <w:t>130</w:t>
            </w:r>
          </w:p>
        </w:tc>
        <w:tc>
          <w:tcPr>
            <w:tcW w:w="1475" w:type="dxa"/>
          </w:tcPr>
          <w:p w:rsidR="00000000" w:rsidRDefault="00000000">
            <w:pPr>
              <w:pStyle w:val="BodyTextIndent"/>
              <w:spacing w:before="60" w:after="60"/>
              <w:ind w:left="0" w:right="510"/>
              <w:jc w:val="right"/>
              <w:rPr>
                <w:iCs/>
                <w:sz w:val="20"/>
              </w:rPr>
            </w:pPr>
            <w:r>
              <w:rPr>
                <w:iCs/>
                <w:sz w:val="20"/>
              </w:rPr>
              <w:t>307</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Stakes</w:t>
            </w:r>
          </w:p>
        </w:tc>
        <w:tc>
          <w:tcPr>
            <w:tcW w:w="1693" w:type="dxa"/>
          </w:tcPr>
          <w:p w:rsidR="00000000" w:rsidRDefault="00000000">
            <w:pPr>
              <w:pStyle w:val="BodyTextIndent"/>
              <w:spacing w:before="60" w:after="60"/>
              <w:ind w:left="0" w:right="510"/>
              <w:jc w:val="right"/>
              <w:rPr>
                <w:iCs/>
                <w:sz w:val="20"/>
                <w:lang w:val="de-DE"/>
              </w:rPr>
            </w:pPr>
            <w:r>
              <w:rPr>
                <w:iCs/>
                <w:sz w:val="20"/>
                <w:lang w:val="de-DE"/>
              </w:rPr>
              <w:t>22 321</w:t>
            </w:r>
          </w:p>
        </w:tc>
        <w:tc>
          <w:tcPr>
            <w:tcW w:w="1495" w:type="dxa"/>
          </w:tcPr>
          <w:p w:rsidR="00000000" w:rsidRDefault="00000000">
            <w:pPr>
              <w:pStyle w:val="BodyTextIndent"/>
              <w:spacing w:before="60" w:after="60"/>
              <w:ind w:left="0" w:right="510"/>
              <w:jc w:val="right"/>
              <w:rPr>
                <w:iCs/>
                <w:sz w:val="20"/>
                <w:lang w:val="de-DE"/>
              </w:rPr>
            </w:pPr>
            <w:r>
              <w:rPr>
                <w:iCs/>
                <w:sz w:val="20"/>
                <w:lang w:val="de-DE"/>
              </w:rPr>
              <w:t>22 234</w:t>
            </w:r>
          </w:p>
        </w:tc>
        <w:tc>
          <w:tcPr>
            <w:tcW w:w="1464" w:type="dxa"/>
          </w:tcPr>
          <w:p w:rsidR="00000000" w:rsidRDefault="00000000">
            <w:pPr>
              <w:pStyle w:val="BodyTextIndent"/>
              <w:spacing w:before="60" w:after="60"/>
              <w:ind w:left="0" w:right="510"/>
              <w:jc w:val="right"/>
              <w:rPr>
                <w:iCs/>
                <w:sz w:val="20"/>
                <w:lang w:val="de-DE"/>
              </w:rPr>
            </w:pPr>
            <w:r>
              <w:rPr>
                <w:iCs/>
                <w:sz w:val="20"/>
                <w:lang w:val="de-DE"/>
              </w:rPr>
              <w:t>55</w:t>
            </w:r>
          </w:p>
        </w:tc>
        <w:tc>
          <w:tcPr>
            <w:tcW w:w="1475" w:type="dxa"/>
          </w:tcPr>
          <w:p w:rsidR="00000000" w:rsidRDefault="00000000">
            <w:pPr>
              <w:pStyle w:val="BodyTextIndent"/>
              <w:spacing w:before="60" w:after="60"/>
              <w:ind w:left="0" w:right="510"/>
              <w:jc w:val="right"/>
              <w:rPr>
                <w:iCs/>
                <w:sz w:val="20"/>
                <w:lang w:val="de-DE"/>
              </w:rPr>
            </w:pPr>
            <w:r>
              <w:rPr>
                <w:iCs/>
                <w:sz w:val="20"/>
                <w:lang w:val="de-DE"/>
              </w:rPr>
              <w:t>32</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de-DE"/>
              </w:rPr>
            </w:pPr>
            <w:r>
              <w:rPr>
                <w:iCs/>
                <w:sz w:val="20"/>
                <w:lang w:val="de-DE"/>
              </w:rPr>
              <w:tab/>
              <w:t>Adobe</w:t>
            </w:r>
          </w:p>
        </w:tc>
        <w:tc>
          <w:tcPr>
            <w:tcW w:w="1693" w:type="dxa"/>
          </w:tcPr>
          <w:p w:rsidR="00000000" w:rsidRDefault="00000000">
            <w:pPr>
              <w:pStyle w:val="BodyTextIndent"/>
              <w:spacing w:before="60" w:after="60"/>
              <w:ind w:left="0" w:right="510"/>
              <w:jc w:val="right"/>
              <w:rPr>
                <w:iCs/>
                <w:sz w:val="20"/>
                <w:lang w:val="de-DE"/>
              </w:rPr>
            </w:pPr>
            <w:r>
              <w:rPr>
                <w:iCs/>
                <w:sz w:val="20"/>
                <w:lang w:val="de-DE"/>
              </w:rPr>
              <w:t>7 243</w:t>
            </w:r>
          </w:p>
        </w:tc>
        <w:tc>
          <w:tcPr>
            <w:tcW w:w="1495" w:type="dxa"/>
          </w:tcPr>
          <w:p w:rsidR="00000000" w:rsidRDefault="00000000">
            <w:pPr>
              <w:pStyle w:val="BodyTextIndent"/>
              <w:spacing w:before="60" w:after="60"/>
              <w:ind w:left="0" w:right="510"/>
              <w:jc w:val="right"/>
              <w:rPr>
                <w:iCs/>
                <w:sz w:val="20"/>
                <w:lang w:val="de-DE"/>
              </w:rPr>
            </w:pPr>
            <w:r>
              <w:rPr>
                <w:iCs/>
                <w:sz w:val="20"/>
                <w:lang w:val="de-DE"/>
              </w:rPr>
              <w:t>7 239</w:t>
            </w:r>
          </w:p>
        </w:tc>
        <w:tc>
          <w:tcPr>
            <w:tcW w:w="1464" w:type="dxa"/>
          </w:tcPr>
          <w:p w:rsidR="00000000" w:rsidRDefault="00000000">
            <w:pPr>
              <w:pStyle w:val="BodyTextIndent"/>
              <w:spacing w:before="60" w:after="60"/>
              <w:ind w:left="0" w:right="510"/>
              <w:jc w:val="right"/>
              <w:rPr>
                <w:iCs/>
                <w:sz w:val="20"/>
                <w:lang w:val="de-DE"/>
              </w:rPr>
            </w:pPr>
            <w:r>
              <w:rPr>
                <w:iCs/>
                <w:sz w:val="20"/>
                <w:lang w:val="de-DE"/>
              </w:rPr>
              <w:t>3</w:t>
            </w:r>
          </w:p>
        </w:tc>
        <w:tc>
          <w:tcPr>
            <w:tcW w:w="1475" w:type="dxa"/>
          </w:tcPr>
          <w:p w:rsidR="00000000" w:rsidRDefault="00000000">
            <w:pPr>
              <w:pStyle w:val="BodyTextIndent"/>
              <w:spacing w:before="60" w:after="60"/>
              <w:ind w:left="0" w:right="510"/>
              <w:jc w:val="right"/>
              <w:rPr>
                <w:iCs/>
                <w:sz w:val="20"/>
                <w:lang w:val="de-DE"/>
              </w:rPr>
            </w:pPr>
            <w:r>
              <w:rPr>
                <w:iCs/>
                <w:sz w:val="20"/>
                <w:lang w:val="de-DE"/>
              </w:rPr>
              <w:t>1</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de-DE"/>
              </w:rPr>
            </w:pPr>
            <w:r>
              <w:rPr>
                <w:iCs/>
                <w:sz w:val="20"/>
                <w:lang w:val="de-DE"/>
              </w:rPr>
              <w:tab/>
              <w:t>Palm trunk</w:t>
            </w:r>
          </w:p>
        </w:tc>
        <w:tc>
          <w:tcPr>
            <w:tcW w:w="1693" w:type="dxa"/>
          </w:tcPr>
          <w:p w:rsidR="00000000" w:rsidRDefault="00000000">
            <w:pPr>
              <w:pStyle w:val="BodyTextIndent"/>
              <w:spacing w:before="60" w:after="60"/>
              <w:ind w:left="0" w:right="510"/>
              <w:jc w:val="right"/>
              <w:rPr>
                <w:iCs/>
                <w:sz w:val="20"/>
              </w:rPr>
            </w:pPr>
            <w:r>
              <w:rPr>
                <w:iCs/>
                <w:sz w:val="20"/>
              </w:rPr>
              <w:t>5 492</w:t>
            </w:r>
          </w:p>
        </w:tc>
        <w:tc>
          <w:tcPr>
            <w:tcW w:w="1495" w:type="dxa"/>
          </w:tcPr>
          <w:p w:rsidR="00000000" w:rsidRDefault="00000000">
            <w:pPr>
              <w:pStyle w:val="BodyTextIndent"/>
              <w:spacing w:before="60" w:after="60"/>
              <w:ind w:left="0" w:right="510"/>
              <w:jc w:val="right"/>
              <w:rPr>
                <w:iCs/>
                <w:sz w:val="20"/>
              </w:rPr>
            </w:pPr>
            <w:r>
              <w:rPr>
                <w:iCs/>
                <w:sz w:val="20"/>
              </w:rPr>
              <w:t>5 457</w:t>
            </w:r>
          </w:p>
        </w:tc>
        <w:tc>
          <w:tcPr>
            <w:tcW w:w="1464" w:type="dxa"/>
          </w:tcPr>
          <w:p w:rsidR="00000000" w:rsidRDefault="00000000">
            <w:pPr>
              <w:pStyle w:val="BodyTextIndent"/>
              <w:spacing w:before="60" w:after="60"/>
              <w:ind w:left="0" w:right="510"/>
              <w:jc w:val="right"/>
              <w:rPr>
                <w:iCs/>
                <w:sz w:val="20"/>
              </w:rPr>
            </w:pPr>
            <w:r>
              <w:rPr>
                <w:iCs/>
                <w:sz w:val="20"/>
              </w:rPr>
              <w:t>28</w:t>
            </w:r>
          </w:p>
        </w:tc>
        <w:tc>
          <w:tcPr>
            <w:tcW w:w="1475" w:type="dxa"/>
          </w:tcPr>
          <w:p w:rsidR="00000000" w:rsidRDefault="00000000">
            <w:pPr>
              <w:pStyle w:val="BodyTextIndent"/>
              <w:spacing w:before="60" w:after="60"/>
              <w:ind w:left="0" w:right="510"/>
              <w:jc w:val="right"/>
              <w:rPr>
                <w:iCs/>
                <w:sz w:val="20"/>
              </w:rPr>
            </w:pPr>
            <w:r>
              <w:rPr>
                <w:iCs/>
                <w:sz w:val="20"/>
              </w:rPr>
              <w:t>7</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Cement blocks</w:t>
            </w:r>
          </w:p>
        </w:tc>
        <w:tc>
          <w:tcPr>
            <w:tcW w:w="1693" w:type="dxa"/>
          </w:tcPr>
          <w:p w:rsidR="00000000" w:rsidRDefault="00000000">
            <w:pPr>
              <w:pStyle w:val="BodyTextIndent"/>
              <w:spacing w:before="60" w:after="60"/>
              <w:ind w:left="0" w:right="510"/>
              <w:jc w:val="right"/>
              <w:rPr>
                <w:iCs/>
                <w:sz w:val="20"/>
              </w:rPr>
            </w:pPr>
            <w:r>
              <w:rPr>
                <w:iCs/>
                <w:sz w:val="20"/>
              </w:rPr>
              <w:t>9</w:t>
            </w:r>
          </w:p>
        </w:tc>
        <w:tc>
          <w:tcPr>
            <w:tcW w:w="1495" w:type="dxa"/>
          </w:tcPr>
          <w:p w:rsidR="00000000" w:rsidRDefault="00000000">
            <w:pPr>
              <w:pStyle w:val="BodyTextIndent"/>
              <w:spacing w:before="60" w:after="60"/>
              <w:ind w:left="0" w:right="510"/>
              <w:jc w:val="right"/>
              <w:rPr>
                <w:iCs/>
                <w:sz w:val="20"/>
              </w:rPr>
            </w:pPr>
            <w:r>
              <w:rPr>
                <w:iCs/>
                <w:sz w:val="20"/>
              </w:rPr>
              <w:t>-</w:t>
            </w:r>
          </w:p>
        </w:tc>
        <w:tc>
          <w:tcPr>
            <w:tcW w:w="1464" w:type="dxa"/>
          </w:tcPr>
          <w:p w:rsidR="00000000" w:rsidRDefault="00000000">
            <w:pPr>
              <w:pStyle w:val="BodyTextIndent"/>
              <w:spacing w:before="60" w:after="60"/>
              <w:ind w:left="0" w:right="510"/>
              <w:jc w:val="right"/>
              <w:rPr>
                <w:iCs/>
                <w:sz w:val="20"/>
              </w:rPr>
            </w:pPr>
            <w:r>
              <w:rPr>
                <w:iCs/>
                <w:sz w:val="20"/>
              </w:rPr>
              <w:t>-</w:t>
            </w:r>
          </w:p>
        </w:tc>
        <w:tc>
          <w:tcPr>
            <w:tcW w:w="1475" w:type="dxa"/>
          </w:tcPr>
          <w:p w:rsidR="00000000" w:rsidRDefault="00000000">
            <w:pPr>
              <w:pStyle w:val="BodyTextIndent"/>
              <w:spacing w:before="60" w:after="60"/>
              <w:ind w:left="0" w:right="510"/>
              <w:jc w:val="right"/>
              <w:rPr>
                <w:iCs/>
                <w:sz w:val="20"/>
              </w:rPr>
            </w:pPr>
            <w:r>
              <w:rPr>
                <w:iCs/>
                <w:sz w:val="20"/>
              </w:rPr>
              <w:t>9</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en-US"/>
              </w:rPr>
            </w:pPr>
            <w:r>
              <w:rPr>
                <w:iCs/>
                <w:sz w:val="20"/>
                <w:lang w:val="en-US"/>
              </w:rPr>
              <w:tab/>
              <w:t>Cardboard, oilcloth, wood from</w:t>
            </w:r>
            <w:r>
              <w:rPr>
                <w:iCs/>
                <w:sz w:val="20"/>
                <w:lang w:val="en-US"/>
              </w:rPr>
              <w:br/>
            </w:r>
            <w:r>
              <w:rPr>
                <w:iCs/>
                <w:sz w:val="20"/>
                <w:lang w:val="en-US"/>
              </w:rPr>
              <w:tab/>
              <w:t>packaging</w:t>
            </w:r>
          </w:p>
        </w:tc>
        <w:tc>
          <w:tcPr>
            <w:tcW w:w="1693" w:type="dxa"/>
          </w:tcPr>
          <w:p w:rsidR="00000000" w:rsidRDefault="00000000">
            <w:pPr>
              <w:pStyle w:val="BodyTextIndent"/>
              <w:spacing w:before="60" w:after="60"/>
              <w:ind w:left="0" w:right="510"/>
              <w:jc w:val="right"/>
              <w:rPr>
                <w:iCs/>
                <w:sz w:val="20"/>
              </w:rPr>
            </w:pPr>
            <w:r>
              <w:rPr>
                <w:iCs/>
                <w:sz w:val="20"/>
              </w:rPr>
              <w:t>1 014</w:t>
            </w:r>
          </w:p>
        </w:tc>
        <w:tc>
          <w:tcPr>
            <w:tcW w:w="1495" w:type="dxa"/>
          </w:tcPr>
          <w:p w:rsidR="00000000" w:rsidRDefault="00000000">
            <w:pPr>
              <w:pStyle w:val="BodyTextIndent"/>
              <w:spacing w:before="60" w:after="60"/>
              <w:ind w:left="0" w:right="510"/>
              <w:jc w:val="right"/>
              <w:rPr>
                <w:iCs/>
                <w:sz w:val="20"/>
              </w:rPr>
            </w:pPr>
            <w:r>
              <w:rPr>
                <w:iCs/>
                <w:sz w:val="20"/>
              </w:rPr>
              <w:t>-</w:t>
            </w:r>
          </w:p>
        </w:tc>
        <w:tc>
          <w:tcPr>
            <w:tcW w:w="1464" w:type="dxa"/>
          </w:tcPr>
          <w:p w:rsidR="00000000" w:rsidRDefault="00000000">
            <w:pPr>
              <w:pStyle w:val="BodyTextIndent"/>
              <w:spacing w:before="60" w:after="60"/>
              <w:ind w:left="0" w:right="510"/>
              <w:jc w:val="right"/>
              <w:rPr>
                <w:iCs/>
                <w:sz w:val="20"/>
              </w:rPr>
            </w:pPr>
            <w:r>
              <w:rPr>
                <w:iCs/>
                <w:sz w:val="20"/>
              </w:rPr>
              <w:t>1 014</w:t>
            </w:r>
          </w:p>
        </w:tc>
        <w:tc>
          <w:tcPr>
            <w:tcW w:w="1475" w:type="dxa"/>
          </w:tcPr>
          <w:p w:rsidR="00000000" w:rsidRDefault="00000000">
            <w:pPr>
              <w:pStyle w:val="BodyTextIndent"/>
              <w:spacing w:before="60" w:after="60"/>
              <w:ind w:left="0" w:right="510"/>
              <w:jc w:val="right"/>
              <w:rPr>
                <w:iCs/>
                <w:sz w:val="20"/>
              </w:rPr>
            </w:pPr>
            <w:r>
              <w:rPr>
                <w:iCs/>
                <w:sz w:val="20"/>
              </w:rPr>
              <w:t>-</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 xml:space="preserve">No walls </w:t>
            </w:r>
          </w:p>
        </w:tc>
        <w:tc>
          <w:tcPr>
            <w:tcW w:w="1693" w:type="dxa"/>
          </w:tcPr>
          <w:p w:rsidR="00000000" w:rsidRDefault="00000000">
            <w:pPr>
              <w:pStyle w:val="BodyTextIndent"/>
              <w:spacing w:before="60" w:after="60"/>
              <w:ind w:left="0" w:right="510"/>
              <w:jc w:val="right"/>
              <w:rPr>
                <w:iCs/>
                <w:sz w:val="20"/>
              </w:rPr>
            </w:pPr>
            <w:r>
              <w:rPr>
                <w:iCs/>
                <w:sz w:val="20"/>
              </w:rPr>
              <w:t>408</w:t>
            </w:r>
          </w:p>
        </w:tc>
        <w:tc>
          <w:tcPr>
            <w:tcW w:w="1495" w:type="dxa"/>
          </w:tcPr>
          <w:p w:rsidR="00000000" w:rsidRDefault="00000000">
            <w:pPr>
              <w:pStyle w:val="BodyTextIndent"/>
              <w:spacing w:before="60" w:after="60"/>
              <w:ind w:left="0" w:right="510"/>
              <w:jc w:val="right"/>
              <w:rPr>
                <w:iCs/>
                <w:sz w:val="20"/>
              </w:rPr>
            </w:pPr>
            <w:r>
              <w:rPr>
                <w:iCs/>
                <w:sz w:val="20"/>
              </w:rPr>
              <w:t>-</w:t>
            </w:r>
          </w:p>
        </w:tc>
        <w:tc>
          <w:tcPr>
            <w:tcW w:w="1464" w:type="dxa"/>
          </w:tcPr>
          <w:p w:rsidR="00000000" w:rsidRDefault="00000000">
            <w:pPr>
              <w:pStyle w:val="BodyTextIndent"/>
              <w:spacing w:before="60" w:after="60"/>
              <w:ind w:left="0" w:right="510"/>
              <w:jc w:val="right"/>
              <w:rPr>
                <w:iCs/>
                <w:sz w:val="20"/>
              </w:rPr>
            </w:pPr>
            <w:r>
              <w:rPr>
                <w:iCs/>
                <w:sz w:val="20"/>
              </w:rPr>
              <w:t>14</w:t>
            </w:r>
          </w:p>
        </w:tc>
        <w:tc>
          <w:tcPr>
            <w:tcW w:w="1475" w:type="dxa"/>
          </w:tcPr>
          <w:p w:rsidR="00000000" w:rsidRDefault="00000000">
            <w:pPr>
              <w:pStyle w:val="BodyTextIndent"/>
              <w:spacing w:before="60" w:after="60"/>
              <w:ind w:left="0" w:right="510"/>
              <w:jc w:val="right"/>
              <w:rPr>
                <w:iCs/>
                <w:sz w:val="20"/>
              </w:rPr>
            </w:pPr>
            <w:r>
              <w:rPr>
                <w:iCs/>
                <w:sz w:val="20"/>
              </w:rPr>
              <w:t>394</w:t>
            </w:r>
          </w:p>
        </w:tc>
      </w:tr>
      <w:tr w:rsidR="00000000">
        <w:tblPrEx>
          <w:tblCellMar>
            <w:top w:w="0" w:type="dxa"/>
            <w:bottom w:w="0" w:type="dxa"/>
          </w:tblCellMar>
        </w:tblPrEx>
        <w:trPr>
          <w:jc w:val="center"/>
        </w:trPr>
        <w:tc>
          <w:tcPr>
            <w:tcW w:w="3302" w:type="dxa"/>
          </w:tcPr>
          <w:p w:rsidR="00000000" w:rsidRDefault="00000000">
            <w:pPr>
              <w:pStyle w:val="BodyTextIndent"/>
              <w:spacing w:before="80" w:after="60"/>
              <w:ind w:left="0"/>
              <w:rPr>
                <w:iCs/>
                <w:sz w:val="20"/>
              </w:rPr>
            </w:pPr>
            <w:r>
              <w:rPr>
                <w:iCs/>
                <w:sz w:val="20"/>
              </w:rPr>
              <w:tab/>
              <w:t>Other</w:t>
            </w:r>
          </w:p>
        </w:tc>
        <w:tc>
          <w:tcPr>
            <w:tcW w:w="1693" w:type="dxa"/>
          </w:tcPr>
          <w:p w:rsidR="00000000" w:rsidRDefault="00000000">
            <w:pPr>
              <w:pStyle w:val="BodyTextIndent"/>
              <w:spacing w:before="80" w:after="60"/>
              <w:ind w:left="0" w:right="510"/>
              <w:jc w:val="right"/>
              <w:rPr>
                <w:iCs/>
                <w:sz w:val="20"/>
              </w:rPr>
            </w:pPr>
            <w:r>
              <w:rPr>
                <w:iCs/>
                <w:sz w:val="20"/>
              </w:rPr>
              <w:t>965</w:t>
            </w:r>
          </w:p>
        </w:tc>
        <w:tc>
          <w:tcPr>
            <w:tcW w:w="1495" w:type="dxa"/>
          </w:tcPr>
          <w:p w:rsidR="00000000" w:rsidRDefault="00000000">
            <w:pPr>
              <w:pStyle w:val="BodyTextIndent"/>
              <w:spacing w:before="80" w:after="60"/>
              <w:ind w:left="0" w:right="510"/>
              <w:jc w:val="right"/>
              <w:rPr>
                <w:iCs/>
                <w:sz w:val="20"/>
              </w:rPr>
            </w:pPr>
            <w:r>
              <w:rPr>
                <w:iCs/>
                <w:sz w:val="20"/>
              </w:rPr>
              <w:t>789</w:t>
            </w:r>
          </w:p>
        </w:tc>
        <w:tc>
          <w:tcPr>
            <w:tcW w:w="1464" w:type="dxa"/>
          </w:tcPr>
          <w:p w:rsidR="00000000" w:rsidRDefault="00000000">
            <w:pPr>
              <w:pStyle w:val="BodyTextIndent"/>
              <w:spacing w:before="80" w:after="60"/>
              <w:ind w:left="0" w:right="510"/>
              <w:jc w:val="right"/>
              <w:rPr>
                <w:iCs/>
                <w:sz w:val="20"/>
              </w:rPr>
            </w:pPr>
            <w:r>
              <w:rPr>
                <w:iCs/>
                <w:sz w:val="20"/>
              </w:rPr>
              <w:t>152</w:t>
            </w:r>
          </w:p>
        </w:tc>
        <w:tc>
          <w:tcPr>
            <w:tcW w:w="1475" w:type="dxa"/>
          </w:tcPr>
          <w:p w:rsidR="00000000" w:rsidRDefault="00000000">
            <w:pPr>
              <w:pStyle w:val="BodyTextIndent"/>
              <w:spacing w:before="80" w:after="60"/>
              <w:ind w:left="0" w:right="510"/>
              <w:jc w:val="right"/>
              <w:rPr>
                <w:iCs/>
                <w:sz w:val="20"/>
              </w:rPr>
            </w:pPr>
            <w:r>
              <w:rPr>
                <w:iCs/>
                <w:sz w:val="20"/>
              </w:rPr>
              <w:t>24</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mallCaps/>
                <w:sz w:val="20"/>
              </w:rPr>
            </w:pPr>
            <w:r>
              <w:rPr>
                <w:iCs/>
                <w:smallCaps/>
                <w:sz w:val="20"/>
              </w:rPr>
              <w:t>B. Floor</w:t>
            </w:r>
          </w:p>
        </w:tc>
        <w:tc>
          <w:tcPr>
            <w:tcW w:w="1693" w:type="dxa"/>
          </w:tcPr>
          <w:p w:rsidR="00000000" w:rsidRDefault="00000000">
            <w:pPr>
              <w:pStyle w:val="BodyTextIndent"/>
              <w:spacing w:before="60" w:after="60"/>
              <w:ind w:left="0" w:right="510"/>
              <w:jc w:val="right"/>
              <w:rPr>
                <w:iCs/>
                <w:sz w:val="20"/>
              </w:rPr>
            </w:pPr>
          </w:p>
        </w:tc>
        <w:tc>
          <w:tcPr>
            <w:tcW w:w="1495" w:type="dxa"/>
          </w:tcPr>
          <w:p w:rsidR="00000000" w:rsidRDefault="00000000">
            <w:pPr>
              <w:pStyle w:val="BodyTextIndent"/>
              <w:spacing w:before="60" w:after="60"/>
              <w:ind w:left="0" w:right="510"/>
              <w:jc w:val="right"/>
              <w:rPr>
                <w:iCs/>
                <w:sz w:val="20"/>
              </w:rPr>
            </w:pPr>
          </w:p>
        </w:tc>
        <w:tc>
          <w:tcPr>
            <w:tcW w:w="1464" w:type="dxa"/>
          </w:tcPr>
          <w:p w:rsidR="00000000" w:rsidRDefault="00000000">
            <w:pPr>
              <w:pStyle w:val="BodyTextIndent"/>
              <w:spacing w:before="60" w:after="60"/>
              <w:ind w:left="0" w:right="510"/>
              <w:jc w:val="right"/>
              <w:rPr>
                <w:iCs/>
                <w:sz w:val="20"/>
              </w:rPr>
            </w:pPr>
          </w:p>
        </w:tc>
        <w:tc>
          <w:tcPr>
            <w:tcW w:w="1475" w:type="dxa"/>
          </w:tcPr>
          <w:p w:rsidR="00000000" w:rsidRDefault="00000000">
            <w:pPr>
              <w:pStyle w:val="BodyTextIndent"/>
              <w:spacing w:before="60" w:after="60"/>
              <w:ind w:left="0" w:right="510"/>
              <w:jc w:val="right"/>
              <w:rPr>
                <w:iCs/>
                <w:sz w:val="20"/>
              </w:rPr>
            </w:pP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Earth</w:t>
            </w:r>
          </w:p>
        </w:tc>
        <w:tc>
          <w:tcPr>
            <w:tcW w:w="1693" w:type="dxa"/>
          </w:tcPr>
          <w:p w:rsidR="00000000" w:rsidRDefault="00000000">
            <w:pPr>
              <w:pStyle w:val="BodyTextIndent"/>
              <w:spacing w:before="60" w:after="60"/>
              <w:ind w:left="0" w:right="510"/>
              <w:jc w:val="right"/>
              <w:rPr>
                <w:iCs/>
                <w:sz w:val="20"/>
              </w:rPr>
            </w:pPr>
            <w:r>
              <w:rPr>
                <w:iCs/>
                <w:sz w:val="20"/>
              </w:rPr>
              <w:t>148 484</w:t>
            </w:r>
          </w:p>
        </w:tc>
        <w:tc>
          <w:tcPr>
            <w:tcW w:w="1495" w:type="dxa"/>
          </w:tcPr>
          <w:p w:rsidR="00000000" w:rsidRDefault="00000000">
            <w:pPr>
              <w:pStyle w:val="BodyTextIndent"/>
              <w:spacing w:before="60" w:after="60"/>
              <w:ind w:left="0" w:right="510"/>
              <w:jc w:val="right"/>
              <w:rPr>
                <w:iCs/>
                <w:sz w:val="20"/>
              </w:rPr>
            </w:pPr>
            <w:r>
              <w:rPr>
                <w:iCs/>
                <w:sz w:val="20"/>
              </w:rPr>
              <w:t>146 551</w:t>
            </w:r>
          </w:p>
        </w:tc>
        <w:tc>
          <w:tcPr>
            <w:tcW w:w="1464" w:type="dxa"/>
          </w:tcPr>
          <w:p w:rsidR="00000000" w:rsidRDefault="00000000">
            <w:pPr>
              <w:pStyle w:val="BodyTextIndent"/>
              <w:spacing w:before="60" w:after="60"/>
              <w:ind w:left="0" w:right="510"/>
              <w:jc w:val="right"/>
              <w:rPr>
                <w:iCs/>
                <w:sz w:val="20"/>
              </w:rPr>
            </w:pPr>
            <w:r>
              <w:rPr>
                <w:iCs/>
                <w:sz w:val="20"/>
              </w:rPr>
              <w:t>1 354</w:t>
            </w:r>
          </w:p>
        </w:tc>
        <w:tc>
          <w:tcPr>
            <w:tcW w:w="1475" w:type="dxa"/>
          </w:tcPr>
          <w:p w:rsidR="00000000" w:rsidRDefault="00000000">
            <w:pPr>
              <w:pStyle w:val="BodyTextIndent"/>
              <w:spacing w:before="60" w:after="60"/>
              <w:ind w:left="0" w:right="510"/>
              <w:jc w:val="right"/>
              <w:rPr>
                <w:iCs/>
                <w:sz w:val="20"/>
              </w:rPr>
            </w:pPr>
            <w:r>
              <w:rPr>
                <w:iCs/>
                <w:sz w:val="20"/>
              </w:rPr>
              <w:t>579</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Brick</w:t>
            </w:r>
            <w:r>
              <w:rPr>
                <w:iCs/>
                <w:sz w:val="20"/>
              </w:rPr>
              <w:tab/>
            </w:r>
          </w:p>
        </w:tc>
        <w:tc>
          <w:tcPr>
            <w:tcW w:w="1693" w:type="dxa"/>
          </w:tcPr>
          <w:p w:rsidR="00000000" w:rsidRDefault="00000000">
            <w:pPr>
              <w:pStyle w:val="BodyTextIndent"/>
              <w:spacing w:before="60" w:after="60"/>
              <w:ind w:left="0" w:right="510"/>
              <w:jc w:val="right"/>
              <w:rPr>
                <w:iCs/>
                <w:sz w:val="20"/>
              </w:rPr>
            </w:pPr>
            <w:r>
              <w:rPr>
                <w:iCs/>
                <w:sz w:val="20"/>
              </w:rPr>
              <w:t>5 794</w:t>
            </w:r>
          </w:p>
        </w:tc>
        <w:tc>
          <w:tcPr>
            <w:tcW w:w="1495" w:type="dxa"/>
          </w:tcPr>
          <w:p w:rsidR="00000000" w:rsidRDefault="00000000">
            <w:pPr>
              <w:pStyle w:val="BodyTextIndent"/>
              <w:spacing w:before="60" w:after="60"/>
              <w:ind w:left="0" w:right="510"/>
              <w:jc w:val="right"/>
              <w:rPr>
                <w:iCs/>
                <w:sz w:val="20"/>
              </w:rPr>
            </w:pPr>
            <w:r>
              <w:rPr>
                <w:iCs/>
                <w:sz w:val="20"/>
              </w:rPr>
              <w:t>5 668</w:t>
            </w:r>
          </w:p>
        </w:tc>
        <w:tc>
          <w:tcPr>
            <w:tcW w:w="1464" w:type="dxa"/>
          </w:tcPr>
          <w:p w:rsidR="00000000" w:rsidRDefault="00000000">
            <w:pPr>
              <w:pStyle w:val="BodyTextIndent"/>
              <w:spacing w:before="60" w:after="60"/>
              <w:ind w:left="0" w:right="510"/>
              <w:jc w:val="right"/>
              <w:rPr>
                <w:iCs/>
                <w:sz w:val="20"/>
              </w:rPr>
            </w:pPr>
            <w:r>
              <w:rPr>
                <w:iCs/>
                <w:sz w:val="20"/>
              </w:rPr>
              <w:t>11</w:t>
            </w:r>
          </w:p>
        </w:tc>
        <w:tc>
          <w:tcPr>
            <w:tcW w:w="1475" w:type="dxa"/>
          </w:tcPr>
          <w:p w:rsidR="00000000" w:rsidRDefault="00000000">
            <w:pPr>
              <w:pStyle w:val="BodyTextIndent"/>
              <w:spacing w:before="60" w:after="60"/>
              <w:ind w:left="0" w:right="510"/>
              <w:jc w:val="right"/>
              <w:rPr>
                <w:iCs/>
                <w:sz w:val="20"/>
              </w:rPr>
            </w:pPr>
            <w:r>
              <w:rPr>
                <w:iCs/>
                <w:sz w:val="20"/>
              </w:rPr>
              <w:t>115</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Ordinary tiles</w:t>
            </w:r>
          </w:p>
        </w:tc>
        <w:tc>
          <w:tcPr>
            <w:tcW w:w="1693" w:type="dxa"/>
          </w:tcPr>
          <w:p w:rsidR="00000000" w:rsidRDefault="00000000">
            <w:pPr>
              <w:pStyle w:val="BodyTextIndent"/>
              <w:spacing w:before="60" w:after="60"/>
              <w:ind w:left="0" w:right="510"/>
              <w:jc w:val="right"/>
              <w:rPr>
                <w:iCs/>
                <w:sz w:val="20"/>
              </w:rPr>
            </w:pPr>
            <w:r>
              <w:rPr>
                <w:iCs/>
                <w:sz w:val="20"/>
              </w:rPr>
              <w:t>122</w:t>
            </w:r>
          </w:p>
        </w:tc>
        <w:tc>
          <w:tcPr>
            <w:tcW w:w="1495" w:type="dxa"/>
          </w:tcPr>
          <w:p w:rsidR="00000000" w:rsidRDefault="00000000">
            <w:pPr>
              <w:pStyle w:val="BodyTextIndent"/>
              <w:spacing w:before="60" w:after="60"/>
              <w:ind w:left="0" w:right="510"/>
              <w:jc w:val="right"/>
              <w:rPr>
                <w:iCs/>
                <w:sz w:val="20"/>
              </w:rPr>
            </w:pPr>
            <w:r>
              <w:rPr>
                <w:iCs/>
                <w:sz w:val="20"/>
              </w:rPr>
              <w:t>5</w:t>
            </w:r>
          </w:p>
        </w:tc>
        <w:tc>
          <w:tcPr>
            <w:tcW w:w="1464" w:type="dxa"/>
          </w:tcPr>
          <w:p w:rsidR="00000000" w:rsidRDefault="00000000">
            <w:pPr>
              <w:pStyle w:val="BodyTextIndent"/>
              <w:spacing w:before="60" w:after="60"/>
              <w:ind w:left="0" w:right="510"/>
              <w:jc w:val="right"/>
              <w:rPr>
                <w:iCs/>
                <w:sz w:val="20"/>
              </w:rPr>
            </w:pPr>
            <w:r>
              <w:rPr>
                <w:iCs/>
                <w:sz w:val="20"/>
              </w:rPr>
              <w:t>-</w:t>
            </w:r>
          </w:p>
        </w:tc>
        <w:tc>
          <w:tcPr>
            <w:tcW w:w="1475" w:type="dxa"/>
          </w:tcPr>
          <w:p w:rsidR="00000000" w:rsidRDefault="00000000">
            <w:pPr>
              <w:pStyle w:val="BodyTextIndent"/>
              <w:spacing w:before="60" w:after="60"/>
              <w:ind w:left="0" w:right="510"/>
              <w:jc w:val="right"/>
              <w:rPr>
                <w:iCs/>
                <w:sz w:val="20"/>
              </w:rPr>
            </w:pPr>
            <w:r>
              <w:rPr>
                <w:iCs/>
                <w:sz w:val="20"/>
              </w:rPr>
              <w:t>117</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Cement (whitewashed)</w:t>
            </w:r>
          </w:p>
        </w:tc>
        <w:tc>
          <w:tcPr>
            <w:tcW w:w="1693" w:type="dxa"/>
          </w:tcPr>
          <w:p w:rsidR="00000000" w:rsidRDefault="00000000">
            <w:pPr>
              <w:pStyle w:val="BodyTextIndent"/>
              <w:spacing w:before="60" w:after="60"/>
              <w:ind w:left="0" w:right="510"/>
              <w:jc w:val="right"/>
              <w:rPr>
                <w:iCs/>
                <w:sz w:val="20"/>
              </w:rPr>
            </w:pPr>
            <w:r>
              <w:rPr>
                <w:iCs/>
                <w:sz w:val="20"/>
              </w:rPr>
              <w:t>9 909</w:t>
            </w:r>
          </w:p>
        </w:tc>
        <w:tc>
          <w:tcPr>
            <w:tcW w:w="1495" w:type="dxa"/>
          </w:tcPr>
          <w:p w:rsidR="00000000" w:rsidRDefault="00000000">
            <w:pPr>
              <w:pStyle w:val="BodyTextIndent"/>
              <w:spacing w:before="60" w:after="60"/>
              <w:ind w:left="0" w:right="510"/>
              <w:jc w:val="right"/>
              <w:rPr>
                <w:iCs/>
                <w:sz w:val="20"/>
              </w:rPr>
            </w:pPr>
            <w:r>
              <w:rPr>
                <w:iCs/>
                <w:sz w:val="20"/>
              </w:rPr>
              <w:t>9 710</w:t>
            </w:r>
          </w:p>
        </w:tc>
        <w:tc>
          <w:tcPr>
            <w:tcW w:w="1464" w:type="dxa"/>
          </w:tcPr>
          <w:p w:rsidR="00000000" w:rsidRDefault="00000000">
            <w:pPr>
              <w:pStyle w:val="BodyTextIndent"/>
              <w:spacing w:before="60" w:after="60"/>
              <w:ind w:left="0" w:right="510"/>
              <w:jc w:val="right"/>
              <w:rPr>
                <w:iCs/>
                <w:sz w:val="20"/>
              </w:rPr>
            </w:pPr>
            <w:r>
              <w:rPr>
                <w:iCs/>
                <w:sz w:val="20"/>
              </w:rPr>
              <w:t>12</w:t>
            </w:r>
          </w:p>
        </w:tc>
        <w:tc>
          <w:tcPr>
            <w:tcW w:w="1475" w:type="dxa"/>
          </w:tcPr>
          <w:p w:rsidR="00000000" w:rsidRDefault="00000000">
            <w:pPr>
              <w:pStyle w:val="BodyTextIndent"/>
              <w:spacing w:before="60" w:after="60"/>
              <w:ind w:left="0" w:right="510"/>
              <w:jc w:val="right"/>
              <w:rPr>
                <w:iCs/>
                <w:sz w:val="20"/>
              </w:rPr>
            </w:pPr>
            <w:r>
              <w:rPr>
                <w:iCs/>
                <w:sz w:val="20"/>
              </w:rPr>
              <w:t>187</w:t>
            </w:r>
          </w:p>
        </w:tc>
      </w:tr>
      <w:tr w:rsidR="00000000">
        <w:tblPrEx>
          <w:tblCellMar>
            <w:top w:w="0" w:type="dxa"/>
            <w:bottom w:w="0" w:type="dxa"/>
          </w:tblCellMar>
        </w:tblPrEx>
        <w:trPr>
          <w:jc w:val="center"/>
        </w:trPr>
        <w:tc>
          <w:tcPr>
            <w:tcW w:w="3302" w:type="dxa"/>
            <w:vAlign w:val="center"/>
          </w:tcPr>
          <w:p w:rsidR="00000000" w:rsidRDefault="00000000">
            <w:pPr>
              <w:pStyle w:val="BodyTextIndent"/>
              <w:spacing w:before="60" w:after="60"/>
              <w:ind w:left="0"/>
              <w:rPr>
                <w:iCs/>
                <w:sz w:val="20"/>
                <w:lang w:val="en-US"/>
              </w:rPr>
            </w:pPr>
            <w:r>
              <w:rPr>
                <w:iCs/>
                <w:sz w:val="20"/>
                <w:lang w:val="en-US"/>
              </w:rPr>
              <w:tab/>
              <w:t>Mosaic, ceramic, granite and</w:t>
            </w:r>
            <w:r>
              <w:rPr>
                <w:iCs/>
                <w:sz w:val="20"/>
                <w:lang w:val="en-US"/>
              </w:rPr>
              <w:br/>
            </w:r>
            <w:r>
              <w:rPr>
                <w:iCs/>
                <w:sz w:val="20"/>
                <w:lang w:val="en-US"/>
              </w:rPr>
              <w:tab/>
              <w:t>marble</w:t>
            </w:r>
          </w:p>
        </w:tc>
        <w:tc>
          <w:tcPr>
            <w:tcW w:w="1693" w:type="dxa"/>
            <w:vAlign w:val="center"/>
          </w:tcPr>
          <w:p w:rsidR="00000000" w:rsidRDefault="00000000">
            <w:pPr>
              <w:pStyle w:val="BodyTextIndent"/>
              <w:spacing w:before="60" w:after="60"/>
              <w:ind w:left="0" w:right="510"/>
              <w:jc w:val="right"/>
              <w:rPr>
                <w:iCs/>
                <w:sz w:val="20"/>
                <w:lang w:val="nl-NL"/>
              </w:rPr>
            </w:pPr>
            <w:r>
              <w:rPr>
                <w:iCs/>
                <w:sz w:val="20"/>
                <w:lang w:val="nl-NL"/>
              </w:rPr>
              <w:t>24</w:t>
            </w:r>
          </w:p>
        </w:tc>
        <w:tc>
          <w:tcPr>
            <w:tcW w:w="1495" w:type="dxa"/>
            <w:vAlign w:val="center"/>
          </w:tcPr>
          <w:p w:rsidR="00000000" w:rsidRDefault="00000000">
            <w:pPr>
              <w:pStyle w:val="BodyTextIndent"/>
              <w:spacing w:before="60" w:after="60"/>
              <w:ind w:left="0" w:right="510"/>
              <w:jc w:val="right"/>
              <w:rPr>
                <w:iCs/>
                <w:sz w:val="20"/>
                <w:lang w:val="nl-NL"/>
              </w:rPr>
            </w:pPr>
            <w:r>
              <w:rPr>
                <w:iCs/>
                <w:sz w:val="20"/>
                <w:lang w:val="nl-NL"/>
              </w:rPr>
              <w:t>-</w:t>
            </w:r>
          </w:p>
        </w:tc>
        <w:tc>
          <w:tcPr>
            <w:tcW w:w="1464" w:type="dxa"/>
            <w:vAlign w:val="center"/>
          </w:tcPr>
          <w:p w:rsidR="00000000" w:rsidRDefault="00000000">
            <w:pPr>
              <w:pStyle w:val="BodyTextIndent"/>
              <w:spacing w:before="60" w:after="60"/>
              <w:ind w:left="0" w:right="510"/>
              <w:jc w:val="right"/>
              <w:rPr>
                <w:iCs/>
                <w:sz w:val="20"/>
                <w:lang w:val="nl-NL"/>
              </w:rPr>
            </w:pPr>
            <w:r>
              <w:rPr>
                <w:iCs/>
                <w:sz w:val="20"/>
                <w:lang w:val="nl-NL"/>
              </w:rPr>
              <w:t>-</w:t>
            </w:r>
          </w:p>
        </w:tc>
        <w:tc>
          <w:tcPr>
            <w:tcW w:w="1475" w:type="dxa"/>
            <w:vAlign w:val="center"/>
          </w:tcPr>
          <w:p w:rsidR="00000000" w:rsidRDefault="00000000">
            <w:pPr>
              <w:pStyle w:val="BodyTextIndent"/>
              <w:spacing w:before="60" w:after="60"/>
              <w:ind w:left="0" w:right="510"/>
              <w:jc w:val="right"/>
              <w:rPr>
                <w:iCs/>
                <w:sz w:val="20"/>
                <w:lang w:val="nl-NL"/>
              </w:rPr>
            </w:pPr>
            <w:r>
              <w:rPr>
                <w:iCs/>
                <w:sz w:val="20"/>
                <w:lang w:val="nl-NL"/>
              </w:rPr>
              <w:t>24</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nl-NL"/>
              </w:rPr>
            </w:pPr>
            <w:r>
              <w:rPr>
                <w:iCs/>
                <w:sz w:val="20"/>
                <w:lang w:val="nl-NL"/>
              </w:rPr>
              <w:tab/>
              <w:t>Wooden planks</w:t>
            </w:r>
          </w:p>
        </w:tc>
        <w:tc>
          <w:tcPr>
            <w:tcW w:w="1693" w:type="dxa"/>
          </w:tcPr>
          <w:p w:rsidR="00000000" w:rsidRDefault="00000000">
            <w:pPr>
              <w:pStyle w:val="BodyTextIndent"/>
              <w:spacing w:before="60" w:after="60"/>
              <w:ind w:left="0" w:right="510"/>
              <w:jc w:val="right"/>
              <w:rPr>
                <w:iCs/>
                <w:sz w:val="20"/>
                <w:lang w:val="nl-NL"/>
              </w:rPr>
            </w:pPr>
            <w:r>
              <w:rPr>
                <w:iCs/>
                <w:sz w:val="20"/>
                <w:lang w:val="nl-NL"/>
              </w:rPr>
              <w:t>9 360</w:t>
            </w:r>
          </w:p>
        </w:tc>
        <w:tc>
          <w:tcPr>
            <w:tcW w:w="1495" w:type="dxa"/>
          </w:tcPr>
          <w:p w:rsidR="00000000" w:rsidRDefault="00000000">
            <w:pPr>
              <w:pStyle w:val="BodyTextIndent"/>
              <w:spacing w:before="60" w:after="60"/>
              <w:ind w:left="0" w:right="510"/>
              <w:jc w:val="right"/>
              <w:rPr>
                <w:iCs/>
                <w:sz w:val="20"/>
                <w:lang w:val="nl-NL"/>
              </w:rPr>
            </w:pPr>
            <w:r>
              <w:rPr>
                <w:iCs/>
                <w:sz w:val="20"/>
                <w:lang w:val="nl-NL"/>
              </w:rPr>
              <w:t>9 301</w:t>
            </w:r>
          </w:p>
        </w:tc>
        <w:tc>
          <w:tcPr>
            <w:tcW w:w="1464" w:type="dxa"/>
          </w:tcPr>
          <w:p w:rsidR="00000000" w:rsidRDefault="00000000">
            <w:pPr>
              <w:pStyle w:val="BodyTextIndent"/>
              <w:spacing w:before="60" w:after="60"/>
              <w:ind w:left="0" w:right="510"/>
              <w:jc w:val="right"/>
              <w:rPr>
                <w:iCs/>
                <w:sz w:val="20"/>
                <w:lang w:val="nl-NL"/>
              </w:rPr>
            </w:pPr>
            <w:r>
              <w:rPr>
                <w:iCs/>
                <w:sz w:val="20"/>
                <w:lang w:val="nl-NL"/>
              </w:rPr>
              <w:t>15</w:t>
            </w:r>
          </w:p>
        </w:tc>
        <w:tc>
          <w:tcPr>
            <w:tcW w:w="1475" w:type="dxa"/>
          </w:tcPr>
          <w:p w:rsidR="00000000" w:rsidRDefault="00000000">
            <w:pPr>
              <w:pStyle w:val="BodyTextIndent"/>
              <w:spacing w:before="60" w:after="60"/>
              <w:ind w:left="0" w:right="510"/>
              <w:jc w:val="right"/>
              <w:rPr>
                <w:iCs/>
                <w:sz w:val="20"/>
                <w:lang w:val="nl-NL"/>
              </w:rPr>
            </w:pPr>
            <w:r>
              <w:rPr>
                <w:iCs/>
                <w:sz w:val="20"/>
                <w:lang w:val="nl-NL"/>
              </w:rPr>
              <w:t>44</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nl-NL"/>
              </w:rPr>
            </w:pPr>
            <w:r>
              <w:rPr>
                <w:iCs/>
                <w:sz w:val="20"/>
                <w:lang w:val="nl-NL"/>
              </w:rPr>
              <w:tab/>
              <w:t>Parquet</w:t>
            </w:r>
          </w:p>
        </w:tc>
        <w:tc>
          <w:tcPr>
            <w:tcW w:w="1693" w:type="dxa"/>
          </w:tcPr>
          <w:p w:rsidR="00000000" w:rsidRDefault="00000000">
            <w:pPr>
              <w:pStyle w:val="BodyTextIndent"/>
              <w:spacing w:before="60" w:after="60"/>
              <w:ind w:left="0" w:right="510"/>
              <w:jc w:val="right"/>
              <w:rPr>
                <w:iCs/>
                <w:sz w:val="20"/>
              </w:rPr>
            </w:pPr>
            <w:r>
              <w:rPr>
                <w:iCs/>
                <w:sz w:val="20"/>
              </w:rPr>
              <w:t>-</w:t>
            </w:r>
          </w:p>
        </w:tc>
        <w:tc>
          <w:tcPr>
            <w:tcW w:w="1495" w:type="dxa"/>
          </w:tcPr>
          <w:p w:rsidR="00000000" w:rsidRDefault="00000000">
            <w:pPr>
              <w:pStyle w:val="BodyTextIndent"/>
              <w:spacing w:before="60" w:after="60"/>
              <w:ind w:left="0" w:right="510"/>
              <w:jc w:val="right"/>
              <w:rPr>
                <w:iCs/>
                <w:sz w:val="20"/>
              </w:rPr>
            </w:pPr>
            <w:r>
              <w:rPr>
                <w:iCs/>
                <w:sz w:val="20"/>
              </w:rPr>
              <w:t>-</w:t>
            </w:r>
          </w:p>
        </w:tc>
        <w:tc>
          <w:tcPr>
            <w:tcW w:w="1464" w:type="dxa"/>
          </w:tcPr>
          <w:p w:rsidR="00000000" w:rsidRDefault="00000000">
            <w:pPr>
              <w:pStyle w:val="BodyTextIndent"/>
              <w:spacing w:before="60" w:after="60"/>
              <w:ind w:left="0" w:right="510"/>
              <w:jc w:val="right"/>
              <w:rPr>
                <w:iCs/>
                <w:sz w:val="20"/>
              </w:rPr>
            </w:pPr>
            <w:r>
              <w:rPr>
                <w:iCs/>
                <w:sz w:val="20"/>
              </w:rPr>
              <w:t>-</w:t>
            </w:r>
          </w:p>
        </w:tc>
        <w:tc>
          <w:tcPr>
            <w:tcW w:w="1475" w:type="dxa"/>
          </w:tcPr>
          <w:p w:rsidR="00000000" w:rsidRDefault="00000000">
            <w:pPr>
              <w:pStyle w:val="BodyTextIndent"/>
              <w:spacing w:before="60" w:after="60"/>
              <w:ind w:left="0" w:right="510"/>
              <w:jc w:val="right"/>
              <w:rPr>
                <w:iCs/>
                <w:sz w:val="20"/>
              </w:rPr>
            </w:pPr>
            <w:r>
              <w:rPr>
                <w:iCs/>
                <w:sz w:val="20"/>
              </w:rPr>
              <w:t>-</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Carpeting</w:t>
            </w:r>
          </w:p>
        </w:tc>
        <w:tc>
          <w:tcPr>
            <w:tcW w:w="1693" w:type="dxa"/>
          </w:tcPr>
          <w:p w:rsidR="00000000" w:rsidRDefault="00000000">
            <w:pPr>
              <w:pStyle w:val="BodyTextIndent"/>
              <w:spacing w:before="60" w:after="60"/>
              <w:ind w:left="0" w:right="510"/>
              <w:jc w:val="right"/>
              <w:rPr>
                <w:iCs/>
                <w:sz w:val="20"/>
              </w:rPr>
            </w:pPr>
            <w:r>
              <w:rPr>
                <w:iCs/>
                <w:sz w:val="20"/>
              </w:rPr>
              <w:t>-</w:t>
            </w:r>
          </w:p>
        </w:tc>
        <w:tc>
          <w:tcPr>
            <w:tcW w:w="1495" w:type="dxa"/>
          </w:tcPr>
          <w:p w:rsidR="00000000" w:rsidRDefault="00000000">
            <w:pPr>
              <w:pStyle w:val="BodyTextIndent"/>
              <w:spacing w:before="60" w:after="60"/>
              <w:ind w:left="0" w:right="510"/>
              <w:jc w:val="right"/>
              <w:rPr>
                <w:iCs/>
                <w:sz w:val="20"/>
              </w:rPr>
            </w:pPr>
            <w:r>
              <w:rPr>
                <w:iCs/>
                <w:sz w:val="20"/>
              </w:rPr>
              <w:t>-</w:t>
            </w:r>
          </w:p>
        </w:tc>
        <w:tc>
          <w:tcPr>
            <w:tcW w:w="1464" w:type="dxa"/>
          </w:tcPr>
          <w:p w:rsidR="00000000" w:rsidRDefault="00000000">
            <w:pPr>
              <w:pStyle w:val="BodyTextIndent"/>
              <w:spacing w:before="60" w:after="60"/>
              <w:ind w:left="0" w:right="510"/>
              <w:jc w:val="right"/>
              <w:rPr>
                <w:iCs/>
                <w:sz w:val="20"/>
              </w:rPr>
            </w:pPr>
            <w:r>
              <w:rPr>
                <w:iCs/>
                <w:sz w:val="20"/>
              </w:rPr>
              <w:t>-</w:t>
            </w:r>
          </w:p>
        </w:tc>
        <w:tc>
          <w:tcPr>
            <w:tcW w:w="1475" w:type="dxa"/>
          </w:tcPr>
          <w:p w:rsidR="00000000" w:rsidRDefault="00000000">
            <w:pPr>
              <w:pStyle w:val="BodyTextIndent"/>
              <w:spacing w:before="60" w:after="60"/>
              <w:ind w:left="0" w:right="510"/>
              <w:jc w:val="right"/>
              <w:rPr>
                <w:iCs/>
                <w:sz w:val="20"/>
              </w:rPr>
            </w:pPr>
            <w:r>
              <w:rPr>
                <w:iCs/>
                <w:sz w:val="20"/>
              </w:rPr>
              <w:t>-</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Other</w:t>
            </w:r>
          </w:p>
        </w:tc>
        <w:tc>
          <w:tcPr>
            <w:tcW w:w="1693" w:type="dxa"/>
          </w:tcPr>
          <w:p w:rsidR="00000000" w:rsidRDefault="00000000">
            <w:pPr>
              <w:pStyle w:val="BodyTextIndent"/>
              <w:spacing w:before="60" w:after="60"/>
              <w:ind w:left="0" w:right="510"/>
              <w:jc w:val="right"/>
              <w:rPr>
                <w:iCs/>
                <w:sz w:val="20"/>
              </w:rPr>
            </w:pPr>
            <w:r>
              <w:rPr>
                <w:iCs/>
                <w:sz w:val="20"/>
              </w:rPr>
              <w:t>411</w:t>
            </w:r>
          </w:p>
        </w:tc>
        <w:tc>
          <w:tcPr>
            <w:tcW w:w="1495" w:type="dxa"/>
          </w:tcPr>
          <w:p w:rsidR="00000000" w:rsidRDefault="00000000">
            <w:pPr>
              <w:pStyle w:val="BodyTextIndent"/>
              <w:spacing w:before="60" w:after="60"/>
              <w:ind w:left="0" w:right="510"/>
              <w:jc w:val="right"/>
              <w:rPr>
                <w:iCs/>
                <w:sz w:val="20"/>
              </w:rPr>
            </w:pPr>
            <w:r>
              <w:rPr>
                <w:iCs/>
                <w:sz w:val="20"/>
              </w:rPr>
              <w:t>368</w:t>
            </w:r>
          </w:p>
        </w:tc>
        <w:tc>
          <w:tcPr>
            <w:tcW w:w="1464" w:type="dxa"/>
          </w:tcPr>
          <w:p w:rsidR="00000000" w:rsidRDefault="00000000">
            <w:pPr>
              <w:pStyle w:val="BodyTextIndent"/>
              <w:spacing w:before="60" w:after="60"/>
              <w:ind w:left="0" w:right="510"/>
              <w:jc w:val="right"/>
              <w:rPr>
                <w:iCs/>
                <w:sz w:val="20"/>
              </w:rPr>
            </w:pPr>
            <w:r>
              <w:rPr>
                <w:iCs/>
                <w:sz w:val="20"/>
              </w:rPr>
              <w:t>18</w:t>
            </w:r>
          </w:p>
        </w:tc>
        <w:tc>
          <w:tcPr>
            <w:tcW w:w="1475" w:type="dxa"/>
          </w:tcPr>
          <w:p w:rsidR="00000000" w:rsidRDefault="00000000">
            <w:pPr>
              <w:pStyle w:val="BodyTextIndent"/>
              <w:spacing w:before="60" w:after="60"/>
              <w:ind w:left="0" w:right="510"/>
              <w:jc w:val="right"/>
              <w:rPr>
                <w:iCs/>
                <w:sz w:val="20"/>
              </w:rPr>
            </w:pPr>
            <w:r>
              <w:rPr>
                <w:iCs/>
                <w:sz w:val="20"/>
              </w:rPr>
              <w:t>25</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mallCaps/>
                <w:sz w:val="20"/>
              </w:rPr>
            </w:pPr>
            <w:r>
              <w:rPr>
                <w:iCs/>
                <w:smallCaps/>
                <w:sz w:val="20"/>
              </w:rPr>
              <w:t>C. Roof</w:t>
            </w:r>
          </w:p>
        </w:tc>
        <w:tc>
          <w:tcPr>
            <w:tcW w:w="1693" w:type="dxa"/>
          </w:tcPr>
          <w:p w:rsidR="00000000" w:rsidRDefault="00000000">
            <w:pPr>
              <w:pStyle w:val="BodyTextIndent"/>
              <w:spacing w:before="60" w:after="60"/>
              <w:ind w:left="0" w:right="510"/>
              <w:jc w:val="right"/>
              <w:rPr>
                <w:iCs/>
                <w:sz w:val="20"/>
              </w:rPr>
            </w:pPr>
          </w:p>
        </w:tc>
        <w:tc>
          <w:tcPr>
            <w:tcW w:w="1495" w:type="dxa"/>
          </w:tcPr>
          <w:p w:rsidR="00000000" w:rsidRDefault="00000000">
            <w:pPr>
              <w:pStyle w:val="BodyTextIndent"/>
              <w:spacing w:before="60" w:after="60"/>
              <w:ind w:left="0" w:right="510"/>
              <w:jc w:val="right"/>
              <w:rPr>
                <w:iCs/>
                <w:sz w:val="20"/>
              </w:rPr>
            </w:pPr>
          </w:p>
        </w:tc>
        <w:tc>
          <w:tcPr>
            <w:tcW w:w="1464" w:type="dxa"/>
          </w:tcPr>
          <w:p w:rsidR="00000000" w:rsidRDefault="00000000">
            <w:pPr>
              <w:pStyle w:val="BodyTextIndent"/>
              <w:spacing w:before="60" w:after="60"/>
              <w:ind w:left="0" w:right="510"/>
              <w:jc w:val="right"/>
              <w:rPr>
                <w:iCs/>
                <w:sz w:val="20"/>
              </w:rPr>
            </w:pPr>
          </w:p>
        </w:tc>
        <w:tc>
          <w:tcPr>
            <w:tcW w:w="1475" w:type="dxa"/>
          </w:tcPr>
          <w:p w:rsidR="00000000" w:rsidRDefault="00000000">
            <w:pPr>
              <w:pStyle w:val="BodyTextIndent"/>
              <w:spacing w:before="60" w:after="60"/>
              <w:ind w:left="0" w:right="510"/>
              <w:jc w:val="right"/>
              <w:rPr>
                <w:iCs/>
                <w:sz w:val="20"/>
              </w:rPr>
            </w:pP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Tiles</w:t>
            </w:r>
          </w:p>
        </w:tc>
        <w:tc>
          <w:tcPr>
            <w:tcW w:w="1693" w:type="dxa"/>
          </w:tcPr>
          <w:p w:rsidR="00000000" w:rsidRDefault="00000000">
            <w:pPr>
              <w:pStyle w:val="BodyTextIndent"/>
              <w:spacing w:before="60" w:after="60"/>
              <w:ind w:left="0" w:right="510"/>
              <w:jc w:val="right"/>
              <w:rPr>
                <w:iCs/>
                <w:sz w:val="20"/>
              </w:rPr>
            </w:pPr>
            <w:r>
              <w:rPr>
                <w:iCs/>
                <w:sz w:val="20"/>
              </w:rPr>
              <w:t>16 817</w:t>
            </w:r>
          </w:p>
        </w:tc>
        <w:tc>
          <w:tcPr>
            <w:tcW w:w="1495" w:type="dxa"/>
          </w:tcPr>
          <w:p w:rsidR="00000000" w:rsidRDefault="00000000">
            <w:pPr>
              <w:pStyle w:val="BodyTextIndent"/>
              <w:spacing w:before="60" w:after="60"/>
              <w:ind w:left="0" w:right="510"/>
              <w:jc w:val="right"/>
              <w:rPr>
                <w:iCs/>
                <w:sz w:val="20"/>
              </w:rPr>
            </w:pPr>
            <w:r>
              <w:rPr>
                <w:iCs/>
                <w:sz w:val="20"/>
              </w:rPr>
              <w:t>16 512</w:t>
            </w:r>
          </w:p>
        </w:tc>
        <w:tc>
          <w:tcPr>
            <w:tcW w:w="1464" w:type="dxa"/>
          </w:tcPr>
          <w:p w:rsidR="00000000" w:rsidRDefault="00000000">
            <w:pPr>
              <w:pStyle w:val="BodyTextIndent"/>
              <w:spacing w:before="60" w:after="60"/>
              <w:ind w:left="0" w:right="510"/>
              <w:jc w:val="right"/>
              <w:rPr>
                <w:iCs/>
                <w:sz w:val="20"/>
              </w:rPr>
            </w:pPr>
            <w:r>
              <w:rPr>
                <w:iCs/>
                <w:sz w:val="20"/>
              </w:rPr>
              <w:t>33</w:t>
            </w:r>
          </w:p>
        </w:tc>
        <w:tc>
          <w:tcPr>
            <w:tcW w:w="1475" w:type="dxa"/>
          </w:tcPr>
          <w:p w:rsidR="00000000" w:rsidRDefault="00000000">
            <w:pPr>
              <w:pStyle w:val="BodyTextIndent"/>
              <w:spacing w:before="60" w:after="60"/>
              <w:ind w:left="0" w:right="510"/>
              <w:jc w:val="right"/>
              <w:rPr>
                <w:iCs/>
                <w:sz w:val="20"/>
              </w:rPr>
            </w:pPr>
            <w:r>
              <w:rPr>
                <w:iCs/>
                <w:sz w:val="20"/>
              </w:rPr>
              <w:t>272</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Straw</w:t>
            </w:r>
          </w:p>
        </w:tc>
        <w:tc>
          <w:tcPr>
            <w:tcW w:w="1693" w:type="dxa"/>
          </w:tcPr>
          <w:p w:rsidR="00000000" w:rsidRDefault="00000000">
            <w:pPr>
              <w:pStyle w:val="BodyTextIndent"/>
              <w:spacing w:before="60" w:after="60"/>
              <w:ind w:left="0" w:right="510"/>
              <w:jc w:val="right"/>
              <w:rPr>
                <w:iCs/>
                <w:sz w:val="20"/>
              </w:rPr>
            </w:pPr>
            <w:r>
              <w:rPr>
                <w:iCs/>
                <w:sz w:val="20"/>
              </w:rPr>
              <w:t>85 270</w:t>
            </w:r>
          </w:p>
        </w:tc>
        <w:tc>
          <w:tcPr>
            <w:tcW w:w="1495" w:type="dxa"/>
          </w:tcPr>
          <w:p w:rsidR="00000000" w:rsidRDefault="00000000">
            <w:pPr>
              <w:pStyle w:val="BodyTextIndent"/>
              <w:spacing w:before="60" w:after="60"/>
              <w:ind w:left="0" w:right="510"/>
              <w:jc w:val="right"/>
              <w:rPr>
                <w:iCs/>
                <w:sz w:val="20"/>
              </w:rPr>
            </w:pPr>
            <w:r>
              <w:rPr>
                <w:iCs/>
                <w:sz w:val="20"/>
              </w:rPr>
              <w:t>84 793</w:t>
            </w:r>
          </w:p>
        </w:tc>
        <w:tc>
          <w:tcPr>
            <w:tcW w:w="1464" w:type="dxa"/>
          </w:tcPr>
          <w:p w:rsidR="00000000" w:rsidRDefault="00000000">
            <w:pPr>
              <w:pStyle w:val="BodyTextIndent"/>
              <w:spacing w:before="60" w:after="60"/>
              <w:ind w:left="0" w:right="510"/>
              <w:jc w:val="right"/>
              <w:rPr>
                <w:iCs/>
                <w:sz w:val="20"/>
              </w:rPr>
            </w:pPr>
            <w:r>
              <w:rPr>
                <w:iCs/>
                <w:sz w:val="20"/>
              </w:rPr>
              <w:t>281</w:t>
            </w:r>
          </w:p>
        </w:tc>
        <w:tc>
          <w:tcPr>
            <w:tcW w:w="1475" w:type="dxa"/>
          </w:tcPr>
          <w:p w:rsidR="00000000" w:rsidRDefault="00000000">
            <w:pPr>
              <w:pStyle w:val="BodyTextIndent"/>
              <w:spacing w:before="60" w:after="60"/>
              <w:ind w:left="0" w:right="510"/>
              <w:jc w:val="right"/>
              <w:rPr>
                <w:iCs/>
                <w:sz w:val="20"/>
              </w:rPr>
            </w:pPr>
            <w:r>
              <w:rPr>
                <w:iCs/>
                <w:sz w:val="20"/>
              </w:rPr>
              <w:t>196</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 xml:space="preserve">Fibrocement or similar </w:t>
            </w:r>
          </w:p>
        </w:tc>
        <w:tc>
          <w:tcPr>
            <w:tcW w:w="1693" w:type="dxa"/>
          </w:tcPr>
          <w:p w:rsidR="00000000" w:rsidRDefault="00000000">
            <w:pPr>
              <w:pStyle w:val="BodyTextIndent"/>
              <w:spacing w:before="60" w:after="60"/>
              <w:ind w:left="0" w:right="510"/>
              <w:jc w:val="right"/>
              <w:rPr>
                <w:iCs/>
                <w:sz w:val="20"/>
                <w:lang w:val="nl-NL"/>
              </w:rPr>
            </w:pPr>
            <w:r>
              <w:rPr>
                <w:iCs/>
                <w:sz w:val="20"/>
                <w:lang w:val="nl-NL"/>
              </w:rPr>
              <w:t>36 208</w:t>
            </w:r>
          </w:p>
        </w:tc>
        <w:tc>
          <w:tcPr>
            <w:tcW w:w="1495" w:type="dxa"/>
          </w:tcPr>
          <w:p w:rsidR="00000000" w:rsidRDefault="00000000">
            <w:pPr>
              <w:pStyle w:val="BodyTextIndent"/>
              <w:spacing w:before="60" w:after="60"/>
              <w:ind w:left="0" w:right="510"/>
              <w:jc w:val="right"/>
              <w:rPr>
                <w:iCs/>
                <w:sz w:val="20"/>
                <w:lang w:val="nl-NL"/>
              </w:rPr>
            </w:pPr>
            <w:r>
              <w:rPr>
                <w:iCs/>
                <w:sz w:val="20"/>
                <w:lang w:val="nl-NL"/>
              </w:rPr>
              <w:t>36 000</w:t>
            </w:r>
          </w:p>
        </w:tc>
        <w:tc>
          <w:tcPr>
            <w:tcW w:w="1464" w:type="dxa"/>
          </w:tcPr>
          <w:p w:rsidR="00000000" w:rsidRDefault="00000000">
            <w:pPr>
              <w:pStyle w:val="BodyTextIndent"/>
              <w:spacing w:before="60" w:after="60"/>
              <w:ind w:left="0" w:right="510"/>
              <w:jc w:val="right"/>
              <w:rPr>
                <w:iCs/>
                <w:sz w:val="20"/>
                <w:lang w:val="nl-NL"/>
              </w:rPr>
            </w:pPr>
            <w:r>
              <w:rPr>
                <w:iCs/>
                <w:sz w:val="20"/>
                <w:lang w:val="nl-NL"/>
              </w:rPr>
              <w:t>63</w:t>
            </w:r>
          </w:p>
        </w:tc>
        <w:tc>
          <w:tcPr>
            <w:tcW w:w="1475" w:type="dxa"/>
          </w:tcPr>
          <w:p w:rsidR="00000000" w:rsidRDefault="00000000">
            <w:pPr>
              <w:pStyle w:val="BodyTextIndent"/>
              <w:spacing w:before="60" w:after="60"/>
              <w:ind w:left="0" w:right="510"/>
              <w:jc w:val="right"/>
              <w:rPr>
                <w:iCs/>
                <w:sz w:val="20"/>
                <w:lang w:val="nl-NL"/>
              </w:rPr>
            </w:pPr>
            <w:r>
              <w:rPr>
                <w:iCs/>
                <w:sz w:val="20"/>
                <w:lang w:val="nl-NL"/>
              </w:rPr>
              <w:t>145</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nl-NL"/>
              </w:rPr>
            </w:pPr>
            <w:r>
              <w:rPr>
                <w:iCs/>
                <w:sz w:val="20"/>
                <w:lang w:val="nl-NL"/>
              </w:rPr>
              <w:tab/>
              <w:t>Sheet metal</w:t>
            </w:r>
          </w:p>
        </w:tc>
        <w:tc>
          <w:tcPr>
            <w:tcW w:w="1693" w:type="dxa"/>
          </w:tcPr>
          <w:p w:rsidR="00000000" w:rsidRDefault="00000000">
            <w:pPr>
              <w:pStyle w:val="BodyTextIndent"/>
              <w:spacing w:before="60" w:after="60"/>
              <w:ind w:left="0" w:right="510"/>
              <w:jc w:val="right"/>
              <w:rPr>
                <w:iCs/>
                <w:sz w:val="20"/>
                <w:lang w:val="nl-NL"/>
              </w:rPr>
            </w:pPr>
            <w:r>
              <w:rPr>
                <w:iCs/>
                <w:sz w:val="20"/>
                <w:lang w:val="nl-NL"/>
              </w:rPr>
              <w:t>27 167</w:t>
            </w:r>
          </w:p>
        </w:tc>
        <w:tc>
          <w:tcPr>
            <w:tcW w:w="1495" w:type="dxa"/>
          </w:tcPr>
          <w:p w:rsidR="00000000" w:rsidRDefault="00000000">
            <w:pPr>
              <w:pStyle w:val="BodyTextIndent"/>
              <w:spacing w:before="60" w:after="60"/>
              <w:ind w:left="0" w:right="510"/>
              <w:jc w:val="right"/>
              <w:rPr>
                <w:iCs/>
                <w:sz w:val="20"/>
                <w:lang w:val="nl-NL"/>
              </w:rPr>
            </w:pPr>
            <w:r>
              <w:rPr>
                <w:iCs/>
                <w:sz w:val="20"/>
                <w:lang w:val="nl-NL"/>
              </w:rPr>
              <w:t>26 513</w:t>
            </w:r>
          </w:p>
        </w:tc>
        <w:tc>
          <w:tcPr>
            <w:tcW w:w="1464" w:type="dxa"/>
          </w:tcPr>
          <w:p w:rsidR="00000000" w:rsidRDefault="00000000">
            <w:pPr>
              <w:pStyle w:val="BodyTextIndent"/>
              <w:spacing w:before="60" w:after="60"/>
              <w:ind w:left="0" w:right="510"/>
              <w:jc w:val="right"/>
              <w:rPr>
                <w:iCs/>
                <w:sz w:val="20"/>
                <w:lang w:val="nl-NL"/>
              </w:rPr>
            </w:pPr>
            <w:r>
              <w:rPr>
                <w:iCs/>
                <w:sz w:val="20"/>
                <w:lang w:val="nl-NL"/>
              </w:rPr>
              <w:t>219</w:t>
            </w:r>
          </w:p>
        </w:tc>
        <w:tc>
          <w:tcPr>
            <w:tcW w:w="1475" w:type="dxa"/>
          </w:tcPr>
          <w:p w:rsidR="00000000" w:rsidRDefault="00000000">
            <w:pPr>
              <w:pStyle w:val="BodyTextIndent"/>
              <w:spacing w:before="60" w:after="60"/>
              <w:ind w:left="0" w:right="510"/>
              <w:jc w:val="right"/>
              <w:rPr>
                <w:iCs/>
                <w:sz w:val="20"/>
                <w:lang w:val="nl-NL"/>
              </w:rPr>
            </w:pPr>
            <w:r>
              <w:rPr>
                <w:iCs/>
                <w:sz w:val="20"/>
                <w:lang w:val="nl-NL"/>
              </w:rPr>
              <w:t>435</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lang w:val="nl-NL"/>
              </w:rPr>
            </w:pPr>
            <w:r>
              <w:rPr>
                <w:iCs/>
                <w:sz w:val="20"/>
                <w:lang w:val="nl-NL"/>
              </w:rPr>
              <w:tab/>
              <w:t>Wooden planks</w:t>
            </w:r>
          </w:p>
        </w:tc>
        <w:tc>
          <w:tcPr>
            <w:tcW w:w="1693" w:type="dxa"/>
          </w:tcPr>
          <w:p w:rsidR="00000000" w:rsidRDefault="00000000">
            <w:pPr>
              <w:pStyle w:val="BodyTextIndent"/>
              <w:spacing w:before="60" w:after="60"/>
              <w:ind w:left="0" w:right="510"/>
              <w:jc w:val="right"/>
              <w:rPr>
                <w:iCs/>
                <w:sz w:val="20"/>
              </w:rPr>
            </w:pPr>
            <w:r>
              <w:rPr>
                <w:iCs/>
                <w:sz w:val="20"/>
              </w:rPr>
              <w:t>5 982</w:t>
            </w:r>
          </w:p>
        </w:tc>
        <w:tc>
          <w:tcPr>
            <w:tcW w:w="1495" w:type="dxa"/>
          </w:tcPr>
          <w:p w:rsidR="00000000" w:rsidRDefault="00000000">
            <w:pPr>
              <w:pStyle w:val="BodyTextIndent"/>
              <w:spacing w:before="60" w:after="60"/>
              <w:ind w:left="0" w:right="510"/>
              <w:jc w:val="right"/>
              <w:rPr>
                <w:iCs/>
                <w:sz w:val="20"/>
              </w:rPr>
            </w:pPr>
            <w:r>
              <w:rPr>
                <w:iCs/>
                <w:sz w:val="20"/>
              </w:rPr>
              <w:t>5 962</w:t>
            </w:r>
          </w:p>
        </w:tc>
        <w:tc>
          <w:tcPr>
            <w:tcW w:w="1464" w:type="dxa"/>
          </w:tcPr>
          <w:p w:rsidR="00000000" w:rsidRDefault="00000000">
            <w:pPr>
              <w:pStyle w:val="BodyTextIndent"/>
              <w:spacing w:before="60" w:after="60"/>
              <w:ind w:left="0" w:right="510"/>
              <w:jc w:val="right"/>
              <w:rPr>
                <w:iCs/>
                <w:sz w:val="20"/>
              </w:rPr>
            </w:pPr>
            <w:r>
              <w:rPr>
                <w:iCs/>
                <w:sz w:val="20"/>
              </w:rPr>
              <w:t>14</w:t>
            </w:r>
          </w:p>
        </w:tc>
        <w:tc>
          <w:tcPr>
            <w:tcW w:w="1475" w:type="dxa"/>
          </w:tcPr>
          <w:p w:rsidR="00000000" w:rsidRDefault="00000000">
            <w:pPr>
              <w:pStyle w:val="BodyTextIndent"/>
              <w:spacing w:before="60" w:after="60"/>
              <w:ind w:left="0" w:right="510"/>
              <w:jc w:val="right"/>
              <w:rPr>
                <w:iCs/>
                <w:sz w:val="20"/>
              </w:rPr>
            </w:pPr>
            <w:r>
              <w:rPr>
                <w:iCs/>
                <w:sz w:val="20"/>
              </w:rPr>
              <w:t>6</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567" w:hanging="567"/>
              <w:rPr>
                <w:iCs/>
                <w:sz w:val="20"/>
                <w:lang w:val="en-US"/>
              </w:rPr>
            </w:pPr>
            <w:r>
              <w:rPr>
                <w:iCs/>
                <w:sz w:val="20"/>
                <w:lang w:val="en-US"/>
              </w:rPr>
              <w:tab/>
              <w:t>Reinforced concrete, tiles or vaulted</w:t>
            </w:r>
          </w:p>
        </w:tc>
        <w:tc>
          <w:tcPr>
            <w:tcW w:w="1693" w:type="dxa"/>
            <w:vAlign w:val="center"/>
          </w:tcPr>
          <w:p w:rsidR="00000000" w:rsidRDefault="00000000">
            <w:pPr>
              <w:pStyle w:val="BodyTextIndent"/>
              <w:spacing w:before="60" w:after="60"/>
              <w:ind w:left="0" w:right="510"/>
              <w:jc w:val="right"/>
              <w:rPr>
                <w:iCs/>
                <w:sz w:val="20"/>
              </w:rPr>
            </w:pPr>
            <w:r>
              <w:rPr>
                <w:iCs/>
                <w:sz w:val="20"/>
              </w:rPr>
              <w:t>14</w:t>
            </w:r>
          </w:p>
        </w:tc>
        <w:tc>
          <w:tcPr>
            <w:tcW w:w="1495" w:type="dxa"/>
            <w:vAlign w:val="center"/>
          </w:tcPr>
          <w:p w:rsidR="00000000" w:rsidRDefault="00000000">
            <w:pPr>
              <w:pStyle w:val="BodyTextIndent"/>
              <w:spacing w:before="60" w:after="60"/>
              <w:ind w:left="0" w:right="510"/>
              <w:jc w:val="right"/>
              <w:rPr>
                <w:iCs/>
                <w:sz w:val="20"/>
              </w:rPr>
            </w:pPr>
            <w:r>
              <w:rPr>
                <w:iCs/>
                <w:sz w:val="20"/>
              </w:rPr>
              <w:t>-</w:t>
            </w:r>
          </w:p>
        </w:tc>
        <w:tc>
          <w:tcPr>
            <w:tcW w:w="1464" w:type="dxa"/>
            <w:vAlign w:val="center"/>
          </w:tcPr>
          <w:p w:rsidR="00000000" w:rsidRDefault="00000000">
            <w:pPr>
              <w:pStyle w:val="BodyTextIndent"/>
              <w:spacing w:before="60" w:after="60"/>
              <w:ind w:left="0" w:right="510"/>
              <w:jc w:val="right"/>
              <w:rPr>
                <w:iCs/>
                <w:sz w:val="20"/>
              </w:rPr>
            </w:pPr>
            <w:r>
              <w:rPr>
                <w:iCs/>
                <w:sz w:val="20"/>
              </w:rPr>
              <w:t>-</w:t>
            </w:r>
          </w:p>
        </w:tc>
        <w:tc>
          <w:tcPr>
            <w:tcW w:w="1475" w:type="dxa"/>
            <w:vAlign w:val="center"/>
          </w:tcPr>
          <w:p w:rsidR="00000000" w:rsidRDefault="00000000">
            <w:pPr>
              <w:pStyle w:val="BodyTextIndent"/>
              <w:spacing w:before="60" w:after="60"/>
              <w:ind w:left="0" w:right="510"/>
              <w:jc w:val="right"/>
              <w:rPr>
                <w:iCs/>
                <w:sz w:val="20"/>
              </w:rPr>
            </w:pPr>
            <w:r>
              <w:rPr>
                <w:iCs/>
                <w:sz w:val="20"/>
              </w:rPr>
              <w:t>14</w:t>
            </w:r>
          </w:p>
        </w:tc>
      </w:tr>
      <w:tr w:rsidR="00000000">
        <w:tblPrEx>
          <w:tblCellMar>
            <w:top w:w="0" w:type="dxa"/>
            <w:bottom w:w="0" w:type="dxa"/>
          </w:tblCellMar>
        </w:tblPrEx>
        <w:trPr>
          <w:jc w:val="center"/>
        </w:trPr>
        <w:tc>
          <w:tcPr>
            <w:tcW w:w="3302" w:type="dxa"/>
          </w:tcPr>
          <w:p w:rsidR="00000000" w:rsidRDefault="00000000">
            <w:pPr>
              <w:pStyle w:val="BodyTextIndent"/>
              <w:spacing w:before="60" w:after="60"/>
              <w:ind w:left="0"/>
              <w:rPr>
                <w:iCs/>
                <w:sz w:val="20"/>
              </w:rPr>
            </w:pPr>
            <w:r>
              <w:rPr>
                <w:iCs/>
                <w:sz w:val="20"/>
              </w:rPr>
              <w:tab/>
              <w:t>Palm trunk</w:t>
            </w:r>
          </w:p>
        </w:tc>
        <w:tc>
          <w:tcPr>
            <w:tcW w:w="1693" w:type="dxa"/>
          </w:tcPr>
          <w:p w:rsidR="00000000" w:rsidRDefault="00000000">
            <w:pPr>
              <w:pStyle w:val="BodyTextIndent"/>
              <w:spacing w:before="60" w:after="60"/>
              <w:ind w:left="0" w:right="510"/>
              <w:jc w:val="right"/>
              <w:rPr>
                <w:iCs/>
                <w:sz w:val="20"/>
              </w:rPr>
            </w:pPr>
            <w:r>
              <w:rPr>
                <w:iCs/>
                <w:sz w:val="20"/>
              </w:rPr>
              <w:t>1 819</w:t>
            </w:r>
          </w:p>
        </w:tc>
        <w:tc>
          <w:tcPr>
            <w:tcW w:w="1495" w:type="dxa"/>
          </w:tcPr>
          <w:p w:rsidR="00000000" w:rsidRDefault="00000000">
            <w:pPr>
              <w:pStyle w:val="BodyTextIndent"/>
              <w:spacing w:before="60" w:after="60"/>
              <w:ind w:left="0" w:right="510"/>
              <w:jc w:val="right"/>
              <w:rPr>
                <w:iCs/>
                <w:sz w:val="20"/>
              </w:rPr>
            </w:pPr>
            <w:r>
              <w:rPr>
                <w:iCs/>
                <w:sz w:val="20"/>
              </w:rPr>
              <w:t>1 784</w:t>
            </w:r>
          </w:p>
        </w:tc>
        <w:tc>
          <w:tcPr>
            <w:tcW w:w="1464" w:type="dxa"/>
          </w:tcPr>
          <w:p w:rsidR="00000000" w:rsidRDefault="00000000">
            <w:pPr>
              <w:pStyle w:val="BodyTextIndent"/>
              <w:spacing w:before="60" w:after="60"/>
              <w:ind w:left="0" w:right="510"/>
              <w:jc w:val="right"/>
              <w:rPr>
                <w:iCs/>
                <w:sz w:val="20"/>
              </w:rPr>
            </w:pPr>
            <w:r>
              <w:rPr>
                <w:iCs/>
                <w:sz w:val="20"/>
              </w:rPr>
              <w:t>25</w:t>
            </w:r>
          </w:p>
        </w:tc>
        <w:tc>
          <w:tcPr>
            <w:tcW w:w="1475" w:type="dxa"/>
          </w:tcPr>
          <w:p w:rsidR="00000000" w:rsidRDefault="00000000">
            <w:pPr>
              <w:pStyle w:val="BodyTextIndent"/>
              <w:spacing w:before="60" w:after="60"/>
              <w:ind w:left="0" w:right="510"/>
              <w:jc w:val="right"/>
              <w:rPr>
                <w:iCs/>
                <w:sz w:val="20"/>
              </w:rPr>
            </w:pPr>
            <w:r>
              <w:rPr>
                <w:iCs/>
                <w:sz w:val="20"/>
              </w:rPr>
              <w:t>10</w:t>
            </w:r>
          </w:p>
        </w:tc>
      </w:tr>
      <w:tr w:rsidR="00000000">
        <w:tblPrEx>
          <w:tblCellMar>
            <w:top w:w="0" w:type="dxa"/>
            <w:bottom w:w="0" w:type="dxa"/>
          </w:tblCellMar>
        </w:tblPrEx>
        <w:trPr>
          <w:jc w:val="center"/>
        </w:trPr>
        <w:tc>
          <w:tcPr>
            <w:tcW w:w="3302" w:type="dxa"/>
            <w:tcBorders>
              <w:bottom w:val="nil"/>
            </w:tcBorders>
          </w:tcPr>
          <w:p w:rsidR="00000000" w:rsidRDefault="00000000">
            <w:pPr>
              <w:pStyle w:val="BodyTextIndent"/>
              <w:spacing w:before="60" w:after="60"/>
              <w:ind w:left="0"/>
              <w:rPr>
                <w:iCs/>
                <w:sz w:val="20"/>
                <w:lang w:val="en-US"/>
              </w:rPr>
            </w:pPr>
            <w:r>
              <w:rPr>
                <w:iCs/>
                <w:sz w:val="20"/>
                <w:lang w:val="en-US"/>
              </w:rPr>
              <w:tab/>
              <w:t>Cardboard, oilcloth, wood from</w:t>
            </w:r>
            <w:r>
              <w:rPr>
                <w:iCs/>
                <w:sz w:val="20"/>
                <w:lang w:val="en-US"/>
              </w:rPr>
              <w:br/>
            </w:r>
            <w:r>
              <w:rPr>
                <w:iCs/>
                <w:sz w:val="20"/>
                <w:lang w:val="en-US"/>
              </w:rPr>
              <w:tab/>
              <w:t xml:space="preserve"> packaging</w:t>
            </w:r>
          </w:p>
        </w:tc>
        <w:tc>
          <w:tcPr>
            <w:tcW w:w="1693" w:type="dxa"/>
            <w:tcBorders>
              <w:bottom w:val="nil"/>
            </w:tcBorders>
          </w:tcPr>
          <w:p w:rsidR="00000000" w:rsidRDefault="00000000">
            <w:pPr>
              <w:pStyle w:val="BodyTextIndent"/>
              <w:spacing w:before="60" w:after="60"/>
              <w:ind w:left="0" w:right="510"/>
              <w:jc w:val="right"/>
              <w:rPr>
                <w:iCs/>
                <w:sz w:val="20"/>
              </w:rPr>
            </w:pPr>
            <w:r>
              <w:rPr>
                <w:iCs/>
                <w:sz w:val="20"/>
              </w:rPr>
              <w:t>733</w:t>
            </w:r>
          </w:p>
        </w:tc>
        <w:tc>
          <w:tcPr>
            <w:tcW w:w="1495" w:type="dxa"/>
            <w:tcBorders>
              <w:bottom w:val="nil"/>
            </w:tcBorders>
          </w:tcPr>
          <w:p w:rsidR="00000000" w:rsidRDefault="00000000">
            <w:pPr>
              <w:pStyle w:val="BodyTextIndent"/>
              <w:spacing w:before="60" w:after="60"/>
              <w:ind w:left="0" w:right="510"/>
              <w:jc w:val="right"/>
              <w:rPr>
                <w:iCs/>
                <w:sz w:val="20"/>
              </w:rPr>
            </w:pPr>
            <w:r>
              <w:rPr>
                <w:iCs/>
                <w:sz w:val="20"/>
              </w:rPr>
              <w:t>-</w:t>
            </w:r>
          </w:p>
        </w:tc>
        <w:tc>
          <w:tcPr>
            <w:tcW w:w="1464" w:type="dxa"/>
            <w:tcBorders>
              <w:bottom w:val="nil"/>
            </w:tcBorders>
          </w:tcPr>
          <w:p w:rsidR="00000000" w:rsidRDefault="00000000">
            <w:pPr>
              <w:pStyle w:val="BodyTextIndent"/>
              <w:spacing w:before="60" w:after="60"/>
              <w:ind w:left="0" w:right="510"/>
              <w:jc w:val="right"/>
              <w:rPr>
                <w:iCs/>
                <w:sz w:val="20"/>
              </w:rPr>
            </w:pPr>
            <w:r>
              <w:rPr>
                <w:iCs/>
                <w:sz w:val="20"/>
              </w:rPr>
              <w:t>724</w:t>
            </w:r>
          </w:p>
        </w:tc>
        <w:tc>
          <w:tcPr>
            <w:tcW w:w="1475" w:type="dxa"/>
            <w:tcBorders>
              <w:bottom w:val="nil"/>
            </w:tcBorders>
          </w:tcPr>
          <w:p w:rsidR="00000000" w:rsidRDefault="00000000">
            <w:pPr>
              <w:pStyle w:val="BodyTextIndent"/>
              <w:spacing w:before="60" w:after="60"/>
              <w:ind w:left="0" w:right="510"/>
              <w:jc w:val="right"/>
              <w:rPr>
                <w:iCs/>
                <w:sz w:val="20"/>
              </w:rPr>
            </w:pPr>
            <w:r>
              <w:rPr>
                <w:iCs/>
                <w:sz w:val="20"/>
              </w:rPr>
              <w:t>9</w:t>
            </w:r>
          </w:p>
        </w:tc>
      </w:tr>
      <w:tr w:rsidR="00000000">
        <w:tblPrEx>
          <w:tblCellMar>
            <w:top w:w="0" w:type="dxa"/>
            <w:bottom w:w="0" w:type="dxa"/>
          </w:tblCellMar>
        </w:tblPrEx>
        <w:trPr>
          <w:jc w:val="center"/>
        </w:trPr>
        <w:tc>
          <w:tcPr>
            <w:tcW w:w="3302" w:type="dxa"/>
            <w:tcBorders>
              <w:bottom w:val="single" w:sz="4" w:space="0" w:color="auto"/>
            </w:tcBorders>
          </w:tcPr>
          <w:p w:rsidR="00000000" w:rsidRDefault="00000000">
            <w:pPr>
              <w:pStyle w:val="BodyTextIndent"/>
              <w:spacing w:before="60" w:after="60"/>
              <w:ind w:left="0"/>
              <w:rPr>
                <w:iCs/>
                <w:sz w:val="20"/>
              </w:rPr>
            </w:pPr>
            <w:r>
              <w:rPr>
                <w:iCs/>
                <w:sz w:val="20"/>
              </w:rPr>
              <w:tab/>
              <w:t>Other</w:t>
            </w:r>
          </w:p>
        </w:tc>
        <w:tc>
          <w:tcPr>
            <w:tcW w:w="1693" w:type="dxa"/>
            <w:tcBorders>
              <w:bottom w:val="single" w:sz="4" w:space="0" w:color="auto"/>
            </w:tcBorders>
          </w:tcPr>
          <w:p w:rsidR="00000000" w:rsidRDefault="00000000">
            <w:pPr>
              <w:pStyle w:val="BodyTextIndent"/>
              <w:spacing w:before="60" w:after="60"/>
              <w:ind w:left="0" w:right="510"/>
              <w:jc w:val="right"/>
              <w:rPr>
                <w:iCs/>
                <w:sz w:val="20"/>
              </w:rPr>
            </w:pPr>
            <w:r>
              <w:rPr>
                <w:iCs/>
                <w:sz w:val="20"/>
              </w:rPr>
              <w:t>94</w:t>
            </w:r>
          </w:p>
        </w:tc>
        <w:tc>
          <w:tcPr>
            <w:tcW w:w="1495" w:type="dxa"/>
            <w:tcBorders>
              <w:bottom w:val="single" w:sz="4" w:space="0" w:color="auto"/>
            </w:tcBorders>
          </w:tcPr>
          <w:p w:rsidR="00000000" w:rsidRDefault="00000000">
            <w:pPr>
              <w:pStyle w:val="BodyTextIndent"/>
              <w:spacing w:before="60" w:after="60"/>
              <w:ind w:left="0" w:right="510"/>
              <w:jc w:val="right"/>
              <w:rPr>
                <w:iCs/>
                <w:sz w:val="20"/>
              </w:rPr>
            </w:pPr>
            <w:r>
              <w:rPr>
                <w:iCs/>
                <w:sz w:val="20"/>
              </w:rPr>
              <w:t>39</w:t>
            </w:r>
          </w:p>
        </w:tc>
        <w:tc>
          <w:tcPr>
            <w:tcW w:w="1464" w:type="dxa"/>
            <w:tcBorders>
              <w:bottom w:val="single" w:sz="4" w:space="0" w:color="auto"/>
            </w:tcBorders>
          </w:tcPr>
          <w:p w:rsidR="00000000" w:rsidRDefault="00000000">
            <w:pPr>
              <w:pStyle w:val="BodyTextIndent"/>
              <w:spacing w:before="60" w:after="60"/>
              <w:ind w:left="0" w:right="510"/>
              <w:jc w:val="right"/>
              <w:rPr>
                <w:iCs/>
                <w:sz w:val="20"/>
              </w:rPr>
            </w:pPr>
            <w:r>
              <w:rPr>
                <w:iCs/>
                <w:sz w:val="20"/>
              </w:rPr>
              <w:t>51</w:t>
            </w:r>
          </w:p>
        </w:tc>
        <w:tc>
          <w:tcPr>
            <w:tcW w:w="1475" w:type="dxa"/>
            <w:tcBorders>
              <w:bottom w:val="single" w:sz="4" w:space="0" w:color="auto"/>
            </w:tcBorders>
          </w:tcPr>
          <w:p w:rsidR="00000000" w:rsidRDefault="00000000">
            <w:pPr>
              <w:pStyle w:val="BodyTextIndent"/>
              <w:spacing w:before="60" w:after="60"/>
              <w:ind w:left="0" w:right="510"/>
              <w:jc w:val="right"/>
              <w:rPr>
                <w:iCs/>
                <w:sz w:val="20"/>
              </w:rPr>
            </w:pPr>
            <w:r>
              <w:rPr>
                <w:iCs/>
                <w:sz w:val="20"/>
              </w:rPr>
              <w:t>4</w:t>
            </w:r>
          </w:p>
        </w:tc>
      </w:tr>
    </w:tbl>
    <w:p w:rsidR="00000000" w:rsidRDefault="00000000">
      <w:pPr>
        <w:pStyle w:val="BodyTextIndent"/>
        <w:spacing w:before="120" w:after="240"/>
        <w:ind w:left="567"/>
        <w:rPr>
          <w:sz w:val="20"/>
          <w:lang w:val="en-US"/>
        </w:rPr>
      </w:pPr>
      <w:r>
        <w:rPr>
          <w:i/>
          <w:iCs/>
          <w:sz w:val="20"/>
          <w:lang w:val="en-US"/>
        </w:rPr>
        <w:t>Source:</w:t>
      </w:r>
      <w:r>
        <w:rPr>
          <w:sz w:val="20"/>
          <w:lang w:val="en-US"/>
        </w:rPr>
        <w:t xml:space="preserve"> Paraguay Final Results – National Population and Housing Census. Year: 2002</w:t>
      </w:r>
    </w:p>
    <w:p w:rsidR="00000000" w:rsidRDefault="00000000">
      <w:pPr>
        <w:autoSpaceDE w:val="0"/>
        <w:autoSpaceDN w:val="0"/>
        <w:adjustRightInd w:val="0"/>
        <w:spacing w:after="240"/>
        <w:rPr>
          <w:bCs/>
          <w:lang w:val="en-US"/>
        </w:rPr>
      </w:pPr>
      <w:r>
        <w:rPr>
          <w:lang w:val="en-US"/>
        </w:rPr>
        <w:t>398</w:t>
      </w:r>
      <w:r>
        <w:rPr>
          <w:bCs/>
          <w:lang w:val="en-US"/>
        </w:rPr>
        <w:t>.</w:t>
      </w:r>
      <w:r>
        <w:rPr>
          <w:bCs/>
          <w:lang w:val="en-US"/>
        </w:rPr>
        <w:tab/>
        <w:t xml:space="preserve">The enormous effort being made to gain access to housing is confirmed by an analysis of the situation of access to financing, illustrated by the findings of the 2002 National Population and Housing Census, which shows that a mere 3.3% of all occupied dwellings are paying financing charges, a proportion that rises to 6.8% in the Asunción metropolitan area. </w:t>
      </w:r>
    </w:p>
    <w:p w:rsidR="00000000" w:rsidRDefault="00000000">
      <w:pPr>
        <w:autoSpaceDE w:val="0"/>
        <w:autoSpaceDN w:val="0"/>
        <w:adjustRightInd w:val="0"/>
        <w:spacing w:after="240"/>
        <w:rPr>
          <w:bCs/>
          <w:lang w:val="en-US"/>
        </w:rPr>
      </w:pPr>
      <w:r>
        <w:rPr>
          <w:lang w:val="en-US"/>
        </w:rPr>
        <w:t>399</w:t>
      </w:r>
      <w:r>
        <w:rPr>
          <w:bCs/>
          <w:lang w:val="en-US"/>
        </w:rPr>
        <w:t>.</w:t>
      </w:r>
      <w:r>
        <w:rPr>
          <w:bCs/>
          <w:lang w:val="en-US"/>
        </w:rPr>
        <w:tab/>
        <w:t>It may be concluded, first of all, that there is a high demand for housing, encouraged by the substantial rates of population growth and establishment of new households, and, secondly, that this demand is centred in cities and will be accentuated there in the future, boosted by the high rate of urbanization. Formal supply barely manages to cater to just over one third of demand for new dwellings, and there is a substantial informal supply of dwellings suffering from problems relating to quality and access to basic services. The informal sector is boosted by lack of access to financing among other things. Lastly, the dearth of formal supply accessible to the population accentuates the defective condition of dwellings from the point of view of quality.</w:t>
      </w:r>
    </w:p>
    <w:p w:rsidR="00000000" w:rsidRDefault="00000000">
      <w:pPr>
        <w:autoSpaceDE w:val="0"/>
        <w:autoSpaceDN w:val="0"/>
        <w:adjustRightInd w:val="0"/>
        <w:spacing w:after="240"/>
        <w:rPr>
          <w:b/>
          <w:bCs/>
          <w:lang w:val="en-US"/>
        </w:rPr>
      </w:pPr>
      <w:r>
        <w:rPr>
          <w:b/>
          <w:bCs/>
          <w:lang w:val="en-US"/>
        </w:rPr>
        <w:t>1.1</w:t>
      </w:r>
      <w:r>
        <w:rPr>
          <w:b/>
          <w:bCs/>
          <w:lang w:val="en-US"/>
        </w:rPr>
        <w:tab/>
        <w:t>Evolution of housing in the national general budget of expenditures</w:t>
      </w:r>
    </w:p>
    <w:tbl>
      <w:tblPr>
        <w:tblW w:w="4000" w:type="pct"/>
        <w:jc w:val="center"/>
        <w:tblLayout w:type="fixed"/>
        <w:tblCellMar>
          <w:left w:w="0" w:type="dxa"/>
          <w:right w:w="0" w:type="dxa"/>
        </w:tblCellMar>
        <w:tblLook w:val="0000" w:firstRow="0" w:lastRow="0" w:firstColumn="0" w:lastColumn="0" w:noHBand="0" w:noVBand="0"/>
      </w:tblPr>
      <w:tblGrid>
        <w:gridCol w:w="1004"/>
        <w:gridCol w:w="2698"/>
        <w:gridCol w:w="1608"/>
        <w:gridCol w:w="2233"/>
      </w:tblGrid>
      <w:tr w:rsidR="00000000">
        <w:tblPrEx>
          <w:tblCellMar>
            <w:top w:w="0" w:type="dxa"/>
            <w:bottom w:w="0" w:type="dxa"/>
          </w:tblCellMar>
        </w:tblPrEx>
        <w:trPr>
          <w:jc w:val="center"/>
        </w:trPr>
        <w:tc>
          <w:tcPr>
            <w:tcW w:w="98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50" w:after="50"/>
              <w:jc w:val="center"/>
              <w:rPr>
                <w:b/>
                <w:bCs/>
                <w:i/>
                <w:iCs/>
                <w:sz w:val="20"/>
                <w:lang w:val="es-MX"/>
              </w:rPr>
            </w:pPr>
            <w:r>
              <w:rPr>
                <w:b/>
                <w:bCs/>
                <w:i/>
                <w:iCs/>
                <w:sz w:val="20"/>
                <w:lang w:val="es-MX"/>
              </w:rPr>
              <w:t>Years</w:t>
            </w:r>
          </w:p>
        </w:tc>
        <w:tc>
          <w:tcPr>
            <w:tcW w:w="2634"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50" w:after="50"/>
              <w:jc w:val="center"/>
              <w:rPr>
                <w:b/>
                <w:bCs/>
                <w:i/>
                <w:iCs/>
                <w:sz w:val="20"/>
                <w:vertAlign w:val="superscript"/>
                <w:lang w:val="es-MX"/>
              </w:rPr>
            </w:pPr>
            <w:r>
              <w:rPr>
                <w:b/>
                <w:bCs/>
                <w:i/>
                <w:iCs/>
                <w:sz w:val="20"/>
                <w:lang w:val="es-MX"/>
              </w:rPr>
              <w:t>National budget</w:t>
            </w:r>
            <w:r>
              <w:rPr>
                <w:b/>
                <w:bCs/>
                <w:sz w:val="22"/>
                <w:vertAlign w:val="superscript"/>
                <w:lang w:val="es-MX"/>
              </w:rPr>
              <w:t>1</w:t>
            </w:r>
          </w:p>
        </w:tc>
        <w:tc>
          <w:tcPr>
            <w:tcW w:w="157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50" w:after="50"/>
              <w:jc w:val="center"/>
              <w:rPr>
                <w:b/>
                <w:bCs/>
                <w:i/>
                <w:iCs/>
                <w:sz w:val="20"/>
                <w:vertAlign w:val="superscript"/>
                <w:lang w:val="es-MX"/>
              </w:rPr>
            </w:pPr>
            <w:r>
              <w:rPr>
                <w:b/>
                <w:bCs/>
                <w:i/>
                <w:iCs/>
                <w:sz w:val="20"/>
                <w:lang w:val="es-MX"/>
              </w:rPr>
              <w:t>Dwellings</w:t>
            </w:r>
            <w:r>
              <w:rPr>
                <w:b/>
                <w:bCs/>
                <w:sz w:val="22"/>
                <w:vertAlign w:val="superscript"/>
                <w:lang w:val="es-MX"/>
              </w:rPr>
              <w:t>2</w:t>
            </w:r>
          </w:p>
        </w:tc>
        <w:tc>
          <w:tcPr>
            <w:tcW w:w="218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50" w:after="50"/>
              <w:jc w:val="center"/>
              <w:rPr>
                <w:b/>
                <w:bCs/>
                <w:i/>
                <w:iCs/>
                <w:sz w:val="20"/>
                <w:lang w:val="es-MX"/>
              </w:rPr>
            </w:pPr>
            <w:r>
              <w:rPr>
                <w:b/>
                <w:bCs/>
                <w:i/>
                <w:iCs/>
                <w:sz w:val="20"/>
                <w:lang w:val="es-MX"/>
              </w:rPr>
              <w:t>% dwellings/budget</w:t>
            </w:r>
          </w:p>
        </w:tc>
      </w:tr>
      <w:tr w:rsidR="00000000">
        <w:tblPrEx>
          <w:tblCellMar>
            <w:top w:w="0" w:type="dxa"/>
            <w:bottom w:w="0" w:type="dxa"/>
          </w:tblCellMar>
        </w:tblPrEx>
        <w:trPr>
          <w:jc w:val="center"/>
        </w:trPr>
        <w:tc>
          <w:tcPr>
            <w:tcW w:w="980" w:type="dxa"/>
            <w:tcBorders>
              <w:top w:val="single" w:sz="4" w:space="0" w:color="auto"/>
            </w:tcBorders>
          </w:tcPr>
          <w:p w:rsidR="00000000" w:rsidRDefault="00000000">
            <w:pPr>
              <w:widowControl w:val="0"/>
              <w:autoSpaceDE w:val="0"/>
              <w:autoSpaceDN w:val="0"/>
              <w:adjustRightInd w:val="0"/>
              <w:spacing w:before="50" w:after="50"/>
              <w:jc w:val="center"/>
              <w:rPr>
                <w:sz w:val="20"/>
                <w:lang w:val="en-US"/>
              </w:rPr>
            </w:pPr>
            <w:r>
              <w:rPr>
                <w:sz w:val="20"/>
                <w:lang w:val="en-US"/>
              </w:rPr>
              <w:t>1994</w:t>
            </w:r>
          </w:p>
        </w:tc>
        <w:tc>
          <w:tcPr>
            <w:tcW w:w="2634" w:type="dxa"/>
            <w:tcBorders>
              <w:top w:val="single" w:sz="4" w:space="0" w:color="auto"/>
            </w:tcBorders>
          </w:tcPr>
          <w:p w:rsidR="00000000" w:rsidRDefault="00000000">
            <w:pPr>
              <w:widowControl w:val="0"/>
              <w:autoSpaceDE w:val="0"/>
              <w:autoSpaceDN w:val="0"/>
              <w:adjustRightInd w:val="0"/>
              <w:spacing w:before="50" w:after="50"/>
              <w:jc w:val="center"/>
              <w:rPr>
                <w:sz w:val="20"/>
                <w:lang w:val="en-US"/>
              </w:rPr>
            </w:pPr>
            <w:r>
              <w:rPr>
                <w:sz w:val="20"/>
                <w:lang w:val="en-US"/>
              </w:rPr>
              <w:t xml:space="preserve">  2 253 329</w:t>
            </w:r>
          </w:p>
        </w:tc>
        <w:tc>
          <w:tcPr>
            <w:tcW w:w="1570" w:type="dxa"/>
            <w:tcBorders>
              <w:top w:val="single" w:sz="4" w:space="0" w:color="auto"/>
            </w:tcBorders>
          </w:tcPr>
          <w:p w:rsidR="00000000" w:rsidRDefault="00000000">
            <w:pPr>
              <w:widowControl w:val="0"/>
              <w:autoSpaceDE w:val="0"/>
              <w:autoSpaceDN w:val="0"/>
              <w:adjustRightInd w:val="0"/>
              <w:spacing w:before="50" w:after="50"/>
              <w:jc w:val="center"/>
              <w:rPr>
                <w:sz w:val="20"/>
                <w:lang w:val="en-US"/>
              </w:rPr>
            </w:pPr>
            <w:r>
              <w:rPr>
                <w:sz w:val="20"/>
                <w:lang w:val="en-US"/>
              </w:rPr>
              <w:t>n d</w:t>
            </w:r>
          </w:p>
        </w:tc>
        <w:tc>
          <w:tcPr>
            <w:tcW w:w="2180" w:type="dxa"/>
            <w:tcBorders>
              <w:top w:val="single" w:sz="4" w:space="0" w:color="auto"/>
            </w:tcBorders>
          </w:tcPr>
          <w:p w:rsidR="00000000" w:rsidRDefault="00000000">
            <w:pPr>
              <w:widowControl w:val="0"/>
              <w:autoSpaceDE w:val="0"/>
              <w:autoSpaceDN w:val="0"/>
              <w:adjustRightInd w:val="0"/>
              <w:spacing w:before="50" w:after="50"/>
              <w:jc w:val="center"/>
              <w:rPr>
                <w:sz w:val="20"/>
                <w:lang w:val="en-US"/>
              </w:rPr>
            </w:pP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50" w:after="50"/>
              <w:jc w:val="center"/>
              <w:rPr>
                <w:sz w:val="20"/>
                <w:lang w:val="en-US"/>
              </w:rPr>
            </w:pPr>
            <w:r>
              <w:rPr>
                <w:sz w:val="20"/>
                <w:lang w:val="en-US"/>
              </w:rPr>
              <w:t>1995</w:t>
            </w:r>
          </w:p>
        </w:tc>
        <w:tc>
          <w:tcPr>
            <w:tcW w:w="2634" w:type="dxa"/>
          </w:tcPr>
          <w:p w:rsidR="00000000" w:rsidRDefault="00000000">
            <w:pPr>
              <w:widowControl w:val="0"/>
              <w:autoSpaceDE w:val="0"/>
              <w:autoSpaceDN w:val="0"/>
              <w:adjustRightInd w:val="0"/>
              <w:spacing w:before="50" w:after="50"/>
              <w:jc w:val="center"/>
              <w:rPr>
                <w:sz w:val="20"/>
                <w:lang w:val="en-US"/>
              </w:rPr>
            </w:pPr>
            <w:r>
              <w:rPr>
                <w:sz w:val="20"/>
                <w:lang w:val="en-US"/>
              </w:rPr>
              <w:t xml:space="preserve">  3 042 601</w:t>
            </w:r>
          </w:p>
        </w:tc>
        <w:tc>
          <w:tcPr>
            <w:tcW w:w="1570" w:type="dxa"/>
          </w:tcPr>
          <w:p w:rsidR="00000000" w:rsidRDefault="00000000">
            <w:pPr>
              <w:widowControl w:val="0"/>
              <w:autoSpaceDE w:val="0"/>
              <w:autoSpaceDN w:val="0"/>
              <w:adjustRightInd w:val="0"/>
              <w:spacing w:before="50" w:after="50"/>
              <w:jc w:val="center"/>
              <w:rPr>
                <w:sz w:val="20"/>
                <w:lang w:val="en-US"/>
              </w:rPr>
            </w:pPr>
            <w:r>
              <w:rPr>
                <w:sz w:val="20"/>
                <w:lang w:val="en-US"/>
              </w:rPr>
              <w:t>n d</w:t>
            </w:r>
          </w:p>
        </w:tc>
        <w:tc>
          <w:tcPr>
            <w:tcW w:w="2180" w:type="dxa"/>
          </w:tcPr>
          <w:p w:rsidR="00000000" w:rsidRDefault="00000000">
            <w:pPr>
              <w:widowControl w:val="0"/>
              <w:autoSpaceDE w:val="0"/>
              <w:autoSpaceDN w:val="0"/>
              <w:adjustRightInd w:val="0"/>
              <w:spacing w:before="50" w:after="50"/>
              <w:jc w:val="center"/>
              <w:rPr>
                <w:sz w:val="20"/>
                <w:lang w:val="en-US"/>
              </w:rPr>
            </w:pP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50" w:after="50"/>
              <w:jc w:val="center"/>
              <w:rPr>
                <w:sz w:val="20"/>
                <w:lang w:val="en-US"/>
              </w:rPr>
            </w:pPr>
            <w:r>
              <w:rPr>
                <w:sz w:val="20"/>
                <w:lang w:val="en-US"/>
              </w:rPr>
              <w:t>1996</w:t>
            </w:r>
          </w:p>
        </w:tc>
        <w:tc>
          <w:tcPr>
            <w:tcW w:w="2634" w:type="dxa"/>
          </w:tcPr>
          <w:p w:rsidR="00000000" w:rsidRDefault="00000000">
            <w:pPr>
              <w:widowControl w:val="0"/>
              <w:autoSpaceDE w:val="0"/>
              <w:autoSpaceDN w:val="0"/>
              <w:adjustRightInd w:val="0"/>
              <w:spacing w:before="50" w:after="50"/>
              <w:jc w:val="center"/>
              <w:rPr>
                <w:sz w:val="20"/>
                <w:lang w:val="en-US"/>
              </w:rPr>
            </w:pPr>
            <w:r>
              <w:rPr>
                <w:sz w:val="20"/>
                <w:lang w:val="en-US"/>
              </w:rPr>
              <w:t xml:space="preserve">  3 416 260</w:t>
            </w:r>
          </w:p>
        </w:tc>
        <w:tc>
          <w:tcPr>
            <w:tcW w:w="1570" w:type="dxa"/>
          </w:tcPr>
          <w:p w:rsidR="00000000" w:rsidRDefault="00000000">
            <w:pPr>
              <w:widowControl w:val="0"/>
              <w:autoSpaceDE w:val="0"/>
              <w:autoSpaceDN w:val="0"/>
              <w:adjustRightInd w:val="0"/>
              <w:spacing w:before="50" w:after="50"/>
              <w:jc w:val="center"/>
              <w:rPr>
                <w:sz w:val="20"/>
                <w:lang w:val="en-US"/>
              </w:rPr>
            </w:pPr>
            <w:r>
              <w:rPr>
                <w:sz w:val="20"/>
                <w:lang w:val="en-US"/>
              </w:rPr>
              <w:t>n d</w:t>
            </w:r>
          </w:p>
        </w:tc>
        <w:tc>
          <w:tcPr>
            <w:tcW w:w="2180" w:type="dxa"/>
          </w:tcPr>
          <w:p w:rsidR="00000000" w:rsidRDefault="00000000">
            <w:pPr>
              <w:widowControl w:val="0"/>
              <w:autoSpaceDE w:val="0"/>
              <w:autoSpaceDN w:val="0"/>
              <w:adjustRightInd w:val="0"/>
              <w:spacing w:before="50" w:after="50"/>
              <w:jc w:val="center"/>
              <w:rPr>
                <w:sz w:val="20"/>
                <w:lang w:val="en-US"/>
              </w:rPr>
            </w:pP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50" w:after="50"/>
              <w:jc w:val="center"/>
              <w:rPr>
                <w:sz w:val="20"/>
                <w:lang w:val="en-US"/>
              </w:rPr>
            </w:pPr>
            <w:r>
              <w:rPr>
                <w:sz w:val="20"/>
                <w:lang w:val="en-US"/>
              </w:rPr>
              <w:t>1997</w:t>
            </w:r>
          </w:p>
        </w:tc>
        <w:tc>
          <w:tcPr>
            <w:tcW w:w="2634" w:type="dxa"/>
          </w:tcPr>
          <w:p w:rsidR="00000000" w:rsidRDefault="00000000">
            <w:pPr>
              <w:widowControl w:val="0"/>
              <w:autoSpaceDE w:val="0"/>
              <w:autoSpaceDN w:val="0"/>
              <w:adjustRightInd w:val="0"/>
              <w:spacing w:before="50" w:after="50"/>
              <w:jc w:val="center"/>
              <w:rPr>
                <w:sz w:val="20"/>
                <w:lang w:val="en-US"/>
              </w:rPr>
            </w:pPr>
            <w:r>
              <w:rPr>
                <w:sz w:val="20"/>
                <w:lang w:val="en-US"/>
              </w:rPr>
              <w:t xml:space="preserve">  9 896 024</w:t>
            </w:r>
          </w:p>
        </w:tc>
        <w:tc>
          <w:tcPr>
            <w:tcW w:w="1570" w:type="dxa"/>
          </w:tcPr>
          <w:p w:rsidR="00000000" w:rsidRDefault="00000000">
            <w:pPr>
              <w:widowControl w:val="0"/>
              <w:autoSpaceDE w:val="0"/>
              <w:autoSpaceDN w:val="0"/>
              <w:adjustRightInd w:val="0"/>
              <w:spacing w:before="50" w:after="50"/>
              <w:jc w:val="center"/>
              <w:rPr>
                <w:sz w:val="20"/>
                <w:lang w:val="en-US"/>
              </w:rPr>
            </w:pPr>
            <w:r>
              <w:rPr>
                <w:sz w:val="20"/>
                <w:lang w:val="en-US"/>
              </w:rPr>
              <w:t>n d</w:t>
            </w:r>
          </w:p>
        </w:tc>
        <w:tc>
          <w:tcPr>
            <w:tcW w:w="2180" w:type="dxa"/>
          </w:tcPr>
          <w:p w:rsidR="00000000" w:rsidRDefault="00000000">
            <w:pPr>
              <w:widowControl w:val="0"/>
              <w:autoSpaceDE w:val="0"/>
              <w:autoSpaceDN w:val="0"/>
              <w:adjustRightInd w:val="0"/>
              <w:spacing w:before="50" w:after="50"/>
              <w:jc w:val="center"/>
              <w:rPr>
                <w:sz w:val="20"/>
                <w:lang w:val="en-US"/>
              </w:rPr>
            </w:pP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50" w:after="50"/>
              <w:jc w:val="center"/>
              <w:rPr>
                <w:sz w:val="20"/>
                <w:lang w:val="es-MX"/>
              </w:rPr>
            </w:pPr>
            <w:r>
              <w:rPr>
                <w:sz w:val="20"/>
                <w:lang w:val="es-MX"/>
              </w:rPr>
              <w:t>1998</w:t>
            </w:r>
          </w:p>
        </w:tc>
        <w:tc>
          <w:tcPr>
            <w:tcW w:w="2634" w:type="dxa"/>
          </w:tcPr>
          <w:p w:rsidR="00000000" w:rsidRDefault="00000000">
            <w:pPr>
              <w:widowControl w:val="0"/>
              <w:autoSpaceDE w:val="0"/>
              <w:autoSpaceDN w:val="0"/>
              <w:adjustRightInd w:val="0"/>
              <w:spacing w:before="50" w:after="50"/>
              <w:jc w:val="center"/>
              <w:rPr>
                <w:sz w:val="20"/>
                <w:lang w:val="es-MX"/>
              </w:rPr>
            </w:pPr>
            <w:r>
              <w:rPr>
                <w:sz w:val="20"/>
                <w:lang w:val="es-MX"/>
              </w:rPr>
              <w:t>11 077 222</w:t>
            </w:r>
          </w:p>
        </w:tc>
        <w:tc>
          <w:tcPr>
            <w:tcW w:w="1570" w:type="dxa"/>
          </w:tcPr>
          <w:p w:rsidR="00000000" w:rsidRDefault="00000000">
            <w:pPr>
              <w:widowControl w:val="0"/>
              <w:autoSpaceDE w:val="0"/>
              <w:autoSpaceDN w:val="0"/>
              <w:adjustRightInd w:val="0"/>
              <w:spacing w:before="50" w:after="50"/>
              <w:jc w:val="center"/>
              <w:rPr>
                <w:sz w:val="20"/>
                <w:lang w:val="es-MX"/>
              </w:rPr>
            </w:pPr>
            <w:r>
              <w:rPr>
                <w:sz w:val="20"/>
                <w:lang w:val="es-MX"/>
              </w:rPr>
              <w:t>n d</w:t>
            </w:r>
          </w:p>
        </w:tc>
        <w:tc>
          <w:tcPr>
            <w:tcW w:w="2180" w:type="dxa"/>
          </w:tcPr>
          <w:p w:rsidR="00000000" w:rsidRDefault="00000000">
            <w:pPr>
              <w:widowControl w:val="0"/>
              <w:autoSpaceDE w:val="0"/>
              <w:autoSpaceDN w:val="0"/>
              <w:adjustRightInd w:val="0"/>
              <w:spacing w:before="50" w:after="50"/>
              <w:jc w:val="center"/>
              <w:rPr>
                <w:sz w:val="20"/>
                <w:lang w:val="es-MX"/>
              </w:rPr>
            </w:pP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50" w:after="50"/>
              <w:jc w:val="center"/>
              <w:rPr>
                <w:sz w:val="20"/>
                <w:lang w:val="es-MX"/>
              </w:rPr>
            </w:pPr>
            <w:r>
              <w:rPr>
                <w:sz w:val="20"/>
                <w:lang w:val="es-MX"/>
              </w:rPr>
              <w:t>1999</w:t>
            </w:r>
          </w:p>
        </w:tc>
        <w:tc>
          <w:tcPr>
            <w:tcW w:w="2634" w:type="dxa"/>
          </w:tcPr>
          <w:p w:rsidR="00000000" w:rsidRDefault="00000000">
            <w:pPr>
              <w:widowControl w:val="0"/>
              <w:autoSpaceDE w:val="0"/>
              <w:autoSpaceDN w:val="0"/>
              <w:adjustRightInd w:val="0"/>
              <w:spacing w:before="50" w:after="50"/>
              <w:jc w:val="center"/>
              <w:rPr>
                <w:sz w:val="20"/>
                <w:lang w:val="es-MX"/>
              </w:rPr>
            </w:pPr>
            <w:r>
              <w:rPr>
                <w:sz w:val="20"/>
                <w:lang w:val="es-MX"/>
              </w:rPr>
              <w:t>12 255 602</w:t>
            </w:r>
          </w:p>
        </w:tc>
        <w:tc>
          <w:tcPr>
            <w:tcW w:w="1570" w:type="dxa"/>
          </w:tcPr>
          <w:p w:rsidR="00000000" w:rsidRDefault="00000000">
            <w:pPr>
              <w:widowControl w:val="0"/>
              <w:autoSpaceDE w:val="0"/>
              <w:autoSpaceDN w:val="0"/>
              <w:adjustRightInd w:val="0"/>
              <w:spacing w:before="50" w:after="50"/>
              <w:jc w:val="center"/>
              <w:rPr>
                <w:sz w:val="20"/>
                <w:lang w:val="es-MX"/>
              </w:rPr>
            </w:pPr>
            <w:r>
              <w:rPr>
                <w:sz w:val="20"/>
                <w:lang w:val="es-MX"/>
              </w:rPr>
              <w:t>83 324</w:t>
            </w:r>
          </w:p>
        </w:tc>
        <w:tc>
          <w:tcPr>
            <w:tcW w:w="2180" w:type="dxa"/>
          </w:tcPr>
          <w:p w:rsidR="00000000" w:rsidRDefault="00000000">
            <w:pPr>
              <w:widowControl w:val="0"/>
              <w:autoSpaceDE w:val="0"/>
              <w:autoSpaceDN w:val="0"/>
              <w:adjustRightInd w:val="0"/>
              <w:spacing w:before="50" w:after="50"/>
              <w:jc w:val="center"/>
              <w:rPr>
                <w:sz w:val="20"/>
                <w:lang w:val="es-MX"/>
              </w:rPr>
            </w:pPr>
            <w:r>
              <w:rPr>
                <w:sz w:val="20"/>
                <w:lang w:val="es-MX"/>
              </w:rPr>
              <w:t>0.68</w:t>
            </w: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50" w:after="50"/>
              <w:jc w:val="center"/>
              <w:rPr>
                <w:sz w:val="20"/>
                <w:lang w:val="es-MX"/>
              </w:rPr>
            </w:pPr>
            <w:r>
              <w:rPr>
                <w:sz w:val="20"/>
                <w:lang w:val="es-MX"/>
              </w:rPr>
              <w:t>2000</w:t>
            </w:r>
          </w:p>
        </w:tc>
        <w:tc>
          <w:tcPr>
            <w:tcW w:w="2634" w:type="dxa"/>
          </w:tcPr>
          <w:p w:rsidR="00000000" w:rsidRDefault="00000000">
            <w:pPr>
              <w:widowControl w:val="0"/>
              <w:autoSpaceDE w:val="0"/>
              <w:autoSpaceDN w:val="0"/>
              <w:adjustRightInd w:val="0"/>
              <w:spacing w:before="50" w:after="50"/>
              <w:jc w:val="center"/>
              <w:rPr>
                <w:sz w:val="20"/>
                <w:lang w:val="es-MX"/>
              </w:rPr>
            </w:pPr>
            <w:r>
              <w:rPr>
                <w:sz w:val="20"/>
                <w:lang w:val="es-MX"/>
              </w:rPr>
              <w:t>13 128 124</w:t>
            </w:r>
          </w:p>
        </w:tc>
        <w:tc>
          <w:tcPr>
            <w:tcW w:w="1570" w:type="dxa"/>
          </w:tcPr>
          <w:p w:rsidR="00000000" w:rsidRDefault="00000000">
            <w:pPr>
              <w:widowControl w:val="0"/>
              <w:autoSpaceDE w:val="0"/>
              <w:autoSpaceDN w:val="0"/>
              <w:adjustRightInd w:val="0"/>
              <w:spacing w:before="50" w:after="50"/>
              <w:jc w:val="center"/>
              <w:rPr>
                <w:sz w:val="20"/>
                <w:lang w:val="es-MX"/>
              </w:rPr>
            </w:pPr>
            <w:r>
              <w:rPr>
                <w:sz w:val="20"/>
                <w:lang w:val="es-MX"/>
              </w:rPr>
              <w:t>61 304</w:t>
            </w:r>
          </w:p>
        </w:tc>
        <w:tc>
          <w:tcPr>
            <w:tcW w:w="2180" w:type="dxa"/>
          </w:tcPr>
          <w:p w:rsidR="00000000" w:rsidRDefault="00000000">
            <w:pPr>
              <w:widowControl w:val="0"/>
              <w:autoSpaceDE w:val="0"/>
              <w:autoSpaceDN w:val="0"/>
              <w:adjustRightInd w:val="0"/>
              <w:spacing w:before="50" w:after="50"/>
              <w:jc w:val="center"/>
              <w:rPr>
                <w:sz w:val="20"/>
                <w:lang w:val="es-MX"/>
              </w:rPr>
            </w:pPr>
            <w:r>
              <w:rPr>
                <w:sz w:val="20"/>
                <w:lang w:val="es-MX"/>
              </w:rPr>
              <w:t>0.47</w:t>
            </w: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50" w:after="50"/>
              <w:jc w:val="center"/>
              <w:rPr>
                <w:sz w:val="20"/>
                <w:lang w:val="es-MX"/>
              </w:rPr>
            </w:pPr>
            <w:r>
              <w:rPr>
                <w:sz w:val="20"/>
                <w:lang w:val="es-MX"/>
              </w:rPr>
              <w:t>2001</w:t>
            </w:r>
          </w:p>
        </w:tc>
        <w:tc>
          <w:tcPr>
            <w:tcW w:w="2634" w:type="dxa"/>
          </w:tcPr>
          <w:p w:rsidR="00000000" w:rsidRDefault="00000000">
            <w:pPr>
              <w:widowControl w:val="0"/>
              <w:autoSpaceDE w:val="0"/>
              <w:autoSpaceDN w:val="0"/>
              <w:adjustRightInd w:val="0"/>
              <w:spacing w:before="50" w:after="50"/>
              <w:jc w:val="center"/>
              <w:rPr>
                <w:sz w:val="20"/>
                <w:lang w:val="es-MX"/>
              </w:rPr>
            </w:pPr>
            <w:r>
              <w:rPr>
                <w:sz w:val="20"/>
                <w:lang w:val="es-MX"/>
              </w:rPr>
              <w:t>15 357 915</w:t>
            </w:r>
          </w:p>
        </w:tc>
        <w:tc>
          <w:tcPr>
            <w:tcW w:w="1570" w:type="dxa"/>
          </w:tcPr>
          <w:p w:rsidR="00000000" w:rsidRDefault="00000000">
            <w:pPr>
              <w:widowControl w:val="0"/>
              <w:autoSpaceDE w:val="0"/>
              <w:autoSpaceDN w:val="0"/>
              <w:adjustRightInd w:val="0"/>
              <w:spacing w:before="50" w:after="50"/>
              <w:jc w:val="center"/>
              <w:rPr>
                <w:sz w:val="20"/>
                <w:lang w:val="es-MX"/>
              </w:rPr>
            </w:pPr>
            <w:r>
              <w:rPr>
                <w:sz w:val="20"/>
                <w:lang w:val="es-MX"/>
              </w:rPr>
              <w:t>19 282</w:t>
            </w:r>
          </w:p>
        </w:tc>
        <w:tc>
          <w:tcPr>
            <w:tcW w:w="2180" w:type="dxa"/>
          </w:tcPr>
          <w:p w:rsidR="00000000" w:rsidRDefault="00000000">
            <w:pPr>
              <w:widowControl w:val="0"/>
              <w:autoSpaceDE w:val="0"/>
              <w:autoSpaceDN w:val="0"/>
              <w:adjustRightInd w:val="0"/>
              <w:spacing w:before="50" w:after="50"/>
              <w:jc w:val="center"/>
              <w:rPr>
                <w:sz w:val="20"/>
                <w:lang w:val="es-MX"/>
              </w:rPr>
            </w:pPr>
            <w:r>
              <w:rPr>
                <w:sz w:val="20"/>
                <w:lang w:val="es-MX"/>
              </w:rPr>
              <w:t>0.13</w:t>
            </w: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50" w:after="50"/>
              <w:jc w:val="center"/>
              <w:rPr>
                <w:sz w:val="20"/>
                <w:lang w:val="es-MX"/>
              </w:rPr>
            </w:pPr>
            <w:r>
              <w:rPr>
                <w:sz w:val="20"/>
                <w:lang w:val="es-MX"/>
              </w:rPr>
              <w:t>2002</w:t>
            </w:r>
          </w:p>
        </w:tc>
        <w:tc>
          <w:tcPr>
            <w:tcW w:w="2634" w:type="dxa"/>
          </w:tcPr>
          <w:p w:rsidR="00000000" w:rsidRDefault="00000000">
            <w:pPr>
              <w:widowControl w:val="0"/>
              <w:autoSpaceDE w:val="0"/>
              <w:autoSpaceDN w:val="0"/>
              <w:adjustRightInd w:val="0"/>
              <w:spacing w:before="50" w:after="50"/>
              <w:jc w:val="center"/>
              <w:rPr>
                <w:sz w:val="20"/>
                <w:lang w:val="es-MX"/>
              </w:rPr>
            </w:pPr>
            <w:r>
              <w:rPr>
                <w:sz w:val="20"/>
                <w:lang w:val="es-MX"/>
              </w:rPr>
              <w:t>15 306 971</w:t>
            </w:r>
          </w:p>
        </w:tc>
        <w:tc>
          <w:tcPr>
            <w:tcW w:w="1570" w:type="dxa"/>
          </w:tcPr>
          <w:p w:rsidR="00000000" w:rsidRDefault="00000000">
            <w:pPr>
              <w:widowControl w:val="0"/>
              <w:autoSpaceDE w:val="0"/>
              <w:autoSpaceDN w:val="0"/>
              <w:adjustRightInd w:val="0"/>
              <w:spacing w:before="50" w:after="50"/>
              <w:jc w:val="center"/>
              <w:rPr>
                <w:sz w:val="20"/>
                <w:lang w:val="es-MX"/>
              </w:rPr>
            </w:pPr>
            <w:r>
              <w:rPr>
                <w:sz w:val="20"/>
                <w:lang w:val="es-MX"/>
              </w:rPr>
              <w:t>12 318</w:t>
            </w:r>
          </w:p>
        </w:tc>
        <w:tc>
          <w:tcPr>
            <w:tcW w:w="2180" w:type="dxa"/>
          </w:tcPr>
          <w:p w:rsidR="00000000" w:rsidRDefault="00000000">
            <w:pPr>
              <w:widowControl w:val="0"/>
              <w:autoSpaceDE w:val="0"/>
              <w:autoSpaceDN w:val="0"/>
              <w:adjustRightInd w:val="0"/>
              <w:spacing w:before="50" w:after="50"/>
              <w:jc w:val="center"/>
              <w:rPr>
                <w:sz w:val="20"/>
                <w:lang w:val="es-MX"/>
              </w:rPr>
            </w:pPr>
            <w:r>
              <w:rPr>
                <w:sz w:val="20"/>
                <w:lang w:val="es-MX"/>
              </w:rPr>
              <w:t>0.08</w:t>
            </w: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50" w:after="50"/>
              <w:jc w:val="center"/>
              <w:rPr>
                <w:sz w:val="20"/>
                <w:lang w:val="es-MX"/>
              </w:rPr>
            </w:pPr>
            <w:r>
              <w:rPr>
                <w:sz w:val="20"/>
                <w:lang w:val="es-MX"/>
              </w:rPr>
              <w:t>2003</w:t>
            </w:r>
          </w:p>
        </w:tc>
        <w:tc>
          <w:tcPr>
            <w:tcW w:w="2634" w:type="dxa"/>
          </w:tcPr>
          <w:p w:rsidR="00000000" w:rsidRDefault="00000000">
            <w:pPr>
              <w:widowControl w:val="0"/>
              <w:autoSpaceDE w:val="0"/>
              <w:autoSpaceDN w:val="0"/>
              <w:adjustRightInd w:val="0"/>
              <w:spacing w:before="50" w:after="50"/>
              <w:jc w:val="center"/>
              <w:rPr>
                <w:sz w:val="20"/>
                <w:lang w:val="es-MX"/>
              </w:rPr>
            </w:pPr>
            <w:r>
              <w:rPr>
                <w:sz w:val="20"/>
                <w:lang w:val="es-MX"/>
              </w:rPr>
              <w:t>18 246 180</w:t>
            </w:r>
          </w:p>
        </w:tc>
        <w:tc>
          <w:tcPr>
            <w:tcW w:w="1570" w:type="dxa"/>
          </w:tcPr>
          <w:p w:rsidR="00000000" w:rsidRDefault="00000000">
            <w:pPr>
              <w:widowControl w:val="0"/>
              <w:autoSpaceDE w:val="0"/>
              <w:autoSpaceDN w:val="0"/>
              <w:adjustRightInd w:val="0"/>
              <w:spacing w:before="50" w:after="50"/>
              <w:jc w:val="center"/>
              <w:rPr>
                <w:sz w:val="20"/>
                <w:lang w:val="es-MX"/>
              </w:rPr>
            </w:pPr>
            <w:r>
              <w:rPr>
                <w:sz w:val="20"/>
                <w:lang w:val="es-MX"/>
              </w:rPr>
              <w:t>15 983</w:t>
            </w:r>
          </w:p>
        </w:tc>
        <w:tc>
          <w:tcPr>
            <w:tcW w:w="2180" w:type="dxa"/>
          </w:tcPr>
          <w:p w:rsidR="00000000" w:rsidRDefault="00000000">
            <w:pPr>
              <w:widowControl w:val="0"/>
              <w:autoSpaceDE w:val="0"/>
              <w:autoSpaceDN w:val="0"/>
              <w:adjustRightInd w:val="0"/>
              <w:spacing w:before="50" w:after="50"/>
              <w:jc w:val="center"/>
              <w:rPr>
                <w:sz w:val="20"/>
                <w:lang w:val="es-MX"/>
              </w:rPr>
            </w:pPr>
            <w:r>
              <w:rPr>
                <w:sz w:val="20"/>
                <w:lang w:val="es-MX"/>
              </w:rPr>
              <w:t>0.09</w:t>
            </w: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50" w:after="50"/>
              <w:jc w:val="center"/>
              <w:rPr>
                <w:sz w:val="20"/>
                <w:lang w:val="es-MX"/>
              </w:rPr>
            </w:pPr>
            <w:r>
              <w:rPr>
                <w:sz w:val="20"/>
                <w:lang w:val="es-MX"/>
              </w:rPr>
              <w:t>2004</w:t>
            </w:r>
          </w:p>
        </w:tc>
        <w:tc>
          <w:tcPr>
            <w:tcW w:w="2634" w:type="dxa"/>
          </w:tcPr>
          <w:p w:rsidR="00000000" w:rsidRDefault="00000000">
            <w:pPr>
              <w:widowControl w:val="0"/>
              <w:autoSpaceDE w:val="0"/>
              <w:autoSpaceDN w:val="0"/>
              <w:adjustRightInd w:val="0"/>
              <w:spacing w:before="50" w:after="50"/>
              <w:jc w:val="center"/>
              <w:rPr>
                <w:sz w:val="20"/>
                <w:lang w:val="es-MX"/>
              </w:rPr>
            </w:pPr>
            <w:r>
              <w:rPr>
                <w:sz w:val="20"/>
                <w:lang w:val="es-MX"/>
              </w:rPr>
              <w:t>18 915 114</w:t>
            </w:r>
          </w:p>
        </w:tc>
        <w:tc>
          <w:tcPr>
            <w:tcW w:w="1570" w:type="dxa"/>
          </w:tcPr>
          <w:p w:rsidR="00000000" w:rsidRDefault="00000000">
            <w:pPr>
              <w:widowControl w:val="0"/>
              <w:autoSpaceDE w:val="0"/>
              <w:autoSpaceDN w:val="0"/>
              <w:adjustRightInd w:val="0"/>
              <w:spacing w:before="50" w:after="50"/>
              <w:jc w:val="center"/>
              <w:rPr>
                <w:sz w:val="20"/>
                <w:lang w:val="es-MX"/>
              </w:rPr>
            </w:pPr>
            <w:r>
              <w:rPr>
                <w:sz w:val="20"/>
                <w:lang w:val="es-MX"/>
              </w:rPr>
              <w:t>57 348</w:t>
            </w:r>
          </w:p>
        </w:tc>
        <w:tc>
          <w:tcPr>
            <w:tcW w:w="2180" w:type="dxa"/>
          </w:tcPr>
          <w:p w:rsidR="00000000" w:rsidRDefault="00000000">
            <w:pPr>
              <w:widowControl w:val="0"/>
              <w:autoSpaceDE w:val="0"/>
              <w:autoSpaceDN w:val="0"/>
              <w:adjustRightInd w:val="0"/>
              <w:spacing w:before="50" w:after="50"/>
              <w:jc w:val="center"/>
              <w:rPr>
                <w:sz w:val="20"/>
                <w:lang w:val="es-MX"/>
              </w:rPr>
            </w:pPr>
            <w:r>
              <w:rPr>
                <w:sz w:val="20"/>
                <w:lang w:val="es-MX"/>
              </w:rPr>
              <w:t>0.30</w:t>
            </w: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50" w:after="50"/>
              <w:jc w:val="center"/>
              <w:rPr>
                <w:sz w:val="20"/>
                <w:lang w:val="es-MX"/>
              </w:rPr>
            </w:pPr>
            <w:r>
              <w:rPr>
                <w:sz w:val="20"/>
                <w:lang w:val="es-MX"/>
              </w:rPr>
              <w:t>2005</w:t>
            </w:r>
          </w:p>
        </w:tc>
        <w:tc>
          <w:tcPr>
            <w:tcW w:w="2634" w:type="dxa"/>
          </w:tcPr>
          <w:p w:rsidR="00000000" w:rsidRDefault="00000000">
            <w:pPr>
              <w:widowControl w:val="0"/>
              <w:autoSpaceDE w:val="0"/>
              <w:autoSpaceDN w:val="0"/>
              <w:adjustRightInd w:val="0"/>
              <w:spacing w:before="50" w:after="50"/>
              <w:jc w:val="center"/>
              <w:rPr>
                <w:sz w:val="20"/>
                <w:lang w:val="es-MX"/>
              </w:rPr>
            </w:pPr>
            <w:r>
              <w:rPr>
                <w:sz w:val="20"/>
                <w:lang w:val="es-MX"/>
              </w:rPr>
              <w:t>21 809 827</w:t>
            </w:r>
          </w:p>
        </w:tc>
        <w:tc>
          <w:tcPr>
            <w:tcW w:w="1570" w:type="dxa"/>
          </w:tcPr>
          <w:p w:rsidR="00000000" w:rsidRDefault="00000000">
            <w:pPr>
              <w:widowControl w:val="0"/>
              <w:autoSpaceDE w:val="0"/>
              <w:autoSpaceDN w:val="0"/>
              <w:adjustRightInd w:val="0"/>
              <w:spacing w:before="50" w:after="50"/>
              <w:jc w:val="center"/>
              <w:rPr>
                <w:sz w:val="20"/>
                <w:lang w:val="es-MX"/>
              </w:rPr>
            </w:pPr>
            <w:r>
              <w:rPr>
                <w:sz w:val="20"/>
                <w:lang w:val="es-MX"/>
              </w:rPr>
              <w:t>62 655</w:t>
            </w:r>
          </w:p>
        </w:tc>
        <w:tc>
          <w:tcPr>
            <w:tcW w:w="2180" w:type="dxa"/>
          </w:tcPr>
          <w:p w:rsidR="00000000" w:rsidRDefault="00000000">
            <w:pPr>
              <w:widowControl w:val="0"/>
              <w:autoSpaceDE w:val="0"/>
              <w:autoSpaceDN w:val="0"/>
              <w:adjustRightInd w:val="0"/>
              <w:spacing w:before="50" w:after="50"/>
              <w:jc w:val="center"/>
              <w:rPr>
                <w:sz w:val="20"/>
                <w:lang w:val="es-MX"/>
              </w:rPr>
            </w:pPr>
            <w:r>
              <w:rPr>
                <w:sz w:val="20"/>
                <w:lang w:val="es-MX"/>
              </w:rPr>
              <w:t>0.29</w:t>
            </w:r>
          </w:p>
        </w:tc>
      </w:tr>
      <w:tr w:rsidR="00000000">
        <w:tblPrEx>
          <w:tblCellMar>
            <w:top w:w="0" w:type="dxa"/>
            <w:bottom w:w="0" w:type="dxa"/>
          </w:tblCellMar>
        </w:tblPrEx>
        <w:trPr>
          <w:jc w:val="center"/>
        </w:trPr>
        <w:tc>
          <w:tcPr>
            <w:tcW w:w="980" w:type="dxa"/>
            <w:tcBorders>
              <w:bottom w:val="single" w:sz="4" w:space="0" w:color="auto"/>
            </w:tcBorders>
          </w:tcPr>
          <w:p w:rsidR="00000000" w:rsidRDefault="00000000">
            <w:pPr>
              <w:widowControl w:val="0"/>
              <w:autoSpaceDE w:val="0"/>
              <w:autoSpaceDN w:val="0"/>
              <w:adjustRightInd w:val="0"/>
              <w:spacing w:before="50" w:after="50"/>
              <w:jc w:val="center"/>
              <w:rPr>
                <w:sz w:val="20"/>
                <w:lang w:val="es-MX"/>
              </w:rPr>
            </w:pPr>
            <w:r>
              <w:rPr>
                <w:sz w:val="20"/>
                <w:lang w:val="es-MX"/>
              </w:rPr>
              <w:t>2006</w:t>
            </w:r>
          </w:p>
        </w:tc>
        <w:tc>
          <w:tcPr>
            <w:tcW w:w="2634" w:type="dxa"/>
            <w:tcBorders>
              <w:bottom w:val="single" w:sz="4" w:space="0" w:color="auto"/>
            </w:tcBorders>
          </w:tcPr>
          <w:p w:rsidR="00000000" w:rsidRDefault="00000000">
            <w:pPr>
              <w:widowControl w:val="0"/>
              <w:autoSpaceDE w:val="0"/>
              <w:autoSpaceDN w:val="0"/>
              <w:adjustRightInd w:val="0"/>
              <w:spacing w:before="50" w:after="50"/>
              <w:jc w:val="center"/>
              <w:rPr>
                <w:sz w:val="20"/>
                <w:lang w:val="es-MX"/>
              </w:rPr>
            </w:pPr>
            <w:r>
              <w:rPr>
                <w:sz w:val="20"/>
                <w:lang w:val="es-MX"/>
              </w:rPr>
              <w:t>21 255 118</w:t>
            </w:r>
          </w:p>
        </w:tc>
        <w:tc>
          <w:tcPr>
            <w:tcW w:w="1570" w:type="dxa"/>
            <w:tcBorders>
              <w:bottom w:val="single" w:sz="4" w:space="0" w:color="auto"/>
            </w:tcBorders>
          </w:tcPr>
          <w:p w:rsidR="00000000" w:rsidRDefault="00000000">
            <w:pPr>
              <w:widowControl w:val="0"/>
              <w:autoSpaceDE w:val="0"/>
              <w:autoSpaceDN w:val="0"/>
              <w:adjustRightInd w:val="0"/>
              <w:spacing w:before="50" w:after="50"/>
              <w:jc w:val="center"/>
              <w:rPr>
                <w:sz w:val="20"/>
                <w:lang w:val="es-MX"/>
              </w:rPr>
            </w:pPr>
            <w:r>
              <w:rPr>
                <w:sz w:val="20"/>
                <w:lang w:val="es-MX"/>
              </w:rPr>
              <w:t>93 798</w:t>
            </w:r>
          </w:p>
        </w:tc>
        <w:tc>
          <w:tcPr>
            <w:tcW w:w="2180" w:type="dxa"/>
            <w:tcBorders>
              <w:bottom w:val="single" w:sz="4" w:space="0" w:color="auto"/>
            </w:tcBorders>
          </w:tcPr>
          <w:p w:rsidR="00000000" w:rsidRDefault="00000000">
            <w:pPr>
              <w:widowControl w:val="0"/>
              <w:autoSpaceDE w:val="0"/>
              <w:autoSpaceDN w:val="0"/>
              <w:adjustRightInd w:val="0"/>
              <w:spacing w:before="50" w:after="50"/>
              <w:jc w:val="center"/>
              <w:rPr>
                <w:sz w:val="20"/>
                <w:lang w:val="es-MX"/>
              </w:rPr>
            </w:pPr>
            <w:r>
              <w:rPr>
                <w:sz w:val="20"/>
                <w:lang w:val="es-MX"/>
              </w:rPr>
              <w:t>0.44</w:t>
            </w:r>
          </w:p>
        </w:tc>
      </w:tr>
    </w:tbl>
    <w:p w:rsidR="00000000" w:rsidRDefault="00000000">
      <w:pPr>
        <w:autoSpaceDE w:val="0"/>
        <w:autoSpaceDN w:val="0"/>
        <w:adjustRightInd w:val="0"/>
        <w:spacing w:before="80"/>
        <w:ind w:left="567"/>
        <w:rPr>
          <w:bCs/>
          <w:sz w:val="20"/>
          <w:lang w:val="en-US"/>
        </w:rPr>
      </w:pPr>
      <w:r>
        <w:rPr>
          <w:i/>
          <w:iCs/>
          <w:sz w:val="20"/>
          <w:lang w:val="en-US"/>
        </w:rPr>
        <w:t xml:space="preserve">Source: </w:t>
      </w:r>
      <w:r>
        <w:rPr>
          <w:bCs/>
          <w:sz w:val="20"/>
          <w:lang w:val="en-US"/>
        </w:rPr>
        <w:t>Accounting System (SICO). In guaraníes (millions)</w:t>
      </w:r>
    </w:p>
    <w:p w:rsidR="00000000" w:rsidRDefault="00000000">
      <w:pPr>
        <w:tabs>
          <w:tab w:val="left" w:pos="794"/>
        </w:tabs>
        <w:autoSpaceDE w:val="0"/>
        <w:autoSpaceDN w:val="0"/>
        <w:adjustRightInd w:val="0"/>
        <w:spacing w:before="80"/>
        <w:ind w:left="794" w:hanging="227"/>
        <w:rPr>
          <w:bCs/>
          <w:sz w:val="20"/>
          <w:lang w:val="en-US"/>
        </w:rPr>
      </w:pPr>
      <w:r>
        <w:rPr>
          <w:b/>
          <w:sz w:val="22"/>
          <w:vertAlign w:val="superscript"/>
          <w:lang w:val="en-US"/>
        </w:rPr>
        <w:t>1</w:t>
      </w:r>
      <w:r>
        <w:rPr>
          <w:bCs/>
          <w:sz w:val="20"/>
          <w:lang w:val="en-US"/>
        </w:rPr>
        <w:tab/>
        <w:t>Adjusted budget for the Central Administration (CA) until 1996. As of 1997 it covers both the CA and decentralized districts.</w:t>
      </w:r>
    </w:p>
    <w:p w:rsidR="00000000" w:rsidRDefault="00000000">
      <w:pPr>
        <w:tabs>
          <w:tab w:val="left" w:pos="794"/>
        </w:tabs>
        <w:autoSpaceDE w:val="0"/>
        <w:autoSpaceDN w:val="0"/>
        <w:adjustRightInd w:val="0"/>
        <w:spacing w:before="80" w:after="200"/>
        <w:ind w:left="794" w:hanging="227"/>
        <w:rPr>
          <w:bCs/>
          <w:sz w:val="20"/>
          <w:lang w:val="en-US"/>
        </w:rPr>
      </w:pPr>
      <w:r>
        <w:rPr>
          <w:b/>
          <w:sz w:val="22"/>
          <w:vertAlign w:val="superscript"/>
          <w:lang w:val="en-US"/>
        </w:rPr>
        <w:t>2</w:t>
      </w:r>
      <w:r>
        <w:rPr>
          <w:bCs/>
          <w:sz w:val="20"/>
          <w:lang w:val="en-US"/>
        </w:rPr>
        <w:tab/>
        <w:t>Refers to the CONAVI budget. As of 2004 it includes the SAS Programme for Construction of Low-Cost Housing</w:t>
      </w:r>
    </w:p>
    <w:p w:rsidR="00000000" w:rsidRDefault="00000000">
      <w:pPr>
        <w:autoSpaceDE w:val="0"/>
        <w:autoSpaceDN w:val="0"/>
        <w:adjustRightInd w:val="0"/>
        <w:spacing w:after="180"/>
        <w:rPr>
          <w:bCs/>
          <w:lang w:val="en-US"/>
        </w:rPr>
      </w:pPr>
      <w:r>
        <w:rPr>
          <w:b/>
          <w:bCs/>
          <w:lang w:val="en-US"/>
        </w:rPr>
        <w:t>1.2</w:t>
      </w:r>
      <w:r>
        <w:rPr>
          <w:b/>
          <w:bCs/>
          <w:lang w:val="en-US"/>
        </w:rPr>
        <w:tab/>
        <w:t>Housing deficit and homeless families</w:t>
      </w:r>
      <w:r>
        <w:rPr>
          <w:rStyle w:val="FootnoteReference"/>
          <w:b/>
          <w:bCs/>
          <w:lang w:val="en-US"/>
        </w:rPr>
        <w:footnoteReference w:id="26"/>
      </w:r>
    </w:p>
    <w:p w:rsidR="00000000" w:rsidRDefault="00000000">
      <w:pPr>
        <w:autoSpaceDE w:val="0"/>
        <w:autoSpaceDN w:val="0"/>
        <w:adjustRightInd w:val="0"/>
        <w:spacing w:after="180"/>
        <w:rPr>
          <w:bCs/>
          <w:lang w:val="en-US"/>
        </w:rPr>
      </w:pPr>
      <w:r>
        <w:rPr>
          <w:lang w:val="en-US"/>
        </w:rPr>
        <w:t>400</w:t>
      </w:r>
      <w:r>
        <w:rPr>
          <w:bCs/>
          <w:lang w:val="en-US"/>
        </w:rPr>
        <w:t>.</w:t>
      </w:r>
      <w:r>
        <w:rPr>
          <w:bCs/>
          <w:lang w:val="en-US"/>
        </w:rPr>
        <w:tab/>
        <w:t>The projection found that for the year 2004 the housing deficit would rise to approximately 470 000 dwellings, 65 per cent of them dwellings with physical quality problems (floors, walls and roofs) and overcrowding, while the remaining 35 per cent, approximately 163,000 dwellings, would be accounted for by unmet demand for new homes.</w:t>
      </w:r>
    </w:p>
    <w:p w:rsidR="00000000" w:rsidRDefault="00000000">
      <w:pPr>
        <w:pStyle w:val="xl46"/>
        <w:autoSpaceDE w:val="0"/>
        <w:autoSpaceDN w:val="0"/>
        <w:adjustRightInd w:val="0"/>
        <w:spacing w:before="0" w:beforeAutospacing="0" w:after="180" w:afterAutospacing="0"/>
        <w:rPr>
          <w:rFonts w:ascii="Times New Roman" w:eastAsia="Times New Roman" w:hAnsi="Times New Roman" w:cs="Times New Roman"/>
          <w:bCs w:val="0"/>
          <w:szCs w:val="24"/>
          <w:lang w:val="en-US" w:eastAsia="en-US"/>
        </w:rPr>
      </w:pPr>
      <w:r>
        <w:rPr>
          <w:rFonts w:ascii="Times New Roman" w:eastAsia="Times New Roman" w:hAnsi="Times New Roman" w:cs="Times New Roman"/>
          <w:bCs w:val="0"/>
          <w:szCs w:val="24"/>
          <w:lang w:val="en-US" w:eastAsia="en-US"/>
        </w:rPr>
        <w:t>Persons living in illegal settlements (rural areas) – Precarious occupation</w:t>
      </w:r>
      <w:r>
        <w:rPr>
          <w:rFonts w:ascii="Times New Roman" w:eastAsia="Times New Roman" w:hAnsi="Times New Roman" w:cs="Times New Roman"/>
          <w:bCs w:val="0"/>
          <w:szCs w:val="24"/>
          <w:lang w:val="en-US" w:eastAsia="en-US"/>
        </w:rPr>
        <w:br/>
        <w:t>of private land</w:t>
      </w:r>
    </w:p>
    <w:tbl>
      <w:tblPr>
        <w:tblW w:w="3000" w:type="pct"/>
        <w:jc w:val="center"/>
        <w:tblLayout w:type="fixed"/>
        <w:tblCellMar>
          <w:left w:w="0" w:type="dxa"/>
          <w:right w:w="0" w:type="dxa"/>
        </w:tblCellMar>
        <w:tblLook w:val="0000" w:firstRow="0" w:lastRow="0" w:firstColumn="0" w:lastColumn="0" w:noHBand="0" w:noVBand="0"/>
      </w:tblPr>
      <w:tblGrid>
        <w:gridCol w:w="2677"/>
        <w:gridCol w:w="2980"/>
      </w:tblGrid>
      <w:tr w:rsidR="00000000">
        <w:tblPrEx>
          <w:tblCellMar>
            <w:top w:w="0" w:type="dxa"/>
            <w:bottom w:w="0" w:type="dxa"/>
          </w:tblCellMar>
        </w:tblPrEx>
        <w:trPr>
          <w:jc w:val="center"/>
        </w:trPr>
        <w:tc>
          <w:tcPr>
            <w:tcW w:w="3237"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es-MX"/>
              </w:rPr>
            </w:pPr>
            <w:r>
              <w:rPr>
                <w:b/>
                <w:i/>
                <w:iCs/>
                <w:sz w:val="20"/>
                <w:lang w:val="en-US"/>
              </w:rPr>
              <w:t>Families (No.)</w:t>
            </w:r>
          </w:p>
        </w:tc>
        <w:tc>
          <w:tcPr>
            <w:tcW w:w="3603"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es-MX"/>
              </w:rPr>
            </w:pPr>
            <w:r>
              <w:rPr>
                <w:b/>
                <w:i/>
                <w:iCs/>
                <w:sz w:val="20"/>
                <w:lang w:val="en-US"/>
              </w:rPr>
              <w:t>Surface (ha.)</w:t>
            </w:r>
          </w:p>
        </w:tc>
      </w:tr>
      <w:tr w:rsidR="00000000">
        <w:tblPrEx>
          <w:tblCellMar>
            <w:top w:w="0" w:type="dxa"/>
            <w:bottom w:w="0" w:type="dxa"/>
          </w:tblCellMar>
        </w:tblPrEx>
        <w:trPr>
          <w:jc w:val="center"/>
        </w:trPr>
        <w:tc>
          <w:tcPr>
            <w:tcW w:w="3237" w:type="dxa"/>
            <w:tcBorders>
              <w:top w:val="single" w:sz="4" w:space="0" w:color="auto"/>
              <w:bottom w:val="single" w:sz="4" w:space="0" w:color="auto"/>
            </w:tcBorders>
          </w:tcPr>
          <w:p w:rsidR="00000000" w:rsidRDefault="00000000">
            <w:pPr>
              <w:widowControl w:val="0"/>
              <w:autoSpaceDE w:val="0"/>
              <w:autoSpaceDN w:val="0"/>
              <w:adjustRightInd w:val="0"/>
              <w:spacing w:before="80" w:after="80"/>
              <w:jc w:val="center"/>
              <w:rPr>
                <w:sz w:val="20"/>
                <w:lang w:val="es-MX"/>
              </w:rPr>
            </w:pPr>
            <w:r>
              <w:rPr>
                <w:sz w:val="20"/>
                <w:lang w:val="es-MX"/>
              </w:rPr>
              <w:t>3 580</w:t>
            </w:r>
          </w:p>
        </w:tc>
        <w:tc>
          <w:tcPr>
            <w:tcW w:w="3603" w:type="dxa"/>
            <w:tcBorders>
              <w:top w:val="single" w:sz="4" w:space="0" w:color="auto"/>
              <w:bottom w:val="single" w:sz="4" w:space="0" w:color="auto"/>
            </w:tcBorders>
          </w:tcPr>
          <w:p w:rsidR="00000000" w:rsidRDefault="00000000">
            <w:pPr>
              <w:widowControl w:val="0"/>
              <w:autoSpaceDE w:val="0"/>
              <w:autoSpaceDN w:val="0"/>
              <w:adjustRightInd w:val="0"/>
              <w:spacing w:before="80" w:after="80"/>
              <w:jc w:val="center"/>
              <w:rPr>
                <w:sz w:val="20"/>
                <w:lang w:val="es-MX"/>
              </w:rPr>
            </w:pPr>
            <w:r>
              <w:rPr>
                <w:sz w:val="20"/>
                <w:lang w:val="es-MX"/>
              </w:rPr>
              <w:t>39 920</w:t>
            </w:r>
          </w:p>
        </w:tc>
      </w:tr>
    </w:tbl>
    <w:p w:rsidR="00000000" w:rsidRDefault="00000000">
      <w:pPr>
        <w:autoSpaceDE w:val="0"/>
        <w:autoSpaceDN w:val="0"/>
        <w:adjustRightInd w:val="0"/>
        <w:spacing w:before="120" w:after="240"/>
        <w:ind w:left="567"/>
        <w:rPr>
          <w:sz w:val="20"/>
          <w:lang w:val="en-US"/>
        </w:rPr>
      </w:pPr>
      <w:r>
        <w:rPr>
          <w:bCs/>
          <w:i/>
          <w:iCs/>
          <w:sz w:val="20"/>
          <w:lang w:val="en-US"/>
        </w:rPr>
        <w:t>Source:</w:t>
      </w:r>
      <w:r>
        <w:rPr>
          <w:b/>
          <w:sz w:val="20"/>
          <w:lang w:val="en-US"/>
        </w:rPr>
        <w:t xml:space="preserve"> </w:t>
      </w:r>
      <w:r>
        <w:rPr>
          <w:sz w:val="20"/>
          <w:lang w:val="en-US"/>
        </w:rPr>
        <w:t>Accesoría Jurídica – INDERT.</w:t>
      </w:r>
    </w:p>
    <w:p w:rsidR="00000000" w:rsidRDefault="00000000">
      <w:pPr>
        <w:pStyle w:val="xl23"/>
        <w:autoSpaceDE w:val="0"/>
        <w:autoSpaceDN w:val="0"/>
        <w:adjustRightInd w:val="0"/>
        <w:spacing w:before="0" w:beforeAutospacing="0" w:after="240" w:afterAutospacing="0"/>
        <w:rPr>
          <w:rFonts w:ascii="Times New Roman" w:hAnsi="Times New Roman" w:cs="Times New Roman"/>
          <w:bCs w:val="0"/>
          <w:lang w:val="en-US" w:eastAsia="en-US"/>
        </w:rPr>
      </w:pPr>
      <w:r>
        <w:rPr>
          <w:rFonts w:ascii="Times New Roman" w:hAnsi="Times New Roman" w:cs="Times New Roman"/>
          <w:bCs w:val="0"/>
          <w:lang w:val="en-US" w:eastAsia="en-US"/>
        </w:rPr>
        <w:t>1.3</w:t>
      </w:r>
      <w:r>
        <w:rPr>
          <w:rFonts w:ascii="Times New Roman" w:hAnsi="Times New Roman" w:cs="Times New Roman"/>
          <w:bCs w:val="0"/>
          <w:lang w:val="en-US" w:eastAsia="en-US"/>
        </w:rPr>
        <w:tab/>
        <w:t>Rational land use</w:t>
      </w:r>
    </w:p>
    <w:p w:rsidR="00000000" w:rsidRDefault="00000000">
      <w:pPr>
        <w:autoSpaceDE w:val="0"/>
        <w:autoSpaceDN w:val="0"/>
        <w:adjustRightInd w:val="0"/>
        <w:spacing w:after="240"/>
        <w:rPr>
          <w:lang w:val="en-US"/>
        </w:rPr>
      </w:pPr>
      <w:r>
        <w:rPr>
          <w:lang w:val="en-US"/>
        </w:rPr>
        <w:t>401.</w:t>
      </w:r>
      <w:r>
        <w:rPr>
          <w:lang w:val="en-US"/>
        </w:rPr>
        <w:tab/>
        <w:t>Act No. 1863/02. article 9, “Considers as unproductive estates, and therefore subject to expropriation, any agrarian property that, under the provisions of this law, is not put to rational use, regardless of whether the said property comprises a single farm or a group of farms belonging to the same physical or legal person.”</w:t>
      </w:r>
    </w:p>
    <w:p w:rsidR="00000000" w:rsidRDefault="00000000">
      <w:pPr>
        <w:autoSpaceDE w:val="0"/>
        <w:autoSpaceDN w:val="0"/>
        <w:adjustRightInd w:val="0"/>
        <w:spacing w:after="240"/>
        <w:rPr>
          <w:lang w:val="en-US"/>
        </w:rPr>
      </w:pPr>
      <w:r>
        <w:rPr>
          <w:lang w:val="en-US"/>
        </w:rPr>
        <w:t>402.</w:t>
      </w:r>
      <w:r>
        <w:rPr>
          <w:lang w:val="en-US"/>
        </w:rPr>
        <w:tab/>
        <w:t xml:space="preserve">Article 54 of the aforesaid Act provides as follows on “Deficient land use”. The award of land by the awards body shall automatically lapse </w:t>
      </w:r>
      <w:r>
        <w:rPr>
          <w:i/>
          <w:lang w:val="en-US"/>
        </w:rPr>
        <w:t>in toto</w:t>
      </w:r>
      <w:r>
        <w:rPr>
          <w:lang w:val="en-US"/>
        </w:rPr>
        <w:t xml:space="preserve"> if the beneficiary ceases to use it. In that event, the lot in question shall revert to the property of the Institution (INDERT), unless the beneficiary has already fulfilled the obligations established in this Act. In that event, there shall be no abrogation, and if the person pays the full price in time he or she shall have the right to be awarded the corresponding title of such land. Should the abrogation go ahead, the Institution shall establish, following an expert opinion in which the person concerned will be involved, the form that compensation for improvements the person has made to the property will take.</w:t>
      </w:r>
    </w:p>
    <w:p w:rsidR="00000000" w:rsidRDefault="00000000">
      <w:pPr>
        <w:autoSpaceDE w:val="0"/>
        <w:autoSpaceDN w:val="0"/>
        <w:adjustRightInd w:val="0"/>
        <w:spacing w:after="240"/>
        <w:rPr>
          <w:b/>
          <w:lang w:val="en-US"/>
        </w:rPr>
      </w:pPr>
      <w:r>
        <w:rPr>
          <w:b/>
          <w:lang w:val="en-US"/>
        </w:rPr>
        <w:t>2.</w:t>
      </w:r>
      <w:r>
        <w:rPr>
          <w:b/>
          <w:lang w:val="en-US"/>
        </w:rPr>
        <w:tab/>
        <w:t>Overall situation of supply of basic services</w:t>
      </w:r>
    </w:p>
    <w:p w:rsidR="00000000" w:rsidRDefault="00000000">
      <w:pPr>
        <w:autoSpaceDE w:val="0"/>
        <w:autoSpaceDN w:val="0"/>
        <w:adjustRightInd w:val="0"/>
        <w:spacing w:after="240"/>
        <w:rPr>
          <w:lang w:val="en-US"/>
        </w:rPr>
      </w:pPr>
      <w:r>
        <w:rPr>
          <w:lang w:val="en-US"/>
        </w:rPr>
        <w:t>403.</w:t>
      </w:r>
      <w:r>
        <w:rPr>
          <w:lang w:val="en-US"/>
        </w:rPr>
        <w:tab/>
        <w:t>The services with the greatest expansion of coverage in the last 30 years have been access to electricity and running water in the home. In both cases the proportion has increased fivefold although the number of homes with electricity is well above the number with running water. In 1992, 59 per cent of homes had electricity, while the proportion today is 89.1 per cent. One special aspect of this service is the considerable increase in coverage in rural areas, which rose from 23.2 per cent in 1992 to 77.8 per cent in 2002 (Table 1). Dwellings with running water accounted for 31.5 per cent in 1992 and now account for 52.7 per cent. Despite the significant increase, a little under half of homes in the country do not receive this service, with rural areas worst affected by lack of running water, with a coverage of only 22.5 per cent in 2002.</w:t>
      </w:r>
    </w:p>
    <w:p w:rsidR="00000000" w:rsidRDefault="00000000">
      <w:pPr>
        <w:autoSpaceDE w:val="0"/>
        <w:autoSpaceDN w:val="0"/>
        <w:adjustRightInd w:val="0"/>
        <w:spacing w:after="240"/>
        <w:rPr>
          <w:lang w:val="en-US"/>
        </w:rPr>
      </w:pPr>
      <w:r>
        <w:rPr>
          <w:lang w:val="en-US"/>
        </w:rPr>
        <w:t>404.</w:t>
      </w:r>
      <w:r>
        <w:rPr>
          <w:lang w:val="en-US"/>
        </w:rPr>
        <w:tab/>
        <w:t>Of the overall services studied, homes with lavatories connected to the public system posted the slowest rate of  increase: from 7.7 per cent in 1992 to 9.4 per cent in 2002, especially when compared with dwellings with lavatories connected to a septic tank: (27.2 per cent in 1992 and 53.6 per cent in 2002). There are marked differences in access to this service depending on urban or rural residence, with urban homes enjoying almost exclusively more salubrious sanitation. In fact, coverage of homes with lavatories connected to a public system continues to be mainly urban and today stands at 16.1 per cent.</w:t>
      </w:r>
    </w:p>
    <w:p w:rsidR="00000000" w:rsidRDefault="00000000">
      <w:pPr>
        <w:autoSpaceDE w:val="0"/>
        <w:autoSpaceDN w:val="0"/>
        <w:adjustRightInd w:val="0"/>
        <w:spacing w:after="240"/>
        <w:rPr>
          <w:lang w:val="en-US"/>
        </w:rPr>
      </w:pPr>
      <w:r>
        <w:rPr>
          <w:lang w:val="en-US"/>
        </w:rPr>
        <w:t>405.</w:t>
      </w:r>
      <w:r>
        <w:rPr>
          <w:lang w:val="en-US"/>
        </w:rPr>
        <w:tab/>
        <w:t>The refuse collection service increased from 21.2 per cent in 1992 to 33.6 per cent in 2002, and is a mainly urban service.</w:t>
      </w:r>
    </w:p>
    <w:p w:rsidR="00000000" w:rsidRDefault="00000000">
      <w:pPr>
        <w:autoSpaceDE w:val="0"/>
        <w:autoSpaceDN w:val="0"/>
        <w:adjustRightInd w:val="0"/>
        <w:spacing w:after="240"/>
        <w:jc w:val="center"/>
        <w:rPr>
          <w:b/>
          <w:bCs/>
          <w:sz w:val="22"/>
          <w:lang w:val="en-US"/>
        </w:rPr>
      </w:pPr>
      <w:r>
        <w:rPr>
          <w:b/>
          <w:bCs/>
          <w:sz w:val="22"/>
          <w:lang w:val="es-ES_tradnl"/>
        </w:rPr>
        <w:t xml:space="preserve">Trends in refuse disposal 1995-2004 – </w:t>
      </w:r>
      <w:r>
        <w:rPr>
          <w:b/>
          <w:bCs/>
          <w:sz w:val="22"/>
          <w:szCs w:val="20"/>
          <w:lang w:val="en-US"/>
        </w:rPr>
        <w:t>Total country: homes by residential area</w:t>
      </w:r>
      <w:r>
        <w:rPr>
          <w:b/>
          <w:bCs/>
          <w:sz w:val="22"/>
          <w:szCs w:val="20"/>
          <w:lang w:val="en-US"/>
        </w:rPr>
        <w:br/>
        <w:t>according to method of refuse disposal</w:t>
      </w:r>
    </w:p>
    <w:tbl>
      <w:tblPr>
        <w:tblW w:w="5000" w:type="pct"/>
        <w:tblLayout w:type="fixed"/>
        <w:tblCellMar>
          <w:left w:w="0" w:type="dxa"/>
          <w:right w:w="0" w:type="dxa"/>
        </w:tblCellMar>
        <w:tblLook w:val="0000" w:firstRow="0" w:lastRow="0" w:firstColumn="0" w:lastColumn="0" w:noHBand="0" w:noVBand="0"/>
      </w:tblPr>
      <w:tblGrid>
        <w:gridCol w:w="1132"/>
        <w:gridCol w:w="768"/>
        <w:gridCol w:w="643"/>
        <w:gridCol w:w="662"/>
        <w:gridCol w:w="758"/>
        <w:gridCol w:w="671"/>
        <w:gridCol w:w="633"/>
        <w:gridCol w:w="748"/>
        <w:gridCol w:w="691"/>
        <w:gridCol w:w="643"/>
        <w:gridCol w:w="776"/>
        <w:gridCol w:w="673"/>
        <w:gridCol w:w="631"/>
      </w:tblGrid>
      <w:tr w:rsidR="00000000">
        <w:tblPrEx>
          <w:tblCellMar>
            <w:top w:w="0" w:type="dxa"/>
            <w:bottom w:w="0" w:type="dxa"/>
          </w:tblCellMar>
        </w:tblPrEx>
        <w:trPr>
          <w:cantSplit/>
          <w:tblHeader/>
        </w:trPr>
        <w:tc>
          <w:tcPr>
            <w:tcW w:w="1132" w:type="dxa"/>
            <w:vMerge w:val="restar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r>
              <w:rPr>
                <w:b/>
                <w:bCs/>
                <w:i/>
                <w:iCs/>
                <w:sz w:val="18"/>
                <w:szCs w:val="20"/>
              </w:rPr>
              <w:t>Form of refuse disposal</w:t>
            </w:r>
          </w:p>
        </w:tc>
        <w:tc>
          <w:tcPr>
            <w:tcW w:w="2073" w:type="dxa"/>
            <w:gridSpan w:val="3"/>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r>
              <w:rPr>
                <w:b/>
                <w:i/>
                <w:iCs/>
                <w:sz w:val="18"/>
                <w:lang w:val="en-US"/>
              </w:rPr>
              <w:t>1995</w:t>
            </w:r>
            <w:r>
              <w:rPr>
                <w:b/>
                <w:i/>
                <w:iCs/>
                <w:sz w:val="18"/>
                <w:vertAlign w:val="superscript"/>
                <w:lang w:val="en-US"/>
              </w:rPr>
              <w:t>*</w:t>
            </w:r>
          </w:p>
        </w:tc>
        <w:tc>
          <w:tcPr>
            <w:tcW w:w="2062" w:type="dxa"/>
            <w:gridSpan w:val="3"/>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r>
              <w:rPr>
                <w:b/>
                <w:i/>
                <w:iCs/>
                <w:sz w:val="18"/>
                <w:lang w:val="en-US"/>
              </w:rPr>
              <w:t>1999</w:t>
            </w:r>
            <w:r>
              <w:rPr>
                <w:b/>
                <w:i/>
                <w:iCs/>
                <w:sz w:val="18"/>
                <w:vertAlign w:val="superscript"/>
                <w:lang w:val="en-US"/>
              </w:rPr>
              <w:t>*</w:t>
            </w:r>
          </w:p>
        </w:tc>
        <w:tc>
          <w:tcPr>
            <w:tcW w:w="2082" w:type="dxa"/>
            <w:gridSpan w:val="3"/>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r>
              <w:rPr>
                <w:b/>
                <w:i/>
                <w:iCs/>
                <w:sz w:val="18"/>
                <w:lang w:val="en-US"/>
              </w:rPr>
              <w:t>2004</w:t>
            </w:r>
          </w:p>
        </w:tc>
        <w:tc>
          <w:tcPr>
            <w:tcW w:w="2080" w:type="dxa"/>
            <w:gridSpan w:val="3"/>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r>
              <w:rPr>
                <w:b/>
                <w:i/>
                <w:iCs/>
                <w:sz w:val="18"/>
                <w:lang w:val="en-US"/>
              </w:rPr>
              <w:t>2005</w:t>
            </w:r>
          </w:p>
        </w:tc>
      </w:tr>
      <w:tr w:rsidR="00000000">
        <w:tblPrEx>
          <w:tblCellMar>
            <w:top w:w="0" w:type="dxa"/>
            <w:bottom w:w="0" w:type="dxa"/>
          </w:tblCellMar>
        </w:tblPrEx>
        <w:trPr>
          <w:cantSplit/>
          <w:tblHeader/>
        </w:trPr>
        <w:tc>
          <w:tcPr>
            <w:tcW w:w="1132" w:type="dxa"/>
            <w:vMerge/>
            <w:tcBorders>
              <w:top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p>
        </w:tc>
        <w:tc>
          <w:tcPr>
            <w:tcW w:w="768" w:type="dxa"/>
            <w:vMerge w:val="restart"/>
            <w:tcBorders>
              <w:top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r>
              <w:rPr>
                <w:b/>
                <w:i/>
                <w:iCs/>
                <w:sz w:val="18"/>
                <w:lang w:val="en-US"/>
              </w:rPr>
              <w:t>Total</w:t>
            </w:r>
          </w:p>
        </w:tc>
        <w:tc>
          <w:tcPr>
            <w:tcW w:w="1305" w:type="dxa"/>
            <w:gridSpan w:val="2"/>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r>
              <w:rPr>
                <w:b/>
                <w:bCs/>
                <w:i/>
                <w:iCs/>
                <w:sz w:val="18"/>
                <w:szCs w:val="20"/>
              </w:rPr>
              <w:t>Residence area</w:t>
            </w:r>
          </w:p>
        </w:tc>
        <w:tc>
          <w:tcPr>
            <w:tcW w:w="758" w:type="dxa"/>
            <w:vMerge w:val="restart"/>
            <w:tcBorders>
              <w:top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r>
              <w:rPr>
                <w:b/>
                <w:i/>
                <w:iCs/>
                <w:sz w:val="18"/>
                <w:lang w:val="en-US"/>
              </w:rPr>
              <w:t>Total</w:t>
            </w:r>
          </w:p>
        </w:tc>
        <w:tc>
          <w:tcPr>
            <w:tcW w:w="1304" w:type="dxa"/>
            <w:gridSpan w:val="2"/>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r>
              <w:rPr>
                <w:b/>
                <w:bCs/>
                <w:i/>
                <w:iCs/>
                <w:sz w:val="18"/>
                <w:szCs w:val="20"/>
              </w:rPr>
              <w:t>Residence area</w:t>
            </w:r>
          </w:p>
        </w:tc>
        <w:tc>
          <w:tcPr>
            <w:tcW w:w="748" w:type="dxa"/>
            <w:vMerge w:val="restart"/>
            <w:tcBorders>
              <w:top w:val="single" w:sz="4" w:space="0" w:color="auto"/>
            </w:tcBorders>
            <w:vAlign w:val="center"/>
          </w:tcPr>
          <w:p w:rsidR="00000000" w:rsidRDefault="00000000">
            <w:pPr>
              <w:widowControl w:val="0"/>
              <w:autoSpaceDE w:val="0"/>
              <w:autoSpaceDN w:val="0"/>
              <w:adjustRightInd w:val="0"/>
              <w:spacing w:before="80" w:after="80"/>
              <w:jc w:val="center"/>
              <w:rPr>
                <w:b/>
                <w:i/>
                <w:iCs/>
                <w:sz w:val="18"/>
                <w:lang w:val="es-MX"/>
              </w:rPr>
            </w:pPr>
            <w:r>
              <w:rPr>
                <w:b/>
                <w:i/>
                <w:iCs/>
                <w:sz w:val="18"/>
                <w:lang w:val="es-MX"/>
              </w:rPr>
              <w:t>Total</w:t>
            </w:r>
          </w:p>
        </w:tc>
        <w:tc>
          <w:tcPr>
            <w:tcW w:w="1334" w:type="dxa"/>
            <w:gridSpan w:val="2"/>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s-MX"/>
              </w:rPr>
            </w:pPr>
            <w:r>
              <w:rPr>
                <w:b/>
                <w:bCs/>
                <w:i/>
                <w:iCs/>
                <w:sz w:val="18"/>
                <w:szCs w:val="20"/>
              </w:rPr>
              <w:t>Residence area</w:t>
            </w:r>
          </w:p>
        </w:tc>
        <w:tc>
          <w:tcPr>
            <w:tcW w:w="776" w:type="dxa"/>
            <w:vMerge w:val="restart"/>
            <w:tcBorders>
              <w:top w:val="single" w:sz="4" w:space="0" w:color="auto"/>
            </w:tcBorders>
            <w:vAlign w:val="center"/>
          </w:tcPr>
          <w:p w:rsidR="00000000" w:rsidRDefault="00000000">
            <w:pPr>
              <w:widowControl w:val="0"/>
              <w:autoSpaceDE w:val="0"/>
              <w:autoSpaceDN w:val="0"/>
              <w:adjustRightInd w:val="0"/>
              <w:spacing w:before="80" w:after="80"/>
              <w:jc w:val="center"/>
              <w:rPr>
                <w:b/>
                <w:i/>
                <w:iCs/>
                <w:sz w:val="18"/>
                <w:lang w:val="es-MX"/>
              </w:rPr>
            </w:pPr>
            <w:r>
              <w:rPr>
                <w:b/>
                <w:i/>
                <w:iCs/>
                <w:sz w:val="18"/>
                <w:lang w:val="es-MX"/>
              </w:rPr>
              <w:t>Total</w:t>
            </w:r>
          </w:p>
        </w:tc>
        <w:tc>
          <w:tcPr>
            <w:tcW w:w="1304" w:type="dxa"/>
            <w:gridSpan w:val="2"/>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s-MX"/>
              </w:rPr>
            </w:pPr>
            <w:r>
              <w:rPr>
                <w:b/>
                <w:bCs/>
                <w:i/>
                <w:iCs/>
                <w:sz w:val="18"/>
                <w:szCs w:val="20"/>
              </w:rPr>
              <w:t>Residence area</w:t>
            </w:r>
          </w:p>
        </w:tc>
      </w:tr>
      <w:tr w:rsidR="00000000">
        <w:tblPrEx>
          <w:tblCellMar>
            <w:top w:w="0" w:type="dxa"/>
            <w:bottom w:w="0" w:type="dxa"/>
          </w:tblCellMar>
        </w:tblPrEx>
        <w:trPr>
          <w:cantSplit/>
          <w:tblHeader/>
        </w:trPr>
        <w:tc>
          <w:tcPr>
            <w:tcW w:w="1132" w:type="dxa"/>
            <w:vMerge/>
            <w:tcBorders>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s-MX"/>
              </w:rPr>
            </w:pPr>
          </w:p>
        </w:tc>
        <w:tc>
          <w:tcPr>
            <w:tcW w:w="768" w:type="dxa"/>
            <w:vMerge/>
            <w:tcBorders>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s-MX"/>
              </w:rPr>
            </w:pPr>
          </w:p>
        </w:tc>
        <w:tc>
          <w:tcPr>
            <w:tcW w:w="643"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r>
              <w:rPr>
                <w:b/>
                <w:bCs/>
                <w:i/>
                <w:iCs/>
                <w:sz w:val="18"/>
                <w:szCs w:val="20"/>
              </w:rPr>
              <w:t>Urban</w:t>
            </w:r>
          </w:p>
        </w:tc>
        <w:tc>
          <w:tcPr>
            <w:tcW w:w="662"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r>
              <w:rPr>
                <w:b/>
                <w:bCs/>
                <w:i/>
                <w:iCs/>
                <w:sz w:val="18"/>
                <w:szCs w:val="20"/>
              </w:rPr>
              <w:t>Rural</w:t>
            </w:r>
          </w:p>
        </w:tc>
        <w:tc>
          <w:tcPr>
            <w:tcW w:w="758" w:type="dxa"/>
            <w:vMerge/>
            <w:tcBorders>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p>
        </w:tc>
        <w:tc>
          <w:tcPr>
            <w:tcW w:w="671"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r>
              <w:rPr>
                <w:b/>
                <w:bCs/>
                <w:i/>
                <w:iCs/>
                <w:sz w:val="18"/>
                <w:szCs w:val="20"/>
              </w:rPr>
              <w:t>Urban</w:t>
            </w:r>
          </w:p>
        </w:tc>
        <w:tc>
          <w:tcPr>
            <w:tcW w:w="633"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r>
              <w:rPr>
                <w:b/>
                <w:bCs/>
                <w:i/>
                <w:iCs/>
                <w:sz w:val="18"/>
                <w:szCs w:val="20"/>
              </w:rPr>
              <w:t>Rural</w:t>
            </w:r>
          </w:p>
        </w:tc>
        <w:tc>
          <w:tcPr>
            <w:tcW w:w="748" w:type="dxa"/>
            <w:vMerge/>
            <w:tcBorders>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p>
        </w:tc>
        <w:tc>
          <w:tcPr>
            <w:tcW w:w="691"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r>
              <w:rPr>
                <w:b/>
                <w:bCs/>
                <w:i/>
                <w:iCs/>
                <w:sz w:val="18"/>
                <w:szCs w:val="20"/>
              </w:rPr>
              <w:t>Urban</w:t>
            </w:r>
          </w:p>
        </w:tc>
        <w:tc>
          <w:tcPr>
            <w:tcW w:w="643"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r>
              <w:rPr>
                <w:b/>
                <w:bCs/>
                <w:i/>
                <w:iCs/>
                <w:sz w:val="18"/>
                <w:szCs w:val="20"/>
              </w:rPr>
              <w:t>Rural</w:t>
            </w:r>
          </w:p>
        </w:tc>
        <w:tc>
          <w:tcPr>
            <w:tcW w:w="776" w:type="dxa"/>
            <w:vMerge/>
            <w:tcBorders>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p>
        </w:tc>
        <w:tc>
          <w:tcPr>
            <w:tcW w:w="673"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r>
              <w:rPr>
                <w:b/>
                <w:bCs/>
                <w:i/>
                <w:iCs/>
                <w:sz w:val="18"/>
                <w:szCs w:val="20"/>
              </w:rPr>
              <w:t>Urban</w:t>
            </w:r>
          </w:p>
        </w:tc>
        <w:tc>
          <w:tcPr>
            <w:tcW w:w="631"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i/>
                <w:iCs/>
                <w:sz w:val="18"/>
                <w:lang w:val="en-US"/>
              </w:rPr>
            </w:pPr>
            <w:r>
              <w:rPr>
                <w:b/>
                <w:bCs/>
                <w:i/>
                <w:iCs/>
                <w:sz w:val="18"/>
                <w:szCs w:val="20"/>
              </w:rPr>
              <w:t>Rural</w:t>
            </w:r>
          </w:p>
        </w:tc>
      </w:tr>
      <w:tr w:rsidR="00000000">
        <w:tblPrEx>
          <w:tblCellMar>
            <w:top w:w="0" w:type="dxa"/>
            <w:bottom w:w="0" w:type="dxa"/>
          </w:tblCellMar>
        </w:tblPrEx>
        <w:tc>
          <w:tcPr>
            <w:tcW w:w="1132" w:type="dxa"/>
            <w:tcBorders>
              <w:top w:val="single" w:sz="4" w:space="0" w:color="auto"/>
            </w:tcBorders>
            <w:vAlign w:val="bottom"/>
          </w:tcPr>
          <w:p w:rsidR="00000000" w:rsidRDefault="00000000">
            <w:pPr>
              <w:widowControl w:val="0"/>
              <w:spacing w:before="80" w:after="80"/>
              <w:rPr>
                <w:sz w:val="20"/>
                <w:szCs w:val="20"/>
                <w:lang w:val="en-US"/>
              </w:rPr>
            </w:pPr>
            <w:r>
              <w:rPr>
                <w:sz w:val="20"/>
                <w:szCs w:val="20"/>
              </w:rPr>
              <w:t>Incineration</w:t>
            </w:r>
          </w:p>
        </w:tc>
        <w:tc>
          <w:tcPr>
            <w:tcW w:w="768" w:type="dxa"/>
            <w:tcBorders>
              <w:top w:val="single" w:sz="4" w:space="0" w:color="auto"/>
            </w:tcBorders>
            <w:vAlign w:val="bottom"/>
          </w:tcPr>
          <w:p w:rsidR="00000000" w:rsidRDefault="00000000">
            <w:pPr>
              <w:widowControl w:val="0"/>
              <w:spacing w:before="80" w:after="80"/>
              <w:jc w:val="center"/>
              <w:rPr>
                <w:sz w:val="18"/>
                <w:szCs w:val="20"/>
                <w:lang w:val="en-US"/>
              </w:rPr>
            </w:pPr>
            <w:r>
              <w:rPr>
                <w:sz w:val="18"/>
                <w:szCs w:val="20"/>
                <w:lang w:val="en-US"/>
              </w:rPr>
              <w:t>54.5</w:t>
            </w:r>
          </w:p>
        </w:tc>
        <w:tc>
          <w:tcPr>
            <w:tcW w:w="643" w:type="dxa"/>
            <w:tcBorders>
              <w:top w:val="single" w:sz="4" w:space="0" w:color="auto"/>
            </w:tcBorders>
            <w:vAlign w:val="bottom"/>
          </w:tcPr>
          <w:p w:rsidR="00000000" w:rsidRDefault="00000000">
            <w:pPr>
              <w:widowControl w:val="0"/>
              <w:spacing w:before="80" w:after="80"/>
              <w:jc w:val="center"/>
              <w:rPr>
                <w:sz w:val="18"/>
                <w:szCs w:val="20"/>
                <w:lang w:val="en-US"/>
              </w:rPr>
            </w:pPr>
            <w:r>
              <w:rPr>
                <w:sz w:val="18"/>
                <w:szCs w:val="20"/>
                <w:lang w:val="en-US"/>
              </w:rPr>
              <w:t>38.8</w:t>
            </w:r>
          </w:p>
        </w:tc>
        <w:tc>
          <w:tcPr>
            <w:tcW w:w="662" w:type="dxa"/>
            <w:tcBorders>
              <w:top w:val="single" w:sz="4" w:space="0" w:color="auto"/>
            </w:tcBorders>
            <w:vAlign w:val="bottom"/>
          </w:tcPr>
          <w:p w:rsidR="00000000" w:rsidRDefault="00000000">
            <w:pPr>
              <w:widowControl w:val="0"/>
              <w:spacing w:before="80" w:after="80"/>
              <w:jc w:val="center"/>
              <w:rPr>
                <w:sz w:val="18"/>
                <w:szCs w:val="20"/>
                <w:lang w:val="en-US"/>
              </w:rPr>
            </w:pPr>
            <w:r>
              <w:rPr>
                <w:sz w:val="18"/>
                <w:szCs w:val="20"/>
                <w:lang w:val="en-US"/>
              </w:rPr>
              <w:t>73.1</w:t>
            </w:r>
          </w:p>
        </w:tc>
        <w:tc>
          <w:tcPr>
            <w:tcW w:w="758" w:type="dxa"/>
            <w:tcBorders>
              <w:top w:val="single" w:sz="4" w:space="0" w:color="auto"/>
            </w:tcBorders>
            <w:vAlign w:val="bottom"/>
          </w:tcPr>
          <w:p w:rsidR="00000000" w:rsidRDefault="00000000">
            <w:pPr>
              <w:widowControl w:val="0"/>
              <w:spacing w:before="80" w:after="80"/>
              <w:jc w:val="center"/>
              <w:rPr>
                <w:sz w:val="18"/>
                <w:szCs w:val="20"/>
                <w:lang w:val="en-US"/>
              </w:rPr>
            </w:pPr>
            <w:r>
              <w:rPr>
                <w:sz w:val="18"/>
                <w:szCs w:val="20"/>
                <w:lang w:val="en-US"/>
              </w:rPr>
              <w:t>53.6</w:t>
            </w:r>
          </w:p>
        </w:tc>
        <w:tc>
          <w:tcPr>
            <w:tcW w:w="671" w:type="dxa"/>
            <w:tcBorders>
              <w:top w:val="single" w:sz="4" w:space="0" w:color="auto"/>
            </w:tcBorders>
            <w:vAlign w:val="bottom"/>
          </w:tcPr>
          <w:p w:rsidR="00000000" w:rsidRDefault="00000000">
            <w:pPr>
              <w:widowControl w:val="0"/>
              <w:spacing w:before="80" w:after="80"/>
              <w:jc w:val="center"/>
              <w:rPr>
                <w:sz w:val="18"/>
                <w:szCs w:val="20"/>
                <w:lang w:val="en-US"/>
              </w:rPr>
            </w:pPr>
            <w:r>
              <w:rPr>
                <w:sz w:val="18"/>
                <w:szCs w:val="20"/>
                <w:lang w:val="en-US"/>
              </w:rPr>
              <w:t>35.5</w:t>
            </w:r>
          </w:p>
        </w:tc>
        <w:tc>
          <w:tcPr>
            <w:tcW w:w="633" w:type="dxa"/>
            <w:tcBorders>
              <w:top w:val="single" w:sz="4" w:space="0" w:color="auto"/>
            </w:tcBorders>
            <w:vAlign w:val="bottom"/>
          </w:tcPr>
          <w:p w:rsidR="00000000" w:rsidRDefault="00000000">
            <w:pPr>
              <w:widowControl w:val="0"/>
              <w:spacing w:before="80" w:after="80"/>
              <w:jc w:val="center"/>
              <w:rPr>
                <w:sz w:val="18"/>
                <w:szCs w:val="20"/>
                <w:lang w:val="en-US"/>
              </w:rPr>
            </w:pPr>
            <w:r>
              <w:rPr>
                <w:sz w:val="18"/>
                <w:szCs w:val="20"/>
                <w:lang w:val="en-US"/>
              </w:rPr>
              <w:t>77.6</w:t>
            </w:r>
          </w:p>
        </w:tc>
        <w:tc>
          <w:tcPr>
            <w:tcW w:w="748" w:type="dxa"/>
            <w:tcBorders>
              <w:top w:val="single" w:sz="4" w:space="0" w:color="auto"/>
            </w:tcBorders>
            <w:vAlign w:val="bottom"/>
          </w:tcPr>
          <w:p w:rsidR="00000000" w:rsidRDefault="00000000">
            <w:pPr>
              <w:widowControl w:val="0"/>
              <w:spacing w:before="80" w:after="80"/>
              <w:jc w:val="center"/>
              <w:rPr>
                <w:sz w:val="18"/>
                <w:szCs w:val="20"/>
                <w:lang w:val="en-US"/>
              </w:rPr>
            </w:pPr>
            <w:r>
              <w:rPr>
                <w:sz w:val="18"/>
                <w:szCs w:val="20"/>
                <w:lang w:val="en-US"/>
              </w:rPr>
              <w:t>51.5</w:t>
            </w:r>
          </w:p>
        </w:tc>
        <w:tc>
          <w:tcPr>
            <w:tcW w:w="691" w:type="dxa"/>
            <w:tcBorders>
              <w:top w:val="single" w:sz="4" w:space="0" w:color="auto"/>
            </w:tcBorders>
            <w:vAlign w:val="bottom"/>
          </w:tcPr>
          <w:p w:rsidR="00000000" w:rsidRDefault="00000000">
            <w:pPr>
              <w:widowControl w:val="0"/>
              <w:spacing w:before="80" w:after="80"/>
              <w:jc w:val="center"/>
              <w:rPr>
                <w:sz w:val="18"/>
                <w:szCs w:val="20"/>
                <w:lang w:val="en-US"/>
              </w:rPr>
            </w:pPr>
            <w:r>
              <w:rPr>
                <w:sz w:val="18"/>
                <w:szCs w:val="20"/>
                <w:lang w:val="en-US"/>
              </w:rPr>
              <w:t>33.0</w:t>
            </w:r>
          </w:p>
        </w:tc>
        <w:tc>
          <w:tcPr>
            <w:tcW w:w="643" w:type="dxa"/>
            <w:tcBorders>
              <w:top w:val="single" w:sz="4" w:space="0" w:color="auto"/>
            </w:tcBorders>
            <w:vAlign w:val="bottom"/>
          </w:tcPr>
          <w:p w:rsidR="00000000" w:rsidRDefault="00000000">
            <w:pPr>
              <w:widowControl w:val="0"/>
              <w:spacing w:before="80" w:after="80"/>
              <w:jc w:val="center"/>
              <w:rPr>
                <w:sz w:val="18"/>
                <w:szCs w:val="20"/>
                <w:lang w:val="en-US"/>
              </w:rPr>
            </w:pPr>
            <w:r>
              <w:rPr>
                <w:sz w:val="18"/>
                <w:szCs w:val="20"/>
                <w:lang w:val="en-US"/>
              </w:rPr>
              <w:t>78.5</w:t>
            </w:r>
          </w:p>
        </w:tc>
        <w:tc>
          <w:tcPr>
            <w:tcW w:w="776" w:type="dxa"/>
            <w:tcBorders>
              <w:top w:val="single" w:sz="4" w:space="0" w:color="auto"/>
            </w:tcBorders>
            <w:vAlign w:val="bottom"/>
          </w:tcPr>
          <w:p w:rsidR="00000000" w:rsidRDefault="00000000">
            <w:pPr>
              <w:widowControl w:val="0"/>
              <w:spacing w:before="80" w:after="80"/>
              <w:jc w:val="center"/>
              <w:rPr>
                <w:sz w:val="18"/>
                <w:szCs w:val="20"/>
                <w:lang w:val="en-US"/>
              </w:rPr>
            </w:pPr>
            <w:r>
              <w:rPr>
                <w:sz w:val="18"/>
                <w:szCs w:val="20"/>
                <w:lang w:val="en-US"/>
              </w:rPr>
              <w:t>51.5</w:t>
            </w:r>
          </w:p>
        </w:tc>
        <w:tc>
          <w:tcPr>
            <w:tcW w:w="673" w:type="dxa"/>
            <w:tcBorders>
              <w:top w:val="single" w:sz="4" w:space="0" w:color="auto"/>
            </w:tcBorders>
            <w:vAlign w:val="bottom"/>
          </w:tcPr>
          <w:p w:rsidR="00000000" w:rsidRDefault="00000000">
            <w:pPr>
              <w:widowControl w:val="0"/>
              <w:spacing w:before="80" w:after="80"/>
              <w:jc w:val="center"/>
              <w:rPr>
                <w:sz w:val="18"/>
                <w:szCs w:val="20"/>
                <w:lang w:val="en-US"/>
              </w:rPr>
            </w:pPr>
            <w:r>
              <w:rPr>
                <w:sz w:val="18"/>
                <w:szCs w:val="20"/>
                <w:lang w:val="en-US"/>
              </w:rPr>
              <w:t>34.3</w:t>
            </w:r>
          </w:p>
        </w:tc>
        <w:tc>
          <w:tcPr>
            <w:tcW w:w="631" w:type="dxa"/>
            <w:tcBorders>
              <w:top w:val="single" w:sz="4" w:space="0" w:color="auto"/>
            </w:tcBorders>
            <w:vAlign w:val="bottom"/>
          </w:tcPr>
          <w:p w:rsidR="00000000" w:rsidRDefault="00000000">
            <w:pPr>
              <w:widowControl w:val="0"/>
              <w:spacing w:before="80" w:after="80"/>
              <w:jc w:val="center"/>
              <w:rPr>
                <w:sz w:val="18"/>
                <w:szCs w:val="20"/>
                <w:lang w:val="en-US"/>
              </w:rPr>
            </w:pPr>
            <w:r>
              <w:rPr>
                <w:sz w:val="18"/>
                <w:szCs w:val="20"/>
                <w:lang w:val="en-US"/>
              </w:rPr>
              <w:t>77.9</w:t>
            </w:r>
          </w:p>
        </w:tc>
      </w:tr>
      <w:tr w:rsidR="00000000">
        <w:tblPrEx>
          <w:tblCellMar>
            <w:top w:w="0" w:type="dxa"/>
            <w:bottom w:w="0" w:type="dxa"/>
          </w:tblCellMar>
        </w:tblPrEx>
        <w:tc>
          <w:tcPr>
            <w:tcW w:w="1132" w:type="dxa"/>
            <w:vAlign w:val="bottom"/>
          </w:tcPr>
          <w:p w:rsidR="00000000" w:rsidRDefault="00000000">
            <w:pPr>
              <w:widowControl w:val="0"/>
              <w:spacing w:before="80" w:after="80"/>
              <w:rPr>
                <w:sz w:val="20"/>
                <w:szCs w:val="20"/>
                <w:lang w:val="en-US"/>
              </w:rPr>
            </w:pPr>
            <w:r>
              <w:rPr>
                <w:sz w:val="20"/>
                <w:szCs w:val="20"/>
              </w:rPr>
              <w:t>Public or private collection</w:t>
            </w:r>
          </w:p>
        </w:tc>
        <w:tc>
          <w:tcPr>
            <w:tcW w:w="768" w:type="dxa"/>
            <w:vAlign w:val="bottom"/>
          </w:tcPr>
          <w:p w:rsidR="00000000" w:rsidRDefault="00000000">
            <w:pPr>
              <w:widowControl w:val="0"/>
              <w:spacing w:before="80" w:after="80"/>
              <w:jc w:val="center"/>
              <w:rPr>
                <w:sz w:val="18"/>
                <w:szCs w:val="20"/>
              </w:rPr>
            </w:pPr>
            <w:r>
              <w:rPr>
                <w:sz w:val="18"/>
                <w:szCs w:val="20"/>
              </w:rPr>
              <w:t>-</w:t>
            </w:r>
          </w:p>
        </w:tc>
        <w:tc>
          <w:tcPr>
            <w:tcW w:w="643" w:type="dxa"/>
            <w:vAlign w:val="bottom"/>
          </w:tcPr>
          <w:p w:rsidR="00000000" w:rsidRDefault="00000000">
            <w:pPr>
              <w:widowControl w:val="0"/>
              <w:spacing w:before="80" w:after="80"/>
              <w:jc w:val="center"/>
              <w:rPr>
                <w:sz w:val="18"/>
                <w:szCs w:val="20"/>
              </w:rPr>
            </w:pPr>
            <w:r>
              <w:rPr>
                <w:sz w:val="18"/>
                <w:szCs w:val="20"/>
              </w:rPr>
              <w:t>-</w:t>
            </w:r>
          </w:p>
        </w:tc>
        <w:tc>
          <w:tcPr>
            <w:tcW w:w="662" w:type="dxa"/>
            <w:vAlign w:val="bottom"/>
          </w:tcPr>
          <w:p w:rsidR="00000000" w:rsidRDefault="00000000">
            <w:pPr>
              <w:widowControl w:val="0"/>
              <w:spacing w:before="80" w:after="80"/>
              <w:jc w:val="center"/>
              <w:rPr>
                <w:sz w:val="18"/>
                <w:szCs w:val="20"/>
              </w:rPr>
            </w:pPr>
            <w:r>
              <w:rPr>
                <w:sz w:val="18"/>
                <w:szCs w:val="20"/>
              </w:rPr>
              <w:t>-</w:t>
            </w:r>
          </w:p>
        </w:tc>
        <w:tc>
          <w:tcPr>
            <w:tcW w:w="758" w:type="dxa"/>
            <w:vAlign w:val="bottom"/>
          </w:tcPr>
          <w:p w:rsidR="00000000" w:rsidRDefault="00000000">
            <w:pPr>
              <w:widowControl w:val="0"/>
              <w:spacing w:before="80" w:after="80"/>
              <w:jc w:val="center"/>
              <w:rPr>
                <w:sz w:val="18"/>
                <w:szCs w:val="20"/>
              </w:rPr>
            </w:pPr>
            <w:r>
              <w:rPr>
                <w:sz w:val="18"/>
                <w:szCs w:val="20"/>
              </w:rPr>
              <w:t>32.1</w:t>
            </w:r>
          </w:p>
        </w:tc>
        <w:tc>
          <w:tcPr>
            <w:tcW w:w="671" w:type="dxa"/>
            <w:vAlign w:val="bottom"/>
          </w:tcPr>
          <w:p w:rsidR="00000000" w:rsidRDefault="00000000">
            <w:pPr>
              <w:widowControl w:val="0"/>
              <w:spacing w:before="80" w:after="80"/>
              <w:jc w:val="center"/>
              <w:rPr>
                <w:sz w:val="18"/>
                <w:szCs w:val="20"/>
              </w:rPr>
            </w:pPr>
            <w:r>
              <w:rPr>
                <w:sz w:val="18"/>
                <w:szCs w:val="20"/>
              </w:rPr>
              <w:t>54.0</w:t>
            </w:r>
          </w:p>
        </w:tc>
        <w:tc>
          <w:tcPr>
            <w:tcW w:w="633" w:type="dxa"/>
            <w:vAlign w:val="bottom"/>
          </w:tcPr>
          <w:p w:rsidR="00000000" w:rsidRDefault="00000000">
            <w:pPr>
              <w:widowControl w:val="0"/>
              <w:spacing w:before="80" w:after="80"/>
              <w:jc w:val="center"/>
              <w:rPr>
                <w:sz w:val="18"/>
                <w:szCs w:val="20"/>
              </w:rPr>
            </w:pPr>
            <w:r>
              <w:rPr>
                <w:sz w:val="18"/>
                <w:szCs w:val="20"/>
              </w:rPr>
              <w:t>3.2</w:t>
            </w:r>
          </w:p>
        </w:tc>
        <w:tc>
          <w:tcPr>
            <w:tcW w:w="748" w:type="dxa"/>
            <w:vAlign w:val="bottom"/>
          </w:tcPr>
          <w:p w:rsidR="00000000" w:rsidRDefault="00000000">
            <w:pPr>
              <w:widowControl w:val="0"/>
              <w:spacing w:before="80" w:after="80"/>
              <w:jc w:val="center"/>
              <w:rPr>
                <w:sz w:val="18"/>
                <w:szCs w:val="20"/>
              </w:rPr>
            </w:pPr>
            <w:r>
              <w:rPr>
                <w:sz w:val="18"/>
                <w:szCs w:val="20"/>
              </w:rPr>
              <w:t>35.2</w:t>
            </w:r>
          </w:p>
        </w:tc>
        <w:tc>
          <w:tcPr>
            <w:tcW w:w="691" w:type="dxa"/>
            <w:vAlign w:val="bottom"/>
          </w:tcPr>
          <w:p w:rsidR="00000000" w:rsidRDefault="00000000">
            <w:pPr>
              <w:widowControl w:val="0"/>
              <w:spacing w:before="80" w:after="80"/>
              <w:jc w:val="center"/>
              <w:rPr>
                <w:sz w:val="18"/>
                <w:szCs w:val="20"/>
              </w:rPr>
            </w:pPr>
            <w:r>
              <w:rPr>
                <w:sz w:val="18"/>
                <w:szCs w:val="20"/>
              </w:rPr>
              <w:t>57.6</w:t>
            </w:r>
          </w:p>
        </w:tc>
        <w:tc>
          <w:tcPr>
            <w:tcW w:w="643" w:type="dxa"/>
            <w:vAlign w:val="bottom"/>
          </w:tcPr>
          <w:p w:rsidR="00000000" w:rsidRDefault="00000000">
            <w:pPr>
              <w:widowControl w:val="0"/>
              <w:spacing w:before="80" w:after="80"/>
              <w:jc w:val="center"/>
              <w:rPr>
                <w:sz w:val="18"/>
                <w:szCs w:val="20"/>
              </w:rPr>
            </w:pPr>
            <w:r>
              <w:rPr>
                <w:sz w:val="18"/>
                <w:szCs w:val="20"/>
              </w:rPr>
              <w:t>2.3</w:t>
            </w:r>
          </w:p>
        </w:tc>
        <w:tc>
          <w:tcPr>
            <w:tcW w:w="776" w:type="dxa"/>
            <w:vAlign w:val="bottom"/>
          </w:tcPr>
          <w:p w:rsidR="00000000" w:rsidRDefault="00000000">
            <w:pPr>
              <w:widowControl w:val="0"/>
              <w:spacing w:before="80" w:after="80"/>
              <w:jc w:val="center"/>
              <w:rPr>
                <w:sz w:val="18"/>
                <w:szCs w:val="20"/>
              </w:rPr>
            </w:pPr>
            <w:r>
              <w:rPr>
                <w:sz w:val="18"/>
                <w:szCs w:val="20"/>
              </w:rPr>
              <w:t>36.6</w:t>
            </w:r>
          </w:p>
        </w:tc>
        <w:tc>
          <w:tcPr>
            <w:tcW w:w="673" w:type="dxa"/>
            <w:vAlign w:val="bottom"/>
          </w:tcPr>
          <w:p w:rsidR="00000000" w:rsidRDefault="00000000">
            <w:pPr>
              <w:widowControl w:val="0"/>
              <w:spacing w:before="80" w:after="80"/>
              <w:jc w:val="center"/>
              <w:rPr>
                <w:sz w:val="18"/>
                <w:szCs w:val="20"/>
              </w:rPr>
            </w:pPr>
            <w:r>
              <w:rPr>
                <w:sz w:val="18"/>
                <w:szCs w:val="20"/>
              </w:rPr>
              <w:t>58.1</w:t>
            </w:r>
          </w:p>
        </w:tc>
        <w:tc>
          <w:tcPr>
            <w:tcW w:w="631" w:type="dxa"/>
            <w:vAlign w:val="bottom"/>
          </w:tcPr>
          <w:p w:rsidR="00000000" w:rsidRDefault="00000000">
            <w:pPr>
              <w:widowControl w:val="0"/>
              <w:spacing w:before="80" w:after="80"/>
              <w:jc w:val="center"/>
              <w:rPr>
                <w:sz w:val="18"/>
                <w:szCs w:val="20"/>
              </w:rPr>
            </w:pPr>
            <w:r>
              <w:rPr>
                <w:sz w:val="18"/>
                <w:szCs w:val="20"/>
              </w:rPr>
              <w:t>3.5</w:t>
            </w:r>
          </w:p>
        </w:tc>
      </w:tr>
      <w:tr w:rsidR="00000000">
        <w:tblPrEx>
          <w:tblCellMar>
            <w:top w:w="0" w:type="dxa"/>
            <w:bottom w:w="0" w:type="dxa"/>
          </w:tblCellMar>
        </w:tblPrEx>
        <w:tc>
          <w:tcPr>
            <w:tcW w:w="1132" w:type="dxa"/>
            <w:vAlign w:val="bottom"/>
          </w:tcPr>
          <w:p w:rsidR="00000000" w:rsidRDefault="00000000">
            <w:pPr>
              <w:widowControl w:val="0"/>
              <w:spacing w:before="80" w:after="80"/>
              <w:rPr>
                <w:sz w:val="20"/>
                <w:szCs w:val="20"/>
              </w:rPr>
            </w:pPr>
            <w:r>
              <w:rPr>
                <w:sz w:val="20"/>
                <w:szCs w:val="20"/>
              </w:rPr>
              <w:t>Public collection</w:t>
            </w:r>
          </w:p>
        </w:tc>
        <w:tc>
          <w:tcPr>
            <w:tcW w:w="768" w:type="dxa"/>
            <w:vAlign w:val="bottom"/>
          </w:tcPr>
          <w:p w:rsidR="00000000" w:rsidRDefault="00000000">
            <w:pPr>
              <w:widowControl w:val="0"/>
              <w:spacing w:before="80" w:after="80"/>
              <w:jc w:val="center"/>
              <w:rPr>
                <w:sz w:val="18"/>
                <w:szCs w:val="20"/>
              </w:rPr>
            </w:pPr>
            <w:r>
              <w:rPr>
                <w:sz w:val="18"/>
                <w:szCs w:val="20"/>
              </w:rPr>
              <w:t>24.8</w:t>
            </w:r>
          </w:p>
        </w:tc>
        <w:tc>
          <w:tcPr>
            <w:tcW w:w="643" w:type="dxa"/>
            <w:vAlign w:val="bottom"/>
          </w:tcPr>
          <w:p w:rsidR="00000000" w:rsidRDefault="00000000">
            <w:pPr>
              <w:widowControl w:val="0"/>
              <w:spacing w:before="80" w:after="80"/>
              <w:jc w:val="center"/>
              <w:rPr>
                <w:sz w:val="18"/>
                <w:szCs w:val="20"/>
              </w:rPr>
            </w:pPr>
            <w:r>
              <w:rPr>
                <w:sz w:val="18"/>
                <w:szCs w:val="20"/>
              </w:rPr>
              <w:t>45.7</w:t>
            </w:r>
          </w:p>
        </w:tc>
        <w:tc>
          <w:tcPr>
            <w:tcW w:w="662" w:type="dxa"/>
            <w:vAlign w:val="bottom"/>
          </w:tcPr>
          <w:p w:rsidR="00000000" w:rsidRDefault="00000000">
            <w:pPr>
              <w:widowControl w:val="0"/>
              <w:spacing w:before="80" w:after="80"/>
              <w:jc w:val="center"/>
              <w:rPr>
                <w:sz w:val="18"/>
                <w:szCs w:val="20"/>
              </w:rPr>
            </w:pPr>
            <w:r>
              <w:rPr>
                <w:sz w:val="18"/>
                <w:szCs w:val="20"/>
              </w:rPr>
              <w:t>0.1</w:t>
            </w:r>
          </w:p>
        </w:tc>
        <w:tc>
          <w:tcPr>
            <w:tcW w:w="758" w:type="dxa"/>
            <w:vAlign w:val="bottom"/>
          </w:tcPr>
          <w:p w:rsidR="00000000" w:rsidRDefault="00000000">
            <w:pPr>
              <w:widowControl w:val="0"/>
              <w:spacing w:before="80" w:after="80"/>
              <w:jc w:val="center"/>
              <w:rPr>
                <w:sz w:val="18"/>
                <w:szCs w:val="20"/>
              </w:rPr>
            </w:pPr>
            <w:r>
              <w:rPr>
                <w:sz w:val="18"/>
                <w:szCs w:val="20"/>
              </w:rPr>
              <w:t>-</w:t>
            </w:r>
          </w:p>
        </w:tc>
        <w:tc>
          <w:tcPr>
            <w:tcW w:w="671" w:type="dxa"/>
            <w:vAlign w:val="bottom"/>
          </w:tcPr>
          <w:p w:rsidR="00000000" w:rsidRDefault="00000000">
            <w:pPr>
              <w:widowControl w:val="0"/>
              <w:spacing w:before="80" w:after="80"/>
              <w:jc w:val="center"/>
              <w:rPr>
                <w:sz w:val="18"/>
                <w:szCs w:val="20"/>
              </w:rPr>
            </w:pPr>
            <w:r>
              <w:rPr>
                <w:sz w:val="18"/>
                <w:szCs w:val="20"/>
              </w:rPr>
              <w:t>-</w:t>
            </w:r>
          </w:p>
        </w:tc>
        <w:tc>
          <w:tcPr>
            <w:tcW w:w="633" w:type="dxa"/>
            <w:vAlign w:val="bottom"/>
          </w:tcPr>
          <w:p w:rsidR="00000000" w:rsidRDefault="00000000">
            <w:pPr>
              <w:widowControl w:val="0"/>
              <w:spacing w:before="80" w:after="80"/>
              <w:jc w:val="center"/>
              <w:rPr>
                <w:sz w:val="18"/>
                <w:szCs w:val="20"/>
              </w:rPr>
            </w:pPr>
            <w:r>
              <w:rPr>
                <w:sz w:val="18"/>
                <w:szCs w:val="20"/>
              </w:rPr>
              <w:t>-</w:t>
            </w:r>
          </w:p>
        </w:tc>
        <w:tc>
          <w:tcPr>
            <w:tcW w:w="748" w:type="dxa"/>
            <w:vAlign w:val="bottom"/>
          </w:tcPr>
          <w:p w:rsidR="00000000" w:rsidRDefault="00000000">
            <w:pPr>
              <w:widowControl w:val="0"/>
              <w:spacing w:before="80" w:after="80"/>
              <w:jc w:val="center"/>
              <w:rPr>
                <w:sz w:val="18"/>
                <w:szCs w:val="20"/>
              </w:rPr>
            </w:pPr>
            <w:r>
              <w:rPr>
                <w:sz w:val="18"/>
                <w:szCs w:val="20"/>
              </w:rPr>
              <w:t>-</w:t>
            </w:r>
          </w:p>
        </w:tc>
        <w:tc>
          <w:tcPr>
            <w:tcW w:w="691" w:type="dxa"/>
            <w:vAlign w:val="bottom"/>
          </w:tcPr>
          <w:p w:rsidR="00000000" w:rsidRDefault="00000000">
            <w:pPr>
              <w:widowControl w:val="0"/>
              <w:spacing w:before="80" w:after="80"/>
              <w:jc w:val="center"/>
              <w:rPr>
                <w:sz w:val="18"/>
                <w:szCs w:val="20"/>
              </w:rPr>
            </w:pPr>
            <w:r>
              <w:rPr>
                <w:sz w:val="18"/>
                <w:szCs w:val="20"/>
              </w:rPr>
              <w:t>-</w:t>
            </w:r>
          </w:p>
        </w:tc>
        <w:tc>
          <w:tcPr>
            <w:tcW w:w="643" w:type="dxa"/>
            <w:vAlign w:val="bottom"/>
          </w:tcPr>
          <w:p w:rsidR="00000000" w:rsidRDefault="00000000">
            <w:pPr>
              <w:widowControl w:val="0"/>
              <w:spacing w:before="80" w:after="80"/>
              <w:jc w:val="center"/>
              <w:rPr>
                <w:sz w:val="18"/>
                <w:szCs w:val="20"/>
              </w:rPr>
            </w:pPr>
            <w:r>
              <w:rPr>
                <w:sz w:val="18"/>
                <w:szCs w:val="20"/>
              </w:rPr>
              <w:t>-</w:t>
            </w:r>
          </w:p>
        </w:tc>
        <w:tc>
          <w:tcPr>
            <w:tcW w:w="776" w:type="dxa"/>
            <w:vAlign w:val="bottom"/>
          </w:tcPr>
          <w:p w:rsidR="00000000" w:rsidRDefault="00000000">
            <w:pPr>
              <w:widowControl w:val="0"/>
              <w:spacing w:before="80" w:after="80"/>
              <w:jc w:val="center"/>
              <w:rPr>
                <w:sz w:val="18"/>
                <w:szCs w:val="20"/>
              </w:rPr>
            </w:pPr>
            <w:r>
              <w:rPr>
                <w:sz w:val="18"/>
                <w:szCs w:val="20"/>
              </w:rPr>
              <w:t>-</w:t>
            </w:r>
          </w:p>
        </w:tc>
        <w:tc>
          <w:tcPr>
            <w:tcW w:w="673" w:type="dxa"/>
            <w:vAlign w:val="bottom"/>
          </w:tcPr>
          <w:p w:rsidR="00000000" w:rsidRDefault="00000000">
            <w:pPr>
              <w:widowControl w:val="0"/>
              <w:spacing w:before="80" w:after="80"/>
              <w:jc w:val="center"/>
              <w:rPr>
                <w:sz w:val="18"/>
                <w:szCs w:val="20"/>
              </w:rPr>
            </w:pPr>
            <w:r>
              <w:rPr>
                <w:sz w:val="18"/>
                <w:szCs w:val="20"/>
              </w:rPr>
              <w:t>-</w:t>
            </w:r>
          </w:p>
        </w:tc>
        <w:tc>
          <w:tcPr>
            <w:tcW w:w="631" w:type="dxa"/>
            <w:vAlign w:val="bottom"/>
          </w:tcPr>
          <w:p w:rsidR="00000000" w:rsidRDefault="00000000">
            <w:pPr>
              <w:widowControl w:val="0"/>
              <w:spacing w:before="80" w:after="80"/>
              <w:jc w:val="center"/>
              <w:rPr>
                <w:sz w:val="18"/>
                <w:szCs w:val="20"/>
              </w:rPr>
            </w:pPr>
            <w:r>
              <w:rPr>
                <w:sz w:val="18"/>
                <w:szCs w:val="20"/>
              </w:rPr>
              <w:t>-</w:t>
            </w:r>
          </w:p>
        </w:tc>
      </w:tr>
      <w:tr w:rsidR="00000000">
        <w:tblPrEx>
          <w:tblCellMar>
            <w:top w:w="0" w:type="dxa"/>
            <w:bottom w:w="0" w:type="dxa"/>
          </w:tblCellMar>
        </w:tblPrEx>
        <w:tc>
          <w:tcPr>
            <w:tcW w:w="1132" w:type="dxa"/>
            <w:vAlign w:val="bottom"/>
          </w:tcPr>
          <w:p w:rsidR="00000000" w:rsidRDefault="00000000">
            <w:pPr>
              <w:widowControl w:val="0"/>
              <w:spacing w:before="80" w:after="80"/>
              <w:rPr>
                <w:sz w:val="20"/>
                <w:szCs w:val="20"/>
                <w:lang w:val="en-US"/>
              </w:rPr>
            </w:pPr>
            <w:r>
              <w:rPr>
                <w:sz w:val="20"/>
                <w:szCs w:val="20"/>
              </w:rPr>
              <w:t>Thrown into a watercourse</w:t>
            </w:r>
          </w:p>
        </w:tc>
        <w:tc>
          <w:tcPr>
            <w:tcW w:w="768" w:type="dxa"/>
            <w:vAlign w:val="bottom"/>
          </w:tcPr>
          <w:p w:rsidR="00000000" w:rsidRDefault="00000000">
            <w:pPr>
              <w:widowControl w:val="0"/>
              <w:spacing w:before="80" w:after="80"/>
              <w:jc w:val="center"/>
              <w:rPr>
                <w:sz w:val="18"/>
                <w:szCs w:val="20"/>
                <w:lang w:val="en-US"/>
              </w:rPr>
            </w:pPr>
            <w:r>
              <w:rPr>
                <w:sz w:val="18"/>
                <w:szCs w:val="20"/>
                <w:lang w:val="en-US"/>
              </w:rPr>
              <w:t>11.8</w:t>
            </w:r>
          </w:p>
        </w:tc>
        <w:tc>
          <w:tcPr>
            <w:tcW w:w="643" w:type="dxa"/>
            <w:vAlign w:val="bottom"/>
          </w:tcPr>
          <w:p w:rsidR="00000000" w:rsidRDefault="00000000">
            <w:pPr>
              <w:widowControl w:val="0"/>
              <w:spacing w:before="80" w:after="80"/>
              <w:jc w:val="center"/>
              <w:rPr>
                <w:sz w:val="18"/>
                <w:szCs w:val="20"/>
                <w:lang w:val="en-US"/>
              </w:rPr>
            </w:pPr>
            <w:r>
              <w:rPr>
                <w:sz w:val="18"/>
                <w:szCs w:val="20"/>
                <w:lang w:val="en-US"/>
              </w:rPr>
              <w:t>8.8</w:t>
            </w:r>
          </w:p>
        </w:tc>
        <w:tc>
          <w:tcPr>
            <w:tcW w:w="662" w:type="dxa"/>
            <w:vAlign w:val="bottom"/>
          </w:tcPr>
          <w:p w:rsidR="00000000" w:rsidRDefault="00000000">
            <w:pPr>
              <w:widowControl w:val="0"/>
              <w:spacing w:before="80" w:after="80"/>
              <w:jc w:val="center"/>
              <w:rPr>
                <w:sz w:val="18"/>
                <w:szCs w:val="20"/>
                <w:lang w:val="en-US"/>
              </w:rPr>
            </w:pPr>
            <w:r>
              <w:rPr>
                <w:sz w:val="18"/>
                <w:szCs w:val="20"/>
                <w:lang w:val="en-US"/>
              </w:rPr>
              <w:t>15.3</w:t>
            </w:r>
          </w:p>
        </w:tc>
        <w:tc>
          <w:tcPr>
            <w:tcW w:w="758" w:type="dxa"/>
            <w:vAlign w:val="bottom"/>
          </w:tcPr>
          <w:p w:rsidR="00000000" w:rsidRDefault="00000000">
            <w:pPr>
              <w:widowControl w:val="0"/>
              <w:spacing w:before="80" w:after="80"/>
              <w:jc w:val="center"/>
              <w:rPr>
                <w:sz w:val="18"/>
                <w:szCs w:val="20"/>
                <w:lang w:val="en-US"/>
              </w:rPr>
            </w:pPr>
            <w:r>
              <w:rPr>
                <w:sz w:val="18"/>
                <w:szCs w:val="20"/>
                <w:lang w:val="en-US"/>
              </w:rPr>
              <w:t>9.8</w:t>
            </w:r>
          </w:p>
        </w:tc>
        <w:tc>
          <w:tcPr>
            <w:tcW w:w="671" w:type="dxa"/>
            <w:vAlign w:val="bottom"/>
          </w:tcPr>
          <w:p w:rsidR="00000000" w:rsidRDefault="00000000">
            <w:pPr>
              <w:widowControl w:val="0"/>
              <w:spacing w:before="80" w:after="80"/>
              <w:jc w:val="center"/>
              <w:rPr>
                <w:sz w:val="18"/>
                <w:szCs w:val="20"/>
                <w:lang w:val="en-US"/>
              </w:rPr>
            </w:pPr>
            <w:r>
              <w:rPr>
                <w:sz w:val="18"/>
                <w:szCs w:val="20"/>
                <w:lang w:val="en-US"/>
              </w:rPr>
              <w:t>7.2</w:t>
            </w:r>
          </w:p>
        </w:tc>
        <w:tc>
          <w:tcPr>
            <w:tcW w:w="633" w:type="dxa"/>
            <w:vAlign w:val="bottom"/>
          </w:tcPr>
          <w:p w:rsidR="00000000" w:rsidRDefault="00000000">
            <w:pPr>
              <w:widowControl w:val="0"/>
              <w:spacing w:before="80" w:after="80"/>
              <w:jc w:val="center"/>
              <w:rPr>
                <w:sz w:val="18"/>
                <w:szCs w:val="20"/>
                <w:lang w:val="en-US"/>
              </w:rPr>
            </w:pPr>
            <w:r>
              <w:rPr>
                <w:sz w:val="18"/>
                <w:szCs w:val="20"/>
                <w:lang w:val="en-US"/>
              </w:rPr>
              <w:t>13.3</w:t>
            </w:r>
          </w:p>
        </w:tc>
        <w:tc>
          <w:tcPr>
            <w:tcW w:w="748" w:type="dxa"/>
            <w:vAlign w:val="bottom"/>
          </w:tcPr>
          <w:p w:rsidR="00000000" w:rsidRDefault="00000000">
            <w:pPr>
              <w:widowControl w:val="0"/>
              <w:spacing w:before="80" w:after="80"/>
              <w:jc w:val="center"/>
              <w:rPr>
                <w:sz w:val="18"/>
                <w:szCs w:val="20"/>
                <w:lang w:val="en-US"/>
              </w:rPr>
            </w:pPr>
            <w:r>
              <w:rPr>
                <w:sz w:val="18"/>
                <w:szCs w:val="20"/>
                <w:lang w:val="en-US"/>
              </w:rPr>
              <w:t>8.2</w:t>
            </w:r>
          </w:p>
        </w:tc>
        <w:tc>
          <w:tcPr>
            <w:tcW w:w="691" w:type="dxa"/>
            <w:vAlign w:val="bottom"/>
          </w:tcPr>
          <w:p w:rsidR="00000000" w:rsidRDefault="00000000">
            <w:pPr>
              <w:widowControl w:val="0"/>
              <w:spacing w:before="80" w:after="80"/>
              <w:jc w:val="center"/>
              <w:rPr>
                <w:sz w:val="18"/>
                <w:szCs w:val="20"/>
                <w:lang w:val="en-US"/>
              </w:rPr>
            </w:pPr>
            <w:r>
              <w:rPr>
                <w:sz w:val="18"/>
                <w:szCs w:val="20"/>
                <w:lang w:val="en-US"/>
              </w:rPr>
              <w:t>5.8</w:t>
            </w:r>
          </w:p>
        </w:tc>
        <w:tc>
          <w:tcPr>
            <w:tcW w:w="643" w:type="dxa"/>
            <w:vAlign w:val="bottom"/>
          </w:tcPr>
          <w:p w:rsidR="00000000" w:rsidRDefault="00000000">
            <w:pPr>
              <w:widowControl w:val="0"/>
              <w:spacing w:before="80" w:after="80"/>
              <w:jc w:val="center"/>
              <w:rPr>
                <w:sz w:val="18"/>
                <w:szCs w:val="20"/>
                <w:lang w:val="en-US"/>
              </w:rPr>
            </w:pPr>
            <w:r>
              <w:rPr>
                <w:sz w:val="18"/>
                <w:szCs w:val="20"/>
                <w:lang w:val="en-US"/>
              </w:rPr>
              <w:t>11.6</w:t>
            </w:r>
          </w:p>
        </w:tc>
        <w:tc>
          <w:tcPr>
            <w:tcW w:w="776" w:type="dxa"/>
            <w:vAlign w:val="bottom"/>
          </w:tcPr>
          <w:p w:rsidR="00000000" w:rsidRDefault="00000000">
            <w:pPr>
              <w:widowControl w:val="0"/>
              <w:spacing w:before="80" w:after="80"/>
              <w:jc w:val="center"/>
              <w:rPr>
                <w:sz w:val="18"/>
                <w:szCs w:val="20"/>
                <w:lang w:val="en-US"/>
              </w:rPr>
            </w:pPr>
            <w:r>
              <w:rPr>
                <w:sz w:val="18"/>
                <w:szCs w:val="20"/>
                <w:lang w:val="en-US"/>
              </w:rPr>
              <w:t>7.3</w:t>
            </w:r>
          </w:p>
        </w:tc>
        <w:tc>
          <w:tcPr>
            <w:tcW w:w="673" w:type="dxa"/>
            <w:vAlign w:val="bottom"/>
          </w:tcPr>
          <w:p w:rsidR="00000000" w:rsidRDefault="00000000">
            <w:pPr>
              <w:widowControl w:val="0"/>
              <w:spacing w:before="80" w:after="80"/>
              <w:jc w:val="center"/>
              <w:rPr>
                <w:sz w:val="18"/>
                <w:szCs w:val="20"/>
                <w:lang w:val="en-US"/>
              </w:rPr>
            </w:pPr>
            <w:r>
              <w:rPr>
                <w:sz w:val="18"/>
                <w:szCs w:val="20"/>
                <w:lang w:val="en-US"/>
              </w:rPr>
              <w:t>4.0</w:t>
            </w:r>
          </w:p>
        </w:tc>
        <w:tc>
          <w:tcPr>
            <w:tcW w:w="631" w:type="dxa"/>
            <w:vAlign w:val="bottom"/>
          </w:tcPr>
          <w:p w:rsidR="00000000" w:rsidRDefault="00000000">
            <w:pPr>
              <w:widowControl w:val="0"/>
              <w:spacing w:before="80" w:after="80"/>
              <w:jc w:val="center"/>
              <w:rPr>
                <w:sz w:val="18"/>
                <w:szCs w:val="20"/>
                <w:lang w:val="en-US"/>
              </w:rPr>
            </w:pPr>
            <w:r>
              <w:rPr>
                <w:sz w:val="18"/>
                <w:szCs w:val="20"/>
                <w:lang w:val="en-US"/>
              </w:rPr>
              <w:t>12.3</w:t>
            </w:r>
          </w:p>
        </w:tc>
      </w:tr>
      <w:tr w:rsidR="00000000">
        <w:tblPrEx>
          <w:tblCellMar>
            <w:top w:w="0" w:type="dxa"/>
            <w:bottom w:w="0" w:type="dxa"/>
          </w:tblCellMar>
        </w:tblPrEx>
        <w:tc>
          <w:tcPr>
            <w:tcW w:w="1132" w:type="dxa"/>
            <w:vAlign w:val="bottom"/>
          </w:tcPr>
          <w:p w:rsidR="00000000" w:rsidRDefault="00000000">
            <w:pPr>
              <w:keepNext/>
              <w:widowControl w:val="0"/>
              <w:spacing w:before="80" w:after="80"/>
              <w:rPr>
                <w:sz w:val="20"/>
                <w:szCs w:val="20"/>
                <w:lang w:val="en-US"/>
              </w:rPr>
            </w:pPr>
            <w:r>
              <w:rPr>
                <w:sz w:val="20"/>
                <w:szCs w:val="20"/>
              </w:rPr>
              <w:t>Dumped on a patio</w:t>
            </w:r>
          </w:p>
        </w:tc>
        <w:tc>
          <w:tcPr>
            <w:tcW w:w="768" w:type="dxa"/>
            <w:vAlign w:val="bottom"/>
          </w:tcPr>
          <w:p w:rsidR="00000000" w:rsidRDefault="00000000">
            <w:pPr>
              <w:keepNext/>
              <w:widowControl w:val="0"/>
              <w:spacing w:before="80" w:after="80"/>
              <w:jc w:val="center"/>
              <w:rPr>
                <w:sz w:val="18"/>
                <w:szCs w:val="20"/>
                <w:lang w:val="en-US"/>
              </w:rPr>
            </w:pPr>
            <w:r>
              <w:rPr>
                <w:sz w:val="18"/>
                <w:szCs w:val="20"/>
                <w:lang w:val="en-US"/>
              </w:rPr>
              <w:t>6.0</w:t>
            </w:r>
          </w:p>
        </w:tc>
        <w:tc>
          <w:tcPr>
            <w:tcW w:w="643" w:type="dxa"/>
            <w:vAlign w:val="bottom"/>
          </w:tcPr>
          <w:p w:rsidR="00000000" w:rsidRDefault="00000000">
            <w:pPr>
              <w:keepNext/>
              <w:widowControl w:val="0"/>
              <w:spacing w:before="80" w:after="80"/>
              <w:jc w:val="center"/>
              <w:rPr>
                <w:sz w:val="18"/>
                <w:szCs w:val="20"/>
                <w:lang w:val="en-US"/>
              </w:rPr>
            </w:pPr>
            <w:r>
              <w:rPr>
                <w:sz w:val="18"/>
                <w:szCs w:val="20"/>
                <w:lang w:val="en-US"/>
              </w:rPr>
              <w:t>2.9</w:t>
            </w:r>
          </w:p>
        </w:tc>
        <w:tc>
          <w:tcPr>
            <w:tcW w:w="662" w:type="dxa"/>
            <w:vAlign w:val="bottom"/>
          </w:tcPr>
          <w:p w:rsidR="00000000" w:rsidRDefault="00000000">
            <w:pPr>
              <w:keepNext/>
              <w:widowControl w:val="0"/>
              <w:spacing w:before="80" w:after="80"/>
              <w:jc w:val="center"/>
              <w:rPr>
                <w:sz w:val="18"/>
                <w:szCs w:val="20"/>
                <w:lang w:val="en-US"/>
              </w:rPr>
            </w:pPr>
            <w:r>
              <w:rPr>
                <w:sz w:val="18"/>
                <w:szCs w:val="20"/>
                <w:lang w:val="en-US"/>
              </w:rPr>
              <w:t>9.7</w:t>
            </w:r>
          </w:p>
        </w:tc>
        <w:tc>
          <w:tcPr>
            <w:tcW w:w="758" w:type="dxa"/>
            <w:vAlign w:val="bottom"/>
          </w:tcPr>
          <w:p w:rsidR="00000000" w:rsidRDefault="00000000">
            <w:pPr>
              <w:keepNext/>
              <w:widowControl w:val="0"/>
              <w:spacing w:before="80" w:after="80"/>
              <w:jc w:val="center"/>
              <w:rPr>
                <w:sz w:val="18"/>
                <w:szCs w:val="20"/>
                <w:lang w:val="en-US"/>
              </w:rPr>
            </w:pPr>
            <w:r>
              <w:rPr>
                <w:sz w:val="18"/>
                <w:szCs w:val="20"/>
                <w:lang w:val="en-US"/>
              </w:rPr>
              <w:t>2.8</w:t>
            </w:r>
          </w:p>
        </w:tc>
        <w:tc>
          <w:tcPr>
            <w:tcW w:w="671" w:type="dxa"/>
            <w:vAlign w:val="bottom"/>
          </w:tcPr>
          <w:p w:rsidR="00000000" w:rsidRDefault="00000000">
            <w:pPr>
              <w:keepNext/>
              <w:widowControl w:val="0"/>
              <w:spacing w:before="80" w:after="80"/>
              <w:jc w:val="center"/>
              <w:rPr>
                <w:sz w:val="18"/>
                <w:szCs w:val="20"/>
                <w:lang w:val="en-US"/>
              </w:rPr>
            </w:pPr>
            <w:r>
              <w:rPr>
                <w:sz w:val="18"/>
                <w:szCs w:val="20"/>
                <w:lang w:val="en-US"/>
              </w:rPr>
              <w:t>0.9</w:t>
            </w:r>
          </w:p>
        </w:tc>
        <w:tc>
          <w:tcPr>
            <w:tcW w:w="633" w:type="dxa"/>
            <w:vAlign w:val="bottom"/>
          </w:tcPr>
          <w:p w:rsidR="00000000" w:rsidRDefault="00000000">
            <w:pPr>
              <w:keepNext/>
              <w:widowControl w:val="0"/>
              <w:spacing w:before="80" w:after="80"/>
              <w:jc w:val="center"/>
              <w:rPr>
                <w:sz w:val="18"/>
                <w:szCs w:val="20"/>
                <w:lang w:val="en-US"/>
              </w:rPr>
            </w:pPr>
            <w:r>
              <w:rPr>
                <w:sz w:val="18"/>
                <w:szCs w:val="20"/>
                <w:lang w:val="en-US"/>
              </w:rPr>
              <w:t>5.4</w:t>
            </w:r>
          </w:p>
        </w:tc>
        <w:tc>
          <w:tcPr>
            <w:tcW w:w="748" w:type="dxa"/>
            <w:vAlign w:val="bottom"/>
          </w:tcPr>
          <w:p w:rsidR="00000000" w:rsidRDefault="00000000">
            <w:pPr>
              <w:keepNext/>
              <w:widowControl w:val="0"/>
              <w:spacing w:before="80" w:after="80"/>
              <w:jc w:val="center"/>
              <w:rPr>
                <w:sz w:val="18"/>
                <w:szCs w:val="20"/>
                <w:lang w:val="en-US"/>
              </w:rPr>
            </w:pPr>
            <w:r>
              <w:rPr>
                <w:sz w:val="18"/>
                <w:szCs w:val="20"/>
                <w:lang w:val="en-US"/>
              </w:rPr>
              <w:t>2.7</w:t>
            </w:r>
          </w:p>
        </w:tc>
        <w:tc>
          <w:tcPr>
            <w:tcW w:w="691" w:type="dxa"/>
            <w:vAlign w:val="bottom"/>
          </w:tcPr>
          <w:p w:rsidR="00000000" w:rsidRDefault="00000000">
            <w:pPr>
              <w:keepNext/>
              <w:widowControl w:val="0"/>
              <w:spacing w:before="80" w:after="80"/>
              <w:jc w:val="center"/>
              <w:rPr>
                <w:sz w:val="18"/>
                <w:szCs w:val="20"/>
                <w:lang w:val="en-US"/>
              </w:rPr>
            </w:pPr>
            <w:r>
              <w:rPr>
                <w:sz w:val="18"/>
                <w:szCs w:val="20"/>
                <w:lang w:val="en-US"/>
              </w:rPr>
              <w:t>2.2</w:t>
            </w:r>
          </w:p>
        </w:tc>
        <w:tc>
          <w:tcPr>
            <w:tcW w:w="643" w:type="dxa"/>
            <w:vAlign w:val="bottom"/>
          </w:tcPr>
          <w:p w:rsidR="00000000" w:rsidRDefault="00000000">
            <w:pPr>
              <w:keepNext/>
              <w:widowControl w:val="0"/>
              <w:spacing w:before="80" w:after="80"/>
              <w:jc w:val="center"/>
              <w:rPr>
                <w:sz w:val="18"/>
                <w:szCs w:val="20"/>
                <w:lang w:val="en-US"/>
              </w:rPr>
            </w:pPr>
            <w:r>
              <w:rPr>
                <w:sz w:val="18"/>
                <w:szCs w:val="20"/>
                <w:lang w:val="en-US"/>
              </w:rPr>
              <w:t>3.4</w:t>
            </w:r>
          </w:p>
        </w:tc>
        <w:tc>
          <w:tcPr>
            <w:tcW w:w="776" w:type="dxa"/>
            <w:vAlign w:val="bottom"/>
          </w:tcPr>
          <w:p w:rsidR="00000000" w:rsidRDefault="00000000">
            <w:pPr>
              <w:keepNext/>
              <w:widowControl w:val="0"/>
              <w:spacing w:before="80" w:after="80"/>
              <w:jc w:val="center"/>
              <w:rPr>
                <w:sz w:val="18"/>
                <w:szCs w:val="20"/>
                <w:lang w:val="en-US"/>
              </w:rPr>
            </w:pPr>
            <w:r>
              <w:rPr>
                <w:sz w:val="18"/>
                <w:szCs w:val="20"/>
                <w:lang w:val="en-US"/>
              </w:rPr>
              <w:t>3.4</w:t>
            </w:r>
          </w:p>
        </w:tc>
        <w:tc>
          <w:tcPr>
            <w:tcW w:w="673" w:type="dxa"/>
            <w:vAlign w:val="bottom"/>
          </w:tcPr>
          <w:p w:rsidR="00000000" w:rsidRDefault="00000000">
            <w:pPr>
              <w:keepNext/>
              <w:widowControl w:val="0"/>
              <w:spacing w:before="80" w:after="80"/>
              <w:jc w:val="center"/>
              <w:rPr>
                <w:sz w:val="18"/>
                <w:szCs w:val="20"/>
                <w:lang w:val="en-US"/>
              </w:rPr>
            </w:pPr>
            <w:r>
              <w:rPr>
                <w:sz w:val="18"/>
                <w:szCs w:val="20"/>
                <w:lang w:val="en-US"/>
              </w:rPr>
              <w:t>3.0</w:t>
            </w:r>
          </w:p>
        </w:tc>
        <w:tc>
          <w:tcPr>
            <w:tcW w:w="631" w:type="dxa"/>
            <w:vAlign w:val="bottom"/>
          </w:tcPr>
          <w:p w:rsidR="00000000" w:rsidRDefault="00000000">
            <w:pPr>
              <w:keepNext/>
              <w:widowControl w:val="0"/>
              <w:spacing w:before="80" w:after="80"/>
              <w:jc w:val="center"/>
              <w:rPr>
                <w:sz w:val="18"/>
                <w:szCs w:val="20"/>
                <w:lang w:val="en-US"/>
              </w:rPr>
            </w:pPr>
            <w:r>
              <w:rPr>
                <w:sz w:val="18"/>
                <w:szCs w:val="20"/>
                <w:lang w:val="en-US"/>
              </w:rPr>
              <w:t>3.9</w:t>
            </w:r>
          </w:p>
        </w:tc>
      </w:tr>
      <w:tr w:rsidR="00000000">
        <w:tblPrEx>
          <w:tblCellMar>
            <w:top w:w="0" w:type="dxa"/>
            <w:bottom w:w="0" w:type="dxa"/>
          </w:tblCellMar>
        </w:tblPrEx>
        <w:tc>
          <w:tcPr>
            <w:tcW w:w="1132" w:type="dxa"/>
            <w:vAlign w:val="bottom"/>
          </w:tcPr>
          <w:p w:rsidR="00000000" w:rsidRDefault="00000000">
            <w:pPr>
              <w:pStyle w:val="FootnoteText"/>
              <w:widowControl w:val="0"/>
              <w:spacing w:before="80" w:after="80"/>
              <w:rPr>
                <w:lang w:val="en-US"/>
              </w:rPr>
            </w:pPr>
            <w:r>
              <w:t>Dumped on farmland</w:t>
            </w:r>
          </w:p>
        </w:tc>
        <w:tc>
          <w:tcPr>
            <w:tcW w:w="768" w:type="dxa"/>
            <w:vAlign w:val="bottom"/>
          </w:tcPr>
          <w:p w:rsidR="00000000" w:rsidRDefault="00000000">
            <w:pPr>
              <w:widowControl w:val="0"/>
              <w:spacing w:before="80" w:after="80"/>
              <w:jc w:val="center"/>
              <w:rPr>
                <w:sz w:val="18"/>
                <w:szCs w:val="20"/>
              </w:rPr>
            </w:pPr>
            <w:r>
              <w:rPr>
                <w:sz w:val="18"/>
                <w:szCs w:val="20"/>
              </w:rPr>
              <w:t>-</w:t>
            </w:r>
          </w:p>
        </w:tc>
        <w:tc>
          <w:tcPr>
            <w:tcW w:w="643" w:type="dxa"/>
            <w:vAlign w:val="bottom"/>
          </w:tcPr>
          <w:p w:rsidR="00000000" w:rsidRDefault="00000000">
            <w:pPr>
              <w:widowControl w:val="0"/>
              <w:spacing w:before="80" w:after="80"/>
              <w:jc w:val="center"/>
              <w:rPr>
                <w:sz w:val="18"/>
                <w:szCs w:val="20"/>
              </w:rPr>
            </w:pPr>
            <w:r>
              <w:rPr>
                <w:sz w:val="18"/>
                <w:szCs w:val="20"/>
              </w:rPr>
              <w:t>-</w:t>
            </w:r>
          </w:p>
        </w:tc>
        <w:tc>
          <w:tcPr>
            <w:tcW w:w="662" w:type="dxa"/>
            <w:vAlign w:val="bottom"/>
          </w:tcPr>
          <w:p w:rsidR="00000000" w:rsidRDefault="00000000">
            <w:pPr>
              <w:widowControl w:val="0"/>
              <w:spacing w:before="80" w:after="80"/>
              <w:jc w:val="center"/>
              <w:rPr>
                <w:sz w:val="18"/>
                <w:szCs w:val="20"/>
              </w:rPr>
            </w:pPr>
            <w:r>
              <w:rPr>
                <w:sz w:val="18"/>
                <w:szCs w:val="20"/>
              </w:rPr>
              <w:t>-</w:t>
            </w:r>
          </w:p>
        </w:tc>
        <w:tc>
          <w:tcPr>
            <w:tcW w:w="758" w:type="dxa"/>
            <w:vAlign w:val="bottom"/>
          </w:tcPr>
          <w:p w:rsidR="00000000" w:rsidRDefault="00000000">
            <w:pPr>
              <w:widowControl w:val="0"/>
              <w:spacing w:before="80" w:after="80"/>
              <w:jc w:val="center"/>
              <w:rPr>
                <w:sz w:val="18"/>
                <w:szCs w:val="20"/>
              </w:rPr>
            </w:pPr>
            <w:r>
              <w:rPr>
                <w:sz w:val="18"/>
                <w:szCs w:val="20"/>
              </w:rPr>
              <w:t>-</w:t>
            </w:r>
          </w:p>
        </w:tc>
        <w:tc>
          <w:tcPr>
            <w:tcW w:w="671" w:type="dxa"/>
            <w:vAlign w:val="bottom"/>
          </w:tcPr>
          <w:p w:rsidR="00000000" w:rsidRDefault="00000000">
            <w:pPr>
              <w:widowControl w:val="0"/>
              <w:spacing w:before="80" w:after="80"/>
              <w:jc w:val="center"/>
              <w:rPr>
                <w:sz w:val="18"/>
                <w:szCs w:val="20"/>
              </w:rPr>
            </w:pPr>
            <w:r>
              <w:rPr>
                <w:sz w:val="18"/>
                <w:szCs w:val="20"/>
              </w:rPr>
              <w:t>-</w:t>
            </w:r>
          </w:p>
        </w:tc>
        <w:tc>
          <w:tcPr>
            <w:tcW w:w="633" w:type="dxa"/>
            <w:vAlign w:val="bottom"/>
          </w:tcPr>
          <w:p w:rsidR="00000000" w:rsidRDefault="00000000">
            <w:pPr>
              <w:widowControl w:val="0"/>
              <w:spacing w:before="80" w:after="80"/>
              <w:jc w:val="center"/>
              <w:rPr>
                <w:sz w:val="18"/>
                <w:szCs w:val="20"/>
              </w:rPr>
            </w:pPr>
            <w:r>
              <w:rPr>
                <w:sz w:val="18"/>
                <w:szCs w:val="20"/>
              </w:rPr>
              <w:t>-</w:t>
            </w:r>
          </w:p>
        </w:tc>
        <w:tc>
          <w:tcPr>
            <w:tcW w:w="748" w:type="dxa"/>
            <w:vAlign w:val="bottom"/>
          </w:tcPr>
          <w:p w:rsidR="00000000" w:rsidRDefault="00000000">
            <w:pPr>
              <w:widowControl w:val="0"/>
              <w:spacing w:before="80" w:after="80"/>
              <w:jc w:val="center"/>
              <w:rPr>
                <w:sz w:val="18"/>
                <w:szCs w:val="20"/>
              </w:rPr>
            </w:pPr>
            <w:r>
              <w:rPr>
                <w:sz w:val="18"/>
                <w:szCs w:val="20"/>
              </w:rPr>
              <w:t>1.6</w:t>
            </w:r>
          </w:p>
        </w:tc>
        <w:tc>
          <w:tcPr>
            <w:tcW w:w="691" w:type="dxa"/>
            <w:vAlign w:val="bottom"/>
          </w:tcPr>
          <w:p w:rsidR="00000000" w:rsidRDefault="00000000">
            <w:pPr>
              <w:widowControl w:val="0"/>
              <w:spacing w:before="80" w:after="80"/>
              <w:jc w:val="center"/>
              <w:rPr>
                <w:sz w:val="18"/>
                <w:szCs w:val="20"/>
              </w:rPr>
            </w:pPr>
            <w:r>
              <w:rPr>
                <w:sz w:val="18"/>
                <w:szCs w:val="20"/>
              </w:rPr>
              <w:t>0.3</w:t>
            </w:r>
          </w:p>
        </w:tc>
        <w:tc>
          <w:tcPr>
            <w:tcW w:w="643" w:type="dxa"/>
            <w:vAlign w:val="bottom"/>
          </w:tcPr>
          <w:p w:rsidR="00000000" w:rsidRDefault="00000000">
            <w:pPr>
              <w:widowControl w:val="0"/>
              <w:spacing w:before="80" w:after="80"/>
              <w:jc w:val="center"/>
              <w:rPr>
                <w:sz w:val="18"/>
                <w:szCs w:val="20"/>
              </w:rPr>
            </w:pPr>
            <w:r>
              <w:rPr>
                <w:sz w:val="18"/>
                <w:szCs w:val="20"/>
              </w:rPr>
              <w:t>3.6</w:t>
            </w:r>
          </w:p>
        </w:tc>
        <w:tc>
          <w:tcPr>
            <w:tcW w:w="776" w:type="dxa"/>
            <w:vAlign w:val="bottom"/>
          </w:tcPr>
          <w:p w:rsidR="00000000" w:rsidRDefault="00000000">
            <w:pPr>
              <w:widowControl w:val="0"/>
              <w:spacing w:before="80" w:after="80"/>
              <w:jc w:val="center"/>
              <w:rPr>
                <w:sz w:val="18"/>
                <w:szCs w:val="20"/>
              </w:rPr>
            </w:pPr>
            <w:r>
              <w:rPr>
                <w:sz w:val="18"/>
                <w:szCs w:val="20"/>
              </w:rPr>
              <w:t>1.0</w:t>
            </w:r>
          </w:p>
        </w:tc>
        <w:tc>
          <w:tcPr>
            <w:tcW w:w="673" w:type="dxa"/>
            <w:vAlign w:val="bottom"/>
          </w:tcPr>
          <w:p w:rsidR="00000000" w:rsidRDefault="00000000">
            <w:pPr>
              <w:widowControl w:val="0"/>
              <w:spacing w:before="80" w:after="80"/>
              <w:jc w:val="center"/>
              <w:rPr>
                <w:sz w:val="18"/>
                <w:szCs w:val="20"/>
              </w:rPr>
            </w:pPr>
            <w:r>
              <w:rPr>
                <w:sz w:val="18"/>
                <w:szCs w:val="20"/>
              </w:rPr>
              <w:t>0.1</w:t>
            </w:r>
          </w:p>
        </w:tc>
        <w:tc>
          <w:tcPr>
            <w:tcW w:w="631" w:type="dxa"/>
            <w:vAlign w:val="bottom"/>
          </w:tcPr>
          <w:p w:rsidR="00000000" w:rsidRDefault="00000000">
            <w:pPr>
              <w:widowControl w:val="0"/>
              <w:spacing w:before="80" w:after="80"/>
              <w:jc w:val="center"/>
              <w:rPr>
                <w:sz w:val="18"/>
                <w:szCs w:val="20"/>
              </w:rPr>
            </w:pPr>
            <w:r>
              <w:rPr>
                <w:sz w:val="18"/>
                <w:szCs w:val="20"/>
              </w:rPr>
              <w:t>2.3</w:t>
            </w:r>
          </w:p>
        </w:tc>
      </w:tr>
      <w:tr w:rsidR="00000000">
        <w:tblPrEx>
          <w:tblCellMar>
            <w:top w:w="0" w:type="dxa"/>
            <w:bottom w:w="0" w:type="dxa"/>
          </w:tblCellMar>
        </w:tblPrEx>
        <w:tc>
          <w:tcPr>
            <w:tcW w:w="1132" w:type="dxa"/>
            <w:vAlign w:val="bottom"/>
          </w:tcPr>
          <w:p w:rsidR="00000000" w:rsidRDefault="00000000">
            <w:pPr>
              <w:pStyle w:val="FootnoteText"/>
              <w:widowControl w:val="0"/>
              <w:spacing w:before="80" w:after="80"/>
            </w:pPr>
            <w:r>
              <w:t>Other **</w:t>
            </w:r>
          </w:p>
        </w:tc>
        <w:tc>
          <w:tcPr>
            <w:tcW w:w="768" w:type="dxa"/>
            <w:vAlign w:val="bottom"/>
          </w:tcPr>
          <w:p w:rsidR="00000000" w:rsidRDefault="00000000">
            <w:pPr>
              <w:widowControl w:val="0"/>
              <w:spacing w:before="80" w:after="80"/>
              <w:jc w:val="center"/>
              <w:rPr>
                <w:sz w:val="18"/>
                <w:szCs w:val="20"/>
              </w:rPr>
            </w:pPr>
            <w:r>
              <w:rPr>
                <w:sz w:val="18"/>
                <w:szCs w:val="20"/>
              </w:rPr>
              <w:t>2.9</w:t>
            </w:r>
          </w:p>
        </w:tc>
        <w:tc>
          <w:tcPr>
            <w:tcW w:w="643" w:type="dxa"/>
            <w:vAlign w:val="bottom"/>
          </w:tcPr>
          <w:p w:rsidR="00000000" w:rsidRDefault="00000000">
            <w:pPr>
              <w:widowControl w:val="0"/>
              <w:spacing w:before="80" w:after="80"/>
              <w:jc w:val="center"/>
              <w:rPr>
                <w:sz w:val="18"/>
                <w:szCs w:val="20"/>
              </w:rPr>
            </w:pPr>
            <w:r>
              <w:rPr>
                <w:sz w:val="18"/>
                <w:szCs w:val="20"/>
              </w:rPr>
              <w:t>3.9</w:t>
            </w:r>
          </w:p>
        </w:tc>
        <w:tc>
          <w:tcPr>
            <w:tcW w:w="662" w:type="dxa"/>
            <w:vAlign w:val="bottom"/>
          </w:tcPr>
          <w:p w:rsidR="00000000" w:rsidRDefault="00000000">
            <w:pPr>
              <w:widowControl w:val="0"/>
              <w:spacing w:before="80" w:after="80"/>
              <w:jc w:val="center"/>
              <w:rPr>
                <w:sz w:val="18"/>
                <w:szCs w:val="20"/>
              </w:rPr>
            </w:pPr>
            <w:r>
              <w:rPr>
                <w:sz w:val="18"/>
                <w:szCs w:val="20"/>
              </w:rPr>
              <w:t>1.8</w:t>
            </w:r>
          </w:p>
        </w:tc>
        <w:tc>
          <w:tcPr>
            <w:tcW w:w="758" w:type="dxa"/>
            <w:vAlign w:val="bottom"/>
          </w:tcPr>
          <w:p w:rsidR="00000000" w:rsidRDefault="00000000">
            <w:pPr>
              <w:widowControl w:val="0"/>
              <w:spacing w:before="80" w:after="80"/>
              <w:jc w:val="center"/>
              <w:rPr>
                <w:sz w:val="18"/>
                <w:szCs w:val="20"/>
              </w:rPr>
            </w:pPr>
            <w:r>
              <w:rPr>
                <w:sz w:val="18"/>
                <w:szCs w:val="20"/>
              </w:rPr>
              <w:t>1.7</w:t>
            </w:r>
          </w:p>
        </w:tc>
        <w:tc>
          <w:tcPr>
            <w:tcW w:w="671" w:type="dxa"/>
            <w:vAlign w:val="bottom"/>
          </w:tcPr>
          <w:p w:rsidR="00000000" w:rsidRDefault="00000000">
            <w:pPr>
              <w:widowControl w:val="0"/>
              <w:spacing w:before="80" w:after="80"/>
              <w:jc w:val="center"/>
              <w:rPr>
                <w:sz w:val="18"/>
                <w:szCs w:val="20"/>
              </w:rPr>
            </w:pPr>
            <w:r>
              <w:rPr>
                <w:sz w:val="18"/>
                <w:szCs w:val="20"/>
              </w:rPr>
              <w:t>2.5</w:t>
            </w:r>
          </w:p>
        </w:tc>
        <w:tc>
          <w:tcPr>
            <w:tcW w:w="633" w:type="dxa"/>
            <w:vAlign w:val="bottom"/>
          </w:tcPr>
          <w:p w:rsidR="00000000" w:rsidRDefault="00000000">
            <w:pPr>
              <w:widowControl w:val="0"/>
              <w:spacing w:before="80" w:after="80"/>
              <w:jc w:val="center"/>
              <w:rPr>
                <w:sz w:val="18"/>
                <w:szCs w:val="20"/>
              </w:rPr>
            </w:pPr>
            <w:r>
              <w:rPr>
                <w:sz w:val="18"/>
                <w:szCs w:val="20"/>
              </w:rPr>
              <w:t>0.6</w:t>
            </w:r>
          </w:p>
        </w:tc>
        <w:tc>
          <w:tcPr>
            <w:tcW w:w="748" w:type="dxa"/>
            <w:vAlign w:val="bottom"/>
          </w:tcPr>
          <w:p w:rsidR="00000000" w:rsidRDefault="00000000">
            <w:pPr>
              <w:widowControl w:val="0"/>
              <w:spacing w:before="80" w:after="80"/>
              <w:jc w:val="center"/>
              <w:rPr>
                <w:sz w:val="18"/>
                <w:szCs w:val="20"/>
              </w:rPr>
            </w:pPr>
            <w:r>
              <w:rPr>
                <w:sz w:val="18"/>
                <w:szCs w:val="20"/>
              </w:rPr>
              <w:t>0.8</w:t>
            </w:r>
          </w:p>
        </w:tc>
        <w:tc>
          <w:tcPr>
            <w:tcW w:w="691" w:type="dxa"/>
            <w:vAlign w:val="bottom"/>
          </w:tcPr>
          <w:p w:rsidR="00000000" w:rsidRDefault="00000000">
            <w:pPr>
              <w:widowControl w:val="0"/>
              <w:spacing w:before="80" w:after="80"/>
              <w:jc w:val="center"/>
              <w:rPr>
                <w:sz w:val="18"/>
                <w:szCs w:val="20"/>
              </w:rPr>
            </w:pPr>
            <w:r>
              <w:rPr>
                <w:sz w:val="18"/>
                <w:szCs w:val="20"/>
              </w:rPr>
              <w:t>1.0</w:t>
            </w:r>
          </w:p>
        </w:tc>
        <w:tc>
          <w:tcPr>
            <w:tcW w:w="643" w:type="dxa"/>
            <w:vAlign w:val="bottom"/>
          </w:tcPr>
          <w:p w:rsidR="00000000" w:rsidRDefault="00000000">
            <w:pPr>
              <w:widowControl w:val="0"/>
              <w:spacing w:before="80" w:after="80"/>
              <w:jc w:val="center"/>
              <w:rPr>
                <w:sz w:val="18"/>
                <w:szCs w:val="20"/>
              </w:rPr>
            </w:pPr>
            <w:r>
              <w:rPr>
                <w:sz w:val="18"/>
                <w:szCs w:val="20"/>
              </w:rPr>
              <w:t>0.5</w:t>
            </w:r>
          </w:p>
        </w:tc>
        <w:tc>
          <w:tcPr>
            <w:tcW w:w="776" w:type="dxa"/>
            <w:vAlign w:val="bottom"/>
          </w:tcPr>
          <w:p w:rsidR="00000000" w:rsidRDefault="00000000">
            <w:pPr>
              <w:widowControl w:val="0"/>
              <w:spacing w:before="80" w:after="80"/>
              <w:jc w:val="center"/>
              <w:rPr>
                <w:sz w:val="18"/>
                <w:szCs w:val="20"/>
              </w:rPr>
            </w:pPr>
            <w:r>
              <w:rPr>
                <w:sz w:val="18"/>
                <w:szCs w:val="20"/>
              </w:rPr>
              <w:t>0.4</w:t>
            </w:r>
          </w:p>
        </w:tc>
        <w:tc>
          <w:tcPr>
            <w:tcW w:w="673" w:type="dxa"/>
            <w:vAlign w:val="bottom"/>
          </w:tcPr>
          <w:p w:rsidR="00000000" w:rsidRDefault="00000000">
            <w:pPr>
              <w:widowControl w:val="0"/>
              <w:spacing w:before="80" w:after="80"/>
              <w:jc w:val="center"/>
              <w:rPr>
                <w:sz w:val="18"/>
                <w:szCs w:val="20"/>
              </w:rPr>
            </w:pPr>
            <w:r>
              <w:rPr>
                <w:sz w:val="18"/>
                <w:szCs w:val="20"/>
              </w:rPr>
              <w:t>0.5</w:t>
            </w:r>
          </w:p>
        </w:tc>
        <w:tc>
          <w:tcPr>
            <w:tcW w:w="631" w:type="dxa"/>
            <w:vAlign w:val="bottom"/>
          </w:tcPr>
          <w:p w:rsidR="00000000" w:rsidRDefault="00000000">
            <w:pPr>
              <w:widowControl w:val="0"/>
              <w:spacing w:before="80" w:after="80"/>
              <w:jc w:val="center"/>
              <w:rPr>
                <w:sz w:val="18"/>
                <w:szCs w:val="20"/>
              </w:rPr>
            </w:pPr>
            <w:r>
              <w:rPr>
                <w:sz w:val="18"/>
                <w:szCs w:val="20"/>
              </w:rPr>
              <w:t>0.1</w:t>
            </w:r>
          </w:p>
        </w:tc>
      </w:tr>
      <w:tr w:rsidR="00000000">
        <w:tblPrEx>
          <w:tblCellMar>
            <w:top w:w="0" w:type="dxa"/>
            <w:bottom w:w="0" w:type="dxa"/>
          </w:tblCellMar>
        </w:tblPrEx>
        <w:tc>
          <w:tcPr>
            <w:tcW w:w="1132" w:type="dxa"/>
            <w:tcBorders>
              <w:bottom w:val="single" w:sz="4" w:space="0" w:color="auto"/>
            </w:tcBorders>
            <w:vAlign w:val="bottom"/>
          </w:tcPr>
          <w:p w:rsidR="00000000" w:rsidRDefault="00000000">
            <w:pPr>
              <w:widowControl w:val="0"/>
              <w:spacing w:before="80" w:after="80"/>
              <w:rPr>
                <w:b/>
                <w:bCs/>
                <w:sz w:val="17"/>
                <w:szCs w:val="20"/>
              </w:rPr>
            </w:pPr>
            <w:r>
              <w:rPr>
                <w:b/>
                <w:bCs/>
                <w:sz w:val="17"/>
                <w:szCs w:val="20"/>
              </w:rPr>
              <w:t>Total</w:t>
            </w:r>
          </w:p>
        </w:tc>
        <w:tc>
          <w:tcPr>
            <w:tcW w:w="768" w:type="dxa"/>
            <w:tcBorders>
              <w:bottom w:val="single" w:sz="4" w:space="0" w:color="auto"/>
            </w:tcBorders>
            <w:vAlign w:val="bottom"/>
          </w:tcPr>
          <w:p w:rsidR="00000000" w:rsidRDefault="00000000">
            <w:pPr>
              <w:widowControl w:val="0"/>
              <w:tabs>
                <w:tab w:val="decimal" w:pos="774"/>
              </w:tabs>
              <w:spacing w:before="80" w:after="80"/>
              <w:jc w:val="center"/>
              <w:rPr>
                <w:b/>
                <w:bCs/>
                <w:sz w:val="17"/>
                <w:szCs w:val="20"/>
              </w:rPr>
            </w:pPr>
            <w:r>
              <w:rPr>
                <w:b/>
                <w:bCs/>
                <w:sz w:val="17"/>
                <w:szCs w:val="20"/>
              </w:rPr>
              <w:t>1 000 404</w:t>
            </w:r>
          </w:p>
        </w:tc>
        <w:tc>
          <w:tcPr>
            <w:tcW w:w="643" w:type="dxa"/>
            <w:tcBorders>
              <w:bottom w:val="single" w:sz="4" w:space="0" w:color="auto"/>
            </w:tcBorders>
            <w:vAlign w:val="bottom"/>
          </w:tcPr>
          <w:p w:rsidR="00000000" w:rsidRDefault="00000000">
            <w:pPr>
              <w:widowControl w:val="0"/>
              <w:tabs>
                <w:tab w:val="decimal" w:pos="676"/>
              </w:tabs>
              <w:spacing w:before="80" w:after="80"/>
              <w:jc w:val="center"/>
              <w:rPr>
                <w:b/>
                <w:bCs/>
                <w:sz w:val="17"/>
                <w:szCs w:val="20"/>
              </w:rPr>
            </w:pPr>
            <w:r>
              <w:rPr>
                <w:b/>
                <w:bCs/>
                <w:sz w:val="17"/>
                <w:szCs w:val="20"/>
              </w:rPr>
              <w:t>541 050</w:t>
            </w:r>
          </w:p>
        </w:tc>
        <w:tc>
          <w:tcPr>
            <w:tcW w:w="662" w:type="dxa"/>
            <w:tcBorders>
              <w:bottom w:val="single" w:sz="4" w:space="0" w:color="auto"/>
            </w:tcBorders>
            <w:vAlign w:val="bottom"/>
          </w:tcPr>
          <w:p w:rsidR="00000000" w:rsidRDefault="00000000">
            <w:pPr>
              <w:widowControl w:val="0"/>
              <w:tabs>
                <w:tab w:val="decimal" w:pos="658"/>
              </w:tabs>
              <w:spacing w:before="80" w:after="80"/>
              <w:jc w:val="center"/>
              <w:rPr>
                <w:b/>
                <w:bCs/>
                <w:sz w:val="17"/>
                <w:szCs w:val="20"/>
              </w:rPr>
            </w:pPr>
            <w:r>
              <w:rPr>
                <w:b/>
                <w:bCs/>
                <w:sz w:val="17"/>
                <w:szCs w:val="20"/>
              </w:rPr>
              <w:t>459 354</w:t>
            </w:r>
          </w:p>
        </w:tc>
        <w:tc>
          <w:tcPr>
            <w:tcW w:w="758" w:type="dxa"/>
            <w:tcBorders>
              <w:bottom w:val="single" w:sz="4" w:space="0" w:color="auto"/>
            </w:tcBorders>
            <w:vAlign w:val="bottom"/>
          </w:tcPr>
          <w:p w:rsidR="00000000" w:rsidRDefault="00000000">
            <w:pPr>
              <w:widowControl w:val="0"/>
              <w:tabs>
                <w:tab w:val="decimal" w:pos="808"/>
              </w:tabs>
              <w:spacing w:before="80" w:after="80"/>
              <w:jc w:val="center"/>
              <w:rPr>
                <w:b/>
                <w:bCs/>
                <w:sz w:val="17"/>
                <w:szCs w:val="20"/>
              </w:rPr>
            </w:pPr>
            <w:r>
              <w:rPr>
                <w:b/>
                <w:bCs/>
                <w:sz w:val="17"/>
                <w:szCs w:val="20"/>
              </w:rPr>
              <w:t>1 107 486</w:t>
            </w:r>
          </w:p>
        </w:tc>
        <w:tc>
          <w:tcPr>
            <w:tcW w:w="671" w:type="dxa"/>
            <w:tcBorders>
              <w:bottom w:val="single" w:sz="4" w:space="0" w:color="auto"/>
            </w:tcBorders>
            <w:vAlign w:val="bottom"/>
          </w:tcPr>
          <w:p w:rsidR="00000000" w:rsidRDefault="00000000">
            <w:pPr>
              <w:widowControl w:val="0"/>
              <w:tabs>
                <w:tab w:val="decimal" w:pos="700"/>
              </w:tabs>
              <w:spacing w:before="80" w:after="80"/>
              <w:jc w:val="center"/>
              <w:rPr>
                <w:b/>
                <w:bCs/>
                <w:sz w:val="17"/>
                <w:szCs w:val="20"/>
              </w:rPr>
            </w:pPr>
            <w:r>
              <w:rPr>
                <w:b/>
                <w:bCs/>
                <w:sz w:val="17"/>
                <w:szCs w:val="20"/>
              </w:rPr>
              <w:t>630 864</w:t>
            </w:r>
          </w:p>
        </w:tc>
        <w:tc>
          <w:tcPr>
            <w:tcW w:w="633" w:type="dxa"/>
            <w:tcBorders>
              <w:bottom w:val="single" w:sz="4" w:space="0" w:color="auto"/>
            </w:tcBorders>
            <w:vAlign w:val="bottom"/>
          </w:tcPr>
          <w:p w:rsidR="00000000" w:rsidRDefault="00000000">
            <w:pPr>
              <w:widowControl w:val="0"/>
              <w:tabs>
                <w:tab w:val="decimal" w:pos="616"/>
              </w:tabs>
              <w:spacing w:before="80" w:after="80"/>
              <w:jc w:val="center"/>
              <w:rPr>
                <w:b/>
                <w:bCs/>
                <w:sz w:val="17"/>
                <w:szCs w:val="20"/>
              </w:rPr>
            </w:pPr>
            <w:r>
              <w:rPr>
                <w:b/>
                <w:bCs/>
                <w:sz w:val="17"/>
                <w:szCs w:val="20"/>
              </w:rPr>
              <w:t>476 622</w:t>
            </w:r>
          </w:p>
        </w:tc>
        <w:tc>
          <w:tcPr>
            <w:tcW w:w="748" w:type="dxa"/>
            <w:tcBorders>
              <w:bottom w:val="single" w:sz="4" w:space="0" w:color="auto"/>
            </w:tcBorders>
            <w:vAlign w:val="bottom"/>
          </w:tcPr>
          <w:p w:rsidR="00000000" w:rsidRDefault="00000000">
            <w:pPr>
              <w:widowControl w:val="0"/>
              <w:tabs>
                <w:tab w:val="decimal" w:pos="770"/>
              </w:tabs>
              <w:spacing w:before="80" w:after="80"/>
              <w:jc w:val="center"/>
              <w:rPr>
                <w:b/>
                <w:bCs/>
                <w:sz w:val="17"/>
                <w:szCs w:val="20"/>
              </w:rPr>
            </w:pPr>
            <w:r>
              <w:rPr>
                <w:b/>
                <w:bCs/>
                <w:sz w:val="17"/>
                <w:szCs w:val="20"/>
              </w:rPr>
              <w:t>1 288 717</w:t>
            </w:r>
          </w:p>
        </w:tc>
        <w:tc>
          <w:tcPr>
            <w:tcW w:w="691" w:type="dxa"/>
            <w:tcBorders>
              <w:bottom w:val="single" w:sz="4" w:space="0" w:color="auto"/>
            </w:tcBorders>
            <w:vAlign w:val="bottom"/>
          </w:tcPr>
          <w:p w:rsidR="00000000" w:rsidRDefault="00000000">
            <w:pPr>
              <w:widowControl w:val="0"/>
              <w:tabs>
                <w:tab w:val="decimal" w:pos="695"/>
              </w:tabs>
              <w:spacing w:before="80" w:after="80"/>
              <w:jc w:val="center"/>
              <w:rPr>
                <w:b/>
                <w:bCs/>
                <w:sz w:val="17"/>
                <w:szCs w:val="20"/>
              </w:rPr>
            </w:pPr>
            <w:r>
              <w:rPr>
                <w:b/>
                <w:bCs/>
                <w:sz w:val="17"/>
                <w:szCs w:val="20"/>
              </w:rPr>
              <w:t>765 308</w:t>
            </w:r>
          </w:p>
        </w:tc>
        <w:tc>
          <w:tcPr>
            <w:tcW w:w="643" w:type="dxa"/>
            <w:tcBorders>
              <w:bottom w:val="single" w:sz="4" w:space="0" w:color="auto"/>
            </w:tcBorders>
            <w:vAlign w:val="bottom"/>
          </w:tcPr>
          <w:p w:rsidR="00000000" w:rsidRDefault="00000000">
            <w:pPr>
              <w:widowControl w:val="0"/>
              <w:tabs>
                <w:tab w:val="decimal" w:pos="658"/>
              </w:tabs>
              <w:spacing w:before="80" w:after="80"/>
              <w:jc w:val="center"/>
              <w:rPr>
                <w:b/>
                <w:bCs/>
                <w:sz w:val="17"/>
                <w:szCs w:val="20"/>
              </w:rPr>
            </w:pPr>
            <w:r>
              <w:rPr>
                <w:b/>
                <w:bCs/>
                <w:sz w:val="17"/>
                <w:szCs w:val="20"/>
              </w:rPr>
              <w:t>523 409</w:t>
            </w:r>
          </w:p>
        </w:tc>
        <w:tc>
          <w:tcPr>
            <w:tcW w:w="776" w:type="dxa"/>
            <w:tcBorders>
              <w:bottom w:val="single" w:sz="4" w:space="0" w:color="auto"/>
            </w:tcBorders>
            <w:vAlign w:val="bottom"/>
          </w:tcPr>
          <w:p w:rsidR="00000000" w:rsidRDefault="00000000">
            <w:pPr>
              <w:widowControl w:val="0"/>
              <w:tabs>
                <w:tab w:val="decimal" w:pos="811"/>
              </w:tabs>
              <w:spacing w:before="80" w:after="80"/>
              <w:jc w:val="center"/>
              <w:rPr>
                <w:b/>
                <w:bCs/>
                <w:sz w:val="17"/>
                <w:szCs w:val="20"/>
              </w:rPr>
            </w:pPr>
            <w:r>
              <w:rPr>
                <w:b/>
                <w:bCs/>
                <w:sz w:val="17"/>
                <w:szCs w:val="20"/>
              </w:rPr>
              <w:t>1 343 713</w:t>
            </w:r>
          </w:p>
        </w:tc>
        <w:tc>
          <w:tcPr>
            <w:tcW w:w="673" w:type="dxa"/>
            <w:tcBorders>
              <w:bottom w:val="single" w:sz="4" w:space="0" w:color="auto"/>
            </w:tcBorders>
            <w:vAlign w:val="bottom"/>
          </w:tcPr>
          <w:p w:rsidR="00000000" w:rsidRDefault="00000000">
            <w:pPr>
              <w:widowControl w:val="0"/>
              <w:tabs>
                <w:tab w:val="decimal" w:pos="714"/>
              </w:tabs>
              <w:spacing w:before="80" w:after="80"/>
              <w:jc w:val="center"/>
              <w:rPr>
                <w:b/>
                <w:bCs/>
                <w:sz w:val="17"/>
                <w:szCs w:val="20"/>
              </w:rPr>
            </w:pPr>
            <w:r>
              <w:rPr>
                <w:b/>
                <w:bCs/>
                <w:sz w:val="17"/>
                <w:szCs w:val="20"/>
              </w:rPr>
              <w:t>813 606</w:t>
            </w:r>
          </w:p>
        </w:tc>
        <w:tc>
          <w:tcPr>
            <w:tcW w:w="631" w:type="dxa"/>
            <w:tcBorders>
              <w:bottom w:val="single" w:sz="4" w:space="0" w:color="auto"/>
            </w:tcBorders>
            <w:vAlign w:val="bottom"/>
          </w:tcPr>
          <w:p w:rsidR="00000000" w:rsidRDefault="00000000">
            <w:pPr>
              <w:widowControl w:val="0"/>
              <w:tabs>
                <w:tab w:val="decimal" w:pos="650"/>
              </w:tabs>
              <w:spacing w:before="80" w:after="80"/>
              <w:jc w:val="center"/>
              <w:rPr>
                <w:b/>
                <w:bCs/>
                <w:sz w:val="17"/>
                <w:szCs w:val="20"/>
              </w:rPr>
            </w:pPr>
            <w:r>
              <w:rPr>
                <w:b/>
                <w:bCs/>
                <w:sz w:val="17"/>
                <w:szCs w:val="20"/>
              </w:rPr>
              <w:t>530 107</w:t>
            </w:r>
          </w:p>
        </w:tc>
      </w:tr>
    </w:tbl>
    <w:p w:rsidR="00000000" w:rsidRDefault="00000000">
      <w:pPr>
        <w:spacing w:before="80" w:after="80"/>
        <w:ind w:left="567"/>
        <w:rPr>
          <w:sz w:val="20"/>
          <w:szCs w:val="16"/>
          <w:lang w:val="en-US"/>
        </w:rPr>
      </w:pPr>
      <w:r>
        <w:rPr>
          <w:sz w:val="20"/>
          <w:szCs w:val="16"/>
          <w:lang w:val="en-US"/>
        </w:rPr>
        <w:t>*  In the EPH 1995-1999, the data are adjusted to the findings of the 2002 Census.</w:t>
      </w:r>
    </w:p>
    <w:p w:rsidR="00000000" w:rsidRDefault="00000000">
      <w:pPr>
        <w:spacing w:before="80" w:after="80"/>
        <w:ind w:left="567"/>
        <w:rPr>
          <w:sz w:val="20"/>
          <w:szCs w:val="16"/>
          <w:lang w:val="en-US"/>
        </w:rPr>
      </w:pPr>
      <w:r>
        <w:rPr>
          <w:sz w:val="20"/>
          <w:szCs w:val="16"/>
          <w:lang w:val="en-US"/>
        </w:rPr>
        <w:t>** Years 1995-1999: included under “Other” are dumping into a watercourse, tip or farmland.</w:t>
      </w:r>
    </w:p>
    <w:p w:rsidR="00000000" w:rsidRDefault="00000000">
      <w:pPr>
        <w:spacing w:before="80" w:after="80"/>
        <w:ind w:left="567"/>
        <w:rPr>
          <w:sz w:val="20"/>
          <w:szCs w:val="16"/>
          <w:lang w:val="en-US"/>
        </w:rPr>
      </w:pPr>
      <w:r>
        <w:rPr>
          <w:sz w:val="20"/>
          <w:szCs w:val="16"/>
          <w:lang w:val="en-US"/>
        </w:rPr>
        <w:t>**  Year 2004: includes under “Other” dumping into a stream or tip.</w:t>
      </w:r>
    </w:p>
    <w:p w:rsidR="00000000" w:rsidRDefault="00000000">
      <w:pPr>
        <w:spacing w:before="80" w:after="240"/>
        <w:ind w:left="567"/>
        <w:rPr>
          <w:sz w:val="20"/>
          <w:szCs w:val="20"/>
          <w:lang w:val="en-US"/>
        </w:rPr>
      </w:pPr>
      <w:r>
        <w:rPr>
          <w:i/>
          <w:iCs/>
          <w:sz w:val="20"/>
          <w:szCs w:val="16"/>
          <w:lang w:val="en-US"/>
        </w:rPr>
        <w:t xml:space="preserve">Source: </w:t>
      </w:r>
      <w:r>
        <w:rPr>
          <w:sz w:val="20"/>
          <w:szCs w:val="16"/>
          <w:lang w:val="en-US"/>
        </w:rPr>
        <w:t>STP/DGEEC. Permanent Household Survey 1995, 1999, 2004, 2005.</w:t>
      </w:r>
    </w:p>
    <w:p w:rsidR="00000000" w:rsidRDefault="00000000">
      <w:pPr>
        <w:spacing w:after="240"/>
        <w:rPr>
          <w:b/>
          <w:lang w:val="en-US"/>
        </w:rPr>
      </w:pPr>
      <w:r>
        <w:rPr>
          <w:b/>
          <w:lang w:val="en-US"/>
        </w:rPr>
        <w:t>2.1.</w:t>
      </w:r>
      <w:r>
        <w:rPr>
          <w:b/>
          <w:lang w:val="en-US"/>
        </w:rPr>
        <w:tab/>
        <w:t>Population with access to drinking water</w:t>
      </w:r>
    </w:p>
    <w:p w:rsidR="00000000" w:rsidRDefault="00000000">
      <w:pPr>
        <w:autoSpaceDE w:val="0"/>
        <w:autoSpaceDN w:val="0"/>
        <w:adjustRightInd w:val="0"/>
        <w:spacing w:after="240"/>
        <w:rPr>
          <w:lang w:val="en-US"/>
        </w:rPr>
      </w:pPr>
      <w:r>
        <w:rPr>
          <w:lang w:val="en-US"/>
        </w:rPr>
        <w:t>406.</w:t>
      </w:r>
      <w:r>
        <w:rPr>
          <w:lang w:val="en-US"/>
        </w:rPr>
        <w:tab/>
        <w:t>Coverage has increased, but the improvement in the quality of water has been modest, with polluted water posing a huge risk to the population’s health. The country has established disaggregated goals coverage targets for each locality to be served under the Drinking Water and Sanitation Programme: Master Plan, Phase II, for the Asunción metropolitan area and eight towns in the interior. For the first part of this second phase (year 2010) of the Master Plan the drinking-water target is 83 per cent, while for the towns in the interior the target is 87.5 per cent. For the second phase in towns in the interior (year 2016) the target is 95 per cent.</w:t>
      </w:r>
    </w:p>
    <w:p w:rsidR="00000000" w:rsidRDefault="00000000">
      <w:pPr>
        <w:autoSpaceDE w:val="0"/>
        <w:autoSpaceDN w:val="0"/>
        <w:adjustRightInd w:val="0"/>
        <w:spacing w:after="240"/>
        <w:rPr>
          <w:lang w:val="en-US"/>
        </w:rPr>
      </w:pPr>
      <w:r>
        <w:rPr>
          <w:lang w:val="en-US"/>
        </w:rPr>
        <w:t>407.</w:t>
      </w:r>
      <w:r>
        <w:rPr>
          <w:lang w:val="en-US"/>
        </w:rPr>
        <w:tab/>
        <w:t>With regard to the rural sector, the target set by the National Environmental Sanitation Service (SENASA) is to cover 60 per cent of the rural population. SENASA’s priority is to supply drinking water in preference to a sewerage system with hydraulic displacement. However, any water project is always accompanied by the sewerage component through individual land-management solutions (sanitary latrines). Also, the National Service provides drinking water to 62 per cent of the country’s total population, which means that since 2002 approximately 3,400,000 inhabitants have had access to the service.</w:t>
      </w:r>
    </w:p>
    <w:p w:rsidR="00000000" w:rsidRDefault="00000000">
      <w:pPr>
        <w:autoSpaceDE w:val="0"/>
        <w:autoSpaceDN w:val="0"/>
        <w:adjustRightInd w:val="0"/>
        <w:spacing w:after="240"/>
        <w:rPr>
          <w:lang w:val="en-US"/>
        </w:rPr>
      </w:pPr>
      <w:r>
        <w:rPr>
          <w:lang w:val="en-US"/>
        </w:rPr>
        <w:t>408.</w:t>
      </w:r>
      <w:r>
        <w:rPr>
          <w:lang w:val="en-US"/>
        </w:rPr>
        <w:tab/>
        <w:t>Two types of system are used for the connections. One is suitable for the urban population, whose demand is served by the public system; of the total population covered by the national system, 85 per cent of consumers, making for an approximate total of 2,890,000 inhabitants, are connected in this way. The scattered population, which is served by the individual system, accounts for 15 per cent, or 510,000 inhabitants. However, of the overall national population, 41 per cent of the urban population - that is, approximately 1,145,000 inhabitants, receive no service; 16 per cent – or 540,000 inhabitants – are served by private water suppliers, and 43 per cent – or 1,205,000 inhabitants – are served by SENASA.</w:t>
      </w:r>
      <w:r>
        <w:rPr>
          <w:rStyle w:val="FootnoteReference"/>
          <w:b/>
          <w:bCs/>
          <w:lang w:val="en-US"/>
        </w:rPr>
        <w:footnoteReference w:id="27"/>
      </w:r>
    </w:p>
    <w:p w:rsidR="00000000" w:rsidRDefault="00000000">
      <w:pPr>
        <w:keepNext/>
        <w:autoSpaceDE w:val="0"/>
        <w:autoSpaceDN w:val="0"/>
        <w:adjustRightInd w:val="0"/>
        <w:spacing w:after="240"/>
        <w:jc w:val="center"/>
        <w:rPr>
          <w:b/>
          <w:lang w:val="en-US"/>
        </w:rPr>
      </w:pPr>
      <w:r>
        <w:rPr>
          <w:b/>
          <w:sz w:val="22"/>
          <w:lang w:val="en-US"/>
        </w:rPr>
        <w:t>Situation of coverage of drinking water in Paraguay</w:t>
      </w:r>
      <w:r>
        <w:rPr>
          <w:rStyle w:val="FootnoteReference"/>
          <w:b/>
          <w:bCs/>
          <w:lang w:val="en-US"/>
        </w:rPr>
        <w:footnoteReference w:id="28"/>
      </w:r>
    </w:p>
    <w:bookmarkStart w:id="73" w:name="_MON_1249197410"/>
    <w:bookmarkStart w:id="74" w:name="_MON_1249197692"/>
    <w:bookmarkStart w:id="75" w:name="_MON_1252612626"/>
    <w:bookmarkStart w:id="76" w:name="_MON_1252612698"/>
    <w:bookmarkStart w:id="77" w:name="_MON_1252612732"/>
    <w:bookmarkEnd w:id="73"/>
    <w:bookmarkEnd w:id="74"/>
    <w:bookmarkEnd w:id="75"/>
    <w:bookmarkEnd w:id="76"/>
    <w:bookmarkEnd w:id="77"/>
    <w:p w:rsidR="00000000" w:rsidRDefault="00000000">
      <w:pPr>
        <w:spacing w:after="240"/>
        <w:jc w:val="center"/>
        <w:rPr>
          <w:rFonts w:ascii="Arial" w:hAnsi="Arial" w:cs="Arial"/>
          <w:b/>
          <w:bCs/>
          <w:sz w:val="20"/>
          <w:szCs w:val="20"/>
          <w:lang w:val="es-ES_tradnl"/>
        </w:rPr>
      </w:pPr>
      <w:r>
        <w:object w:dxaOrig="5644" w:dyaOrig="4706">
          <v:shape id="_x0000_i1046" type="#_x0000_t75" style="width:282pt;height:235.5pt" o:ole="">
            <v:imagedata r:id="rId52" o:title="" grayscale="t"/>
          </v:shape>
          <o:OLEObject Type="Embed" ProgID="Word.Picture.8" ShapeID="_x0000_i1046" DrawAspect="Content" ObjectID="_1394904863" r:id="rId53"/>
        </w:object>
      </w:r>
    </w:p>
    <w:p w:rsidR="00000000" w:rsidRDefault="00000000">
      <w:pPr>
        <w:keepNext/>
        <w:autoSpaceDE w:val="0"/>
        <w:autoSpaceDN w:val="0"/>
        <w:adjustRightInd w:val="0"/>
        <w:spacing w:after="240"/>
        <w:rPr>
          <w:b/>
          <w:lang w:val="en-US"/>
        </w:rPr>
      </w:pPr>
    </w:p>
    <w:p w:rsidR="00000000" w:rsidRDefault="00000000">
      <w:pPr>
        <w:pStyle w:val="xl23"/>
        <w:keepNext/>
        <w:autoSpaceDE w:val="0"/>
        <w:autoSpaceDN w:val="0"/>
        <w:adjustRightInd w:val="0"/>
        <w:spacing w:before="0" w:beforeAutospacing="0" w:after="240" w:afterAutospacing="0"/>
        <w:rPr>
          <w:rFonts w:ascii="Times New Roman" w:hAnsi="Times New Roman" w:cs="Times New Roman"/>
          <w:bCs w:val="0"/>
          <w:lang w:val="en-US" w:eastAsia="en-US"/>
        </w:rPr>
      </w:pPr>
      <w:r>
        <w:rPr>
          <w:rFonts w:ascii="Times New Roman" w:hAnsi="Times New Roman" w:cs="Times New Roman"/>
          <w:bCs w:val="0"/>
          <w:lang w:val="en-US" w:eastAsia="en-US"/>
        </w:rPr>
        <w:t>2.2</w:t>
      </w:r>
      <w:r>
        <w:rPr>
          <w:rFonts w:ascii="Times New Roman" w:hAnsi="Times New Roman" w:cs="Times New Roman"/>
          <w:bCs w:val="0"/>
          <w:lang w:val="en-US" w:eastAsia="en-US"/>
        </w:rPr>
        <w:tab/>
        <w:t>Population with access to a waste-treatment system</w:t>
      </w:r>
    </w:p>
    <w:p w:rsidR="00000000" w:rsidRDefault="00000000">
      <w:pPr>
        <w:keepNext/>
        <w:autoSpaceDE w:val="0"/>
        <w:autoSpaceDN w:val="0"/>
        <w:adjustRightInd w:val="0"/>
        <w:spacing w:after="240"/>
        <w:rPr>
          <w:lang w:val="en-US"/>
        </w:rPr>
      </w:pPr>
      <w:r>
        <w:rPr>
          <w:lang w:val="en-US"/>
        </w:rPr>
        <w:t>409.</w:t>
      </w:r>
      <w:r>
        <w:rPr>
          <w:lang w:val="en-US"/>
        </w:rPr>
        <w:tab/>
        <w:t>Solid-waste generation stands at 0.87 kg per inhabitant per day for domestic solid waste, and 1,038 kg per inhabitant per day for urban solid waste. Only 53 per cent of all urban solid waste is collected. The figures of the levels of final disposal are still quite alarming, with open-air refuse dumps at 80 per cent, as opposed to 20 per cent controlled dumps; but these indicators appear to be improving.</w:t>
      </w:r>
    </w:p>
    <w:p w:rsidR="00000000" w:rsidRDefault="00000000">
      <w:pPr>
        <w:autoSpaceDE w:val="0"/>
        <w:autoSpaceDN w:val="0"/>
        <w:adjustRightInd w:val="0"/>
        <w:spacing w:after="240"/>
        <w:rPr>
          <w:lang w:val="en-US"/>
        </w:rPr>
      </w:pPr>
      <w:r>
        <w:rPr>
          <w:lang w:val="en-US"/>
        </w:rPr>
        <w:t>410.</w:t>
      </w:r>
      <w:r>
        <w:rPr>
          <w:lang w:val="en-US"/>
        </w:rPr>
        <w:tab/>
        <w:t>Treatment and final disposal of waste continues to be a topic in need of urgent action on the part of Governments at all levels (national, departmental and municipal), although progress is being made in that area. In this connection the Sectoral Analysis of Solid Waste in Paraguay, as well as specific initiatives for finding a necessary solution, such as the progress made by the Government of the Central Department (in 2000-2002) and the formulation of the Master Plan on Communal Solid Waste for the eastern region of Paraguay (2003) are a few of the latest efforts at coordinating action in this regard. Likewise, some municipalities have undertaken activities to improve the management and final disposal of waste. Also under way are efforts to improve the operation of services, projects for sanitary landfill and start-up of controlled landfills.</w:t>
      </w:r>
    </w:p>
    <w:p w:rsidR="00000000" w:rsidRDefault="00000000">
      <w:pPr>
        <w:autoSpaceDE w:val="0"/>
        <w:autoSpaceDN w:val="0"/>
        <w:adjustRightInd w:val="0"/>
        <w:spacing w:after="240"/>
        <w:jc w:val="center"/>
        <w:rPr>
          <w:b/>
          <w:sz w:val="22"/>
          <w:lang w:val="en-US"/>
        </w:rPr>
      </w:pPr>
      <w:r>
        <w:rPr>
          <w:b/>
          <w:lang w:val="en-US"/>
        </w:rPr>
        <w:br w:type="page"/>
      </w:r>
      <w:r>
        <w:rPr>
          <w:b/>
          <w:sz w:val="22"/>
          <w:lang w:val="en-US"/>
        </w:rPr>
        <w:t>Quantities of solid-waste generation and collection by department</w:t>
      </w:r>
    </w:p>
    <w:p w:rsidR="00000000" w:rsidRDefault="00000000">
      <w:pPr>
        <w:keepNext/>
        <w:keepLines/>
        <w:spacing w:after="240"/>
        <w:jc w:val="center"/>
        <w:rPr>
          <w:rFonts w:ascii="Arial" w:hAnsi="Arial" w:cs="Arial"/>
          <w:b/>
          <w:bCs/>
          <w:sz w:val="20"/>
          <w:szCs w:val="20"/>
        </w:rPr>
      </w:pPr>
      <w:r>
        <w:rPr>
          <w:bCs/>
          <w:noProof/>
          <w:sz w:val="20"/>
          <w:lang w:val="fr-FR" w:eastAsia="fr-FR"/>
        </w:rPr>
        <w:pict>
          <v:shape id="_x0000_s2849" type="#_x0000_t202" style="position:absolute;left:0;text-align:left;margin-left:448.9pt;margin-top:67.5pt;width:16.8pt;height:63.7pt;z-index:53" stroked="f">
            <v:textbox style="layout-flow:vertical" inset="0,0,0,0">
              <w:txbxContent>
                <w:p w:rsidR="00000000" w:rsidRDefault="00000000">
                  <w:pPr>
                    <w:jc w:val="center"/>
                    <w:rPr>
                      <w:b/>
                      <w:bCs/>
                      <w:sz w:val="18"/>
                    </w:rPr>
                  </w:pPr>
                  <w:r>
                    <w:rPr>
                      <w:b/>
                      <w:bCs/>
                      <w:sz w:val="18"/>
                    </w:rPr>
                    <w:t>Population</w:t>
                  </w:r>
                </w:p>
              </w:txbxContent>
            </v:textbox>
          </v:shape>
        </w:pict>
      </w:r>
      <w:r>
        <w:rPr>
          <w:bCs/>
          <w:noProof/>
          <w:sz w:val="20"/>
          <w:lang w:val="fr-FR" w:eastAsia="fr-FR"/>
        </w:rPr>
        <w:pict>
          <v:shape id="_x0000_s2850" type="#_x0000_t202" style="position:absolute;left:0;text-align:left;margin-left:308.2pt;margin-top:255.8pt;width:120.25pt;height:25.7pt;z-index:54" stroked="f">
            <v:textbox inset="0,0,0,0">
              <w:txbxContent>
                <w:p w:rsidR="00000000" w:rsidRDefault="00000000">
                  <w:pPr>
                    <w:spacing w:before="100" w:beforeAutospacing="1" w:after="100"/>
                    <w:rPr>
                      <w:bCs/>
                      <w:sz w:val="16"/>
                      <w:lang w:val="es-ES_tradnl"/>
                    </w:rPr>
                  </w:pPr>
                  <w:r>
                    <w:rPr>
                      <w:bCs/>
                      <w:sz w:val="16"/>
                      <w:lang w:val="es-ES_tradnl"/>
                    </w:rPr>
                    <w:t xml:space="preserve"> POPULATION SERV</w:t>
                  </w:r>
                  <w:r>
                    <w:rPr>
                      <w:bCs/>
                      <w:smallCaps/>
                      <w:sz w:val="16"/>
                      <w:lang w:val="es-ES_tradnl"/>
                    </w:rPr>
                    <w:t>ED</w:t>
                  </w:r>
                </w:p>
                <w:p w:rsidR="00000000" w:rsidRDefault="00000000">
                  <w:pPr>
                    <w:pStyle w:val="BodyText3"/>
                    <w:spacing w:after="0"/>
                    <w:rPr>
                      <w:b/>
                      <w:bCs/>
                      <w:sz w:val="20"/>
                      <w:szCs w:val="24"/>
                      <w:lang w:val="es-ES_tradnl"/>
                    </w:rPr>
                  </w:pPr>
                  <w:r>
                    <w:rPr>
                      <w:bCs/>
                      <w:szCs w:val="24"/>
                      <w:lang w:val="es-ES_tradnl"/>
                    </w:rPr>
                    <w:t xml:space="preserve"> URBAN POPULATION(2002)</w:t>
                  </w:r>
                </w:p>
              </w:txbxContent>
            </v:textbox>
          </v:shape>
        </w:pict>
      </w:r>
      <w:r>
        <w:rPr>
          <w:bCs/>
          <w:noProof/>
          <w:sz w:val="20"/>
          <w:lang w:val="fr-FR" w:eastAsia="fr-FR"/>
        </w:rPr>
        <w:pict>
          <v:shape id="_x0000_s2851" type="#_x0000_t202" style="position:absolute;left:0;text-align:left;margin-left:170.15pt;margin-top:243.45pt;width:97.8pt;height:19.7pt;z-index:55" stroked="f">
            <v:textbox inset="0,0,0,0">
              <w:txbxContent>
                <w:p w:rsidR="00000000" w:rsidRDefault="00000000">
                  <w:pPr>
                    <w:jc w:val="center"/>
                    <w:rPr>
                      <w:b/>
                      <w:bCs/>
                      <w:smallCaps/>
                      <w:sz w:val="20"/>
                    </w:rPr>
                  </w:pPr>
                  <w:r>
                    <w:rPr>
                      <w:bCs/>
                      <w:smallCaps/>
                      <w:sz w:val="20"/>
                      <w:lang w:val="es-ES_tradnl"/>
                    </w:rPr>
                    <w:t>Departments</w:t>
                  </w:r>
                </w:p>
              </w:txbxContent>
            </v:textbox>
          </v:shape>
        </w:pict>
      </w:r>
      <w:r>
        <w:rPr>
          <w:bCs/>
          <w:noProof/>
          <w:sz w:val="20"/>
          <w:lang w:val="fr-FR" w:eastAsia="fr-FR"/>
        </w:rPr>
        <w:pict>
          <v:shape id="_x0000_s2852" type="#_x0000_t202" style="position:absolute;left:0;text-align:left;margin-left:240.3pt;margin-top:176.6pt;width:16.8pt;height:63.7pt;z-index:56" stroked="f">
            <v:textbox style="layout-flow:vertical;mso-layout-flow-alt:bottom-to-top" inset="0,0,0,0">
              <w:txbxContent>
                <w:p w:rsidR="00000000" w:rsidRDefault="00000000">
                  <w:pPr>
                    <w:jc w:val="center"/>
                    <w:rPr>
                      <w:b/>
                      <w:bCs/>
                      <w:sz w:val="20"/>
                    </w:rPr>
                  </w:pPr>
                  <w:r>
                    <w:rPr>
                      <w:bCs/>
                      <w:sz w:val="16"/>
                      <w:lang w:val="es-ES_tradnl"/>
                    </w:rPr>
                    <w:t>ALTO PARANÁ</w:t>
                  </w:r>
                </w:p>
              </w:txbxContent>
            </v:textbox>
          </v:shape>
        </w:pict>
      </w:r>
      <w:r>
        <w:rPr>
          <w:bCs/>
          <w:noProof/>
          <w:sz w:val="20"/>
          <w:lang w:val="fr-FR" w:eastAsia="fr-FR"/>
        </w:rPr>
        <w:pict>
          <v:shape id="_x0000_s2854" type="#_x0000_t202" style="position:absolute;left:0;text-align:left;margin-left:390.35pt;margin-top:176.3pt;width:15.15pt;height:75.15pt;z-index:57" stroked="f">
            <v:textbox style="layout-flow:vertical;mso-layout-flow-alt:bottom-to-top" inset="0,0,0,0">
              <w:txbxContent>
                <w:p w:rsidR="00000000" w:rsidRDefault="00000000">
                  <w:pPr>
                    <w:jc w:val="center"/>
                    <w:rPr>
                      <w:b/>
                      <w:bCs/>
                      <w:sz w:val="20"/>
                    </w:rPr>
                  </w:pPr>
                  <w:r>
                    <w:rPr>
                      <w:bCs/>
                      <w:sz w:val="16"/>
                      <w:lang w:val="es-ES_tradnl"/>
                    </w:rPr>
                    <w:t>ALTO PARAGUAY</w:t>
                  </w:r>
                </w:p>
              </w:txbxContent>
            </v:textbox>
          </v:shape>
        </w:pict>
      </w:r>
      <w:r>
        <w:pict>
          <v:shape id="_x0000_i1047" type="#_x0000_t75" style="width:462.75pt;height:284.25pt" o:allowoverlap="f">
            <v:imagedata r:id="rId54" o:title="" gain="136533f" blacklevel="5898f" grayscale="t" bilevel="t"/>
          </v:shape>
        </w:pict>
      </w:r>
    </w:p>
    <w:p w:rsidR="00000000" w:rsidRDefault="00000000">
      <w:pPr>
        <w:autoSpaceDE w:val="0"/>
        <w:autoSpaceDN w:val="0"/>
        <w:adjustRightInd w:val="0"/>
        <w:spacing w:after="240"/>
        <w:rPr>
          <w:lang w:val="en-US"/>
        </w:rPr>
      </w:pPr>
      <w:r>
        <w:rPr>
          <w:lang w:val="en-US"/>
        </w:rPr>
        <w:t>411.</w:t>
      </w:r>
      <w:r>
        <w:rPr>
          <w:lang w:val="en-US"/>
        </w:rPr>
        <w:tab/>
        <w:t>At the country level the volume of waste generated by public hospitals is approximately ten (10) tons per day. Of this amount approximately 41.5 per cent constitute hazardous waste and 58.5 per cent ordinary waste. In Asunción city, which has the largest concentration of public hospitals, the total volume of waste generated is approximately 2.7 tons per day.</w:t>
      </w:r>
      <w:r>
        <w:rPr>
          <w:rStyle w:val="FootnoteReference"/>
          <w:b/>
          <w:bCs/>
          <w:lang w:val="en-US"/>
        </w:rPr>
        <w:footnoteReference w:id="29"/>
      </w:r>
    </w:p>
    <w:p w:rsidR="00000000" w:rsidRDefault="00000000">
      <w:pPr>
        <w:autoSpaceDE w:val="0"/>
        <w:autoSpaceDN w:val="0"/>
        <w:adjustRightInd w:val="0"/>
        <w:spacing w:after="240"/>
        <w:rPr>
          <w:lang w:val="en-US"/>
        </w:rPr>
      </w:pPr>
      <w:r>
        <w:rPr>
          <w:lang w:val="en-US"/>
        </w:rPr>
        <w:t>412.</w:t>
      </w:r>
      <w:r>
        <w:rPr>
          <w:lang w:val="en-US"/>
        </w:rPr>
        <w:tab/>
        <w:t>Paraguay’s characteristics and socio-economic conditions are reflected in the quantity and composition of the waste produced, while it should be noted that as the size of the population decreases and typically rural activities predominate in rural areas, the percentage of organic waste is higher. The average rate of urban solid-waste generation is around one (1) kg per day, ranging from 0.5 kg to 1.8 kg per person per day. It is estimated that some 3,700 tons per day are currently generated in urban centres.</w:t>
      </w:r>
    </w:p>
    <w:p w:rsidR="00000000" w:rsidRDefault="00000000">
      <w:pPr>
        <w:autoSpaceDE w:val="0"/>
        <w:autoSpaceDN w:val="0"/>
        <w:adjustRightInd w:val="0"/>
        <w:spacing w:after="240"/>
        <w:rPr>
          <w:lang w:val="en-US"/>
        </w:rPr>
      </w:pPr>
      <w:r>
        <w:rPr>
          <w:lang w:val="en-US"/>
        </w:rPr>
        <w:t>413.</w:t>
      </w:r>
      <w:r>
        <w:rPr>
          <w:lang w:val="en-US"/>
        </w:rPr>
        <w:tab/>
        <w:t>Separate collection of pathological waste occurs almost entirely in Asunción, with an average of 55 tons per month. The treatment of hospital waste is again carried out, almost  exclusively in Asunción, in dual-chamber incinerators that do not operate efficiently.</w:t>
      </w:r>
    </w:p>
    <w:p w:rsidR="00000000" w:rsidRDefault="00000000">
      <w:pPr>
        <w:autoSpaceDE w:val="0"/>
        <w:autoSpaceDN w:val="0"/>
        <w:adjustRightInd w:val="0"/>
        <w:spacing w:after="240"/>
        <w:rPr>
          <w:lang w:val="en-US"/>
        </w:rPr>
      </w:pPr>
      <w:r>
        <w:rPr>
          <w:lang w:val="en-US"/>
        </w:rPr>
        <w:t>414.</w:t>
      </w:r>
      <w:r>
        <w:rPr>
          <w:lang w:val="en-US"/>
        </w:rPr>
        <w:tab/>
        <w:t>Nonetheless, there are some strengths and some progress in this area. The Government has assigned priority to resolving the problems caused by solid waste from healthcare establishments (EAS) through the Ministry of Public Health and Social Welfare, based on three main lines of action: (i) approval of the solid-waste regulations through Decision 750/02; (ii) promotion of management of EAS solid waste in Asunción city outside the hospital system via a scheme that allows the private sector to participate in collection, transport, and the operation of a treatment plant; (iii) promotion of a diagnostic study of EAS solid waste management and handling, with a view to conducting activities for improvement of the management of such waste.</w:t>
      </w:r>
    </w:p>
    <w:p w:rsidR="00000000" w:rsidRDefault="00000000">
      <w:pPr>
        <w:autoSpaceDE w:val="0"/>
        <w:autoSpaceDN w:val="0"/>
        <w:adjustRightInd w:val="0"/>
        <w:spacing w:after="240"/>
        <w:rPr>
          <w:lang w:val="en-US"/>
        </w:rPr>
      </w:pPr>
      <w:r>
        <w:rPr>
          <w:lang w:val="en-US"/>
        </w:rPr>
        <w:t>415.</w:t>
      </w:r>
      <w:r>
        <w:rPr>
          <w:lang w:val="en-US"/>
        </w:rPr>
        <w:tab/>
        <w:t>The local Government of Asunción city still has the political will to resolve the EAS solid-waste problems; the current administration of the municipality of Asunción is in the process of inviting public tenders for concession of collection, transport, treatment and final disposal of EAS solid waste - evidence of the high priority assigned to the subject on the municipality’s agenda.</w:t>
      </w:r>
    </w:p>
    <w:p w:rsidR="00000000" w:rsidRDefault="00000000">
      <w:pPr>
        <w:autoSpaceDE w:val="0"/>
        <w:autoSpaceDN w:val="0"/>
        <w:adjustRightInd w:val="0"/>
        <w:spacing w:after="240"/>
        <w:rPr>
          <w:lang w:val="en-US"/>
        </w:rPr>
      </w:pPr>
      <w:r>
        <w:rPr>
          <w:lang w:val="en-US"/>
        </w:rPr>
        <w:t>416.</w:t>
      </w:r>
      <w:r>
        <w:rPr>
          <w:lang w:val="en-US"/>
        </w:rPr>
        <w:tab/>
        <w:t>A crucial problem is the low sewerage coverage. In 1992 only 7.9 per cent of homes countrywide had access to a public sewerage system; in 1997-1998 the proportion rose only slightly to 8.2 per cent. According to the most recent official data (EIH 2000/001) only 10 per cent of homes have sewerage facilities and some 90 per cent have no home sewerage connection, but have access through private or shared lines. In the 10-year period 1992-2001 access to sewerage rose from 7 per cent to 10 per cent coverage. Rural dwellings are worse off than urban dwellings. The serious sanitation deficiencies, especially in sewerage, generate health problems, as well as aquifer pollution.</w:t>
      </w:r>
    </w:p>
    <w:p w:rsidR="00000000" w:rsidRDefault="00000000">
      <w:pPr>
        <w:autoSpaceDE w:val="0"/>
        <w:autoSpaceDN w:val="0"/>
        <w:adjustRightInd w:val="0"/>
        <w:spacing w:after="240"/>
        <w:rPr>
          <w:lang w:val="en-US"/>
        </w:rPr>
      </w:pPr>
      <w:r>
        <w:rPr>
          <w:lang w:val="en-US"/>
        </w:rPr>
        <w:t>417.</w:t>
      </w:r>
      <w:r>
        <w:rPr>
          <w:lang w:val="en-US"/>
        </w:rPr>
        <w:tab/>
        <w:t>Diagram 2 shows the evolution of sewerage coverage in Paraguay between 1992 and 2001.</w:t>
      </w:r>
    </w:p>
    <w:p w:rsidR="00000000" w:rsidRDefault="00000000">
      <w:pPr>
        <w:autoSpaceDE w:val="0"/>
        <w:autoSpaceDN w:val="0"/>
        <w:adjustRightInd w:val="0"/>
        <w:spacing w:after="240"/>
        <w:jc w:val="center"/>
        <w:rPr>
          <w:b/>
          <w:smallCaps/>
          <w:lang w:val="en-US"/>
        </w:rPr>
      </w:pPr>
      <w:r>
        <w:rPr>
          <w:smallCaps/>
          <w:sz w:val="22"/>
          <w:lang w:val="en-US"/>
        </w:rPr>
        <w:t>Diagram 2</w:t>
      </w:r>
    </w:p>
    <w:p w:rsidR="00000000" w:rsidRDefault="00000000">
      <w:pPr>
        <w:pStyle w:val="xl46"/>
        <w:keepNext/>
        <w:autoSpaceDE w:val="0"/>
        <w:autoSpaceDN w:val="0"/>
        <w:adjustRightInd w:val="0"/>
        <w:spacing w:before="0" w:beforeAutospacing="0" w:after="120" w:afterAutospacing="0"/>
        <w:rPr>
          <w:rFonts w:ascii="Times New Roman" w:eastAsia="Times New Roman" w:hAnsi="Times New Roman" w:cs="Times New Roman"/>
          <w:bCs w:val="0"/>
          <w:szCs w:val="24"/>
          <w:lang w:val="en-US" w:eastAsia="en-US"/>
        </w:rPr>
      </w:pPr>
      <w:r>
        <w:rPr>
          <w:rFonts w:ascii="Times New Roman" w:eastAsia="Times New Roman" w:hAnsi="Times New Roman" w:cs="Times New Roman"/>
          <w:bCs w:val="0"/>
          <w:szCs w:val="24"/>
          <w:lang w:val="en-US" w:eastAsia="en-US"/>
        </w:rPr>
        <w:t>Evolution of sewerage coverage in Paraguay between 1992 and 2001</w:t>
      </w:r>
    </w:p>
    <w:p w:rsidR="00000000" w:rsidRDefault="00000000">
      <w:pPr>
        <w:pStyle w:val="xl46"/>
        <w:autoSpaceDE w:val="0"/>
        <w:autoSpaceDN w:val="0"/>
        <w:adjustRightInd w:val="0"/>
        <w:spacing w:before="0" w:beforeAutospacing="0" w:after="240" w:afterAutospacing="0"/>
        <w:rPr>
          <w:rFonts w:ascii="Times New Roman" w:eastAsia="Times New Roman" w:hAnsi="Times New Roman" w:cs="Times New Roman"/>
          <w:bCs w:val="0"/>
          <w:szCs w:val="24"/>
          <w:lang w:val="en-US" w:eastAsia="en-US"/>
        </w:rPr>
      </w:pPr>
      <w:r>
        <w:rPr>
          <w:rFonts w:ascii="Times New Roman" w:eastAsia="Times New Roman" w:hAnsi="Times New Roman" w:cs="Times New Roman"/>
          <w:bCs w:val="0"/>
          <w:szCs w:val="24"/>
          <w:lang w:val="en-US" w:eastAsia="en-US"/>
        </w:rPr>
        <w:t>Population with sanitary sewerage – Country, 1992-2001</w:t>
      </w:r>
    </w:p>
    <w:p w:rsidR="00000000" w:rsidRDefault="00000000">
      <w:pPr>
        <w:spacing w:after="240"/>
        <w:jc w:val="center"/>
        <w:rPr>
          <w:b/>
          <w:bCs/>
          <w:sz w:val="20"/>
          <w:szCs w:val="13"/>
          <w:lang w:val="en-US"/>
        </w:rPr>
      </w:pPr>
      <w:r>
        <w:rPr>
          <w:b/>
          <w:bCs/>
          <w:noProof/>
          <w:sz w:val="18"/>
          <w:lang w:val="fr-FR" w:eastAsia="fr-FR"/>
        </w:rPr>
        <w:pict>
          <v:shape id="_x0000_s2858" type="#_x0000_t202" style="position:absolute;left:0;text-align:left;margin-left:121.15pt;margin-top:23.3pt;width:37.85pt;height:128.7pt;z-index:58" stroked="f">
            <v:textbox inset="0,0,0,0">
              <w:txbxContent>
                <w:p w:rsidR="00000000" w:rsidRDefault="00000000">
                  <w:pPr>
                    <w:spacing w:after="220"/>
                    <w:jc w:val="right"/>
                    <w:rPr>
                      <w:b/>
                      <w:bCs/>
                      <w:sz w:val="12"/>
                    </w:rPr>
                  </w:pPr>
                </w:p>
                <w:p w:rsidR="00000000" w:rsidRDefault="00000000">
                  <w:pPr>
                    <w:spacing w:after="220"/>
                    <w:jc w:val="right"/>
                    <w:rPr>
                      <w:b/>
                      <w:bCs/>
                      <w:sz w:val="20"/>
                    </w:rPr>
                  </w:pPr>
                  <w:r>
                    <w:rPr>
                      <w:b/>
                      <w:bCs/>
                      <w:sz w:val="20"/>
                    </w:rPr>
                    <w:t>20,0 %</w:t>
                  </w:r>
                </w:p>
                <w:p w:rsidR="00000000" w:rsidRDefault="00000000">
                  <w:pPr>
                    <w:spacing w:after="220"/>
                    <w:jc w:val="right"/>
                    <w:rPr>
                      <w:b/>
                      <w:bCs/>
                      <w:sz w:val="20"/>
                    </w:rPr>
                  </w:pPr>
                  <w:r>
                    <w:rPr>
                      <w:b/>
                      <w:bCs/>
                      <w:sz w:val="20"/>
                    </w:rPr>
                    <w:t>15,0 %</w:t>
                  </w:r>
                </w:p>
                <w:p w:rsidR="00000000" w:rsidRDefault="00000000">
                  <w:pPr>
                    <w:spacing w:after="220"/>
                    <w:jc w:val="right"/>
                    <w:rPr>
                      <w:b/>
                      <w:bCs/>
                      <w:sz w:val="20"/>
                    </w:rPr>
                  </w:pPr>
                  <w:r>
                    <w:rPr>
                      <w:b/>
                      <w:bCs/>
                      <w:sz w:val="20"/>
                    </w:rPr>
                    <w:t>10,0 %</w:t>
                  </w:r>
                </w:p>
                <w:p w:rsidR="00000000" w:rsidRDefault="00000000">
                  <w:pPr>
                    <w:spacing w:after="180"/>
                    <w:jc w:val="right"/>
                    <w:rPr>
                      <w:b/>
                      <w:bCs/>
                      <w:sz w:val="20"/>
                    </w:rPr>
                  </w:pPr>
                  <w:r>
                    <w:rPr>
                      <w:b/>
                      <w:bCs/>
                      <w:sz w:val="20"/>
                    </w:rPr>
                    <w:t>5,0 %</w:t>
                  </w:r>
                </w:p>
                <w:p w:rsidR="00000000" w:rsidRDefault="00000000">
                  <w:pPr>
                    <w:jc w:val="right"/>
                    <w:rPr>
                      <w:b/>
                      <w:bCs/>
                      <w:sz w:val="20"/>
                    </w:rPr>
                  </w:pPr>
                  <w:r>
                    <w:rPr>
                      <w:b/>
                      <w:bCs/>
                      <w:sz w:val="20"/>
                    </w:rPr>
                    <w:t>0,0 %</w:t>
                  </w:r>
                </w:p>
              </w:txbxContent>
            </v:textbox>
          </v:shape>
        </w:pict>
      </w:r>
    </w:p>
    <w:p w:rsidR="00000000" w:rsidRDefault="00000000">
      <w:pPr>
        <w:spacing w:after="240"/>
        <w:ind w:left="907"/>
        <w:jc w:val="center"/>
      </w:pPr>
      <w:r>
        <w:rPr>
          <w:iCs/>
          <w:noProof/>
          <w:sz w:val="20"/>
          <w:szCs w:val="16"/>
          <w:lang w:val="fr-FR" w:eastAsia="fr-FR"/>
        </w:rPr>
        <w:pict>
          <v:shape id="_x0000_s2859" type="#_x0000_t202" style="position:absolute;left:0;text-align:left;margin-left:167.1pt;margin-top:115.7pt;width:208.5pt;height:13.35pt;z-index:59" stroked="f">
            <v:textbox inset="0,0,0,0">
              <w:txbxContent>
                <w:p w:rsidR="00000000" w:rsidRDefault="00000000">
                  <w:pPr>
                    <w:rPr>
                      <w:b/>
                      <w:bCs/>
                      <w:sz w:val="20"/>
                    </w:rPr>
                  </w:pPr>
                  <w:r>
                    <w:rPr>
                      <w:b/>
                      <w:bCs/>
                      <w:sz w:val="20"/>
                    </w:rPr>
                    <w:t xml:space="preserve">           1992      1995     1998    1999     2001</w:t>
                  </w:r>
                </w:p>
              </w:txbxContent>
            </v:textbox>
          </v:shape>
        </w:pict>
      </w:r>
      <w:bookmarkStart w:id="78" w:name="_MON_1236499814"/>
      <w:bookmarkStart w:id="79" w:name="_MON_1252613397"/>
      <w:bookmarkEnd w:id="78"/>
      <w:bookmarkEnd w:id="79"/>
      <w:r>
        <w:object w:dxaOrig="6603" w:dyaOrig="3592">
          <v:shape id="_x0000_i1048" type="#_x0000_t75" style="width:240pt;height:123pt" o:ole="">
            <v:imagedata r:id="rId55" o:title="" croptop="12412f" cropbottom="8275f" cropleft="1125f" cropright="14067f" gain="79922f" grayscale="t"/>
          </v:shape>
          <o:OLEObject Type="Embed" ProgID="Word.Picture.8" ShapeID="_x0000_i1048" DrawAspect="Content" ObjectID="_1394904864" r:id="rId56"/>
        </w:object>
      </w:r>
    </w:p>
    <w:p w:rsidR="00000000" w:rsidRDefault="00000000">
      <w:pPr>
        <w:autoSpaceDE w:val="0"/>
        <w:autoSpaceDN w:val="0"/>
        <w:adjustRightInd w:val="0"/>
        <w:spacing w:before="120" w:after="240"/>
        <w:rPr>
          <w:sz w:val="20"/>
          <w:szCs w:val="18"/>
          <w:lang w:val="en-US"/>
        </w:rPr>
      </w:pPr>
      <w:r>
        <w:rPr>
          <w:i/>
          <w:iCs/>
          <w:sz w:val="20"/>
          <w:szCs w:val="16"/>
        </w:rPr>
        <w:tab/>
      </w:r>
      <w:r>
        <w:rPr>
          <w:b/>
          <w:sz w:val="20"/>
          <w:lang w:val="en-US"/>
        </w:rPr>
        <w:tab/>
      </w:r>
      <w:r>
        <w:rPr>
          <w:i/>
          <w:iCs/>
          <w:sz w:val="20"/>
          <w:szCs w:val="18"/>
          <w:lang w:val="en-US"/>
        </w:rPr>
        <w:t xml:space="preserve">Source: </w:t>
      </w:r>
      <w:r>
        <w:rPr>
          <w:sz w:val="20"/>
          <w:szCs w:val="18"/>
          <w:lang w:val="en-US"/>
        </w:rPr>
        <w:t>Millennium Development Goals – Preliminary Report – UNDP 2003</w:t>
      </w:r>
    </w:p>
    <w:p w:rsidR="00000000" w:rsidRDefault="00000000">
      <w:pPr>
        <w:autoSpaceDE w:val="0"/>
        <w:autoSpaceDN w:val="0"/>
        <w:adjustRightInd w:val="0"/>
        <w:spacing w:after="240"/>
        <w:jc w:val="center"/>
        <w:rPr>
          <w:b/>
          <w:sz w:val="22"/>
          <w:lang w:val="en-US"/>
        </w:rPr>
      </w:pPr>
      <w:r>
        <w:rPr>
          <w:bCs/>
          <w:lang w:val="en-US"/>
        </w:rPr>
        <w:br w:type="page"/>
      </w:r>
      <w:r>
        <w:rPr>
          <w:b/>
          <w:sz w:val="22"/>
          <w:lang w:val="en-US"/>
        </w:rPr>
        <w:t>The coverage target for this service for the first and second phases, for 2006 and 2016 respectively, is to supply 80% of the population with drinking water under the ESSAP</w:t>
      </w:r>
      <w:r>
        <w:rPr>
          <w:b/>
          <w:sz w:val="22"/>
          <w:lang w:val="en-US"/>
        </w:rPr>
        <w:br/>
        <w:t>(ex CORPOSANA)-IDB programme</w:t>
      </w:r>
    </w:p>
    <w:tbl>
      <w:tblPr>
        <w:tblW w:w="5000" w:type="pct"/>
        <w:jc w:val="center"/>
        <w:tblLayout w:type="fixed"/>
        <w:tblCellMar>
          <w:left w:w="0" w:type="dxa"/>
          <w:right w:w="0" w:type="dxa"/>
        </w:tblCellMar>
        <w:tblLook w:val="0000" w:firstRow="0" w:lastRow="0" w:firstColumn="0" w:lastColumn="0" w:noHBand="0" w:noVBand="0"/>
      </w:tblPr>
      <w:tblGrid>
        <w:gridCol w:w="1203"/>
        <w:gridCol w:w="649"/>
        <w:gridCol w:w="652"/>
        <w:gridCol w:w="654"/>
        <w:gridCol w:w="656"/>
        <w:gridCol w:w="648"/>
        <w:gridCol w:w="759"/>
        <w:gridCol w:w="659"/>
        <w:gridCol w:w="654"/>
        <w:gridCol w:w="645"/>
        <w:gridCol w:w="661"/>
        <w:gridCol w:w="806"/>
        <w:gridCol w:w="28"/>
        <w:gridCol w:w="755"/>
      </w:tblGrid>
      <w:tr w:rsidR="00000000">
        <w:trPr>
          <w:cantSplit/>
          <w:jc w:val="center"/>
        </w:trPr>
        <w:tc>
          <w:tcPr>
            <w:tcW w:w="1203" w:type="dxa"/>
            <w:vMerge w:val="restart"/>
            <w:tcBorders>
              <w:top w:val="single" w:sz="4" w:space="0" w:color="auto"/>
              <w:bottom w:val="single" w:sz="4" w:space="0" w:color="auto"/>
            </w:tcBorders>
            <w:vAlign w:val="center"/>
          </w:tcPr>
          <w:p w:rsidR="00000000" w:rsidRDefault="00000000">
            <w:pPr>
              <w:pStyle w:val="Heading4"/>
              <w:widowControl w:val="0"/>
              <w:spacing w:before="60" w:after="60"/>
              <w:rPr>
                <w:sz w:val="18"/>
                <w:lang w:val="en-US"/>
              </w:rPr>
            </w:pPr>
            <w:r>
              <w:rPr>
                <w:sz w:val="18"/>
              </w:rPr>
              <w:t>Water source</w:t>
            </w:r>
          </w:p>
        </w:tc>
        <w:tc>
          <w:tcPr>
            <w:tcW w:w="1955" w:type="dxa"/>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en-US"/>
              </w:rPr>
            </w:pPr>
            <w:r>
              <w:rPr>
                <w:b/>
                <w:bCs/>
                <w:i/>
                <w:iCs/>
                <w:sz w:val="18"/>
                <w:szCs w:val="20"/>
                <w:lang w:val="en-US"/>
              </w:rPr>
              <w:t>1995</w:t>
            </w:r>
            <w:r>
              <w:rPr>
                <w:b/>
                <w:bCs/>
                <w:i/>
                <w:iCs/>
                <w:sz w:val="18"/>
                <w:szCs w:val="20"/>
                <w:vertAlign w:val="superscript"/>
                <w:lang w:val="en-US"/>
              </w:rPr>
              <w:t>*</w:t>
            </w:r>
          </w:p>
        </w:tc>
        <w:tc>
          <w:tcPr>
            <w:tcW w:w="2063" w:type="dxa"/>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en-US"/>
              </w:rPr>
            </w:pPr>
            <w:r>
              <w:rPr>
                <w:b/>
                <w:bCs/>
                <w:i/>
                <w:iCs/>
                <w:sz w:val="18"/>
                <w:szCs w:val="20"/>
                <w:lang w:val="en-US"/>
              </w:rPr>
              <w:t>1999</w:t>
            </w:r>
            <w:r>
              <w:rPr>
                <w:b/>
                <w:bCs/>
                <w:i/>
                <w:iCs/>
                <w:sz w:val="18"/>
                <w:szCs w:val="20"/>
                <w:vertAlign w:val="superscript"/>
                <w:lang w:val="en-US"/>
              </w:rPr>
              <w:t>*</w:t>
            </w:r>
          </w:p>
        </w:tc>
        <w:tc>
          <w:tcPr>
            <w:tcW w:w="1958" w:type="dxa"/>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en-US"/>
              </w:rPr>
            </w:pPr>
            <w:r>
              <w:rPr>
                <w:b/>
                <w:bCs/>
                <w:i/>
                <w:iCs/>
                <w:sz w:val="18"/>
                <w:szCs w:val="20"/>
                <w:lang w:val="en-US"/>
              </w:rPr>
              <w:t>2004</w:t>
            </w:r>
          </w:p>
        </w:tc>
        <w:tc>
          <w:tcPr>
            <w:tcW w:w="2250" w:type="dxa"/>
            <w:gridSpan w:val="4"/>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en-US"/>
              </w:rPr>
            </w:pPr>
            <w:r>
              <w:rPr>
                <w:b/>
                <w:bCs/>
                <w:i/>
                <w:iCs/>
                <w:sz w:val="18"/>
                <w:szCs w:val="20"/>
                <w:lang w:val="en-US"/>
              </w:rPr>
              <w:t>2005</w:t>
            </w:r>
          </w:p>
        </w:tc>
      </w:tr>
      <w:tr w:rsidR="00000000">
        <w:trPr>
          <w:cantSplit/>
          <w:jc w:val="center"/>
        </w:trPr>
        <w:tc>
          <w:tcPr>
            <w:tcW w:w="1203" w:type="dxa"/>
            <w:vMerge/>
            <w:tcBorders>
              <w:top w:val="single" w:sz="4" w:space="0" w:color="auto"/>
            </w:tcBorders>
            <w:vAlign w:val="center"/>
          </w:tcPr>
          <w:p w:rsidR="00000000" w:rsidRDefault="00000000">
            <w:pPr>
              <w:widowControl w:val="0"/>
              <w:spacing w:before="60" w:after="60"/>
              <w:jc w:val="center"/>
              <w:rPr>
                <w:b/>
                <w:bCs/>
                <w:i/>
                <w:iCs/>
                <w:sz w:val="18"/>
                <w:szCs w:val="20"/>
                <w:lang w:val="en-US"/>
              </w:rPr>
            </w:pPr>
          </w:p>
        </w:tc>
        <w:tc>
          <w:tcPr>
            <w:tcW w:w="649" w:type="dxa"/>
            <w:vMerge w:val="restart"/>
            <w:tcBorders>
              <w:top w:val="single" w:sz="4" w:space="0" w:color="auto"/>
            </w:tcBorders>
            <w:vAlign w:val="center"/>
          </w:tcPr>
          <w:p w:rsidR="00000000" w:rsidRDefault="00000000">
            <w:pPr>
              <w:widowControl w:val="0"/>
              <w:spacing w:before="60" w:after="60"/>
              <w:jc w:val="center"/>
              <w:rPr>
                <w:b/>
                <w:bCs/>
                <w:i/>
                <w:iCs/>
                <w:sz w:val="18"/>
                <w:szCs w:val="20"/>
                <w:lang w:val="en-US"/>
              </w:rPr>
            </w:pPr>
            <w:r>
              <w:rPr>
                <w:b/>
                <w:bCs/>
                <w:i/>
                <w:iCs/>
                <w:sz w:val="18"/>
                <w:szCs w:val="20"/>
                <w:lang w:val="en-US"/>
              </w:rPr>
              <w:t>Total</w:t>
            </w:r>
          </w:p>
        </w:tc>
        <w:tc>
          <w:tcPr>
            <w:tcW w:w="1306" w:type="dxa"/>
            <w:gridSpan w:val="2"/>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en-US"/>
              </w:rPr>
            </w:pPr>
            <w:r>
              <w:rPr>
                <w:b/>
                <w:bCs/>
                <w:i/>
                <w:iCs/>
                <w:sz w:val="18"/>
                <w:szCs w:val="20"/>
                <w:lang w:val="en-US"/>
              </w:rPr>
              <w:t>Residence area</w:t>
            </w:r>
          </w:p>
        </w:tc>
        <w:tc>
          <w:tcPr>
            <w:tcW w:w="656" w:type="dxa"/>
            <w:vMerge w:val="restart"/>
            <w:tcBorders>
              <w:top w:val="single" w:sz="4" w:space="0" w:color="auto"/>
            </w:tcBorders>
            <w:vAlign w:val="center"/>
          </w:tcPr>
          <w:p w:rsidR="00000000" w:rsidRDefault="00000000">
            <w:pPr>
              <w:widowControl w:val="0"/>
              <w:spacing w:before="60" w:after="60"/>
              <w:jc w:val="center"/>
              <w:rPr>
                <w:b/>
                <w:bCs/>
                <w:i/>
                <w:iCs/>
                <w:sz w:val="18"/>
                <w:szCs w:val="20"/>
                <w:lang w:val="en-US"/>
              </w:rPr>
            </w:pPr>
            <w:r>
              <w:rPr>
                <w:b/>
                <w:bCs/>
                <w:i/>
                <w:iCs/>
                <w:sz w:val="18"/>
                <w:szCs w:val="20"/>
                <w:lang w:val="en-US"/>
              </w:rPr>
              <w:t>Total</w:t>
            </w:r>
          </w:p>
        </w:tc>
        <w:tc>
          <w:tcPr>
            <w:tcW w:w="1407" w:type="dxa"/>
            <w:gridSpan w:val="2"/>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rPr>
            </w:pPr>
            <w:r>
              <w:rPr>
                <w:b/>
                <w:bCs/>
                <w:i/>
                <w:iCs/>
                <w:sz w:val="18"/>
                <w:szCs w:val="20"/>
              </w:rPr>
              <w:t>Residence area</w:t>
            </w:r>
          </w:p>
        </w:tc>
        <w:tc>
          <w:tcPr>
            <w:tcW w:w="659" w:type="dxa"/>
            <w:vMerge w:val="restart"/>
            <w:tcBorders>
              <w:top w:val="single" w:sz="4" w:space="0" w:color="auto"/>
            </w:tcBorders>
            <w:vAlign w:val="center"/>
          </w:tcPr>
          <w:p w:rsidR="00000000" w:rsidRDefault="00000000">
            <w:pPr>
              <w:widowControl w:val="0"/>
              <w:spacing w:before="60" w:after="60"/>
              <w:jc w:val="center"/>
              <w:rPr>
                <w:b/>
                <w:bCs/>
                <w:i/>
                <w:iCs/>
                <w:sz w:val="18"/>
                <w:szCs w:val="20"/>
              </w:rPr>
            </w:pPr>
            <w:r>
              <w:rPr>
                <w:b/>
                <w:bCs/>
                <w:i/>
                <w:iCs/>
                <w:sz w:val="18"/>
                <w:szCs w:val="20"/>
              </w:rPr>
              <w:t>Total</w:t>
            </w:r>
          </w:p>
        </w:tc>
        <w:tc>
          <w:tcPr>
            <w:tcW w:w="1299" w:type="dxa"/>
            <w:gridSpan w:val="2"/>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rPr>
            </w:pPr>
            <w:r>
              <w:rPr>
                <w:b/>
                <w:bCs/>
                <w:i/>
                <w:iCs/>
                <w:sz w:val="18"/>
                <w:szCs w:val="20"/>
              </w:rPr>
              <w:t>Residence area</w:t>
            </w:r>
          </w:p>
        </w:tc>
        <w:tc>
          <w:tcPr>
            <w:tcW w:w="661" w:type="dxa"/>
            <w:vMerge w:val="restart"/>
            <w:tcBorders>
              <w:top w:val="single" w:sz="4" w:space="0" w:color="auto"/>
            </w:tcBorders>
            <w:vAlign w:val="center"/>
          </w:tcPr>
          <w:p w:rsidR="00000000" w:rsidRDefault="00000000">
            <w:pPr>
              <w:widowControl w:val="0"/>
              <w:spacing w:before="60" w:after="60"/>
              <w:jc w:val="center"/>
              <w:rPr>
                <w:b/>
                <w:bCs/>
                <w:i/>
                <w:iCs/>
                <w:sz w:val="18"/>
                <w:szCs w:val="20"/>
              </w:rPr>
            </w:pPr>
            <w:r>
              <w:rPr>
                <w:b/>
                <w:bCs/>
                <w:i/>
                <w:iCs/>
                <w:sz w:val="18"/>
                <w:szCs w:val="20"/>
              </w:rPr>
              <w:t>Total</w:t>
            </w:r>
          </w:p>
        </w:tc>
        <w:tc>
          <w:tcPr>
            <w:tcW w:w="1589" w:type="dxa"/>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en-US"/>
              </w:rPr>
            </w:pPr>
            <w:r>
              <w:rPr>
                <w:b/>
                <w:bCs/>
                <w:i/>
                <w:iCs/>
                <w:sz w:val="18"/>
                <w:szCs w:val="20"/>
                <w:lang w:val="en-US"/>
              </w:rPr>
              <w:t>Residence area</w:t>
            </w:r>
          </w:p>
        </w:tc>
      </w:tr>
      <w:tr w:rsidR="00000000">
        <w:trPr>
          <w:cantSplit/>
          <w:jc w:val="center"/>
        </w:trPr>
        <w:tc>
          <w:tcPr>
            <w:tcW w:w="1203" w:type="dxa"/>
            <w:vMerge/>
            <w:tcBorders>
              <w:bottom w:val="single" w:sz="4" w:space="0" w:color="auto"/>
            </w:tcBorders>
            <w:vAlign w:val="center"/>
          </w:tcPr>
          <w:p w:rsidR="00000000" w:rsidRDefault="00000000">
            <w:pPr>
              <w:widowControl w:val="0"/>
              <w:spacing w:before="60" w:after="60"/>
              <w:jc w:val="center"/>
              <w:rPr>
                <w:b/>
                <w:bCs/>
                <w:i/>
                <w:iCs/>
                <w:sz w:val="18"/>
                <w:szCs w:val="20"/>
                <w:lang w:val="en-US"/>
              </w:rPr>
            </w:pPr>
          </w:p>
        </w:tc>
        <w:tc>
          <w:tcPr>
            <w:tcW w:w="649" w:type="dxa"/>
            <w:vMerge/>
            <w:tcBorders>
              <w:bottom w:val="single" w:sz="4" w:space="0" w:color="auto"/>
            </w:tcBorders>
            <w:vAlign w:val="center"/>
          </w:tcPr>
          <w:p w:rsidR="00000000" w:rsidRDefault="00000000">
            <w:pPr>
              <w:widowControl w:val="0"/>
              <w:spacing w:before="60" w:after="60"/>
              <w:jc w:val="center"/>
              <w:rPr>
                <w:b/>
                <w:bCs/>
                <w:i/>
                <w:iCs/>
                <w:sz w:val="18"/>
                <w:szCs w:val="20"/>
                <w:lang w:val="en-US"/>
              </w:rPr>
            </w:pPr>
          </w:p>
        </w:tc>
        <w:tc>
          <w:tcPr>
            <w:tcW w:w="652"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en-US"/>
              </w:rPr>
            </w:pPr>
            <w:r>
              <w:rPr>
                <w:b/>
                <w:bCs/>
                <w:i/>
                <w:iCs/>
                <w:sz w:val="18"/>
                <w:szCs w:val="20"/>
                <w:lang w:val="en-US"/>
              </w:rPr>
              <w:t>Urban</w:t>
            </w:r>
          </w:p>
        </w:tc>
        <w:tc>
          <w:tcPr>
            <w:tcW w:w="654"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en-US"/>
              </w:rPr>
            </w:pPr>
            <w:r>
              <w:rPr>
                <w:b/>
                <w:bCs/>
                <w:i/>
                <w:iCs/>
                <w:sz w:val="18"/>
                <w:szCs w:val="20"/>
                <w:lang w:val="en-US"/>
              </w:rPr>
              <w:t>Rural</w:t>
            </w:r>
          </w:p>
        </w:tc>
        <w:tc>
          <w:tcPr>
            <w:tcW w:w="656" w:type="dxa"/>
            <w:vMerge/>
            <w:tcBorders>
              <w:bottom w:val="single" w:sz="4" w:space="0" w:color="auto"/>
            </w:tcBorders>
            <w:vAlign w:val="center"/>
          </w:tcPr>
          <w:p w:rsidR="00000000" w:rsidRDefault="00000000">
            <w:pPr>
              <w:widowControl w:val="0"/>
              <w:spacing w:before="60" w:after="60"/>
              <w:jc w:val="center"/>
              <w:rPr>
                <w:b/>
                <w:bCs/>
                <w:i/>
                <w:iCs/>
                <w:sz w:val="18"/>
                <w:szCs w:val="20"/>
                <w:lang w:val="en-US"/>
              </w:rPr>
            </w:pPr>
          </w:p>
        </w:tc>
        <w:tc>
          <w:tcPr>
            <w:tcW w:w="648"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rPr>
            </w:pPr>
            <w:r>
              <w:rPr>
                <w:b/>
                <w:bCs/>
                <w:i/>
                <w:iCs/>
                <w:sz w:val="18"/>
                <w:szCs w:val="20"/>
              </w:rPr>
              <w:t>Urban</w:t>
            </w:r>
          </w:p>
        </w:tc>
        <w:tc>
          <w:tcPr>
            <w:tcW w:w="759"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rPr>
            </w:pPr>
            <w:r>
              <w:rPr>
                <w:b/>
                <w:bCs/>
                <w:i/>
                <w:iCs/>
                <w:sz w:val="18"/>
                <w:szCs w:val="20"/>
              </w:rPr>
              <w:t>Rural</w:t>
            </w:r>
          </w:p>
        </w:tc>
        <w:tc>
          <w:tcPr>
            <w:tcW w:w="659" w:type="dxa"/>
            <w:vMerge/>
            <w:tcBorders>
              <w:bottom w:val="single" w:sz="4" w:space="0" w:color="auto"/>
            </w:tcBorders>
            <w:vAlign w:val="center"/>
          </w:tcPr>
          <w:p w:rsidR="00000000" w:rsidRDefault="00000000">
            <w:pPr>
              <w:widowControl w:val="0"/>
              <w:spacing w:before="60" w:after="60"/>
              <w:jc w:val="center"/>
              <w:rPr>
                <w:b/>
                <w:bCs/>
                <w:i/>
                <w:iCs/>
                <w:sz w:val="18"/>
                <w:szCs w:val="20"/>
              </w:rPr>
            </w:pPr>
          </w:p>
        </w:tc>
        <w:tc>
          <w:tcPr>
            <w:tcW w:w="654"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rPr>
            </w:pPr>
            <w:r>
              <w:rPr>
                <w:b/>
                <w:bCs/>
                <w:i/>
                <w:iCs/>
                <w:sz w:val="18"/>
                <w:szCs w:val="20"/>
              </w:rPr>
              <w:t>Urban</w:t>
            </w:r>
          </w:p>
        </w:tc>
        <w:tc>
          <w:tcPr>
            <w:tcW w:w="645"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rPr>
            </w:pPr>
            <w:r>
              <w:rPr>
                <w:b/>
                <w:bCs/>
                <w:i/>
                <w:iCs/>
                <w:sz w:val="18"/>
                <w:szCs w:val="20"/>
              </w:rPr>
              <w:t>Rural</w:t>
            </w:r>
          </w:p>
        </w:tc>
        <w:tc>
          <w:tcPr>
            <w:tcW w:w="661" w:type="dxa"/>
            <w:vMerge/>
            <w:tcBorders>
              <w:bottom w:val="single" w:sz="4" w:space="0" w:color="auto"/>
            </w:tcBorders>
            <w:vAlign w:val="center"/>
          </w:tcPr>
          <w:p w:rsidR="00000000" w:rsidRDefault="00000000">
            <w:pPr>
              <w:widowControl w:val="0"/>
              <w:spacing w:before="60" w:after="60"/>
              <w:jc w:val="center"/>
              <w:rPr>
                <w:b/>
                <w:bCs/>
                <w:i/>
                <w:iCs/>
                <w:sz w:val="18"/>
                <w:szCs w:val="20"/>
              </w:rPr>
            </w:pPr>
          </w:p>
        </w:tc>
        <w:tc>
          <w:tcPr>
            <w:tcW w:w="834" w:type="dxa"/>
            <w:gridSpan w:val="2"/>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rPr>
            </w:pPr>
            <w:r>
              <w:rPr>
                <w:b/>
                <w:bCs/>
                <w:i/>
                <w:iCs/>
                <w:sz w:val="18"/>
                <w:szCs w:val="20"/>
              </w:rPr>
              <w:t>Urban</w:t>
            </w:r>
          </w:p>
        </w:tc>
        <w:tc>
          <w:tcPr>
            <w:tcW w:w="755"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rPr>
            </w:pPr>
            <w:r>
              <w:rPr>
                <w:b/>
                <w:bCs/>
                <w:i/>
                <w:iCs/>
                <w:sz w:val="18"/>
                <w:szCs w:val="20"/>
              </w:rPr>
              <w:t>Rural</w:t>
            </w:r>
          </w:p>
        </w:tc>
      </w:tr>
      <w:tr w:rsidR="00000000">
        <w:trPr>
          <w:jc w:val="center"/>
        </w:trPr>
        <w:tc>
          <w:tcPr>
            <w:tcW w:w="1203" w:type="dxa"/>
            <w:tcBorders>
              <w:top w:val="single" w:sz="4" w:space="0" w:color="auto"/>
            </w:tcBorders>
            <w:noWrap/>
            <w:vAlign w:val="bottom"/>
          </w:tcPr>
          <w:p w:rsidR="00000000" w:rsidRDefault="00000000">
            <w:pPr>
              <w:widowControl w:val="0"/>
              <w:spacing w:before="60" w:after="60"/>
              <w:rPr>
                <w:sz w:val="20"/>
                <w:szCs w:val="20"/>
                <w:lang w:val="en-US"/>
              </w:rPr>
            </w:pPr>
            <w:r>
              <w:rPr>
                <w:sz w:val="20"/>
                <w:szCs w:val="20"/>
                <w:lang w:val="en-US"/>
              </w:rPr>
              <w:t>Corposana or Senasa</w:t>
            </w:r>
          </w:p>
        </w:tc>
        <w:tc>
          <w:tcPr>
            <w:tcW w:w="649" w:type="dxa"/>
            <w:tcBorders>
              <w:top w:val="single" w:sz="4" w:space="0" w:color="auto"/>
            </w:tcBorders>
            <w:noWrap/>
            <w:vAlign w:val="bottom"/>
          </w:tcPr>
          <w:p w:rsidR="00000000" w:rsidRDefault="00000000">
            <w:pPr>
              <w:widowControl w:val="0"/>
              <w:spacing w:before="60" w:after="60"/>
              <w:ind w:right="113"/>
              <w:jc w:val="right"/>
              <w:rPr>
                <w:sz w:val="20"/>
                <w:szCs w:val="20"/>
                <w:lang w:val="en-US"/>
              </w:rPr>
            </w:pPr>
            <w:r>
              <w:rPr>
                <w:sz w:val="20"/>
                <w:szCs w:val="20"/>
                <w:lang w:val="en-US"/>
              </w:rPr>
              <w:t>34.6</w:t>
            </w:r>
          </w:p>
        </w:tc>
        <w:tc>
          <w:tcPr>
            <w:tcW w:w="652" w:type="dxa"/>
            <w:tcBorders>
              <w:top w:val="single" w:sz="4" w:space="0" w:color="auto"/>
            </w:tcBorders>
            <w:noWrap/>
            <w:vAlign w:val="bottom"/>
          </w:tcPr>
          <w:p w:rsidR="00000000" w:rsidRDefault="00000000">
            <w:pPr>
              <w:widowControl w:val="0"/>
              <w:spacing w:before="60" w:after="60"/>
              <w:ind w:right="113"/>
              <w:jc w:val="right"/>
              <w:rPr>
                <w:sz w:val="20"/>
                <w:szCs w:val="20"/>
                <w:lang w:val="en-US"/>
              </w:rPr>
            </w:pPr>
            <w:r>
              <w:rPr>
                <w:sz w:val="20"/>
                <w:szCs w:val="20"/>
                <w:lang w:val="en-US"/>
              </w:rPr>
              <w:t>59.8</w:t>
            </w:r>
          </w:p>
        </w:tc>
        <w:tc>
          <w:tcPr>
            <w:tcW w:w="654" w:type="dxa"/>
            <w:tcBorders>
              <w:top w:val="single" w:sz="4" w:space="0" w:color="auto"/>
            </w:tcBorders>
            <w:noWrap/>
            <w:vAlign w:val="bottom"/>
          </w:tcPr>
          <w:p w:rsidR="00000000" w:rsidRDefault="00000000">
            <w:pPr>
              <w:widowControl w:val="0"/>
              <w:spacing w:before="60" w:after="60"/>
              <w:ind w:right="113"/>
              <w:jc w:val="right"/>
              <w:rPr>
                <w:sz w:val="20"/>
                <w:szCs w:val="20"/>
                <w:lang w:val="en-US"/>
              </w:rPr>
            </w:pPr>
            <w:r>
              <w:rPr>
                <w:sz w:val="20"/>
                <w:szCs w:val="20"/>
                <w:lang w:val="en-US"/>
              </w:rPr>
              <w:t>4.8</w:t>
            </w:r>
          </w:p>
        </w:tc>
        <w:tc>
          <w:tcPr>
            <w:tcW w:w="656" w:type="dxa"/>
            <w:tcBorders>
              <w:top w:val="single" w:sz="4" w:space="0" w:color="auto"/>
            </w:tcBorders>
            <w:noWrap/>
            <w:vAlign w:val="bottom"/>
          </w:tcPr>
          <w:p w:rsidR="00000000" w:rsidRDefault="00000000">
            <w:pPr>
              <w:widowControl w:val="0"/>
              <w:spacing w:before="60" w:after="60"/>
              <w:ind w:right="113"/>
              <w:jc w:val="right"/>
              <w:rPr>
                <w:sz w:val="20"/>
                <w:szCs w:val="20"/>
                <w:lang w:val="en-US"/>
              </w:rPr>
            </w:pPr>
            <w:r>
              <w:rPr>
                <w:sz w:val="20"/>
                <w:szCs w:val="20"/>
                <w:lang w:val="en-US"/>
              </w:rPr>
              <w:t>37.1</w:t>
            </w:r>
          </w:p>
        </w:tc>
        <w:tc>
          <w:tcPr>
            <w:tcW w:w="648" w:type="dxa"/>
            <w:tcBorders>
              <w:top w:val="single" w:sz="4" w:space="0" w:color="auto"/>
            </w:tcBorders>
            <w:noWrap/>
            <w:vAlign w:val="bottom"/>
          </w:tcPr>
          <w:p w:rsidR="00000000" w:rsidRDefault="00000000">
            <w:pPr>
              <w:widowControl w:val="0"/>
              <w:spacing w:before="60" w:after="60"/>
              <w:ind w:right="113"/>
              <w:jc w:val="right"/>
              <w:rPr>
                <w:sz w:val="20"/>
                <w:szCs w:val="20"/>
                <w:lang w:val="en-US"/>
              </w:rPr>
            </w:pPr>
            <w:r>
              <w:rPr>
                <w:sz w:val="20"/>
                <w:szCs w:val="20"/>
                <w:lang w:val="en-US"/>
              </w:rPr>
              <w:t>57.8</w:t>
            </w:r>
          </w:p>
        </w:tc>
        <w:tc>
          <w:tcPr>
            <w:tcW w:w="759" w:type="dxa"/>
            <w:tcBorders>
              <w:top w:val="single" w:sz="4" w:space="0" w:color="auto"/>
            </w:tcBorders>
            <w:noWrap/>
            <w:vAlign w:val="bottom"/>
          </w:tcPr>
          <w:p w:rsidR="00000000" w:rsidRDefault="00000000">
            <w:pPr>
              <w:widowControl w:val="0"/>
              <w:spacing w:before="60" w:after="60"/>
              <w:ind w:right="113"/>
              <w:jc w:val="right"/>
              <w:rPr>
                <w:sz w:val="20"/>
                <w:szCs w:val="20"/>
                <w:lang w:val="en-US"/>
              </w:rPr>
            </w:pPr>
            <w:r>
              <w:rPr>
                <w:sz w:val="20"/>
                <w:szCs w:val="20"/>
                <w:lang w:val="en-US"/>
              </w:rPr>
              <w:t>9.8</w:t>
            </w:r>
          </w:p>
        </w:tc>
        <w:tc>
          <w:tcPr>
            <w:tcW w:w="659" w:type="dxa"/>
            <w:tcBorders>
              <w:top w:val="single" w:sz="4" w:space="0" w:color="auto"/>
            </w:tcBorders>
            <w:noWrap/>
            <w:vAlign w:val="bottom"/>
          </w:tcPr>
          <w:p w:rsidR="00000000" w:rsidRDefault="00000000">
            <w:pPr>
              <w:widowControl w:val="0"/>
              <w:spacing w:before="60" w:after="60"/>
              <w:ind w:right="113"/>
              <w:jc w:val="right"/>
              <w:rPr>
                <w:sz w:val="20"/>
                <w:szCs w:val="20"/>
                <w:lang w:val="en-US"/>
              </w:rPr>
            </w:pPr>
            <w:r>
              <w:rPr>
                <w:sz w:val="20"/>
                <w:szCs w:val="20"/>
                <w:lang w:val="en-US"/>
              </w:rPr>
              <w:t>46.0</w:t>
            </w:r>
          </w:p>
        </w:tc>
        <w:tc>
          <w:tcPr>
            <w:tcW w:w="654" w:type="dxa"/>
            <w:tcBorders>
              <w:top w:val="single" w:sz="4" w:space="0" w:color="auto"/>
            </w:tcBorders>
            <w:noWrap/>
            <w:vAlign w:val="bottom"/>
          </w:tcPr>
          <w:p w:rsidR="00000000" w:rsidRDefault="00000000">
            <w:pPr>
              <w:widowControl w:val="0"/>
              <w:spacing w:before="60" w:after="60"/>
              <w:ind w:right="113"/>
              <w:jc w:val="right"/>
              <w:rPr>
                <w:sz w:val="20"/>
                <w:szCs w:val="20"/>
                <w:lang w:val="en-US"/>
              </w:rPr>
            </w:pPr>
            <w:r>
              <w:rPr>
                <w:sz w:val="20"/>
                <w:szCs w:val="20"/>
                <w:lang w:val="en-US"/>
              </w:rPr>
              <w:t>60.4</w:t>
            </w:r>
          </w:p>
        </w:tc>
        <w:tc>
          <w:tcPr>
            <w:tcW w:w="645" w:type="dxa"/>
            <w:tcBorders>
              <w:top w:val="single" w:sz="4" w:space="0" w:color="auto"/>
            </w:tcBorders>
            <w:noWrap/>
            <w:vAlign w:val="bottom"/>
          </w:tcPr>
          <w:p w:rsidR="00000000" w:rsidRDefault="00000000">
            <w:pPr>
              <w:widowControl w:val="0"/>
              <w:spacing w:before="60" w:after="60"/>
              <w:ind w:right="113"/>
              <w:jc w:val="right"/>
              <w:rPr>
                <w:sz w:val="20"/>
                <w:szCs w:val="20"/>
                <w:lang w:val="en-US"/>
              </w:rPr>
            </w:pPr>
            <w:r>
              <w:rPr>
                <w:sz w:val="20"/>
                <w:szCs w:val="20"/>
                <w:lang w:val="en-US"/>
              </w:rPr>
              <w:t>24,9</w:t>
            </w:r>
          </w:p>
        </w:tc>
        <w:tc>
          <w:tcPr>
            <w:tcW w:w="661" w:type="dxa"/>
            <w:tcBorders>
              <w:top w:val="single" w:sz="4" w:space="0" w:color="auto"/>
            </w:tcBorders>
            <w:noWrap/>
            <w:vAlign w:val="bottom"/>
          </w:tcPr>
          <w:p w:rsidR="00000000" w:rsidRDefault="00000000">
            <w:pPr>
              <w:widowControl w:val="0"/>
              <w:spacing w:before="60" w:after="60"/>
              <w:ind w:right="113"/>
              <w:jc w:val="right"/>
              <w:rPr>
                <w:sz w:val="20"/>
                <w:szCs w:val="20"/>
                <w:lang w:val="en-US"/>
              </w:rPr>
            </w:pPr>
            <w:r>
              <w:rPr>
                <w:sz w:val="20"/>
                <w:szCs w:val="20"/>
                <w:lang w:val="en-US"/>
              </w:rPr>
              <w:t xml:space="preserve">46,3 </w:t>
            </w:r>
          </w:p>
        </w:tc>
        <w:tc>
          <w:tcPr>
            <w:tcW w:w="834" w:type="dxa"/>
            <w:gridSpan w:val="2"/>
            <w:tcBorders>
              <w:top w:val="single" w:sz="4" w:space="0" w:color="auto"/>
            </w:tcBorders>
            <w:noWrap/>
            <w:vAlign w:val="bottom"/>
          </w:tcPr>
          <w:p w:rsidR="00000000" w:rsidRDefault="00000000">
            <w:pPr>
              <w:widowControl w:val="0"/>
              <w:spacing w:before="60" w:after="60"/>
              <w:ind w:right="113"/>
              <w:jc w:val="right"/>
              <w:rPr>
                <w:sz w:val="20"/>
                <w:szCs w:val="20"/>
                <w:lang w:val="en-US"/>
              </w:rPr>
            </w:pPr>
            <w:r>
              <w:rPr>
                <w:sz w:val="20"/>
                <w:szCs w:val="20"/>
                <w:lang w:val="en-US"/>
              </w:rPr>
              <w:t>60,0</w:t>
            </w:r>
          </w:p>
        </w:tc>
        <w:tc>
          <w:tcPr>
            <w:tcW w:w="755" w:type="dxa"/>
            <w:tcBorders>
              <w:top w:val="single" w:sz="4" w:space="0" w:color="auto"/>
            </w:tcBorders>
            <w:noWrap/>
            <w:vAlign w:val="bottom"/>
          </w:tcPr>
          <w:p w:rsidR="00000000" w:rsidRDefault="00000000">
            <w:pPr>
              <w:widowControl w:val="0"/>
              <w:spacing w:before="60" w:after="60"/>
              <w:ind w:right="113"/>
              <w:jc w:val="right"/>
              <w:rPr>
                <w:sz w:val="20"/>
                <w:szCs w:val="20"/>
                <w:lang w:val="en-US"/>
              </w:rPr>
            </w:pPr>
            <w:r>
              <w:rPr>
                <w:sz w:val="20"/>
                <w:szCs w:val="20"/>
                <w:lang w:val="en-US"/>
              </w:rPr>
              <w:t xml:space="preserve">25,3 </w:t>
            </w:r>
          </w:p>
        </w:tc>
      </w:tr>
      <w:tr w:rsidR="00000000">
        <w:trPr>
          <w:jc w:val="center"/>
        </w:trPr>
        <w:tc>
          <w:tcPr>
            <w:tcW w:w="1203" w:type="dxa"/>
            <w:noWrap/>
            <w:vAlign w:val="bottom"/>
          </w:tcPr>
          <w:p w:rsidR="00000000" w:rsidRDefault="00000000">
            <w:pPr>
              <w:widowControl w:val="0"/>
              <w:spacing w:before="60" w:after="60"/>
              <w:rPr>
                <w:sz w:val="20"/>
                <w:szCs w:val="20"/>
                <w:lang w:val="en-US"/>
              </w:rPr>
            </w:pPr>
            <w:r>
              <w:rPr>
                <w:sz w:val="20"/>
                <w:szCs w:val="20"/>
              </w:rPr>
              <w:t>Private network</w:t>
            </w:r>
          </w:p>
        </w:tc>
        <w:tc>
          <w:tcPr>
            <w:tcW w:w="649" w:type="dxa"/>
            <w:noWrap/>
            <w:vAlign w:val="bottom"/>
          </w:tcPr>
          <w:p w:rsidR="00000000" w:rsidRDefault="00000000">
            <w:pPr>
              <w:widowControl w:val="0"/>
              <w:spacing w:before="60" w:after="60"/>
              <w:ind w:right="113"/>
              <w:jc w:val="right"/>
              <w:rPr>
                <w:sz w:val="20"/>
                <w:szCs w:val="20"/>
                <w:lang w:val="en-US"/>
              </w:rPr>
            </w:pPr>
            <w:r>
              <w:rPr>
                <w:sz w:val="20"/>
                <w:szCs w:val="20"/>
                <w:lang w:val="en-US"/>
              </w:rPr>
              <w:t>7.0</w:t>
            </w:r>
          </w:p>
        </w:tc>
        <w:tc>
          <w:tcPr>
            <w:tcW w:w="652" w:type="dxa"/>
            <w:noWrap/>
            <w:vAlign w:val="bottom"/>
          </w:tcPr>
          <w:p w:rsidR="00000000" w:rsidRDefault="00000000">
            <w:pPr>
              <w:widowControl w:val="0"/>
              <w:spacing w:before="60" w:after="60"/>
              <w:ind w:right="113"/>
              <w:jc w:val="right"/>
              <w:rPr>
                <w:sz w:val="20"/>
                <w:szCs w:val="20"/>
                <w:lang w:val="en-US"/>
              </w:rPr>
            </w:pPr>
            <w:r>
              <w:rPr>
                <w:sz w:val="20"/>
                <w:szCs w:val="20"/>
                <w:lang w:val="en-US"/>
              </w:rPr>
              <w:t>9.0</w:t>
            </w:r>
          </w:p>
        </w:tc>
        <w:tc>
          <w:tcPr>
            <w:tcW w:w="654" w:type="dxa"/>
            <w:noWrap/>
            <w:vAlign w:val="bottom"/>
          </w:tcPr>
          <w:p w:rsidR="00000000" w:rsidRDefault="00000000">
            <w:pPr>
              <w:widowControl w:val="0"/>
              <w:spacing w:before="60" w:after="60"/>
              <w:ind w:right="113"/>
              <w:jc w:val="right"/>
              <w:rPr>
                <w:sz w:val="20"/>
                <w:szCs w:val="20"/>
                <w:lang w:val="en-US"/>
              </w:rPr>
            </w:pPr>
            <w:r>
              <w:rPr>
                <w:sz w:val="20"/>
                <w:szCs w:val="20"/>
                <w:lang w:val="en-US"/>
              </w:rPr>
              <w:t>4.6</w:t>
            </w:r>
          </w:p>
        </w:tc>
        <w:tc>
          <w:tcPr>
            <w:tcW w:w="656" w:type="dxa"/>
            <w:noWrap/>
            <w:vAlign w:val="bottom"/>
          </w:tcPr>
          <w:p w:rsidR="00000000" w:rsidRDefault="00000000">
            <w:pPr>
              <w:widowControl w:val="0"/>
              <w:spacing w:before="60" w:after="60"/>
              <w:ind w:right="113"/>
              <w:jc w:val="right"/>
              <w:rPr>
                <w:sz w:val="20"/>
                <w:szCs w:val="20"/>
                <w:lang w:val="en-US"/>
              </w:rPr>
            </w:pPr>
            <w:r>
              <w:rPr>
                <w:sz w:val="20"/>
                <w:szCs w:val="20"/>
                <w:lang w:val="en-US"/>
              </w:rPr>
              <w:t>10.3</w:t>
            </w:r>
          </w:p>
        </w:tc>
        <w:tc>
          <w:tcPr>
            <w:tcW w:w="648" w:type="dxa"/>
            <w:noWrap/>
            <w:vAlign w:val="bottom"/>
          </w:tcPr>
          <w:p w:rsidR="00000000" w:rsidRDefault="00000000">
            <w:pPr>
              <w:widowControl w:val="0"/>
              <w:spacing w:before="60" w:after="60"/>
              <w:ind w:right="113"/>
              <w:jc w:val="right"/>
              <w:rPr>
                <w:sz w:val="20"/>
                <w:szCs w:val="20"/>
                <w:lang w:val="en-US"/>
              </w:rPr>
            </w:pPr>
            <w:r>
              <w:rPr>
                <w:sz w:val="20"/>
                <w:szCs w:val="20"/>
                <w:lang w:val="en-US"/>
              </w:rPr>
              <w:t>13.8</w:t>
            </w:r>
          </w:p>
        </w:tc>
        <w:tc>
          <w:tcPr>
            <w:tcW w:w="759" w:type="dxa"/>
            <w:noWrap/>
            <w:vAlign w:val="bottom"/>
          </w:tcPr>
          <w:p w:rsidR="00000000" w:rsidRDefault="00000000">
            <w:pPr>
              <w:widowControl w:val="0"/>
              <w:spacing w:before="60" w:after="60"/>
              <w:ind w:right="113"/>
              <w:jc w:val="right"/>
              <w:rPr>
                <w:sz w:val="20"/>
                <w:szCs w:val="20"/>
                <w:lang w:val="en-US"/>
              </w:rPr>
            </w:pPr>
            <w:r>
              <w:rPr>
                <w:sz w:val="20"/>
                <w:szCs w:val="20"/>
                <w:lang w:val="en-US"/>
              </w:rPr>
              <w:t>5.6</w:t>
            </w:r>
          </w:p>
        </w:tc>
        <w:tc>
          <w:tcPr>
            <w:tcW w:w="659" w:type="dxa"/>
            <w:noWrap/>
            <w:vAlign w:val="bottom"/>
          </w:tcPr>
          <w:p w:rsidR="00000000" w:rsidRDefault="00000000">
            <w:pPr>
              <w:widowControl w:val="0"/>
              <w:spacing w:before="60" w:after="60"/>
              <w:ind w:right="113"/>
              <w:jc w:val="right"/>
              <w:rPr>
                <w:sz w:val="20"/>
                <w:szCs w:val="20"/>
                <w:lang w:val="en-US"/>
              </w:rPr>
            </w:pPr>
            <w:r>
              <w:rPr>
                <w:sz w:val="20"/>
                <w:szCs w:val="20"/>
                <w:lang w:val="en-US"/>
              </w:rPr>
              <w:t>13.8</w:t>
            </w:r>
          </w:p>
        </w:tc>
        <w:tc>
          <w:tcPr>
            <w:tcW w:w="654" w:type="dxa"/>
            <w:noWrap/>
            <w:vAlign w:val="bottom"/>
          </w:tcPr>
          <w:p w:rsidR="00000000" w:rsidRDefault="00000000">
            <w:pPr>
              <w:widowControl w:val="0"/>
              <w:spacing w:before="60" w:after="60"/>
              <w:ind w:right="113"/>
              <w:jc w:val="right"/>
              <w:rPr>
                <w:sz w:val="20"/>
                <w:szCs w:val="20"/>
                <w:lang w:val="en-US"/>
              </w:rPr>
            </w:pPr>
            <w:r>
              <w:rPr>
                <w:sz w:val="20"/>
                <w:szCs w:val="20"/>
                <w:lang w:val="en-US"/>
              </w:rPr>
              <w:t>17.9</w:t>
            </w:r>
          </w:p>
        </w:tc>
        <w:tc>
          <w:tcPr>
            <w:tcW w:w="645" w:type="dxa"/>
            <w:noWrap/>
            <w:vAlign w:val="bottom"/>
          </w:tcPr>
          <w:p w:rsidR="00000000" w:rsidRDefault="00000000">
            <w:pPr>
              <w:widowControl w:val="0"/>
              <w:spacing w:before="60" w:after="60"/>
              <w:ind w:right="113"/>
              <w:jc w:val="right"/>
              <w:rPr>
                <w:sz w:val="20"/>
                <w:szCs w:val="20"/>
                <w:lang w:val="en-US"/>
              </w:rPr>
            </w:pPr>
            <w:r>
              <w:rPr>
                <w:sz w:val="20"/>
                <w:szCs w:val="20"/>
                <w:lang w:val="en-US"/>
              </w:rPr>
              <w:t>7,8</w:t>
            </w:r>
          </w:p>
        </w:tc>
        <w:tc>
          <w:tcPr>
            <w:tcW w:w="661" w:type="dxa"/>
            <w:noWrap/>
            <w:vAlign w:val="bottom"/>
          </w:tcPr>
          <w:p w:rsidR="00000000" w:rsidRDefault="00000000">
            <w:pPr>
              <w:widowControl w:val="0"/>
              <w:spacing w:before="60" w:after="60"/>
              <w:ind w:right="113"/>
              <w:jc w:val="right"/>
              <w:rPr>
                <w:sz w:val="20"/>
                <w:szCs w:val="20"/>
                <w:lang w:val="en-US"/>
              </w:rPr>
            </w:pPr>
            <w:r>
              <w:rPr>
                <w:sz w:val="20"/>
                <w:szCs w:val="20"/>
                <w:lang w:val="en-US"/>
              </w:rPr>
              <w:t xml:space="preserve">16,9 </w:t>
            </w:r>
          </w:p>
        </w:tc>
        <w:tc>
          <w:tcPr>
            <w:tcW w:w="834" w:type="dxa"/>
            <w:gridSpan w:val="2"/>
            <w:noWrap/>
            <w:vAlign w:val="bottom"/>
          </w:tcPr>
          <w:p w:rsidR="00000000" w:rsidRDefault="00000000">
            <w:pPr>
              <w:widowControl w:val="0"/>
              <w:spacing w:before="60" w:after="60"/>
              <w:ind w:right="113"/>
              <w:jc w:val="right"/>
              <w:rPr>
                <w:sz w:val="20"/>
                <w:szCs w:val="20"/>
                <w:lang w:val="en-US"/>
              </w:rPr>
            </w:pPr>
            <w:r>
              <w:rPr>
                <w:sz w:val="20"/>
                <w:szCs w:val="20"/>
                <w:lang w:val="en-US"/>
              </w:rPr>
              <w:t>21,3</w:t>
            </w:r>
          </w:p>
        </w:tc>
        <w:tc>
          <w:tcPr>
            <w:tcW w:w="755" w:type="dxa"/>
            <w:noWrap/>
            <w:vAlign w:val="bottom"/>
          </w:tcPr>
          <w:p w:rsidR="00000000" w:rsidRDefault="00000000">
            <w:pPr>
              <w:widowControl w:val="0"/>
              <w:spacing w:before="60" w:after="60"/>
              <w:ind w:right="113"/>
              <w:jc w:val="right"/>
              <w:rPr>
                <w:sz w:val="20"/>
                <w:szCs w:val="20"/>
                <w:lang w:val="en-US"/>
              </w:rPr>
            </w:pPr>
            <w:r>
              <w:rPr>
                <w:sz w:val="20"/>
                <w:szCs w:val="20"/>
                <w:lang w:val="en-US"/>
              </w:rPr>
              <w:t xml:space="preserve">10,2 </w:t>
            </w:r>
          </w:p>
        </w:tc>
      </w:tr>
      <w:tr w:rsidR="00000000">
        <w:trPr>
          <w:jc w:val="center"/>
        </w:trPr>
        <w:tc>
          <w:tcPr>
            <w:tcW w:w="1203" w:type="dxa"/>
            <w:noWrap/>
            <w:vAlign w:val="bottom"/>
          </w:tcPr>
          <w:p w:rsidR="00000000" w:rsidRDefault="00000000">
            <w:pPr>
              <w:widowControl w:val="0"/>
              <w:spacing w:before="60" w:after="60"/>
              <w:rPr>
                <w:sz w:val="20"/>
                <w:szCs w:val="20"/>
                <w:lang w:val="en-US"/>
              </w:rPr>
            </w:pPr>
            <w:r>
              <w:rPr>
                <w:sz w:val="20"/>
                <w:szCs w:val="20"/>
              </w:rPr>
              <w:t>Stream - pond – river</w:t>
            </w:r>
          </w:p>
        </w:tc>
        <w:tc>
          <w:tcPr>
            <w:tcW w:w="649" w:type="dxa"/>
            <w:noWrap/>
            <w:vAlign w:val="bottom"/>
          </w:tcPr>
          <w:p w:rsidR="00000000" w:rsidRDefault="00000000">
            <w:pPr>
              <w:widowControl w:val="0"/>
              <w:spacing w:before="60" w:after="60"/>
              <w:ind w:right="113"/>
              <w:jc w:val="right"/>
              <w:rPr>
                <w:sz w:val="20"/>
                <w:szCs w:val="20"/>
              </w:rPr>
            </w:pPr>
            <w:r>
              <w:rPr>
                <w:sz w:val="20"/>
                <w:szCs w:val="20"/>
              </w:rPr>
              <w:t>1.1</w:t>
            </w:r>
          </w:p>
        </w:tc>
        <w:tc>
          <w:tcPr>
            <w:tcW w:w="652" w:type="dxa"/>
            <w:noWrap/>
            <w:vAlign w:val="bottom"/>
          </w:tcPr>
          <w:p w:rsidR="00000000" w:rsidRDefault="00000000">
            <w:pPr>
              <w:widowControl w:val="0"/>
              <w:spacing w:before="60" w:after="60"/>
              <w:ind w:right="113"/>
              <w:jc w:val="right"/>
              <w:rPr>
                <w:sz w:val="20"/>
                <w:szCs w:val="20"/>
              </w:rPr>
            </w:pPr>
            <w:r>
              <w:rPr>
                <w:sz w:val="20"/>
                <w:szCs w:val="20"/>
              </w:rPr>
              <w:t>0.2</w:t>
            </w:r>
          </w:p>
        </w:tc>
        <w:tc>
          <w:tcPr>
            <w:tcW w:w="654" w:type="dxa"/>
            <w:noWrap/>
            <w:vAlign w:val="bottom"/>
          </w:tcPr>
          <w:p w:rsidR="00000000" w:rsidRDefault="00000000">
            <w:pPr>
              <w:widowControl w:val="0"/>
              <w:spacing w:before="60" w:after="60"/>
              <w:ind w:right="113"/>
              <w:jc w:val="right"/>
              <w:rPr>
                <w:sz w:val="20"/>
                <w:szCs w:val="20"/>
              </w:rPr>
            </w:pPr>
            <w:r>
              <w:rPr>
                <w:sz w:val="20"/>
                <w:szCs w:val="20"/>
              </w:rPr>
              <w:t>2.1</w:t>
            </w:r>
          </w:p>
        </w:tc>
        <w:tc>
          <w:tcPr>
            <w:tcW w:w="656" w:type="dxa"/>
            <w:noWrap/>
            <w:vAlign w:val="bottom"/>
          </w:tcPr>
          <w:p w:rsidR="00000000" w:rsidRDefault="00000000">
            <w:pPr>
              <w:widowControl w:val="0"/>
              <w:spacing w:before="60" w:after="60"/>
              <w:ind w:right="113"/>
              <w:jc w:val="right"/>
              <w:rPr>
                <w:sz w:val="20"/>
                <w:szCs w:val="20"/>
              </w:rPr>
            </w:pPr>
            <w:r>
              <w:rPr>
                <w:sz w:val="20"/>
                <w:szCs w:val="20"/>
              </w:rPr>
              <w:t>0.6</w:t>
            </w:r>
          </w:p>
        </w:tc>
        <w:tc>
          <w:tcPr>
            <w:tcW w:w="648" w:type="dxa"/>
            <w:noWrap/>
            <w:vAlign w:val="bottom"/>
          </w:tcPr>
          <w:p w:rsidR="00000000" w:rsidRDefault="00000000">
            <w:pPr>
              <w:widowControl w:val="0"/>
              <w:spacing w:before="60" w:after="60"/>
              <w:ind w:right="113"/>
              <w:jc w:val="right"/>
              <w:rPr>
                <w:sz w:val="20"/>
                <w:szCs w:val="20"/>
              </w:rPr>
            </w:pPr>
            <w:r>
              <w:rPr>
                <w:sz w:val="20"/>
                <w:szCs w:val="20"/>
              </w:rPr>
              <w:t>-</w:t>
            </w:r>
          </w:p>
        </w:tc>
        <w:tc>
          <w:tcPr>
            <w:tcW w:w="759" w:type="dxa"/>
            <w:noWrap/>
            <w:vAlign w:val="bottom"/>
          </w:tcPr>
          <w:p w:rsidR="00000000" w:rsidRDefault="00000000">
            <w:pPr>
              <w:widowControl w:val="0"/>
              <w:spacing w:before="60" w:after="60"/>
              <w:ind w:right="113"/>
              <w:jc w:val="right"/>
              <w:rPr>
                <w:sz w:val="20"/>
                <w:szCs w:val="20"/>
              </w:rPr>
            </w:pPr>
            <w:r>
              <w:rPr>
                <w:sz w:val="20"/>
                <w:szCs w:val="20"/>
              </w:rPr>
              <w:t>1.4</w:t>
            </w:r>
          </w:p>
        </w:tc>
        <w:tc>
          <w:tcPr>
            <w:tcW w:w="659" w:type="dxa"/>
            <w:noWrap/>
            <w:vAlign w:val="bottom"/>
          </w:tcPr>
          <w:p w:rsidR="00000000" w:rsidRDefault="00000000">
            <w:pPr>
              <w:widowControl w:val="0"/>
              <w:spacing w:before="60" w:after="60"/>
              <w:ind w:right="113"/>
              <w:jc w:val="right"/>
              <w:rPr>
                <w:sz w:val="20"/>
                <w:szCs w:val="20"/>
              </w:rPr>
            </w:pPr>
            <w:r>
              <w:rPr>
                <w:sz w:val="20"/>
                <w:szCs w:val="20"/>
              </w:rPr>
              <w:t>2.2</w:t>
            </w:r>
          </w:p>
        </w:tc>
        <w:tc>
          <w:tcPr>
            <w:tcW w:w="654" w:type="dxa"/>
            <w:noWrap/>
            <w:vAlign w:val="bottom"/>
          </w:tcPr>
          <w:p w:rsidR="00000000" w:rsidRDefault="00000000">
            <w:pPr>
              <w:widowControl w:val="0"/>
              <w:spacing w:before="60" w:after="60"/>
              <w:ind w:right="113"/>
              <w:jc w:val="right"/>
              <w:rPr>
                <w:sz w:val="20"/>
                <w:szCs w:val="20"/>
              </w:rPr>
            </w:pPr>
            <w:r>
              <w:rPr>
                <w:sz w:val="20"/>
                <w:szCs w:val="20"/>
              </w:rPr>
              <w:t>0.1</w:t>
            </w:r>
          </w:p>
        </w:tc>
        <w:tc>
          <w:tcPr>
            <w:tcW w:w="645" w:type="dxa"/>
            <w:noWrap/>
            <w:vAlign w:val="bottom"/>
          </w:tcPr>
          <w:p w:rsidR="00000000" w:rsidRDefault="00000000">
            <w:pPr>
              <w:widowControl w:val="0"/>
              <w:spacing w:before="60" w:after="60"/>
              <w:ind w:right="113"/>
              <w:jc w:val="right"/>
              <w:rPr>
                <w:sz w:val="20"/>
                <w:szCs w:val="20"/>
              </w:rPr>
            </w:pPr>
            <w:r>
              <w:rPr>
                <w:sz w:val="20"/>
                <w:szCs w:val="20"/>
              </w:rPr>
              <w:t>5,2</w:t>
            </w:r>
          </w:p>
        </w:tc>
        <w:tc>
          <w:tcPr>
            <w:tcW w:w="661" w:type="dxa"/>
            <w:noWrap/>
            <w:vAlign w:val="bottom"/>
          </w:tcPr>
          <w:p w:rsidR="00000000" w:rsidRDefault="00000000">
            <w:pPr>
              <w:widowControl w:val="0"/>
              <w:spacing w:before="60" w:after="60"/>
              <w:ind w:right="113"/>
              <w:jc w:val="right"/>
              <w:rPr>
                <w:sz w:val="20"/>
                <w:szCs w:val="20"/>
              </w:rPr>
            </w:pPr>
            <w:r>
              <w:rPr>
                <w:sz w:val="20"/>
                <w:szCs w:val="20"/>
              </w:rPr>
              <w:t xml:space="preserve">1,7 </w:t>
            </w:r>
          </w:p>
        </w:tc>
        <w:tc>
          <w:tcPr>
            <w:tcW w:w="834" w:type="dxa"/>
            <w:gridSpan w:val="2"/>
            <w:noWrap/>
            <w:vAlign w:val="bottom"/>
          </w:tcPr>
          <w:p w:rsidR="00000000" w:rsidRDefault="00000000">
            <w:pPr>
              <w:widowControl w:val="0"/>
              <w:spacing w:before="60" w:after="60"/>
              <w:ind w:right="113"/>
              <w:jc w:val="right"/>
              <w:rPr>
                <w:sz w:val="20"/>
                <w:szCs w:val="20"/>
              </w:rPr>
            </w:pPr>
            <w:r>
              <w:rPr>
                <w:sz w:val="20"/>
                <w:szCs w:val="20"/>
              </w:rPr>
              <w:t>0,2</w:t>
            </w:r>
          </w:p>
        </w:tc>
        <w:tc>
          <w:tcPr>
            <w:tcW w:w="755" w:type="dxa"/>
            <w:noWrap/>
            <w:vAlign w:val="bottom"/>
          </w:tcPr>
          <w:p w:rsidR="00000000" w:rsidRDefault="00000000">
            <w:pPr>
              <w:widowControl w:val="0"/>
              <w:spacing w:before="60" w:after="60"/>
              <w:ind w:right="113"/>
              <w:jc w:val="right"/>
              <w:rPr>
                <w:sz w:val="20"/>
                <w:szCs w:val="20"/>
              </w:rPr>
            </w:pPr>
            <w:r>
              <w:rPr>
                <w:sz w:val="20"/>
                <w:szCs w:val="20"/>
              </w:rPr>
              <w:t xml:space="preserve">4,0 </w:t>
            </w:r>
          </w:p>
        </w:tc>
      </w:tr>
      <w:tr w:rsidR="00000000">
        <w:trPr>
          <w:jc w:val="center"/>
        </w:trPr>
        <w:tc>
          <w:tcPr>
            <w:tcW w:w="1203" w:type="dxa"/>
            <w:noWrap/>
            <w:vAlign w:val="bottom"/>
          </w:tcPr>
          <w:p w:rsidR="00000000" w:rsidRDefault="00000000">
            <w:pPr>
              <w:widowControl w:val="0"/>
              <w:spacing w:before="60" w:after="60"/>
              <w:rPr>
                <w:sz w:val="20"/>
                <w:szCs w:val="20"/>
                <w:lang w:val="en-US"/>
              </w:rPr>
            </w:pPr>
            <w:r>
              <w:rPr>
                <w:sz w:val="20"/>
                <w:szCs w:val="20"/>
              </w:rPr>
              <w:t>Lake or spring</w:t>
            </w:r>
          </w:p>
        </w:tc>
        <w:tc>
          <w:tcPr>
            <w:tcW w:w="649" w:type="dxa"/>
            <w:noWrap/>
            <w:vAlign w:val="bottom"/>
          </w:tcPr>
          <w:p w:rsidR="00000000" w:rsidRDefault="00000000">
            <w:pPr>
              <w:widowControl w:val="0"/>
              <w:spacing w:before="60" w:after="60"/>
              <w:ind w:right="113"/>
              <w:jc w:val="right"/>
              <w:rPr>
                <w:sz w:val="20"/>
                <w:szCs w:val="20"/>
                <w:lang w:val="en-US"/>
              </w:rPr>
            </w:pPr>
            <w:r>
              <w:rPr>
                <w:sz w:val="20"/>
                <w:szCs w:val="20"/>
                <w:lang w:val="en-US"/>
              </w:rPr>
              <w:t>3.1</w:t>
            </w:r>
          </w:p>
        </w:tc>
        <w:tc>
          <w:tcPr>
            <w:tcW w:w="652" w:type="dxa"/>
            <w:noWrap/>
            <w:vAlign w:val="bottom"/>
          </w:tcPr>
          <w:p w:rsidR="00000000" w:rsidRDefault="00000000">
            <w:pPr>
              <w:widowControl w:val="0"/>
              <w:spacing w:before="60" w:after="60"/>
              <w:ind w:right="113"/>
              <w:jc w:val="right"/>
              <w:rPr>
                <w:sz w:val="20"/>
                <w:szCs w:val="20"/>
                <w:lang w:val="en-US"/>
              </w:rPr>
            </w:pPr>
            <w:r>
              <w:rPr>
                <w:sz w:val="20"/>
                <w:szCs w:val="20"/>
                <w:lang w:val="en-US"/>
              </w:rPr>
              <w:t>0.0</w:t>
            </w:r>
          </w:p>
        </w:tc>
        <w:tc>
          <w:tcPr>
            <w:tcW w:w="654" w:type="dxa"/>
            <w:noWrap/>
            <w:vAlign w:val="bottom"/>
          </w:tcPr>
          <w:p w:rsidR="00000000" w:rsidRDefault="00000000">
            <w:pPr>
              <w:widowControl w:val="0"/>
              <w:spacing w:before="60" w:after="60"/>
              <w:ind w:right="113"/>
              <w:jc w:val="right"/>
              <w:rPr>
                <w:sz w:val="20"/>
                <w:szCs w:val="20"/>
                <w:lang w:val="en-US"/>
              </w:rPr>
            </w:pPr>
            <w:r>
              <w:rPr>
                <w:sz w:val="20"/>
                <w:szCs w:val="20"/>
                <w:lang w:val="en-US"/>
              </w:rPr>
              <w:t>6.8</w:t>
            </w:r>
          </w:p>
        </w:tc>
        <w:tc>
          <w:tcPr>
            <w:tcW w:w="656" w:type="dxa"/>
            <w:noWrap/>
            <w:vAlign w:val="bottom"/>
          </w:tcPr>
          <w:p w:rsidR="00000000" w:rsidRDefault="00000000">
            <w:pPr>
              <w:widowControl w:val="0"/>
              <w:spacing w:before="60" w:after="60"/>
              <w:ind w:right="113"/>
              <w:jc w:val="right"/>
              <w:rPr>
                <w:sz w:val="20"/>
                <w:szCs w:val="20"/>
                <w:lang w:val="en-US"/>
              </w:rPr>
            </w:pPr>
            <w:r>
              <w:rPr>
                <w:sz w:val="20"/>
                <w:szCs w:val="20"/>
                <w:lang w:val="en-US"/>
              </w:rPr>
              <w:t>3.1</w:t>
            </w:r>
          </w:p>
        </w:tc>
        <w:tc>
          <w:tcPr>
            <w:tcW w:w="648" w:type="dxa"/>
            <w:noWrap/>
            <w:vAlign w:val="bottom"/>
          </w:tcPr>
          <w:p w:rsidR="00000000" w:rsidRDefault="00000000">
            <w:pPr>
              <w:widowControl w:val="0"/>
              <w:spacing w:before="60" w:after="60"/>
              <w:ind w:right="113"/>
              <w:jc w:val="right"/>
              <w:rPr>
                <w:sz w:val="20"/>
                <w:szCs w:val="20"/>
                <w:lang w:val="en-US"/>
              </w:rPr>
            </w:pPr>
            <w:r>
              <w:rPr>
                <w:sz w:val="20"/>
                <w:szCs w:val="20"/>
                <w:lang w:val="en-US"/>
              </w:rPr>
              <w:t>0.1</w:t>
            </w:r>
          </w:p>
        </w:tc>
        <w:tc>
          <w:tcPr>
            <w:tcW w:w="759" w:type="dxa"/>
            <w:noWrap/>
            <w:vAlign w:val="bottom"/>
          </w:tcPr>
          <w:p w:rsidR="00000000" w:rsidRDefault="00000000">
            <w:pPr>
              <w:widowControl w:val="0"/>
              <w:spacing w:before="60" w:after="60"/>
              <w:ind w:right="113"/>
              <w:jc w:val="right"/>
              <w:rPr>
                <w:sz w:val="20"/>
                <w:szCs w:val="20"/>
                <w:lang w:val="en-US"/>
              </w:rPr>
            </w:pPr>
            <w:r>
              <w:rPr>
                <w:sz w:val="20"/>
                <w:szCs w:val="20"/>
                <w:lang w:val="en-US"/>
              </w:rPr>
              <w:t>7.0</w:t>
            </w:r>
          </w:p>
        </w:tc>
        <w:tc>
          <w:tcPr>
            <w:tcW w:w="659"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654"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645"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661"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834" w:type="dxa"/>
            <w:gridSpan w:val="2"/>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755"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r>
      <w:tr w:rsidR="00000000">
        <w:trPr>
          <w:jc w:val="center"/>
        </w:trPr>
        <w:tc>
          <w:tcPr>
            <w:tcW w:w="1203" w:type="dxa"/>
            <w:noWrap/>
            <w:vAlign w:val="bottom"/>
          </w:tcPr>
          <w:p w:rsidR="00000000" w:rsidRDefault="00000000">
            <w:pPr>
              <w:widowControl w:val="0"/>
              <w:spacing w:before="60" w:after="60"/>
              <w:rPr>
                <w:sz w:val="20"/>
                <w:szCs w:val="20"/>
                <w:lang w:val="en-US"/>
              </w:rPr>
            </w:pPr>
            <w:r>
              <w:rPr>
                <w:sz w:val="20"/>
                <w:szCs w:val="20"/>
              </w:rPr>
              <w:t>Artesian well</w:t>
            </w:r>
          </w:p>
        </w:tc>
        <w:tc>
          <w:tcPr>
            <w:tcW w:w="649"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652"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654"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656"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648"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759"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659" w:type="dxa"/>
            <w:noWrap/>
            <w:vAlign w:val="bottom"/>
          </w:tcPr>
          <w:p w:rsidR="00000000" w:rsidRDefault="00000000">
            <w:pPr>
              <w:widowControl w:val="0"/>
              <w:spacing w:before="60" w:after="60"/>
              <w:ind w:right="113"/>
              <w:jc w:val="right"/>
              <w:rPr>
                <w:sz w:val="20"/>
                <w:szCs w:val="20"/>
                <w:lang w:val="en-US"/>
              </w:rPr>
            </w:pPr>
            <w:r>
              <w:rPr>
                <w:sz w:val="20"/>
                <w:szCs w:val="20"/>
                <w:lang w:val="en-US"/>
              </w:rPr>
              <w:t>2.6</w:t>
            </w:r>
          </w:p>
        </w:tc>
        <w:tc>
          <w:tcPr>
            <w:tcW w:w="654" w:type="dxa"/>
            <w:noWrap/>
            <w:vAlign w:val="bottom"/>
          </w:tcPr>
          <w:p w:rsidR="00000000" w:rsidRDefault="00000000">
            <w:pPr>
              <w:widowControl w:val="0"/>
              <w:spacing w:before="60" w:after="60"/>
              <w:ind w:right="113"/>
              <w:jc w:val="right"/>
              <w:rPr>
                <w:sz w:val="20"/>
                <w:szCs w:val="20"/>
                <w:lang w:val="en-US"/>
              </w:rPr>
            </w:pPr>
            <w:r>
              <w:rPr>
                <w:sz w:val="20"/>
                <w:szCs w:val="20"/>
                <w:lang w:val="en-US"/>
              </w:rPr>
              <w:t>2.7</w:t>
            </w:r>
          </w:p>
        </w:tc>
        <w:tc>
          <w:tcPr>
            <w:tcW w:w="645" w:type="dxa"/>
            <w:noWrap/>
            <w:vAlign w:val="bottom"/>
          </w:tcPr>
          <w:p w:rsidR="00000000" w:rsidRDefault="00000000">
            <w:pPr>
              <w:widowControl w:val="0"/>
              <w:spacing w:before="60" w:after="60"/>
              <w:ind w:right="113"/>
              <w:jc w:val="right"/>
              <w:rPr>
                <w:sz w:val="20"/>
                <w:szCs w:val="20"/>
                <w:lang w:val="en-US"/>
              </w:rPr>
            </w:pPr>
            <w:r>
              <w:rPr>
                <w:sz w:val="20"/>
                <w:szCs w:val="20"/>
                <w:lang w:val="en-US"/>
              </w:rPr>
              <w:t>2,6</w:t>
            </w:r>
          </w:p>
        </w:tc>
        <w:tc>
          <w:tcPr>
            <w:tcW w:w="661" w:type="dxa"/>
            <w:noWrap/>
            <w:vAlign w:val="bottom"/>
          </w:tcPr>
          <w:p w:rsidR="00000000" w:rsidRDefault="00000000">
            <w:pPr>
              <w:widowControl w:val="0"/>
              <w:spacing w:before="60" w:after="60"/>
              <w:ind w:right="113"/>
              <w:jc w:val="right"/>
              <w:rPr>
                <w:sz w:val="20"/>
                <w:szCs w:val="20"/>
                <w:lang w:val="en-US"/>
              </w:rPr>
            </w:pPr>
            <w:r>
              <w:rPr>
                <w:sz w:val="20"/>
                <w:szCs w:val="20"/>
                <w:lang w:val="en-US"/>
              </w:rPr>
              <w:t xml:space="preserve">2,4 </w:t>
            </w:r>
          </w:p>
        </w:tc>
        <w:tc>
          <w:tcPr>
            <w:tcW w:w="834" w:type="dxa"/>
            <w:gridSpan w:val="2"/>
            <w:noWrap/>
            <w:vAlign w:val="bottom"/>
          </w:tcPr>
          <w:p w:rsidR="00000000" w:rsidRDefault="00000000">
            <w:pPr>
              <w:widowControl w:val="0"/>
              <w:spacing w:before="60" w:after="60"/>
              <w:ind w:right="113"/>
              <w:jc w:val="right"/>
              <w:rPr>
                <w:sz w:val="20"/>
                <w:szCs w:val="20"/>
                <w:lang w:val="en-US"/>
              </w:rPr>
            </w:pPr>
            <w:r>
              <w:rPr>
                <w:sz w:val="20"/>
                <w:szCs w:val="20"/>
                <w:lang w:val="en-US"/>
              </w:rPr>
              <w:t>2,0</w:t>
            </w:r>
          </w:p>
        </w:tc>
        <w:tc>
          <w:tcPr>
            <w:tcW w:w="755" w:type="dxa"/>
            <w:noWrap/>
            <w:vAlign w:val="bottom"/>
          </w:tcPr>
          <w:p w:rsidR="00000000" w:rsidRDefault="00000000">
            <w:pPr>
              <w:widowControl w:val="0"/>
              <w:spacing w:before="60" w:after="60"/>
              <w:ind w:right="113"/>
              <w:jc w:val="right"/>
              <w:rPr>
                <w:sz w:val="20"/>
                <w:szCs w:val="20"/>
                <w:lang w:val="en-US"/>
              </w:rPr>
            </w:pPr>
            <w:r>
              <w:rPr>
                <w:sz w:val="20"/>
                <w:szCs w:val="20"/>
                <w:lang w:val="en-US"/>
              </w:rPr>
              <w:t xml:space="preserve">3,2 </w:t>
            </w:r>
          </w:p>
        </w:tc>
      </w:tr>
      <w:tr w:rsidR="00000000">
        <w:trPr>
          <w:jc w:val="center"/>
        </w:trPr>
        <w:tc>
          <w:tcPr>
            <w:tcW w:w="1203" w:type="dxa"/>
            <w:noWrap/>
            <w:vAlign w:val="bottom"/>
          </w:tcPr>
          <w:p w:rsidR="00000000" w:rsidRDefault="00000000">
            <w:pPr>
              <w:widowControl w:val="0"/>
              <w:spacing w:before="60" w:after="60"/>
              <w:rPr>
                <w:sz w:val="20"/>
                <w:szCs w:val="20"/>
                <w:lang w:val="en-US"/>
              </w:rPr>
            </w:pPr>
            <w:r>
              <w:rPr>
                <w:sz w:val="20"/>
                <w:szCs w:val="20"/>
              </w:rPr>
              <w:t>Well with pump</w:t>
            </w:r>
          </w:p>
        </w:tc>
        <w:tc>
          <w:tcPr>
            <w:tcW w:w="649" w:type="dxa"/>
            <w:noWrap/>
            <w:vAlign w:val="bottom"/>
          </w:tcPr>
          <w:p w:rsidR="00000000" w:rsidRDefault="00000000">
            <w:pPr>
              <w:widowControl w:val="0"/>
              <w:spacing w:before="60" w:after="60"/>
              <w:ind w:right="113"/>
              <w:jc w:val="right"/>
              <w:rPr>
                <w:sz w:val="20"/>
                <w:szCs w:val="20"/>
                <w:lang w:val="en-US"/>
              </w:rPr>
            </w:pPr>
            <w:r>
              <w:rPr>
                <w:sz w:val="20"/>
                <w:szCs w:val="20"/>
                <w:lang w:val="en-US"/>
              </w:rPr>
              <w:t>13.0</w:t>
            </w:r>
          </w:p>
        </w:tc>
        <w:tc>
          <w:tcPr>
            <w:tcW w:w="652" w:type="dxa"/>
            <w:noWrap/>
            <w:vAlign w:val="bottom"/>
          </w:tcPr>
          <w:p w:rsidR="00000000" w:rsidRDefault="00000000">
            <w:pPr>
              <w:widowControl w:val="0"/>
              <w:spacing w:before="60" w:after="60"/>
              <w:ind w:right="113"/>
              <w:jc w:val="right"/>
              <w:rPr>
                <w:sz w:val="20"/>
                <w:szCs w:val="20"/>
                <w:lang w:val="en-US"/>
              </w:rPr>
            </w:pPr>
            <w:r>
              <w:rPr>
                <w:sz w:val="20"/>
                <w:szCs w:val="20"/>
                <w:lang w:val="en-US"/>
              </w:rPr>
              <w:t>12.8</w:t>
            </w:r>
          </w:p>
        </w:tc>
        <w:tc>
          <w:tcPr>
            <w:tcW w:w="654" w:type="dxa"/>
            <w:noWrap/>
            <w:vAlign w:val="bottom"/>
          </w:tcPr>
          <w:p w:rsidR="00000000" w:rsidRDefault="00000000">
            <w:pPr>
              <w:widowControl w:val="0"/>
              <w:spacing w:before="60" w:after="60"/>
              <w:ind w:right="113"/>
              <w:jc w:val="right"/>
              <w:rPr>
                <w:sz w:val="20"/>
                <w:szCs w:val="20"/>
                <w:lang w:val="en-US"/>
              </w:rPr>
            </w:pPr>
            <w:r>
              <w:rPr>
                <w:sz w:val="20"/>
                <w:szCs w:val="20"/>
                <w:lang w:val="en-US"/>
              </w:rPr>
              <w:t>13.3</w:t>
            </w:r>
          </w:p>
        </w:tc>
        <w:tc>
          <w:tcPr>
            <w:tcW w:w="656" w:type="dxa"/>
            <w:noWrap/>
            <w:vAlign w:val="bottom"/>
          </w:tcPr>
          <w:p w:rsidR="00000000" w:rsidRDefault="00000000">
            <w:pPr>
              <w:widowControl w:val="0"/>
              <w:spacing w:before="60" w:after="60"/>
              <w:ind w:right="113"/>
              <w:jc w:val="right"/>
              <w:rPr>
                <w:sz w:val="20"/>
                <w:szCs w:val="20"/>
                <w:lang w:val="en-US"/>
              </w:rPr>
            </w:pPr>
            <w:r>
              <w:rPr>
                <w:sz w:val="20"/>
                <w:szCs w:val="20"/>
                <w:lang w:val="en-US"/>
              </w:rPr>
              <w:t>16.6</w:t>
            </w:r>
          </w:p>
        </w:tc>
        <w:tc>
          <w:tcPr>
            <w:tcW w:w="648" w:type="dxa"/>
            <w:noWrap/>
            <w:vAlign w:val="bottom"/>
          </w:tcPr>
          <w:p w:rsidR="00000000" w:rsidRDefault="00000000">
            <w:pPr>
              <w:widowControl w:val="0"/>
              <w:spacing w:before="60" w:after="60"/>
              <w:ind w:right="113"/>
              <w:jc w:val="right"/>
              <w:rPr>
                <w:sz w:val="20"/>
                <w:szCs w:val="20"/>
                <w:lang w:val="en-US"/>
              </w:rPr>
            </w:pPr>
            <w:r>
              <w:rPr>
                <w:sz w:val="20"/>
                <w:szCs w:val="20"/>
                <w:lang w:val="en-US"/>
              </w:rPr>
              <w:t>16.0</w:t>
            </w:r>
          </w:p>
        </w:tc>
        <w:tc>
          <w:tcPr>
            <w:tcW w:w="759" w:type="dxa"/>
            <w:noWrap/>
            <w:vAlign w:val="bottom"/>
          </w:tcPr>
          <w:p w:rsidR="00000000" w:rsidRDefault="00000000">
            <w:pPr>
              <w:widowControl w:val="0"/>
              <w:spacing w:before="60" w:after="60"/>
              <w:ind w:right="113"/>
              <w:jc w:val="right"/>
              <w:rPr>
                <w:sz w:val="20"/>
                <w:szCs w:val="20"/>
                <w:lang w:val="en-US"/>
              </w:rPr>
            </w:pPr>
            <w:r>
              <w:rPr>
                <w:sz w:val="20"/>
                <w:szCs w:val="20"/>
                <w:lang w:val="en-US"/>
              </w:rPr>
              <w:t>17.4</w:t>
            </w:r>
          </w:p>
        </w:tc>
        <w:tc>
          <w:tcPr>
            <w:tcW w:w="659" w:type="dxa"/>
            <w:noWrap/>
            <w:vAlign w:val="bottom"/>
          </w:tcPr>
          <w:p w:rsidR="00000000" w:rsidRDefault="00000000">
            <w:pPr>
              <w:widowControl w:val="0"/>
              <w:spacing w:before="60" w:after="60"/>
              <w:ind w:right="113"/>
              <w:jc w:val="right"/>
              <w:rPr>
                <w:sz w:val="20"/>
                <w:szCs w:val="20"/>
                <w:lang w:val="en-US"/>
              </w:rPr>
            </w:pPr>
            <w:r>
              <w:rPr>
                <w:sz w:val="20"/>
                <w:szCs w:val="20"/>
                <w:lang w:val="en-US"/>
              </w:rPr>
              <w:t>12.4</w:t>
            </w:r>
          </w:p>
        </w:tc>
        <w:tc>
          <w:tcPr>
            <w:tcW w:w="654" w:type="dxa"/>
            <w:noWrap/>
            <w:vAlign w:val="bottom"/>
          </w:tcPr>
          <w:p w:rsidR="00000000" w:rsidRDefault="00000000">
            <w:pPr>
              <w:widowControl w:val="0"/>
              <w:spacing w:before="60" w:after="60"/>
              <w:ind w:right="113"/>
              <w:jc w:val="right"/>
              <w:rPr>
                <w:sz w:val="20"/>
                <w:szCs w:val="20"/>
                <w:lang w:val="en-US"/>
              </w:rPr>
            </w:pPr>
            <w:r>
              <w:rPr>
                <w:sz w:val="20"/>
                <w:szCs w:val="20"/>
                <w:lang w:val="en-US"/>
              </w:rPr>
              <w:t>10.4</w:t>
            </w:r>
          </w:p>
        </w:tc>
        <w:tc>
          <w:tcPr>
            <w:tcW w:w="645" w:type="dxa"/>
            <w:noWrap/>
            <w:vAlign w:val="bottom"/>
          </w:tcPr>
          <w:p w:rsidR="00000000" w:rsidRDefault="00000000">
            <w:pPr>
              <w:widowControl w:val="0"/>
              <w:spacing w:before="60" w:after="60"/>
              <w:ind w:right="113"/>
              <w:jc w:val="right"/>
              <w:rPr>
                <w:sz w:val="20"/>
                <w:szCs w:val="20"/>
                <w:lang w:val="en-US"/>
              </w:rPr>
            </w:pPr>
            <w:r>
              <w:rPr>
                <w:sz w:val="20"/>
                <w:szCs w:val="20"/>
                <w:lang w:val="en-US"/>
              </w:rPr>
              <w:t>15,4</w:t>
            </w:r>
          </w:p>
        </w:tc>
        <w:tc>
          <w:tcPr>
            <w:tcW w:w="661" w:type="dxa"/>
            <w:noWrap/>
            <w:vAlign w:val="bottom"/>
          </w:tcPr>
          <w:p w:rsidR="00000000" w:rsidRDefault="00000000">
            <w:pPr>
              <w:widowControl w:val="0"/>
              <w:spacing w:before="60" w:after="60"/>
              <w:ind w:right="113"/>
              <w:jc w:val="right"/>
              <w:rPr>
                <w:sz w:val="20"/>
                <w:szCs w:val="20"/>
                <w:lang w:val="en-US"/>
              </w:rPr>
            </w:pPr>
            <w:r>
              <w:rPr>
                <w:sz w:val="20"/>
                <w:szCs w:val="20"/>
                <w:lang w:val="en-US"/>
              </w:rPr>
              <w:t xml:space="preserve">12,1 </w:t>
            </w:r>
          </w:p>
        </w:tc>
        <w:tc>
          <w:tcPr>
            <w:tcW w:w="834" w:type="dxa"/>
            <w:gridSpan w:val="2"/>
            <w:noWrap/>
            <w:vAlign w:val="bottom"/>
          </w:tcPr>
          <w:p w:rsidR="00000000" w:rsidRDefault="00000000">
            <w:pPr>
              <w:widowControl w:val="0"/>
              <w:spacing w:before="60" w:after="60"/>
              <w:ind w:right="113"/>
              <w:jc w:val="right"/>
              <w:rPr>
                <w:sz w:val="20"/>
                <w:szCs w:val="20"/>
                <w:lang w:val="en-US"/>
              </w:rPr>
            </w:pPr>
            <w:r>
              <w:rPr>
                <w:sz w:val="20"/>
                <w:szCs w:val="20"/>
                <w:lang w:val="en-US"/>
              </w:rPr>
              <w:t>7,7</w:t>
            </w:r>
          </w:p>
        </w:tc>
        <w:tc>
          <w:tcPr>
            <w:tcW w:w="755" w:type="dxa"/>
            <w:noWrap/>
            <w:vAlign w:val="bottom"/>
          </w:tcPr>
          <w:p w:rsidR="00000000" w:rsidRDefault="00000000">
            <w:pPr>
              <w:widowControl w:val="0"/>
              <w:spacing w:before="60" w:after="60"/>
              <w:ind w:right="113"/>
              <w:jc w:val="right"/>
              <w:rPr>
                <w:sz w:val="20"/>
                <w:szCs w:val="20"/>
                <w:lang w:val="en-US"/>
              </w:rPr>
            </w:pPr>
            <w:r>
              <w:rPr>
                <w:sz w:val="20"/>
                <w:szCs w:val="20"/>
                <w:lang w:val="en-US"/>
              </w:rPr>
              <w:t xml:space="preserve">18,8 </w:t>
            </w:r>
          </w:p>
        </w:tc>
      </w:tr>
      <w:tr w:rsidR="00000000">
        <w:trPr>
          <w:jc w:val="center"/>
        </w:trPr>
        <w:tc>
          <w:tcPr>
            <w:tcW w:w="1203" w:type="dxa"/>
            <w:noWrap/>
            <w:vAlign w:val="bottom"/>
          </w:tcPr>
          <w:p w:rsidR="00000000" w:rsidRDefault="00000000">
            <w:pPr>
              <w:widowControl w:val="0"/>
              <w:spacing w:before="60" w:after="60"/>
              <w:rPr>
                <w:sz w:val="20"/>
                <w:szCs w:val="20"/>
                <w:lang w:val="en-US"/>
              </w:rPr>
            </w:pPr>
            <w:r>
              <w:rPr>
                <w:sz w:val="20"/>
                <w:szCs w:val="20"/>
              </w:rPr>
              <w:t>Well without pump</w:t>
            </w:r>
          </w:p>
        </w:tc>
        <w:tc>
          <w:tcPr>
            <w:tcW w:w="649" w:type="dxa"/>
            <w:noWrap/>
            <w:vAlign w:val="bottom"/>
          </w:tcPr>
          <w:p w:rsidR="00000000" w:rsidRDefault="00000000">
            <w:pPr>
              <w:widowControl w:val="0"/>
              <w:spacing w:before="60" w:after="60"/>
              <w:ind w:right="113"/>
              <w:jc w:val="right"/>
              <w:rPr>
                <w:sz w:val="20"/>
                <w:szCs w:val="20"/>
                <w:lang w:val="en-US"/>
              </w:rPr>
            </w:pPr>
            <w:r>
              <w:rPr>
                <w:sz w:val="20"/>
                <w:szCs w:val="20"/>
                <w:lang w:val="en-US"/>
              </w:rPr>
              <w:t>39.9</w:t>
            </w:r>
          </w:p>
        </w:tc>
        <w:tc>
          <w:tcPr>
            <w:tcW w:w="652" w:type="dxa"/>
            <w:noWrap/>
            <w:vAlign w:val="bottom"/>
          </w:tcPr>
          <w:p w:rsidR="00000000" w:rsidRDefault="00000000">
            <w:pPr>
              <w:widowControl w:val="0"/>
              <w:spacing w:before="60" w:after="60"/>
              <w:ind w:right="113"/>
              <w:jc w:val="right"/>
              <w:rPr>
                <w:sz w:val="20"/>
                <w:szCs w:val="20"/>
                <w:lang w:val="en-US"/>
              </w:rPr>
            </w:pPr>
            <w:r>
              <w:rPr>
                <w:sz w:val="20"/>
                <w:szCs w:val="20"/>
                <w:lang w:val="en-US"/>
              </w:rPr>
              <w:t>17.2</w:t>
            </w:r>
          </w:p>
        </w:tc>
        <w:tc>
          <w:tcPr>
            <w:tcW w:w="654" w:type="dxa"/>
            <w:noWrap/>
            <w:vAlign w:val="bottom"/>
          </w:tcPr>
          <w:p w:rsidR="00000000" w:rsidRDefault="00000000">
            <w:pPr>
              <w:widowControl w:val="0"/>
              <w:spacing w:before="60" w:after="60"/>
              <w:ind w:right="113"/>
              <w:jc w:val="right"/>
              <w:rPr>
                <w:sz w:val="20"/>
                <w:szCs w:val="20"/>
                <w:lang w:val="en-US"/>
              </w:rPr>
            </w:pPr>
            <w:r>
              <w:rPr>
                <w:sz w:val="20"/>
                <w:szCs w:val="20"/>
                <w:lang w:val="en-US"/>
              </w:rPr>
              <w:t>66.6</w:t>
            </w:r>
          </w:p>
        </w:tc>
        <w:tc>
          <w:tcPr>
            <w:tcW w:w="656" w:type="dxa"/>
            <w:noWrap/>
            <w:vAlign w:val="bottom"/>
          </w:tcPr>
          <w:p w:rsidR="00000000" w:rsidRDefault="00000000">
            <w:pPr>
              <w:widowControl w:val="0"/>
              <w:spacing w:before="60" w:after="60"/>
              <w:ind w:right="113"/>
              <w:jc w:val="right"/>
              <w:rPr>
                <w:sz w:val="20"/>
                <w:szCs w:val="20"/>
                <w:lang w:val="en-US"/>
              </w:rPr>
            </w:pPr>
            <w:r>
              <w:rPr>
                <w:sz w:val="20"/>
                <w:szCs w:val="20"/>
                <w:lang w:val="en-US"/>
              </w:rPr>
              <w:t>31.6</w:t>
            </w:r>
          </w:p>
        </w:tc>
        <w:tc>
          <w:tcPr>
            <w:tcW w:w="648" w:type="dxa"/>
            <w:noWrap/>
            <w:vAlign w:val="bottom"/>
          </w:tcPr>
          <w:p w:rsidR="00000000" w:rsidRDefault="00000000">
            <w:pPr>
              <w:widowControl w:val="0"/>
              <w:spacing w:before="60" w:after="60"/>
              <w:ind w:right="113"/>
              <w:jc w:val="right"/>
              <w:rPr>
                <w:sz w:val="20"/>
                <w:szCs w:val="20"/>
                <w:lang w:val="en-US"/>
              </w:rPr>
            </w:pPr>
            <w:r>
              <w:rPr>
                <w:sz w:val="20"/>
                <w:szCs w:val="20"/>
                <w:lang w:val="en-US"/>
              </w:rPr>
              <w:t>12.0</w:t>
            </w:r>
          </w:p>
        </w:tc>
        <w:tc>
          <w:tcPr>
            <w:tcW w:w="759" w:type="dxa"/>
            <w:noWrap/>
            <w:vAlign w:val="bottom"/>
          </w:tcPr>
          <w:p w:rsidR="00000000" w:rsidRDefault="00000000">
            <w:pPr>
              <w:widowControl w:val="0"/>
              <w:spacing w:before="60" w:after="60"/>
              <w:ind w:right="113"/>
              <w:jc w:val="right"/>
              <w:rPr>
                <w:sz w:val="20"/>
                <w:szCs w:val="20"/>
                <w:lang w:val="en-US"/>
              </w:rPr>
            </w:pPr>
            <w:r>
              <w:rPr>
                <w:sz w:val="20"/>
                <w:szCs w:val="20"/>
                <w:lang w:val="en-US"/>
              </w:rPr>
              <w:t>57.7</w:t>
            </w:r>
          </w:p>
        </w:tc>
        <w:tc>
          <w:tcPr>
            <w:tcW w:w="659" w:type="dxa"/>
            <w:noWrap/>
            <w:vAlign w:val="bottom"/>
          </w:tcPr>
          <w:p w:rsidR="00000000" w:rsidRDefault="00000000">
            <w:pPr>
              <w:widowControl w:val="0"/>
              <w:spacing w:before="60" w:after="60"/>
              <w:ind w:right="113"/>
              <w:jc w:val="right"/>
              <w:rPr>
                <w:sz w:val="20"/>
                <w:szCs w:val="20"/>
                <w:lang w:val="en-US"/>
              </w:rPr>
            </w:pPr>
            <w:r>
              <w:rPr>
                <w:sz w:val="20"/>
                <w:szCs w:val="20"/>
                <w:lang w:val="en-US"/>
              </w:rPr>
              <w:t>22.4</w:t>
            </w:r>
          </w:p>
        </w:tc>
        <w:tc>
          <w:tcPr>
            <w:tcW w:w="654" w:type="dxa"/>
            <w:noWrap/>
            <w:vAlign w:val="bottom"/>
          </w:tcPr>
          <w:p w:rsidR="00000000" w:rsidRDefault="00000000">
            <w:pPr>
              <w:widowControl w:val="0"/>
              <w:spacing w:before="60" w:after="60"/>
              <w:ind w:right="113"/>
              <w:jc w:val="right"/>
              <w:rPr>
                <w:sz w:val="20"/>
                <w:szCs w:val="20"/>
                <w:lang w:val="en-US"/>
              </w:rPr>
            </w:pPr>
            <w:r>
              <w:rPr>
                <w:sz w:val="20"/>
                <w:szCs w:val="20"/>
                <w:lang w:val="en-US"/>
              </w:rPr>
              <w:t>8.4</w:t>
            </w:r>
          </w:p>
        </w:tc>
        <w:tc>
          <w:tcPr>
            <w:tcW w:w="645" w:type="dxa"/>
            <w:noWrap/>
            <w:vAlign w:val="bottom"/>
          </w:tcPr>
          <w:p w:rsidR="00000000" w:rsidRDefault="00000000">
            <w:pPr>
              <w:widowControl w:val="0"/>
              <w:spacing w:before="60" w:after="60"/>
              <w:ind w:right="113"/>
              <w:jc w:val="right"/>
              <w:rPr>
                <w:sz w:val="20"/>
                <w:szCs w:val="20"/>
                <w:lang w:val="en-US"/>
              </w:rPr>
            </w:pPr>
            <w:r>
              <w:rPr>
                <w:sz w:val="20"/>
                <w:szCs w:val="20"/>
                <w:lang w:val="en-US"/>
              </w:rPr>
              <w:t>42,8</w:t>
            </w:r>
          </w:p>
        </w:tc>
        <w:tc>
          <w:tcPr>
            <w:tcW w:w="661" w:type="dxa"/>
            <w:noWrap/>
            <w:vAlign w:val="bottom"/>
          </w:tcPr>
          <w:p w:rsidR="00000000" w:rsidRDefault="00000000">
            <w:pPr>
              <w:widowControl w:val="0"/>
              <w:spacing w:before="60" w:after="60"/>
              <w:ind w:right="113"/>
              <w:jc w:val="right"/>
              <w:rPr>
                <w:sz w:val="20"/>
                <w:szCs w:val="20"/>
                <w:lang w:val="en-US"/>
              </w:rPr>
            </w:pPr>
            <w:r>
              <w:rPr>
                <w:sz w:val="20"/>
                <w:szCs w:val="20"/>
                <w:lang w:val="en-US"/>
              </w:rPr>
              <w:t xml:space="preserve">20,3 </w:t>
            </w:r>
          </w:p>
        </w:tc>
        <w:tc>
          <w:tcPr>
            <w:tcW w:w="834" w:type="dxa"/>
            <w:gridSpan w:val="2"/>
            <w:noWrap/>
            <w:vAlign w:val="bottom"/>
          </w:tcPr>
          <w:p w:rsidR="00000000" w:rsidRDefault="00000000">
            <w:pPr>
              <w:widowControl w:val="0"/>
              <w:spacing w:before="60" w:after="60"/>
              <w:ind w:right="113"/>
              <w:jc w:val="right"/>
              <w:rPr>
                <w:sz w:val="20"/>
                <w:szCs w:val="20"/>
                <w:lang w:val="en-US"/>
              </w:rPr>
            </w:pPr>
            <w:r>
              <w:rPr>
                <w:sz w:val="20"/>
                <w:szCs w:val="20"/>
                <w:lang w:val="en-US"/>
              </w:rPr>
              <w:t>8,8</w:t>
            </w:r>
          </w:p>
        </w:tc>
        <w:tc>
          <w:tcPr>
            <w:tcW w:w="755" w:type="dxa"/>
            <w:noWrap/>
            <w:vAlign w:val="bottom"/>
          </w:tcPr>
          <w:p w:rsidR="00000000" w:rsidRDefault="00000000">
            <w:pPr>
              <w:widowControl w:val="0"/>
              <w:spacing w:before="60" w:after="60"/>
              <w:ind w:right="113"/>
              <w:jc w:val="right"/>
              <w:rPr>
                <w:sz w:val="20"/>
                <w:szCs w:val="20"/>
                <w:lang w:val="en-US"/>
              </w:rPr>
            </w:pPr>
            <w:r>
              <w:rPr>
                <w:sz w:val="20"/>
                <w:szCs w:val="20"/>
                <w:lang w:val="en-US"/>
              </w:rPr>
              <w:t xml:space="preserve">37,8 </w:t>
            </w:r>
          </w:p>
        </w:tc>
      </w:tr>
      <w:tr w:rsidR="00000000">
        <w:trPr>
          <w:jc w:val="center"/>
        </w:trPr>
        <w:tc>
          <w:tcPr>
            <w:tcW w:w="1203" w:type="dxa"/>
            <w:noWrap/>
            <w:vAlign w:val="bottom"/>
          </w:tcPr>
          <w:p w:rsidR="00000000" w:rsidRDefault="00000000">
            <w:pPr>
              <w:widowControl w:val="0"/>
              <w:spacing w:before="60" w:after="60"/>
              <w:rPr>
                <w:sz w:val="20"/>
                <w:szCs w:val="20"/>
                <w:lang w:val="en-US"/>
              </w:rPr>
            </w:pPr>
            <w:r>
              <w:rPr>
                <w:sz w:val="20"/>
                <w:szCs w:val="20"/>
              </w:rPr>
              <w:t>Water carrier</w:t>
            </w:r>
          </w:p>
        </w:tc>
        <w:tc>
          <w:tcPr>
            <w:tcW w:w="649" w:type="dxa"/>
            <w:noWrap/>
            <w:vAlign w:val="bottom"/>
          </w:tcPr>
          <w:p w:rsidR="00000000" w:rsidRDefault="00000000">
            <w:pPr>
              <w:widowControl w:val="0"/>
              <w:spacing w:before="60" w:after="60"/>
              <w:ind w:right="113"/>
              <w:jc w:val="right"/>
              <w:rPr>
                <w:sz w:val="20"/>
                <w:szCs w:val="20"/>
                <w:lang w:val="en-US"/>
              </w:rPr>
            </w:pPr>
            <w:r>
              <w:rPr>
                <w:sz w:val="20"/>
                <w:szCs w:val="20"/>
                <w:lang w:val="en-US"/>
              </w:rPr>
              <w:t>0.2</w:t>
            </w:r>
          </w:p>
        </w:tc>
        <w:tc>
          <w:tcPr>
            <w:tcW w:w="652" w:type="dxa"/>
            <w:noWrap/>
            <w:vAlign w:val="bottom"/>
          </w:tcPr>
          <w:p w:rsidR="00000000" w:rsidRDefault="00000000">
            <w:pPr>
              <w:widowControl w:val="0"/>
              <w:spacing w:before="60" w:after="60"/>
              <w:ind w:right="113"/>
              <w:jc w:val="right"/>
              <w:rPr>
                <w:sz w:val="20"/>
                <w:szCs w:val="20"/>
                <w:lang w:val="en-US"/>
              </w:rPr>
            </w:pPr>
            <w:r>
              <w:rPr>
                <w:sz w:val="20"/>
                <w:szCs w:val="20"/>
                <w:lang w:val="en-US"/>
              </w:rPr>
              <w:t>0.1</w:t>
            </w:r>
          </w:p>
        </w:tc>
        <w:tc>
          <w:tcPr>
            <w:tcW w:w="654" w:type="dxa"/>
            <w:noWrap/>
            <w:vAlign w:val="bottom"/>
          </w:tcPr>
          <w:p w:rsidR="00000000" w:rsidRDefault="00000000">
            <w:pPr>
              <w:widowControl w:val="0"/>
              <w:spacing w:before="60" w:after="60"/>
              <w:ind w:right="113"/>
              <w:jc w:val="right"/>
              <w:rPr>
                <w:sz w:val="20"/>
                <w:szCs w:val="20"/>
                <w:lang w:val="en-US"/>
              </w:rPr>
            </w:pPr>
            <w:r>
              <w:rPr>
                <w:sz w:val="20"/>
                <w:szCs w:val="20"/>
                <w:lang w:val="en-US"/>
              </w:rPr>
              <w:t>0.2</w:t>
            </w:r>
          </w:p>
        </w:tc>
        <w:tc>
          <w:tcPr>
            <w:tcW w:w="656" w:type="dxa"/>
            <w:noWrap/>
            <w:vAlign w:val="bottom"/>
          </w:tcPr>
          <w:p w:rsidR="00000000" w:rsidRDefault="00000000">
            <w:pPr>
              <w:widowControl w:val="0"/>
              <w:spacing w:before="60" w:after="60"/>
              <w:ind w:right="113"/>
              <w:jc w:val="right"/>
              <w:rPr>
                <w:sz w:val="20"/>
                <w:szCs w:val="20"/>
                <w:lang w:val="en-US"/>
              </w:rPr>
            </w:pPr>
            <w:r>
              <w:rPr>
                <w:sz w:val="20"/>
                <w:szCs w:val="20"/>
                <w:lang w:val="en-US"/>
              </w:rPr>
              <w:t>0.2</w:t>
            </w:r>
          </w:p>
        </w:tc>
        <w:tc>
          <w:tcPr>
            <w:tcW w:w="648" w:type="dxa"/>
            <w:noWrap/>
            <w:vAlign w:val="bottom"/>
          </w:tcPr>
          <w:p w:rsidR="00000000" w:rsidRDefault="00000000">
            <w:pPr>
              <w:widowControl w:val="0"/>
              <w:spacing w:before="60" w:after="60"/>
              <w:ind w:right="113"/>
              <w:jc w:val="right"/>
              <w:rPr>
                <w:sz w:val="20"/>
                <w:szCs w:val="20"/>
                <w:lang w:val="en-US"/>
              </w:rPr>
            </w:pPr>
            <w:r>
              <w:rPr>
                <w:sz w:val="20"/>
                <w:szCs w:val="20"/>
                <w:lang w:val="en-US"/>
              </w:rPr>
              <w:t>0.3</w:t>
            </w:r>
          </w:p>
        </w:tc>
        <w:tc>
          <w:tcPr>
            <w:tcW w:w="759"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659"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654"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645"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661"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834" w:type="dxa"/>
            <w:gridSpan w:val="2"/>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755"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r>
      <w:tr w:rsidR="00000000">
        <w:trPr>
          <w:jc w:val="center"/>
        </w:trPr>
        <w:tc>
          <w:tcPr>
            <w:tcW w:w="1203" w:type="dxa"/>
            <w:noWrap/>
            <w:vAlign w:val="bottom"/>
          </w:tcPr>
          <w:p w:rsidR="00000000" w:rsidRDefault="00000000">
            <w:pPr>
              <w:widowControl w:val="0"/>
              <w:spacing w:before="60" w:after="60"/>
              <w:rPr>
                <w:sz w:val="20"/>
                <w:szCs w:val="20"/>
                <w:lang w:val="en-US"/>
              </w:rPr>
            </w:pPr>
            <w:r>
              <w:rPr>
                <w:sz w:val="20"/>
                <w:szCs w:val="20"/>
                <w:lang w:val="en-US"/>
              </w:rPr>
              <w:t>Cistern</w:t>
            </w:r>
          </w:p>
        </w:tc>
        <w:tc>
          <w:tcPr>
            <w:tcW w:w="649"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652"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654"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656"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648"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759"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659" w:type="dxa"/>
            <w:noWrap/>
            <w:vAlign w:val="bottom"/>
          </w:tcPr>
          <w:p w:rsidR="00000000" w:rsidRDefault="00000000">
            <w:pPr>
              <w:widowControl w:val="0"/>
              <w:spacing w:before="60" w:after="60"/>
              <w:ind w:right="113"/>
              <w:jc w:val="right"/>
              <w:rPr>
                <w:sz w:val="20"/>
                <w:szCs w:val="20"/>
                <w:lang w:val="en-US"/>
              </w:rPr>
            </w:pPr>
            <w:r>
              <w:rPr>
                <w:sz w:val="20"/>
                <w:szCs w:val="20"/>
                <w:lang w:val="en-US"/>
              </w:rPr>
              <w:t>0.5</w:t>
            </w:r>
          </w:p>
        </w:tc>
        <w:tc>
          <w:tcPr>
            <w:tcW w:w="654" w:type="dxa"/>
            <w:noWrap/>
            <w:vAlign w:val="bottom"/>
          </w:tcPr>
          <w:p w:rsidR="00000000" w:rsidRDefault="00000000">
            <w:pPr>
              <w:widowControl w:val="0"/>
              <w:spacing w:before="60" w:after="60"/>
              <w:ind w:right="113"/>
              <w:jc w:val="right"/>
              <w:rPr>
                <w:sz w:val="20"/>
                <w:szCs w:val="20"/>
                <w:lang w:val="en-US"/>
              </w:rPr>
            </w:pPr>
            <w:r>
              <w:rPr>
                <w:sz w:val="20"/>
                <w:szCs w:val="20"/>
                <w:lang w:val="en-US"/>
              </w:rPr>
              <w:t>0.1</w:t>
            </w:r>
          </w:p>
        </w:tc>
        <w:tc>
          <w:tcPr>
            <w:tcW w:w="645" w:type="dxa"/>
            <w:noWrap/>
            <w:vAlign w:val="bottom"/>
          </w:tcPr>
          <w:p w:rsidR="00000000" w:rsidRDefault="00000000">
            <w:pPr>
              <w:widowControl w:val="0"/>
              <w:spacing w:before="60" w:after="60"/>
              <w:ind w:right="113"/>
              <w:jc w:val="right"/>
              <w:rPr>
                <w:sz w:val="20"/>
                <w:szCs w:val="20"/>
                <w:lang w:val="en-US"/>
              </w:rPr>
            </w:pPr>
            <w:r>
              <w:rPr>
                <w:sz w:val="20"/>
                <w:szCs w:val="20"/>
                <w:lang w:val="en-US"/>
              </w:rPr>
              <w:t>1,1</w:t>
            </w:r>
          </w:p>
        </w:tc>
        <w:tc>
          <w:tcPr>
            <w:tcW w:w="661" w:type="dxa"/>
            <w:noWrap/>
            <w:vAlign w:val="bottom"/>
          </w:tcPr>
          <w:p w:rsidR="00000000" w:rsidRDefault="00000000">
            <w:pPr>
              <w:widowControl w:val="0"/>
              <w:spacing w:before="60" w:after="60"/>
              <w:ind w:right="113"/>
              <w:jc w:val="right"/>
              <w:rPr>
                <w:sz w:val="20"/>
                <w:szCs w:val="20"/>
                <w:lang w:val="en-US"/>
              </w:rPr>
            </w:pPr>
            <w:r>
              <w:rPr>
                <w:sz w:val="20"/>
                <w:szCs w:val="20"/>
                <w:lang w:val="en-US"/>
              </w:rPr>
              <w:t xml:space="preserve">0,3 </w:t>
            </w:r>
          </w:p>
        </w:tc>
        <w:tc>
          <w:tcPr>
            <w:tcW w:w="834" w:type="dxa"/>
            <w:gridSpan w:val="2"/>
            <w:noWrap/>
            <w:vAlign w:val="bottom"/>
          </w:tcPr>
          <w:p w:rsidR="00000000" w:rsidRDefault="00000000">
            <w:pPr>
              <w:widowControl w:val="0"/>
              <w:spacing w:before="60" w:after="60"/>
              <w:ind w:right="113"/>
              <w:jc w:val="right"/>
              <w:rPr>
                <w:sz w:val="20"/>
                <w:szCs w:val="20"/>
                <w:lang w:val="en-US"/>
              </w:rPr>
            </w:pPr>
            <w:r>
              <w:rPr>
                <w:sz w:val="20"/>
                <w:szCs w:val="20"/>
                <w:lang w:val="en-US"/>
              </w:rPr>
              <w:t>0,0</w:t>
            </w:r>
          </w:p>
        </w:tc>
        <w:tc>
          <w:tcPr>
            <w:tcW w:w="755" w:type="dxa"/>
            <w:noWrap/>
            <w:vAlign w:val="bottom"/>
          </w:tcPr>
          <w:p w:rsidR="00000000" w:rsidRDefault="00000000">
            <w:pPr>
              <w:widowControl w:val="0"/>
              <w:spacing w:before="60" w:after="60"/>
              <w:ind w:right="113"/>
              <w:jc w:val="right"/>
              <w:rPr>
                <w:sz w:val="20"/>
                <w:szCs w:val="20"/>
                <w:lang w:val="en-US"/>
              </w:rPr>
            </w:pPr>
            <w:r>
              <w:rPr>
                <w:sz w:val="20"/>
                <w:szCs w:val="20"/>
                <w:lang w:val="en-US"/>
              </w:rPr>
              <w:t xml:space="preserve">0,7 </w:t>
            </w:r>
          </w:p>
        </w:tc>
      </w:tr>
      <w:tr w:rsidR="00000000">
        <w:trPr>
          <w:jc w:val="center"/>
        </w:trPr>
        <w:tc>
          <w:tcPr>
            <w:tcW w:w="1203" w:type="dxa"/>
            <w:noWrap/>
            <w:vAlign w:val="bottom"/>
          </w:tcPr>
          <w:p w:rsidR="00000000" w:rsidRDefault="00000000">
            <w:pPr>
              <w:widowControl w:val="0"/>
              <w:spacing w:before="60" w:after="60"/>
              <w:rPr>
                <w:sz w:val="20"/>
                <w:szCs w:val="20"/>
                <w:lang w:val="en-US"/>
              </w:rPr>
            </w:pPr>
            <w:r>
              <w:rPr>
                <w:sz w:val="20"/>
                <w:szCs w:val="20"/>
              </w:rPr>
              <w:t>Other **</w:t>
            </w:r>
          </w:p>
        </w:tc>
        <w:tc>
          <w:tcPr>
            <w:tcW w:w="649" w:type="dxa"/>
            <w:noWrap/>
            <w:vAlign w:val="bottom"/>
          </w:tcPr>
          <w:p w:rsidR="00000000" w:rsidRDefault="00000000">
            <w:pPr>
              <w:widowControl w:val="0"/>
              <w:spacing w:before="60" w:after="60"/>
              <w:ind w:right="113"/>
              <w:jc w:val="right"/>
              <w:rPr>
                <w:sz w:val="20"/>
                <w:szCs w:val="20"/>
                <w:lang w:val="en-US"/>
              </w:rPr>
            </w:pPr>
            <w:r>
              <w:rPr>
                <w:sz w:val="20"/>
                <w:szCs w:val="20"/>
                <w:lang w:val="en-US"/>
              </w:rPr>
              <w:t>1.2</w:t>
            </w:r>
          </w:p>
        </w:tc>
        <w:tc>
          <w:tcPr>
            <w:tcW w:w="652" w:type="dxa"/>
            <w:noWrap/>
            <w:vAlign w:val="bottom"/>
          </w:tcPr>
          <w:p w:rsidR="00000000" w:rsidRDefault="00000000">
            <w:pPr>
              <w:widowControl w:val="0"/>
              <w:spacing w:before="60" w:after="60"/>
              <w:ind w:right="113"/>
              <w:jc w:val="right"/>
              <w:rPr>
                <w:sz w:val="20"/>
                <w:szCs w:val="20"/>
                <w:lang w:val="en-US"/>
              </w:rPr>
            </w:pPr>
            <w:r>
              <w:rPr>
                <w:sz w:val="20"/>
                <w:szCs w:val="20"/>
                <w:lang w:val="en-US"/>
              </w:rPr>
              <w:t>0.8</w:t>
            </w:r>
          </w:p>
        </w:tc>
        <w:tc>
          <w:tcPr>
            <w:tcW w:w="654" w:type="dxa"/>
            <w:noWrap/>
            <w:vAlign w:val="bottom"/>
          </w:tcPr>
          <w:p w:rsidR="00000000" w:rsidRDefault="00000000">
            <w:pPr>
              <w:widowControl w:val="0"/>
              <w:spacing w:before="60" w:after="60"/>
              <w:ind w:right="113"/>
              <w:jc w:val="right"/>
              <w:rPr>
                <w:sz w:val="20"/>
                <w:szCs w:val="20"/>
                <w:lang w:val="en-US"/>
              </w:rPr>
            </w:pPr>
            <w:r>
              <w:rPr>
                <w:sz w:val="20"/>
                <w:szCs w:val="20"/>
                <w:lang w:val="en-US"/>
              </w:rPr>
              <w:t>1.6</w:t>
            </w:r>
          </w:p>
        </w:tc>
        <w:tc>
          <w:tcPr>
            <w:tcW w:w="656" w:type="dxa"/>
            <w:noWrap/>
            <w:vAlign w:val="bottom"/>
          </w:tcPr>
          <w:p w:rsidR="00000000" w:rsidRDefault="00000000">
            <w:pPr>
              <w:widowControl w:val="0"/>
              <w:spacing w:before="60" w:after="60"/>
              <w:ind w:right="113"/>
              <w:jc w:val="right"/>
              <w:rPr>
                <w:sz w:val="20"/>
                <w:szCs w:val="20"/>
                <w:lang w:val="en-US"/>
              </w:rPr>
            </w:pPr>
            <w:r>
              <w:rPr>
                <w:sz w:val="20"/>
                <w:szCs w:val="20"/>
                <w:lang w:val="en-US"/>
              </w:rPr>
              <w:t>0.5</w:t>
            </w:r>
          </w:p>
        </w:tc>
        <w:tc>
          <w:tcPr>
            <w:tcW w:w="648" w:type="dxa"/>
            <w:noWrap/>
            <w:vAlign w:val="bottom"/>
          </w:tcPr>
          <w:p w:rsidR="00000000" w:rsidRDefault="00000000">
            <w:pPr>
              <w:widowControl w:val="0"/>
              <w:spacing w:before="60" w:after="60"/>
              <w:ind w:right="113"/>
              <w:jc w:val="right"/>
              <w:rPr>
                <w:sz w:val="20"/>
                <w:szCs w:val="20"/>
                <w:lang w:val="en-US"/>
              </w:rPr>
            </w:pPr>
            <w:r>
              <w:rPr>
                <w:sz w:val="20"/>
                <w:szCs w:val="20"/>
                <w:lang w:val="en-US"/>
              </w:rPr>
              <w:t>0.1</w:t>
            </w:r>
          </w:p>
        </w:tc>
        <w:tc>
          <w:tcPr>
            <w:tcW w:w="759" w:type="dxa"/>
            <w:noWrap/>
            <w:vAlign w:val="bottom"/>
          </w:tcPr>
          <w:p w:rsidR="00000000" w:rsidRDefault="00000000">
            <w:pPr>
              <w:widowControl w:val="0"/>
              <w:spacing w:before="60" w:after="60"/>
              <w:ind w:right="113"/>
              <w:jc w:val="right"/>
              <w:rPr>
                <w:sz w:val="20"/>
                <w:szCs w:val="20"/>
                <w:lang w:val="en-US"/>
              </w:rPr>
            </w:pPr>
            <w:r>
              <w:rPr>
                <w:sz w:val="20"/>
                <w:szCs w:val="20"/>
                <w:lang w:val="en-US"/>
              </w:rPr>
              <w:t>1.1</w:t>
            </w:r>
          </w:p>
        </w:tc>
        <w:tc>
          <w:tcPr>
            <w:tcW w:w="659" w:type="dxa"/>
            <w:noWrap/>
            <w:vAlign w:val="bottom"/>
          </w:tcPr>
          <w:p w:rsidR="00000000" w:rsidRDefault="00000000">
            <w:pPr>
              <w:widowControl w:val="0"/>
              <w:spacing w:before="60" w:after="60"/>
              <w:ind w:right="113"/>
              <w:jc w:val="right"/>
              <w:rPr>
                <w:sz w:val="20"/>
                <w:szCs w:val="20"/>
                <w:lang w:val="en-US"/>
              </w:rPr>
            </w:pPr>
            <w:r>
              <w:rPr>
                <w:sz w:val="20"/>
                <w:szCs w:val="20"/>
                <w:lang w:val="en-US"/>
              </w:rPr>
              <w:t>0.1</w:t>
            </w:r>
          </w:p>
        </w:tc>
        <w:tc>
          <w:tcPr>
            <w:tcW w:w="654" w:type="dxa"/>
            <w:noWrap/>
            <w:vAlign w:val="bottom"/>
          </w:tcPr>
          <w:p w:rsidR="00000000" w:rsidRDefault="00000000">
            <w:pPr>
              <w:widowControl w:val="0"/>
              <w:spacing w:before="60" w:after="60"/>
              <w:ind w:right="113"/>
              <w:jc w:val="right"/>
              <w:rPr>
                <w:sz w:val="20"/>
                <w:szCs w:val="20"/>
                <w:lang w:val="en-US"/>
              </w:rPr>
            </w:pPr>
            <w:r>
              <w:rPr>
                <w:sz w:val="20"/>
                <w:szCs w:val="20"/>
                <w:lang w:val="en-US"/>
              </w:rPr>
              <w:t>0.0</w:t>
            </w:r>
          </w:p>
        </w:tc>
        <w:tc>
          <w:tcPr>
            <w:tcW w:w="645" w:type="dxa"/>
            <w:noWrap/>
            <w:vAlign w:val="bottom"/>
          </w:tcPr>
          <w:p w:rsidR="00000000" w:rsidRDefault="00000000">
            <w:pPr>
              <w:widowControl w:val="0"/>
              <w:spacing w:before="60" w:after="60"/>
              <w:ind w:right="113"/>
              <w:jc w:val="right"/>
              <w:rPr>
                <w:sz w:val="20"/>
                <w:szCs w:val="20"/>
                <w:lang w:val="en-US"/>
              </w:rPr>
            </w:pPr>
            <w:r>
              <w:rPr>
                <w:sz w:val="20"/>
                <w:szCs w:val="20"/>
                <w:lang w:val="en-US"/>
              </w:rPr>
              <w:t>0,1</w:t>
            </w:r>
          </w:p>
        </w:tc>
        <w:tc>
          <w:tcPr>
            <w:tcW w:w="661"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834" w:type="dxa"/>
            <w:gridSpan w:val="2"/>
            <w:noWrap/>
            <w:vAlign w:val="bottom"/>
          </w:tcPr>
          <w:p w:rsidR="00000000" w:rsidRDefault="00000000">
            <w:pPr>
              <w:widowControl w:val="0"/>
              <w:spacing w:before="60" w:after="60"/>
              <w:ind w:right="113"/>
              <w:jc w:val="right"/>
              <w:rPr>
                <w:sz w:val="20"/>
                <w:szCs w:val="20"/>
                <w:lang w:val="en-US"/>
              </w:rPr>
            </w:pPr>
            <w:r>
              <w:rPr>
                <w:sz w:val="20"/>
                <w:szCs w:val="20"/>
                <w:lang w:val="en-US"/>
              </w:rPr>
              <w:t>-</w:t>
            </w:r>
          </w:p>
        </w:tc>
        <w:tc>
          <w:tcPr>
            <w:tcW w:w="755" w:type="dxa"/>
            <w:noWrap/>
            <w:vAlign w:val="bottom"/>
          </w:tcPr>
          <w:p w:rsidR="00000000" w:rsidRDefault="00000000">
            <w:pPr>
              <w:widowControl w:val="0"/>
              <w:spacing w:before="60" w:after="60"/>
              <w:ind w:right="113"/>
              <w:jc w:val="right"/>
              <w:rPr>
                <w:sz w:val="20"/>
                <w:szCs w:val="20"/>
                <w:lang w:val="en-US"/>
              </w:rPr>
            </w:pPr>
            <w:r>
              <w:rPr>
                <w:sz w:val="20"/>
                <w:szCs w:val="20"/>
                <w:lang w:val="en-US"/>
              </w:rPr>
              <w:t>-</w:t>
            </w:r>
          </w:p>
        </w:tc>
      </w:tr>
      <w:tr w:rsidR="00000000">
        <w:trPr>
          <w:cantSplit/>
          <w:jc w:val="center"/>
        </w:trPr>
        <w:tc>
          <w:tcPr>
            <w:tcW w:w="1203" w:type="dxa"/>
            <w:vMerge w:val="restart"/>
            <w:tcBorders>
              <w:bottom w:val="single" w:sz="4" w:space="0" w:color="auto"/>
            </w:tcBorders>
            <w:noWrap/>
            <w:vAlign w:val="center"/>
          </w:tcPr>
          <w:p w:rsidR="00000000" w:rsidRDefault="00000000">
            <w:pPr>
              <w:pStyle w:val="Heading4"/>
              <w:widowControl w:val="0"/>
              <w:spacing w:before="60" w:after="60"/>
              <w:rPr>
                <w:lang w:val="es-ES_tradnl"/>
              </w:rPr>
            </w:pPr>
            <w:r>
              <w:rPr>
                <w:lang w:val="es-ES_tradnl"/>
              </w:rPr>
              <w:t>Total</w:t>
            </w:r>
          </w:p>
        </w:tc>
        <w:tc>
          <w:tcPr>
            <w:tcW w:w="1301" w:type="dxa"/>
            <w:gridSpan w:val="2"/>
            <w:noWrap/>
            <w:vAlign w:val="bottom"/>
          </w:tcPr>
          <w:p w:rsidR="00000000" w:rsidRDefault="00000000">
            <w:pPr>
              <w:widowControl w:val="0"/>
              <w:spacing w:before="60" w:after="60"/>
              <w:rPr>
                <w:b/>
                <w:bCs/>
                <w:sz w:val="18"/>
                <w:szCs w:val="20"/>
                <w:lang w:val="en-US"/>
              </w:rPr>
            </w:pPr>
            <w:r>
              <w:rPr>
                <w:b/>
                <w:bCs/>
                <w:noProof/>
                <w:sz w:val="20"/>
                <w:szCs w:val="20"/>
                <w:lang w:val="fr-FR" w:eastAsia="fr-FR"/>
              </w:rPr>
              <w:pict>
                <v:line id="_x0000_s2860" style="position:absolute;z-index:60;mso-position-horizontal-relative:text;mso-position-vertical-relative:text" from="48.3pt,2.05pt" to="48.3pt,20.05pt">
                  <v:stroke endarrow="block"/>
                </v:line>
              </w:pict>
            </w:r>
            <w:r>
              <w:rPr>
                <w:b/>
                <w:bCs/>
                <w:sz w:val="18"/>
                <w:szCs w:val="20"/>
                <w:lang w:val="en-US"/>
              </w:rPr>
              <w:t>1 000 404</w:t>
            </w:r>
          </w:p>
        </w:tc>
        <w:tc>
          <w:tcPr>
            <w:tcW w:w="1310" w:type="dxa"/>
            <w:gridSpan w:val="2"/>
            <w:noWrap/>
            <w:vAlign w:val="bottom"/>
          </w:tcPr>
          <w:p w:rsidR="00000000" w:rsidRDefault="00000000">
            <w:pPr>
              <w:widowControl w:val="0"/>
              <w:spacing w:before="60" w:after="60"/>
              <w:ind w:right="113"/>
              <w:rPr>
                <w:b/>
                <w:bCs/>
                <w:sz w:val="18"/>
                <w:szCs w:val="20"/>
                <w:lang w:val="en-US"/>
              </w:rPr>
            </w:pPr>
            <w:r>
              <w:rPr>
                <w:b/>
                <w:bCs/>
                <w:noProof/>
                <w:sz w:val="20"/>
                <w:szCs w:val="20"/>
                <w:lang w:val="fr-FR" w:eastAsia="fr-FR"/>
              </w:rPr>
              <w:pict>
                <v:line id="_x0000_s2861" style="position:absolute;z-index:61;mso-position-horizontal-relative:text;mso-position-vertical-relative:text" from="46.25pt,2.05pt" to="46.25pt,20.05pt">
                  <v:stroke endarrow="block"/>
                </v:line>
              </w:pict>
            </w:r>
            <w:r>
              <w:rPr>
                <w:b/>
                <w:bCs/>
                <w:sz w:val="18"/>
                <w:szCs w:val="20"/>
                <w:lang w:val="en-US"/>
              </w:rPr>
              <w:t xml:space="preserve">  459 354</w:t>
            </w:r>
          </w:p>
        </w:tc>
        <w:tc>
          <w:tcPr>
            <w:tcW w:w="1407" w:type="dxa"/>
            <w:gridSpan w:val="2"/>
            <w:noWrap/>
            <w:vAlign w:val="bottom"/>
          </w:tcPr>
          <w:p w:rsidR="00000000" w:rsidRDefault="00000000">
            <w:pPr>
              <w:widowControl w:val="0"/>
              <w:spacing w:before="60" w:after="60"/>
              <w:ind w:right="113"/>
              <w:rPr>
                <w:b/>
                <w:bCs/>
                <w:sz w:val="18"/>
                <w:szCs w:val="20"/>
                <w:lang w:val="en-US"/>
              </w:rPr>
            </w:pPr>
            <w:r>
              <w:rPr>
                <w:b/>
                <w:bCs/>
                <w:noProof/>
                <w:sz w:val="20"/>
                <w:szCs w:val="20"/>
                <w:lang w:val="fr-FR" w:eastAsia="fr-FR"/>
              </w:rPr>
              <w:pict>
                <v:line id="_x0000_s2864" style="position:absolute;z-index:64;mso-position-horizontal-relative:text;mso-position-vertical-relative:text" from="59.75pt,2.05pt" to="59.75pt,20.05pt">
                  <v:stroke endarrow="block"/>
                </v:line>
              </w:pict>
            </w:r>
            <w:r>
              <w:rPr>
                <w:b/>
                <w:bCs/>
                <w:sz w:val="18"/>
                <w:szCs w:val="20"/>
                <w:lang w:val="en-US"/>
              </w:rPr>
              <w:t xml:space="preserve">  630 864</w:t>
            </w:r>
          </w:p>
        </w:tc>
        <w:tc>
          <w:tcPr>
            <w:tcW w:w="1313" w:type="dxa"/>
            <w:gridSpan w:val="2"/>
            <w:noWrap/>
            <w:vAlign w:val="bottom"/>
          </w:tcPr>
          <w:p w:rsidR="00000000" w:rsidRDefault="00000000">
            <w:pPr>
              <w:widowControl w:val="0"/>
              <w:spacing w:before="60" w:after="60"/>
              <w:ind w:right="113"/>
              <w:rPr>
                <w:b/>
                <w:bCs/>
                <w:sz w:val="18"/>
                <w:szCs w:val="20"/>
                <w:lang w:val="en-US"/>
              </w:rPr>
            </w:pPr>
            <w:r>
              <w:rPr>
                <w:b/>
                <w:bCs/>
                <w:noProof/>
                <w:sz w:val="20"/>
                <w:szCs w:val="20"/>
                <w:lang w:val="fr-FR" w:eastAsia="fr-FR"/>
              </w:rPr>
              <w:pict>
                <v:line id="_x0000_s2863" style="position:absolute;z-index:63;mso-position-horizontal-relative:text;mso-position-vertical-relative:text" from="50.4pt,1.05pt" to="50.4pt,19.05pt">
                  <v:stroke endarrow="block"/>
                </v:line>
              </w:pict>
            </w:r>
            <w:r>
              <w:rPr>
                <w:b/>
                <w:bCs/>
                <w:sz w:val="18"/>
                <w:szCs w:val="20"/>
                <w:lang w:val="en-US"/>
              </w:rPr>
              <w:t>1 288 717</w:t>
            </w:r>
          </w:p>
        </w:tc>
        <w:tc>
          <w:tcPr>
            <w:tcW w:w="1306" w:type="dxa"/>
            <w:gridSpan w:val="2"/>
            <w:noWrap/>
            <w:vAlign w:val="bottom"/>
          </w:tcPr>
          <w:p w:rsidR="00000000" w:rsidRDefault="00000000">
            <w:pPr>
              <w:widowControl w:val="0"/>
              <w:spacing w:before="60" w:after="60"/>
              <w:ind w:right="113"/>
              <w:rPr>
                <w:b/>
                <w:bCs/>
                <w:sz w:val="18"/>
                <w:szCs w:val="20"/>
                <w:lang w:val="en-US"/>
              </w:rPr>
            </w:pPr>
            <w:r>
              <w:rPr>
                <w:b/>
                <w:bCs/>
                <w:noProof/>
                <w:sz w:val="20"/>
                <w:szCs w:val="20"/>
                <w:lang w:val="fr-FR" w:eastAsia="fr-FR"/>
              </w:rPr>
              <w:pict>
                <v:line id="_x0000_s2862" style="position:absolute;z-index:62;mso-position-horizontal-relative:text;mso-position-vertical-relative:text" from="51.75pt,2.05pt" to="51.75pt,20.05pt">
                  <v:stroke endarrow="block"/>
                </v:line>
              </w:pict>
            </w:r>
            <w:r>
              <w:rPr>
                <w:b/>
                <w:bCs/>
                <w:sz w:val="20"/>
                <w:szCs w:val="20"/>
                <w:lang w:val="en-US"/>
              </w:rPr>
              <w:t>523 409</w:t>
            </w:r>
          </w:p>
        </w:tc>
        <w:tc>
          <w:tcPr>
            <w:tcW w:w="1589" w:type="dxa"/>
            <w:gridSpan w:val="3"/>
            <w:noWrap/>
            <w:vAlign w:val="bottom"/>
          </w:tcPr>
          <w:p w:rsidR="00000000" w:rsidRDefault="00000000">
            <w:pPr>
              <w:widowControl w:val="0"/>
              <w:spacing w:before="60" w:after="60"/>
              <w:ind w:right="113"/>
              <w:rPr>
                <w:b/>
                <w:bCs/>
                <w:sz w:val="18"/>
                <w:szCs w:val="20"/>
                <w:lang w:val="en-US"/>
              </w:rPr>
            </w:pPr>
            <w:r>
              <w:rPr>
                <w:b/>
                <w:bCs/>
                <w:noProof/>
                <w:sz w:val="20"/>
                <w:szCs w:val="20"/>
                <w:lang w:val="fr-FR" w:eastAsia="fr-FR"/>
              </w:rPr>
              <w:pict>
                <v:line id="_x0000_s2865" style="position:absolute;z-index:65;mso-position-horizontal-relative:text;mso-position-vertical-relative:text" from="59.45pt,2.05pt" to="59.45pt,20.05pt">
                  <v:stroke endarrow="block"/>
                </v:line>
              </w:pict>
            </w:r>
            <w:r>
              <w:rPr>
                <w:b/>
                <w:bCs/>
                <w:sz w:val="18"/>
                <w:szCs w:val="20"/>
                <w:lang w:val="en-US"/>
              </w:rPr>
              <w:t xml:space="preserve">     813 606</w:t>
            </w:r>
          </w:p>
        </w:tc>
      </w:tr>
      <w:tr w:rsidR="00000000">
        <w:trPr>
          <w:cantSplit/>
          <w:jc w:val="center"/>
        </w:trPr>
        <w:tc>
          <w:tcPr>
            <w:tcW w:w="1203" w:type="dxa"/>
            <w:vMerge/>
            <w:tcBorders>
              <w:top w:val="single" w:sz="4" w:space="0" w:color="auto"/>
              <w:bottom w:val="single" w:sz="4" w:space="0" w:color="auto"/>
            </w:tcBorders>
            <w:noWrap/>
            <w:vAlign w:val="bottom"/>
          </w:tcPr>
          <w:p w:rsidR="00000000" w:rsidRDefault="00000000">
            <w:pPr>
              <w:widowControl w:val="0"/>
              <w:spacing w:before="60" w:after="60"/>
              <w:rPr>
                <w:b/>
                <w:bCs/>
                <w:sz w:val="20"/>
                <w:szCs w:val="20"/>
                <w:lang w:val="es-ES_tradnl"/>
              </w:rPr>
            </w:pPr>
          </w:p>
        </w:tc>
        <w:tc>
          <w:tcPr>
            <w:tcW w:w="649" w:type="dxa"/>
            <w:tcBorders>
              <w:bottom w:val="single" w:sz="4" w:space="0" w:color="auto"/>
            </w:tcBorders>
            <w:noWrap/>
            <w:vAlign w:val="bottom"/>
          </w:tcPr>
          <w:p w:rsidR="00000000" w:rsidRDefault="00000000">
            <w:pPr>
              <w:widowControl w:val="0"/>
              <w:spacing w:before="60" w:after="60"/>
              <w:ind w:right="113"/>
              <w:jc w:val="right"/>
              <w:rPr>
                <w:b/>
                <w:bCs/>
                <w:sz w:val="18"/>
                <w:szCs w:val="20"/>
                <w:lang w:val="en-US"/>
              </w:rPr>
            </w:pPr>
          </w:p>
        </w:tc>
        <w:tc>
          <w:tcPr>
            <w:tcW w:w="1306" w:type="dxa"/>
            <w:gridSpan w:val="2"/>
            <w:tcBorders>
              <w:bottom w:val="single" w:sz="4" w:space="0" w:color="auto"/>
            </w:tcBorders>
            <w:noWrap/>
            <w:vAlign w:val="bottom"/>
          </w:tcPr>
          <w:p w:rsidR="00000000" w:rsidRDefault="00000000">
            <w:pPr>
              <w:widowControl w:val="0"/>
              <w:spacing w:before="60" w:after="60"/>
              <w:ind w:right="113"/>
              <w:rPr>
                <w:b/>
                <w:bCs/>
                <w:sz w:val="18"/>
                <w:szCs w:val="20"/>
                <w:lang w:val="en-US"/>
              </w:rPr>
            </w:pPr>
            <w:r>
              <w:rPr>
                <w:b/>
                <w:bCs/>
                <w:sz w:val="18"/>
                <w:szCs w:val="20"/>
                <w:lang w:val="en-US"/>
              </w:rPr>
              <w:t>541 050</w:t>
            </w:r>
          </w:p>
        </w:tc>
        <w:tc>
          <w:tcPr>
            <w:tcW w:w="1304" w:type="dxa"/>
            <w:gridSpan w:val="2"/>
            <w:tcBorders>
              <w:bottom w:val="single" w:sz="4" w:space="0" w:color="auto"/>
            </w:tcBorders>
            <w:noWrap/>
            <w:vAlign w:val="bottom"/>
          </w:tcPr>
          <w:p w:rsidR="00000000" w:rsidRDefault="00000000">
            <w:pPr>
              <w:widowControl w:val="0"/>
              <w:spacing w:before="60" w:after="60"/>
              <w:ind w:right="113"/>
              <w:rPr>
                <w:b/>
                <w:bCs/>
                <w:sz w:val="18"/>
                <w:szCs w:val="20"/>
                <w:lang w:val="en-US"/>
              </w:rPr>
            </w:pPr>
            <w:r>
              <w:rPr>
                <w:b/>
                <w:bCs/>
                <w:sz w:val="18"/>
                <w:szCs w:val="20"/>
                <w:lang w:val="en-US"/>
              </w:rPr>
              <w:t>1 107 486</w:t>
            </w:r>
          </w:p>
        </w:tc>
        <w:tc>
          <w:tcPr>
            <w:tcW w:w="1418" w:type="dxa"/>
            <w:gridSpan w:val="2"/>
            <w:tcBorders>
              <w:bottom w:val="single" w:sz="4" w:space="0" w:color="auto"/>
            </w:tcBorders>
            <w:noWrap/>
            <w:vAlign w:val="bottom"/>
          </w:tcPr>
          <w:p w:rsidR="00000000" w:rsidRDefault="00000000">
            <w:pPr>
              <w:widowControl w:val="0"/>
              <w:spacing w:before="60" w:after="60"/>
              <w:ind w:right="113"/>
              <w:rPr>
                <w:b/>
                <w:bCs/>
                <w:sz w:val="18"/>
                <w:szCs w:val="20"/>
                <w:lang w:val="en-US"/>
              </w:rPr>
            </w:pPr>
            <w:r>
              <w:rPr>
                <w:b/>
                <w:bCs/>
                <w:sz w:val="18"/>
                <w:szCs w:val="20"/>
                <w:lang w:val="en-US"/>
              </w:rPr>
              <w:t xml:space="preserve">      476 622</w:t>
            </w:r>
          </w:p>
        </w:tc>
        <w:tc>
          <w:tcPr>
            <w:tcW w:w="1299" w:type="dxa"/>
            <w:gridSpan w:val="2"/>
            <w:tcBorders>
              <w:bottom w:val="single" w:sz="4" w:space="0" w:color="auto"/>
            </w:tcBorders>
            <w:noWrap/>
            <w:vAlign w:val="bottom"/>
          </w:tcPr>
          <w:p w:rsidR="00000000" w:rsidRDefault="00000000">
            <w:pPr>
              <w:widowControl w:val="0"/>
              <w:spacing w:before="60" w:after="60"/>
              <w:ind w:right="113"/>
              <w:rPr>
                <w:b/>
                <w:bCs/>
                <w:sz w:val="18"/>
                <w:szCs w:val="20"/>
                <w:lang w:val="en-US"/>
              </w:rPr>
            </w:pPr>
            <w:r>
              <w:rPr>
                <w:b/>
                <w:bCs/>
                <w:sz w:val="18"/>
                <w:szCs w:val="20"/>
                <w:lang w:val="en-US"/>
              </w:rPr>
              <w:t xml:space="preserve"> 765 308</w:t>
            </w:r>
          </w:p>
        </w:tc>
        <w:tc>
          <w:tcPr>
            <w:tcW w:w="1467" w:type="dxa"/>
            <w:gridSpan w:val="2"/>
            <w:tcBorders>
              <w:bottom w:val="single" w:sz="4" w:space="0" w:color="auto"/>
            </w:tcBorders>
            <w:noWrap/>
            <w:vAlign w:val="bottom"/>
          </w:tcPr>
          <w:p w:rsidR="00000000" w:rsidRDefault="00000000">
            <w:pPr>
              <w:widowControl w:val="0"/>
              <w:spacing w:before="60" w:after="60"/>
              <w:ind w:right="113"/>
              <w:rPr>
                <w:b/>
                <w:bCs/>
                <w:sz w:val="18"/>
                <w:szCs w:val="20"/>
                <w:lang w:val="en-US"/>
              </w:rPr>
            </w:pPr>
            <w:r>
              <w:rPr>
                <w:b/>
                <w:bCs/>
                <w:sz w:val="18"/>
                <w:szCs w:val="20"/>
                <w:lang w:val="en-US"/>
              </w:rPr>
              <w:t>1 343 713</w:t>
            </w:r>
          </w:p>
        </w:tc>
        <w:tc>
          <w:tcPr>
            <w:tcW w:w="783" w:type="dxa"/>
            <w:gridSpan w:val="2"/>
            <w:tcBorders>
              <w:bottom w:val="single" w:sz="4" w:space="0" w:color="auto"/>
            </w:tcBorders>
            <w:noWrap/>
            <w:vAlign w:val="bottom"/>
          </w:tcPr>
          <w:p w:rsidR="00000000" w:rsidRDefault="00000000">
            <w:pPr>
              <w:widowControl w:val="0"/>
              <w:spacing w:before="60" w:after="60"/>
              <w:ind w:right="113"/>
              <w:rPr>
                <w:b/>
                <w:bCs/>
                <w:sz w:val="18"/>
                <w:szCs w:val="20"/>
                <w:lang w:val="en-US"/>
              </w:rPr>
            </w:pPr>
            <w:r>
              <w:rPr>
                <w:b/>
                <w:bCs/>
                <w:sz w:val="18"/>
                <w:szCs w:val="20"/>
                <w:lang w:val="en-US"/>
              </w:rPr>
              <w:t>530 107</w:t>
            </w:r>
          </w:p>
        </w:tc>
      </w:tr>
    </w:tbl>
    <w:p w:rsidR="00000000" w:rsidRDefault="00000000">
      <w:pPr>
        <w:autoSpaceDE w:val="0"/>
        <w:autoSpaceDN w:val="0"/>
        <w:adjustRightInd w:val="0"/>
        <w:spacing w:before="120" w:after="80"/>
        <w:ind w:firstLine="567"/>
        <w:rPr>
          <w:sz w:val="20"/>
          <w:szCs w:val="16"/>
          <w:lang w:val="en-US"/>
        </w:rPr>
      </w:pPr>
      <w:r>
        <w:rPr>
          <w:sz w:val="20"/>
          <w:szCs w:val="16"/>
          <w:lang w:val="en-US"/>
        </w:rPr>
        <w:t xml:space="preserve">*  In the EPH 1995-1999 the data are adjusted to the findings of the 2002 Census. </w:t>
      </w:r>
    </w:p>
    <w:p w:rsidR="00000000" w:rsidRDefault="00000000">
      <w:pPr>
        <w:autoSpaceDE w:val="0"/>
        <w:autoSpaceDN w:val="0"/>
        <w:adjustRightInd w:val="0"/>
        <w:spacing w:before="120" w:after="80"/>
        <w:ind w:firstLine="567"/>
        <w:rPr>
          <w:b/>
          <w:bCs/>
          <w:sz w:val="20"/>
          <w:szCs w:val="16"/>
          <w:lang w:val="en-US"/>
        </w:rPr>
      </w:pPr>
      <w:r>
        <w:rPr>
          <w:sz w:val="20"/>
          <w:szCs w:val="16"/>
          <w:lang w:val="en-US"/>
        </w:rPr>
        <w:t>**  Year 1995: includes under “other” cistern, artesian well and pond. Year 1999: includes under “other” stream, farmland, refuse dump. Year 2004: includes under “other” lake or spring and stream.</w:t>
      </w:r>
    </w:p>
    <w:p w:rsidR="00000000" w:rsidRDefault="00000000">
      <w:pPr>
        <w:autoSpaceDE w:val="0"/>
        <w:autoSpaceDN w:val="0"/>
        <w:adjustRightInd w:val="0"/>
        <w:spacing w:before="120" w:after="240"/>
        <w:ind w:firstLine="567"/>
        <w:rPr>
          <w:sz w:val="20"/>
          <w:szCs w:val="16"/>
          <w:lang w:val="en-US"/>
        </w:rPr>
      </w:pPr>
      <w:r>
        <w:rPr>
          <w:i/>
          <w:iCs/>
          <w:sz w:val="20"/>
          <w:szCs w:val="16"/>
          <w:lang w:val="en-US"/>
        </w:rPr>
        <w:t xml:space="preserve">Source: </w:t>
      </w:r>
      <w:r>
        <w:rPr>
          <w:sz w:val="20"/>
          <w:szCs w:val="16"/>
          <w:lang w:val="en-US"/>
        </w:rPr>
        <w:t>STP/DGEEC. Permanent Household Survey 995, 1999, 2004.</w:t>
      </w:r>
    </w:p>
    <w:p w:rsidR="00000000" w:rsidRDefault="00000000">
      <w:pPr>
        <w:autoSpaceDE w:val="0"/>
        <w:autoSpaceDN w:val="0"/>
        <w:adjustRightInd w:val="0"/>
        <w:spacing w:before="120" w:after="240"/>
        <w:ind w:firstLine="567"/>
        <w:rPr>
          <w:sz w:val="20"/>
          <w:szCs w:val="16"/>
          <w:lang w:val="en-US"/>
        </w:rPr>
      </w:pPr>
    </w:p>
    <w:p w:rsidR="00000000" w:rsidRDefault="00000000">
      <w:pPr>
        <w:spacing w:after="240"/>
        <w:rPr>
          <w:lang w:val="en-US"/>
        </w:rPr>
      </w:pPr>
      <w:r>
        <w:rPr>
          <w:lang w:val="en-US"/>
        </w:rPr>
        <w:t>418.</w:t>
      </w:r>
      <w:r>
        <w:rPr>
          <w:lang w:val="en-US"/>
        </w:rPr>
        <w:tab/>
        <w:t>It can also be said the incidence of chronic general malnutrition among children living in homes without drinking water that obtain their water from a stream/lake or pumpless well was considerably higher than those with homes supplied with water by ESSAP, SENASA or a private network (see Diagram 3). Likewise and from the same source, diagram 4 shows that when a home is not equipped with any kind of drainage or with defective drainage chronic and general malnutrition is much more prevalent than in homes with WCs connected to the public network or WCs connected to a pit latrine.</w:t>
      </w:r>
    </w:p>
    <w:p w:rsidR="00000000" w:rsidRDefault="00000000">
      <w:pPr>
        <w:pStyle w:val="FootnoteText"/>
        <w:spacing w:after="240"/>
        <w:jc w:val="center"/>
        <w:rPr>
          <w:lang w:val="es-ES_tradnl"/>
        </w:rPr>
      </w:pPr>
      <w:r>
        <w:rPr>
          <w:b/>
          <w:lang w:val="en-US"/>
        </w:rPr>
        <w:br w:type="page"/>
      </w:r>
      <w:r>
        <w:rPr>
          <w:lang w:val="es-ES_tradnl"/>
        </w:rPr>
        <w:t>DIAGRAM 3</w:t>
      </w:r>
    </w:p>
    <w:p w:rsidR="00000000" w:rsidRDefault="00000000">
      <w:pPr>
        <w:autoSpaceDE w:val="0"/>
        <w:autoSpaceDN w:val="0"/>
        <w:adjustRightInd w:val="0"/>
        <w:spacing w:beforeLines="40" w:before="96" w:afterLines="40" w:after="96"/>
        <w:jc w:val="center"/>
        <w:rPr>
          <w:b/>
          <w:bCs/>
          <w:lang w:val="es-ES_tradnl"/>
        </w:rPr>
      </w:pPr>
      <w:r>
        <w:rPr>
          <w:b/>
          <w:sz w:val="22"/>
          <w:lang w:val="en-US"/>
        </w:rPr>
        <w:t>Prevalence of chronic or general malnutrition according to type</w:t>
      </w:r>
      <w:r>
        <w:rPr>
          <w:b/>
          <w:sz w:val="22"/>
          <w:lang w:val="en-US"/>
        </w:rPr>
        <w:br/>
        <w:t>of water supply in the home</w:t>
      </w:r>
    </w:p>
    <w:p w:rsidR="00000000" w:rsidRDefault="00000000">
      <w:pPr>
        <w:autoSpaceDE w:val="0"/>
        <w:autoSpaceDN w:val="0"/>
        <w:adjustRightInd w:val="0"/>
        <w:spacing w:beforeLines="40" w:before="96" w:afterLines="40" w:after="96"/>
        <w:rPr>
          <w:lang w:val="es-ES_tradnl"/>
        </w:rPr>
      </w:pPr>
      <w:r>
        <w:rPr>
          <w:noProof/>
          <w:sz w:val="20"/>
          <w:lang w:val="fr-FR" w:eastAsia="fr-FR"/>
        </w:rPr>
        <w:pict>
          <v:shape id="_x0000_s2866" type="#_x0000_t202" style="position:absolute;margin-left:8.4pt;margin-top:271.35pt;width:468.25pt;height:64.25pt;z-index:66" stroked="f">
            <v:textbox style="mso-next-textbox:#_x0000_s2866" inset="0,0,0,0">
              <w:txbxContent>
                <w:tbl>
                  <w:tblPr>
                    <w:tblW w:w="0" w:type="auto"/>
                    <w:tblInd w:w="907" w:type="dxa"/>
                    <w:tblCellMar>
                      <w:left w:w="0" w:type="dxa"/>
                      <w:right w:w="0" w:type="dxa"/>
                    </w:tblCellMar>
                    <w:tblLook w:val="0000" w:firstRow="0" w:lastRow="0" w:firstColumn="0" w:lastColumn="0" w:noHBand="0" w:noVBand="0"/>
                  </w:tblPr>
                  <w:tblGrid>
                    <w:gridCol w:w="551"/>
                    <w:gridCol w:w="490"/>
                    <w:gridCol w:w="490"/>
                    <w:gridCol w:w="546"/>
                    <w:gridCol w:w="504"/>
                    <w:gridCol w:w="518"/>
                    <w:gridCol w:w="532"/>
                    <w:gridCol w:w="668"/>
                    <w:gridCol w:w="102"/>
                    <w:gridCol w:w="518"/>
                    <w:gridCol w:w="490"/>
                    <w:gridCol w:w="489"/>
                    <w:gridCol w:w="560"/>
                    <w:gridCol w:w="490"/>
                    <w:gridCol w:w="532"/>
                    <w:gridCol w:w="504"/>
                  </w:tblGrid>
                  <w:tr w:rsidR="00000000">
                    <w:tblPrEx>
                      <w:tblCellMar>
                        <w:top w:w="0" w:type="dxa"/>
                        <w:bottom w:w="0" w:type="dxa"/>
                      </w:tblCellMar>
                    </w:tblPrEx>
                    <w:trPr>
                      <w:cantSplit/>
                    </w:trPr>
                    <w:tc>
                      <w:tcPr>
                        <w:tcW w:w="3631" w:type="dxa"/>
                        <w:gridSpan w:val="7"/>
                      </w:tcPr>
                      <w:p w:rsidR="00000000" w:rsidRDefault="00000000">
                        <w:pPr>
                          <w:spacing w:before="80" w:after="60"/>
                          <w:jc w:val="center"/>
                          <w:rPr>
                            <w:b/>
                            <w:bCs/>
                            <w:sz w:val="14"/>
                            <w:szCs w:val="18"/>
                            <w:lang w:val="es-ES_tradnl"/>
                          </w:rPr>
                        </w:pPr>
                        <w:r>
                          <w:rPr>
                            <w:b/>
                            <w:bCs/>
                            <w:smallCaps/>
                            <w:sz w:val="18"/>
                            <w:szCs w:val="18"/>
                            <w:lang w:val="es-ES_tradnl"/>
                          </w:rPr>
                          <w:t>Under-Average height</w:t>
                        </w:r>
                      </w:p>
                    </w:tc>
                    <w:tc>
                      <w:tcPr>
                        <w:tcW w:w="668" w:type="dxa"/>
                      </w:tcPr>
                      <w:p w:rsidR="00000000" w:rsidRDefault="00000000">
                        <w:pPr>
                          <w:spacing w:before="80" w:after="60"/>
                          <w:rPr>
                            <w:b/>
                            <w:bCs/>
                            <w:sz w:val="14"/>
                            <w:lang w:val="en-US"/>
                          </w:rPr>
                        </w:pPr>
                      </w:p>
                    </w:tc>
                    <w:tc>
                      <w:tcPr>
                        <w:tcW w:w="102" w:type="dxa"/>
                      </w:tcPr>
                      <w:p w:rsidR="00000000" w:rsidRDefault="00000000">
                        <w:pPr>
                          <w:spacing w:before="80" w:after="60"/>
                          <w:rPr>
                            <w:b/>
                            <w:bCs/>
                            <w:sz w:val="14"/>
                            <w:lang w:val="en-US"/>
                          </w:rPr>
                        </w:pPr>
                      </w:p>
                    </w:tc>
                    <w:tc>
                      <w:tcPr>
                        <w:tcW w:w="3583" w:type="dxa"/>
                        <w:gridSpan w:val="7"/>
                      </w:tcPr>
                      <w:p w:rsidR="00000000" w:rsidRDefault="00000000">
                        <w:pPr>
                          <w:spacing w:before="80" w:after="60"/>
                          <w:jc w:val="center"/>
                          <w:rPr>
                            <w:b/>
                            <w:bCs/>
                            <w:sz w:val="14"/>
                            <w:szCs w:val="18"/>
                            <w:lang w:val="es-ES_tradnl"/>
                          </w:rPr>
                        </w:pPr>
                        <w:r>
                          <w:rPr>
                            <w:b/>
                            <w:bCs/>
                            <w:smallCaps/>
                            <w:sz w:val="18"/>
                            <w:szCs w:val="18"/>
                            <w:lang w:val="es-ES_tradnl"/>
                          </w:rPr>
                          <w:t>general nutritional deficiency</w:t>
                        </w:r>
                      </w:p>
                    </w:tc>
                  </w:tr>
                  <w:tr w:rsidR="00000000">
                    <w:tblPrEx>
                      <w:tblCellMar>
                        <w:top w:w="0" w:type="dxa"/>
                        <w:bottom w:w="0" w:type="dxa"/>
                      </w:tblCellMar>
                    </w:tblPrEx>
                    <w:tc>
                      <w:tcPr>
                        <w:tcW w:w="551" w:type="dxa"/>
                      </w:tcPr>
                      <w:p w:rsidR="00000000" w:rsidRDefault="00000000">
                        <w:pPr>
                          <w:spacing w:after="80"/>
                          <w:jc w:val="center"/>
                          <w:rPr>
                            <w:b/>
                            <w:bCs/>
                            <w:sz w:val="14"/>
                            <w:lang w:val="pt-BR"/>
                          </w:rPr>
                        </w:pPr>
                        <w:r>
                          <w:rPr>
                            <w:b/>
                            <w:bCs/>
                            <w:sz w:val="14"/>
                            <w:szCs w:val="14"/>
                            <w:lang w:val="es-ES_tradnl"/>
                          </w:rPr>
                          <w:t>Corpo-sana</w:t>
                        </w:r>
                      </w:p>
                    </w:tc>
                    <w:tc>
                      <w:tcPr>
                        <w:tcW w:w="490" w:type="dxa"/>
                      </w:tcPr>
                      <w:p w:rsidR="00000000" w:rsidRDefault="00000000">
                        <w:pPr>
                          <w:spacing w:after="80"/>
                          <w:jc w:val="center"/>
                          <w:rPr>
                            <w:b/>
                            <w:bCs/>
                            <w:sz w:val="14"/>
                            <w:lang w:val="pt-BR"/>
                          </w:rPr>
                        </w:pPr>
                        <w:r>
                          <w:rPr>
                            <w:b/>
                            <w:bCs/>
                            <w:sz w:val="14"/>
                            <w:szCs w:val="18"/>
                            <w:lang w:val="es-ES_tradnl"/>
                          </w:rPr>
                          <w:t>Senasa</w:t>
                        </w:r>
                      </w:p>
                    </w:tc>
                    <w:tc>
                      <w:tcPr>
                        <w:tcW w:w="490" w:type="dxa"/>
                      </w:tcPr>
                      <w:p w:rsidR="00000000" w:rsidRDefault="00000000">
                        <w:pPr>
                          <w:spacing w:after="80"/>
                          <w:jc w:val="center"/>
                          <w:rPr>
                            <w:b/>
                            <w:bCs/>
                            <w:sz w:val="14"/>
                            <w:lang w:val="en-US"/>
                          </w:rPr>
                        </w:pPr>
                        <w:r>
                          <w:rPr>
                            <w:b/>
                            <w:bCs/>
                            <w:sz w:val="14"/>
                            <w:szCs w:val="18"/>
                            <w:lang w:val="es-ES_tradnl"/>
                          </w:rPr>
                          <w:t>Private system</w:t>
                        </w:r>
                      </w:p>
                    </w:tc>
                    <w:tc>
                      <w:tcPr>
                        <w:tcW w:w="546" w:type="dxa"/>
                      </w:tcPr>
                      <w:p w:rsidR="00000000" w:rsidRDefault="00000000">
                        <w:pPr>
                          <w:spacing w:after="80"/>
                          <w:jc w:val="center"/>
                          <w:rPr>
                            <w:b/>
                            <w:bCs/>
                            <w:sz w:val="14"/>
                            <w:lang w:val="en-US"/>
                          </w:rPr>
                        </w:pPr>
                        <w:r>
                          <w:rPr>
                            <w:b/>
                            <w:bCs/>
                            <w:sz w:val="14"/>
                            <w:szCs w:val="18"/>
                            <w:lang w:val="es-ES_tradnl"/>
                          </w:rPr>
                          <w:t>Well with pump</w:t>
                        </w:r>
                      </w:p>
                    </w:tc>
                    <w:tc>
                      <w:tcPr>
                        <w:tcW w:w="504" w:type="dxa"/>
                      </w:tcPr>
                      <w:p w:rsidR="00000000" w:rsidRDefault="00000000">
                        <w:pPr>
                          <w:spacing w:after="80"/>
                          <w:jc w:val="center"/>
                          <w:rPr>
                            <w:b/>
                            <w:bCs/>
                            <w:sz w:val="14"/>
                            <w:lang w:val="en-US"/>
                          </w:rPr>
                        </w:pPr>
                        <w:r>
                          <w:rPr>
                            <w:b/>
                            <w:bCs/>
                            <w:sz w:val="14"/>
                            <w:szCs w:val="18"/>
                            <w:lang w:val="es-ES_tradnl"/>
                          </w:rPr>
                          <w:t>Well without pump</w:t>
                        </w:r>
                      </w:p>
                    </w:tc>
                    <w:tc>
                      <w:tcPr>
                        <w:tcW w:w="518" w:type="dxa"/>
                      </w:tcPr>
                      <w:p w:rsidR="00000000" w:rsidRDefault="00000000">
                        <w:pPr>
                          <w:spacing w:after="80"/>
                          <w:jc w:val="center"/>
                          <w:rPr>
                            <w:b/>
                            <w:bCs/>
                            <w:sz w:val="14"/>
                            <w:lang w:val="en-US"/>
                          </w:rPr>
                        </w:pPr>
                        <w:r>
                          <w:rPr>
                            <w:b/>
                            <w:bCs/>
                            <w:sz w:val="14"/>
                            <w:szCs w:val="18"/>
                            <w:lang w:val="es-ES_tradnl"/>
                          </w:rPr>
                          <w:t>Stream/</w:t>
                        </w:r>
                        <w:r>
                          <w:rPr>
                            <w:b/>
                            <w:bCs/>
                            <w:sz w:val="14"/>
                            <w:szCs w:val="18"/>
                            <w:lang w:val="es-ES_tradnl"/>
                          </w:rPr>
                          <w:br/>
                          <w:t>River</w:t>
                        </w:r>
                      </w:p>
                    </w:tc>
                    <w:tc>
                      <w:tcPr>
                        <w:tcW w:w="532" w:type="dxa"/>
                      </w:tcPr>
                      <w:p w:rsidR="00000000" w:rsidRDefault="00000000">
                        <w:pPr>
                          <w:spacing w:after="80"/>
                          <w:jc w:val="center"/>
                          <w:rPr>
                            <w:b/>
                            <w:bCs/>
                            <w:sz w:val="14"/>
                            <w:lang w:val="en-US"/>
                          </w:rPr>
                        </w:pPr>
                        <w:r>
                          <w:rPr>
                            <w:b/>
                            <w:bCs/>
                            <w:sz w:val="14"/>
                            <w:szCs w:val="18"/>
                            <w:lang w:val="es-ES_tradnl"/>
                          </w:rPr>
                          <w:t>Lake or spring</w:t>
                        </w:r>
                      </w:p>
                    </w:tc>
                    <w:tc>
                      <w:tcPr>
                        <w:tcW w:w="668" w:type="dxa"/>
                      </w:tcPr>
                      <w:p w:rsidR="00000000" w:rsidRDefault="00000000">
                        <w:pPr>
                          <w:spacing w:after="80"/>
                          <w:rPr>
                            <w:b/>
                            <w:bCs/>
                            <w:sz w:val="14"/>
                            <w:lang w:val="en-US"/>
                          </w:rPr>
                        </w:pPr>
                      </w:p>
                    </w:tc>
                    <w:tc>
                      <w:tcPr>
                        <w:tcW w:w="102" w:type="dxa"/>
                      </w:tcPr>
                      <w:p w:rsidR="00000000" w:rsidRDefault="00000000">
                        <w:pPr>
                          <w:spacing w:after="80"/>
                          <w:rPr>
                            <w:b/>
                            <w:bCs/>
                            <w:sz w:val="14"/>
                            <w:lang w:val="en-US"/>
                          </w:rPr>
                        </w:pPr>
                      </w:p>
                    </w:tc>
                    <w:tc>
                      <w:tcPr>
                        <w:tcW w:w="518" w:type="dxa"/>
                      </w:tcPr>
                      <w:p w:rsidR="00000000" w:rsidRDefault="00000000">
                        <w:pPr>
                          <w:spacing w:after="80"/>
                          <w:jc w:val="center"/>
                          <w:rPr>
                            <w:b/>
                            <w:bCs/>
                            <w:sz w:val="14"/>
                            <w:lang w:val="pt-BR"/>
                          </w:rPr>
                        </w:pPr>
                        <w:r>
                          <w:rPr>
                            <w:b/>
                            <w:bCs/>
                            <w:sz w:val="14"/>
                            <w:szCs w:val="18"/>
                            <w:lang w:val="es-ES_tradnl"/>
                          </w:rPr>
                          <w:t>Corpo-sana</w:t>
                        </w:r>
                      </w:p>
                    </w:tc>
                    <w:tc>
                      <w:tcPr>
                        <w:tcW w:w="490" w:type="dxa"/>
                      </w:tcPr>
                      <w:p w:rsidR="00000000" w:rsidRDefault="00000000">
                        <w:pPr>
                          <w:spacing w:after="80"/>
                          <w:jc w:val="center"/>
                          <w:rPr>
                            <w:b/>
                            <w:bCs/>
                            <w:sz w:val="14"/>
                            <w:lang w:val="pt-BR"/>
                          </w:rPr>
                        </w:pPr>
                        <w:r>
                          <w:rPr>
                            <w:b/>
                            <w:bCs/>
                            <w:sz w:val="14"/>
                            <w:szCs w:val="18"/>
                            <w:lang w:val="es-ES_tradnl"/>
                          </w:rPr>
                          <w:t>Senasa</w:t>
                        </w:r>
                      </w:p>
                    </w:tc>
                    <w:tc>
                      <w:tcPr>
                        <w:tcW w:w="489" w:type="dxa"/>
                      </w:tcPr>
                      <w:p w:rsidR="00000000" w:rsidRDefault="00000000">
                        <w:pPr>
                          <w:spacing w:after="80"/>
                          <w:jc w:val="center"/>
                          <w:rPr>
                            <w:b/>
                            <w:bCs/>
                            <w:sz w:val="14"/>
                            <w:lang w:val="en-US"/>
                          </w:rPr>
                        </w:pPr>
                        <w:r>
                          <w:rPr>
                            <w:b/>
                            <w:bCs/>
                            <w:sz w:val="14"/>
                            <w:szCs w:val="18"/>
                            <w:lang w:val="es-ES_tradnl"/>
                          </w:rPr>
                          <w:t>Private</w:t>
                        </w:r>
                        <w:r>
                          <w:rPr>
                            <w:b/>
                            <w:bCs/>
                            <w:sz w:val="14"/>
                            <w:szCs w:val="18"/>
                            <w:lang w:val="es-ES_tradnl"/>
                          </w:rPr>
                          <w:br/>
                          <w:t>system</w:t>
                        </w:r>
                      </w:p>
                    </w:tc>
                    <w:tc>
                      <w:tcPr>
                        <w:tcW w:w="560" w:type="dxa"/>
                      </w:tcPr>
                      <w:p w:rsidR="00000000" w:rsidRDefault="00000000">
                        <w:pPr>
                          <w:spacing w:after="80"/>
                          <w:jc w:val="center"/>
                          <w:rPr>
                            <w:b/>
                            <w:bCs/>
                            <w:sz w:val="14"/>
                            <w:lang w:val="en-US"/>
                          </w:rPr>
                        </w:pPr>
                        <w:r>
                          <w:rPr>
                            <w:b/>
                            <w:bCs/>
                            <w:sz w:val="14"/>
                            <w:szCs w:val="18"/>
                            <w:lang w:val="es-ES_tradnl"/>
                          </w:rPr>
                          <w:t>Well with pump</w:t>
                        </w:r>
                      </w:p>
                    </w:tc>
                    <w:tc>
                      <w:tcPr>
                        <w:tcW w:w="490" w:type="dxa"/>
                      </w:tcPr>
                      <w:p w:rsidR="00000000" w:rsidRDefault="00000000">
                        <w:pPr>
                          <w:spacing w:after="80"/>
                          <w:jc w:val="center"/>
                          <w:rPr>
                            <w:b/>
                            <w:bCs/>
                            <w:sz w:val="14"/>
                            <w:lang w:val="en-US"/>
                          </w:rPr>
                        </w:pPr>
                        <w:r>
                          <w:rPr>
                            <w:b/>
                            <w:bCs/>
                            <w:sz w:val="14"/>
                            <w:szCs w:val="18"/>
                            <w:lang w:val="es-ES_tradnl"/>
                          </w:rPr>
                          <w:t>Well without pump</w:t>
                        </w:r>
                      </w:p>
                    </w:tc>
                    <w:tc>
                      <w:tcPr>
                        <w:tcW w:w="532" w:type="dxa"/>
                      </w:tcPr>
                      <w:p w:rsidR="00000000" w:rsidRDefault="00000000">
                        <w:pPr>
                          <w:spacing w:after="80"/>
                          <w:jc w:val="center"/>
                          <w:rPr>
                            <w:b/>
                            <w:bCs/>
                            <w:sz w:val="14"/>
                            <w:lang w:val="en-US"/>
                          </w:rPr>
                        </w:pPr>
                        <w:r>
                          <w:rPr>
                            <w:b/>
                            <w:bCs/>
                            <w:sz w:val="14"/>
                            <w:szCs w:val="18"/>
                            <w:lang w:val="es-ES_tradnl"/>
                          </w:rPr>
                          <w:t>Stream/</w:t>
                        </w:r>
                        <w:r>
                          <w:rPr>
                            <w:b/>
                            <w:bCs/>
                            <w:sz w:val="14"/>
                            <w:szCs w:val="18"/>
                            <w:lang w:val="es-ES_tradnl"/>
                          </w:rPr>
                          <w:br/>
                          <w:t>River</w:t>
                        </w:r>
                      </w:p>
                    </w:tc>
                    <w:tc>
                      <w:tcPr>
                        <w:tcW w:w="504" w:type="dxa"/>
                      </w:tcPr>
                      <w:p w:rsidR="00000000" w:rsidRDefault="00000000">
                        <w:pPr>
                          <w:spacing w:after="80"/>
                          <w:jc w:val="center"/>
                          <w:rPr>
                            <w:b/>
                            <w:bCs/>
                            <w:sz w:val="14"/>
                            <w:lang w:val="en-US"/>
                          </w:rPr>
                        </w:pPr>
                        <w:r>
                          <w:rPr>
                            <w:b/>
                            <w:bCs/>
                            <w:sz w:val="14"/>
                            <w:szCs w:val="18"/>
                            <w:lang w:val="es-ES_tradnl"/>
                          </w:rPr>
                          <w:t>Lake or spring</w:t>
                        </w:r>
                      </w:p>
                    </w:tc>
                  </w:tr>
                </w:tbl>
                <w:p w:rsidR="00000000" w:rsidRDefault="00000000">
                  <w:pPr>
                    <w:spacing w:before="80" w:after="80"/>
                    <w:rPr>
                      <w:lang w:val="en-US"/>
                    </w:rPr>
                  </w:pPr>
                </w:p>
              </w:txbxContent>
            </v:textbox>
          </v:shape>
        </w:pict>
      </w:r>
      <w:r>
        <w:rPr>
          <w:noProof/>
          <w:sz w:val="20"/>
          <w:lang w:val="fr-FR" w:eastAsia="fr-FR"/>
        </w:rPr>
        <w:pict>
          <v:shape id="_x0000_s2880" type="#_x0000_t202" style="position:absolute;margin-left:429.2pt;margin-top:152.85pt;width:20.8pt;height:10.85pt;z-index:80" stroked="f">
            <v:textbox style="mso-next-textbox:#_x0000_s2880" inset="0,0,0,0">
              <w:txbxContent>
                <w:p w:rsidR="00000000" w:rsidRDefault="00000000">
                  <w:pPr>
                    <w:jc w:val="center"/>
                    <w:rPr>
                      <w:b/>
                      <w:bCs/>
                      <w:sz w:val="18"/>
                    </w:rPr>
                  </w:pPr>
                  <w:r>
                    <w:rPr>
                      <w:b/>
                      <w:bCs/>
                      <w:sz w:val="18"/>
                    </w:rPr>
                    <w:t>16.5</w:t>
                  </w:r>
                </w:p>
              </w:txbxContent>
            </v:textbox>
          </v:shape>
        </w:pict>
      </w:r>
      <w:r>
        <w:rPr>
          <w:noProof/>
          <w:sz w:val="20"/>
          <w:lang w:val="fr-FR" w:eastAsia="fr-FR"/>
        </w:rPr>
        <w:pict>
          <v:shape id="_x0000_s2878" type="#_x0000_t202" style="position:absolute;margin-left:402.2pt;margin-top:147.6pt;width:20.8pt;height:10.85pt;z-index:78" stroked="f">
            <v:textbox style="mso-next-textbox:#_x0000_s2878" inset="0,0,0,0">
              <w:txbxContent>
                <w:p w:rsidR="00000000" w:rsidRDefault="00000000">
                  <w:pPr>
                    <w:jc w:val="center"/>
                    <w:rPr>
                      <w:b/>
                      <w:bCs/>
                      <w:sz w:val="18"/>
                    </w:rPr>
                  </w:pPr>
                  <w:r>
                    <w:rPr>
                      <w:b/>
                      <w:bCs/>
                      <w:sz w:val="18"/>
                    </w:rPr>
                    <w:t>17.3</w:t>
                  </w:r>
                </w:p>
              </w:txbxContent>
            </v:textbox>
          </v:shape>
        </w:pict>
      </w:r>
      <w:r>
        <w:rPr>
          <w:noProof/>
          <w:sz w:val="20"/>
          <w:lang w:val="fr-FR" w:eastAsia="fr-FR"/>
        </w:rPr>
        <w:pict>
          <v:shape id="_x0000_s2879" type="#_x0000_t202" style="position:absolute;margin-left:377.45pt;margin-top:216.6pt;width:20.8pt;height:10.85pt;z-index:79" stroked="f">
            <v:textbox style="mso-next-textbox:#_x0000_s2879" inset="0,0,0,0">
              <w:txbxContent>
                <w:p w:rsidR="00000000" w:rsidRDefault="00000000">
                  <w:pPr>
                    <w:jc w:val="center"/>
                    <w:rPr>
                      <w:b/>
                      <w:bCs/>
                      <w:sz w:val="18"/>
                    </w:rPr>
                  </w:pPr>
                  <w:r>
                    <w:rPr>
                      <w:b/>
                      <w:bCs/>
                      <w:sz w:val="18"/>
                    </w:rPr>
                    <w:t>6.9</w:t>
                  </w:r>
                </w:p>
              </w:txbxContent>
            </v:textbox>
          </v:shape>
        </w:pict>
      </w:r>
      <w:r>
        <w:rPr>
          <w:noProof/>
          <w:sz w:val="20"/>
          <w:lang w:val="fr-FR" w:eastAsia="fr-FR"/>
        </w:rPr>
        <w:pict>
          <v:shape id="_x0000_s2876" type="#_x0000_t202" style="position:absolute;margin-left:351.95pt;margin-top:247pt;width:20.8pt;height:10.85pt;z-index:76" stroked="f">
            <v:textbox style="mso-next-textbox:#_x0000_s2876" inset="0,0,0,0">
              <w:txbxContent>
                <w:p w:rsidR="00000000" w:rsidRDefault="00000000">
                  <w:pPr>
                    <w:jc w:val="center"/>
                    <w:rPr>
                      <w:b/>
                      <w:bCs/>
                      <w:sz w:val="18"/>
                    </w:rPr>
                  </w:pPr>
                  <w:r>
                    <w:rPr>
                      <w:b/>
                      <w:bCs/>
                      <w:sz w:val="18"/>
                    </w:rPr>
                    <w:t>1.4</w:t>
                  </w:r>
                </w:p>
              </w:txbxContent>
            </v:textbox>
          </v:shape>
        </w:pict>
      </w:r>
      <w:r>
        <w:rPr>
          <w:noProof/>
          <w:sz w:val="20"/>
          <w:lang w:val="fr-FR" w:eastAsia="fr-FR"/>
        </w:rPr>
        <w:pict>
          <v:shape id="_x0000_s2877" type="#_x0000_t202" style="position:absolute;margin-left:325.5pt;margin-top:232pt;width:20.8pt;height:10.85pt;z-index:77" stroked="f">
            <v:textbox style="mso-next-textbox:#_x0000_s2877" inset="0,0,0,0">
              <w:txbxContent>
                <w:p w:rsidR="00000000" w:rsidRDefault="00000000">
                  <w:pPr>
                    <w:jc w:val="center"/>
                    <w:rPr>
                      <w:b/>
                      <w:bCs/>
                      <w:sz w:val="18"/>
                    </w:rPr>
                  </w:pPr>
                  <w:r>
                    <w:rPr>
                      <w:b/>
                      <w:bCs/>
                      <w:sz w:val="18"/>
                    </w:rPr>
                    <w:t>3.9</w:t>
                  </w:r>
                </w:p>
              </w:txbxContent>
            </v:textbox>
          </v:shape>
        </w:pict>
      </w:r>
      <w:r>
        <w:rPr>
          <w:noProof/>
          <w:sz w:val="20"/>
          <w:lang w:val="fr-FR" w:eastAsia="fr-FR"/>
        </w:rPr>
        <w:pict>
          <v:shape id="_x0000_s2870" type="#_x0000_t202" style="position:absolute;margin-left:300pt;margin-top:229.75pt;width:20.8pt;height:10.85pt;z-index:70" stroked="f">
            <v:textbox style="mso-next-textbox:#_x0000_s2870" inset="0,0,0,0">
              <w:txbxContent>
                <w:p w:rsidR="00000000" w:rsidRDefault="00000000">
                  <w:pPr>
                    <w:jc w:val="center"/>
                    <w:rPr>
                      <w:b/>
                      <w:bCs/>
                      <w:sz w:val="18"/>
                    </w:rPr>
                  </w:pPr>
                  <w:r>
                    <w:rPr>
                      <w:b/>
                      <w:bCs/>
                      <w:sz w:val="18"/>
                    </w:rPr>
                    <w:t>4</w:t>
                  </w:r>
                </w:p>
              </w:txbxContent>
            </v:textbox>
          </v:shape>
        </w:pict>
      </w:r>
      <w:r>
        <w:rPr>
          <w:noProof/>
          <w:sz w:val="20"/>
          <w:lang w:val="fr-FR" w:eastAsia="fr-FR"/>
        </w:rPr>
        <w:pict>
          <v:shape id="_x0000_s2871" type="#_x0000_t202" style="position:absolute;margin-left:274.5pt;margin-top:237.25pt;width:19.1pt;height:10.1pt;z-index:71" stroked="f">
            <v:textbox style="mso-next-textbox:#_x0000_s2871" inset="0,0,0,0">
              <w:txbxContent>
                <w:p w:rsidR="00000000" w:rsidRDefault="00000000">
                  <w:pPr>
                    <w:jc w:val="center"/>
                    <w:rPr>
                      <w:b/>
                      <w:bCs/>
                      <w:sz w:val="18"/>
                    </w:rPr>
                  </w:pPr>
                  <w:r>
                    <w:rPr>
                      <w:b/>
                      <w:bCs/>
                      <w:sz w:val="18"/>
                    </w:rPr>
                    <w:t>3</w:t>
                  </w:r>
                </w:p>
              </w:txbxContent>
            </v:textbox>
          </v:shape>
        </w:pict>
      </w:r>
      <w:r>
        <w:rPr>
          <w:noProof/>
          <w:sz w:val="20"/>
          <w:lang w:val="fr-FR" w:eastAsia="fr-FR"/>
        </w:rPr>
        <w:pict>
          <v:shape id="_x0000_s2869" type="#_x0000_t202" style="position:absolute;margin-left:172.5pt;margin-top:38.85pt;width:29.8pt;height:11.4pt;z-index:69" stroked="f">
            <v:textbox style="mso-next-textbox:#_x0000_s2869" inset="0,0,0,0">
              <w:txbxContent>
                <w:p w:rsidR="00000000" w:rsidRDefault="00000000">
                  <w:pPr>
                    <w:jc w:val="right"/>
                    <w:rPr>
                      <w:b/>
                      <w:bCs/>
                      <w:sz w:val="18"/>
                    </w:rPr>
                  </w:pPr>
                  <w:r>
                    <w:rPr>
                      <w:b/>
                      <w:bCs/>
                      <w:sz w:val="18"/>
                    </w:rPr>
                    <w:t xml:space="preserve">34.5  </w:t>
                  </w:r>
                </w:p>
              </w:txbxContent>
            </v:textbox>
          </v:shape>
        </w:pict>
      </w:r>
      <w:r>
        <w:rPr>
          <w:noProof/>
          <w:sz w:val="20"/>
          <w:lang w:val="fr-FR" w:eastAsia="fr-FR"/>
        </w:rPr>
        <w:pict>
          <v:shape id="_x0000_s2872" type="#_x0000_t202" style="position:absolute;margin-left:150.75pt;margin-top:119.7pt;width:29.8pt;height:11.4pt;z-index:72" stroked="f">
            <v:textbox style="mso-next-textbox:#_x0000_s2872" inset="0,0,0,0">
              <w:txbxContent>
                <w:p w:rsidR="00000000" w:rsidRDefault="00000000">
                  <w:pPr>
                    <w:jc w:val="center"/>
                    <w:rPr>
                      <w:b/>
                      <w:bCs/>
                      <w:sz w:val="18"/>
                    </w:rPr>
                  </w:pPr>
                  <w:r>
                    <w:rPr>
                      <w:b/>
                      <w:bCs/>
                      <w:sz w:val="18"/>
                    </w:rPr>
                    <w:t>22.4</w:t>
                  </w:r>
                </w:p>
              </w:txbxContent>
            </v:textbox>
          </v:shape>
        </w:pict>
      </w:r>
      <w:r>
        <w:rPr>
          <w:noProof/>
          <w:sz w:val="20"/>
          <w:lang w:val="fr-FR" w:eastAsia="fr-FR"/>
        </w:rPr>
        <w:pict>
          <v:shape id="_x0000_s2873" type="#_x0000_t202" style="position:absolute;margin-left:75.2pt;margin-top:196.2pt;width:29.8pt;height:11.4pt;z-index:73" stroked="f">
            <v:textbox style="mso-next-textbox:#_x0000_s2873" inset="0,0,0,0">
              <w:txbxContent>
                <w:p w:rsidR="00000000" w:rsidRDefault="00000000">
                  <w:pPr>
                    <w:jc w:val="center"/>
                    <w:rPr>
                      <w:b/>
                      <w:bCs/>
                      <w:sz w:val="18"/>
                    </w:rPr>
                  </w:pPr>
                  <w:r>
                    <w:rPr>
                      <w:b/>
                      <w:bCs/>
                      <w:sz w:val="18"/>
                    </w:rPr>
                    <w:t>9.4</w:t>
                  </w:r>
                </w:p>
              </w:txbxContent>
            </v:textbox>
          </v:shape>
        </w:pict>
      </w:r>
      <w:r>
        <w:rPr>
          <w:noProof/>
          <w:sz w:val="20"/>
          <w:lang w:val="fr-FR" w:eastAsia="fr-FR"/>
        </w:rPr>
        <w:pict>
          <v:shape id="_x0000_s2875" type="#_x0000_t202" style="position:absolute;margin-left:48.75pt;margin-top:215.7pt;width:29.8pt;height:11.4pt;z-index:75" stroked="f">
            <v:textbox style="mso-next-textbox:#_x0000_s2875" inset="0,0,0,0">
              <w:txbxContent>
                <w:p w:rsidR="00000000" w:rsidRDefault="00000000">
                  <w:pPr>
                    <w:jc w:val="center"/>
                    <w:rPr>
                      <w:b/>
                      <w:bCs/>
                      <w:sz w:val="18"/>
                    </w:rPr>
                  </w:pPr>
                  <w:r>
                    <w:rPr>
                      <w:b/>
                      <w:bCs/>
                      <w:sz w:val="18"/>
                    </w:rPr>
                    <w:t>6.7</w:t>
                  </w:r>
                </w:p>
              </w:txbxContent>
            </v:textbox>
          </v:shape>
        </w:pict>
      </w:r>
      <w:r>
        <w:rPr>
          <w:noProof/>
          <w:sz w:val="20"/>
          <w:lang w:val="fr-FR" w:eastAsia="fr-FR"/>
        </w:rPr>
        <w:pict>
          <v:shape id="_x0000_s2867" type="#_x0000_t202" style="position:absolute;margin-left:15.6pt;margin-top:11.1pt;width:15.65pt;height:261pt;z-index:67" stroked="f">
            <v:textbox style="mso-next-textbox:#_x0000_s2867" inset="0,0,0,0">
              <w:txbxContent>
                <w:p w:rsidR="00000000" w:rsidRDefault="00000000">
                  <w:pPr>
                    <w:spacing w:after="400"/>
                    <w:jc w:val="right"/>
                    <w:rPr>
                      <w:b/>
                      <w:bCs/>
                      <w:sz w:val="20"/>
                    </w:rPr>
                  </w:pPr>
                  <w:r>
                    <w:rPr>
                      <w:b/>
                      <w:bCs/>
                      <w:sz w:val="20"/>
                    </w:rPr>
                    <w:t>40</w:t>
                  </w:r>
                </w:p>
                <w:p w:rsidR="00000000" w:rsidRDefault="00000000">
                  <w:pPr>
                    <w:spacing w:after="400"/>
                    <w:jc w:val="right"/>
                    <w:rPr>
                      <w:b/>
                      <w:bCs/>
                      <w:sz w:val="20"/>
                    </w:rPr>
                  </w:pPr>
                  <w:r>
                    <w:rPr>
                      <w:b/>
                      <w:bCs/>
                      <w:sz w:val="20"/>
                    </w:rPr>
                    <w:t>35</w:t>
                  </w:r>
                </w:p>
                <w:p w:rsidR="00000000" w:rsidRDefault="00000000">
                  <w:pPr>
                    <w:spacing w:after="400"/>
                    <w:jc w:val="right"/>
                    <w:rPr>
                      <w:b/>
                      <w:bCs/>
                      <w:sz w:val="20"/>
                    </w:rPr>
                  </w:pPr>
                  <w:r>
                    <w:rPr>
                      <w:b/>
                      <w:bCs/>
                      <w:sz w:val="20"/>
                    </w:rPr>
                    <w:t>30</w:t>
                  </w:r>
                </w:p>
                <w:p w:rsidR="00000000" w:rsidRDefault="00000000">
                  <w:pPr>
                    <w:spacing w:after="100"/>
                    <w:jc w:val="right"/>
                    <w:rPr>
                      <w:b/>
                      <w:bCs/>
                      <w:sz w:val="20"/>
                    </w:rPr>
                  </w:pPr>
                  <w:r>
                    <w:rPr>
                      <w:b/>
                      <w:bCs/>
                      <w:sz w:val="20"/>
                    </w:rPr>
                    <w:t>25</w:t>
                  </w:r>
                </w:p>
                <w:p w:rsidR="00000000" w:rsidRDefault="00000000">
                  <w:pPr>
                    <w:spacing w:after="100"/>
                    <w:jc w:val="right"/>
                    <w:rPr>
                      <w:b/>
                      <w:bCs/>
                      <w:sz w:val="20"/>
                    </w:rPr>
                  </w:pPr>
                  <w:r>
                    <w:rPr>
                      <w:b/>
                      <w:bCs/>
                      <w:sz w:val="20"/>
                    </w:rPr>
                    <w:t>%</w:t>
                  </w:r>
                </w:p>
                <w:p w:rsidR="00000000" w:rsidRDefault="00000000">
                  <w:pPr>
                    <w:spacing w:after="400"/>
                    <w:jc w:val="right"/>
                    <w:rPr>
                      <w:b/>
                      <w:bCs/>
                      <w:sz w:val="20"/>
                    </w:rPr>
                  </w:pPr>
                  <w:r>
                    <w:rPr>
                      <w:b/>
                      <w:bCs/>
                      <w:sz w:val="20"/>
                    </w:rPr>
                    <w:t>20</w:t>
                  </w:r>
                </w:p>
                <w:p w:rsidR="00000000" w:rsidRDefault="00000000">
                  <w:pPr>
                    <w:spacing w:after="400"/>
                    <w:jc w:val="right"/>
                    <w:rPr>
                      <w:b/>
                      <w:bCs/>
                      <w:sz w:val="20"/>
                    </w:rPr>
                  </w:pPr>
                  <w:r>
                    <w:rPr>
                      <w:b/>
                      <w:bCs/>
                      <w:sz w:val="20"/>
                    </w:rPr>
                    <w:t>15</w:t>
                  </w:r>
                </w:p>
                <w:p w:rsidR="00000000" w:rsidRDefault="00000000">
                  <w:pPr>
                    <w:spacing w:after="360"/>
                    <w:jc w:val="right"/>
                    <w:rPr>
                      <w:b/>
                      <w:bCs/>
                      <w:sz w:val="20"/>
                    </w:rPr>
                  </w:pPr>
                  <w:r>
                    <w:rPr>
                      <w:b/>
                      <w:bCs/>
                      <w:sz w:val="20"/>
                    </w:rPr>
                    <w:t>10</w:t>
                  </w:r>
                </w:p>
                <w:p w:rsidR="00000000" w:rsidRDefault="00000000">
                  <w:pPr>
                    <w:spacing w:after="400"/>
                    <w:jc w:val="right"/>
                    <w:rPr>
                      <w:b/>
                      <w:bCs/>
                      <w:sz w:val="20"/>
                    </w:rPr>
                  </w:pPr>
                  <w:r>
                    <w:rPr>
                      <w:b/>
                      <w:bCs/>
                      <w:sz w:val="20"/>
                    </w:rPr>
                    <w:t>5</w:t>
                  </w:r>
                </w:p>
                <w:p w:rsidR="00000000" w:rsidRDefault="00000000">
                  <w:pPr>
                    <w:jc w:val="right"/>
                  </w:pPr>
                  <w:r>
                    <w:rPr>
                      <w:b/>
                      <w:bCs/>
                      <w:sz w:val="20"/>
                    </w:rPr>
                    <w:t>0</w:t>
                  </w:r>
                </w:p>
              </w:txbxContent>
            </v:textbox>
          </v:shape>
        </w:pict>
      </w:r>
      <w:r>
        <w:rPr>
          <w:noProof/>
          <w:sz w:val="20"/>
          <w:lang w:val="fr-FR" w:eastAsia="fr-FR"/>
        </w:rPr>
        <w:pict>
          <v:shape id="_x0000_s2874" type="#_x0000_t202" style="position:absolute;margin-left:105.55pt;margin-top:190.6pt;width:46.4pt;height:11.95pt;z-index:74" stroked="f">
            <v:textbox style="mso-next-textbox:#_x0000_s2874" inset="0,0,0,0">
              <w:txbxContent>
                <w:p w:rsidR="00000000" w:rsidRDefault="00000000">
                  <w:pPr>
                    <w:rPr>
                      <w:b/>
                      <w:bCs/>
                      <w:sz w:val="18"/>
                    </w:rPr>
                  </w:pPr>
                  <w:r>
                    <w:rPr>
                      <w:b/>
                      <w:bCs/>
                      <w:sz w:val="18"/>
                    </w:rPr>
                    <w:t xml:space="preserve">   10       10</w:t>
                  </w:r>
                </w:p>
              </w:txbxContent>
            </v:textbox>
          </v:shape>
        </w:pict>
      </w:r>
      <w:r>
        <w:rPr>
          <w:noProof/>
          <w:sz w:val="20"/>
          <w:lang w:val="fr-FR" w:eastAsia="fr-FR"/>
        </w:rPr>
        <w:pict>
          <v:shape id="_x0000_s2868" type="#_x0000_t202" style="position:absolute;margin-left:207pt;margin-top:29.1pt;width:29.8pt;height:11.4pt;z-index:68" stroked="f">
            <v:textbox style="mso-next-textbox:#_x0000_s2868" inset="0,0,0,0">
              <w:txbxContent>
                <w:p w:rsidR="00000000" w:rsidRDefault="00000000">
                  <w:pPr>
                    <w:jc w:val="center"/>
                    <w:rPr>
                      <w:b/>
                      <w:bCs/>
                      <w:sz w:val="18"/>
                    </w:rPr>
                  </w:pPr>
                  <w:r>
                    <w:rPr>
                      <w:b/>
                      <w:bCs/>
                      <w:sz w:val="18"/>
                    </w:rPr>
                    <w:t>35.5</w:t>
                  </w:r>
                </w:p>
              </w:txbxContent>
            </v:textbox>
          </v:shape>
        </w:pict>
      </w:r>
      <w:r>
        <w:pict>
          <v:shape id="_x0000_i1049" type="#_x0000_t75" style="width:456.75pt;height:336.75pt;mso-wrap-edited:f" o:allowoverlap="f">
            <v:imagedata r:id="rId57" o:title="" cropright="9744f" grayscale="t"/>
          </v:shape>
        </w:pict>
      </w:r>
    </w:p>
    <w:p w:rsidR="00000000" w:rsidRDefault="00000000">
      <w:pPr>
        <w:rPr>
          <w:sz w:val="18"/>
          <w:szCs w:val="18"/>
          <w:lang w:val="es-ES_tradnl"/>
        </w:rPr>
      </w:pPr>
      <w:r>
        <w:rPr>
          <w:lang w:val="es-ES_tradnl"/>
        </w:rPr>
        <w:tab/>
      </w:r>
      <w:r>
        <w:rPr>
          <w:i/>
          <w:iCs/>
          <w:sz w:val="20"/>
          <w:szCs w:val="18"/>
          <w:lang w:val="es-ES_tradnl"/>
        </w:rPr>
        <w:t xml:space="preserve">Source : </w:t>
      </w:r>
      <w:r>
        <w:rPr>
          <w:sz w:val="20"/>
          <w:szCs w:val="18"/>
          <w:lang w:val="es-ES_tradnl"/>
        </w:rPr>
        <w:t>DGEEC.</w:t>
      </w:r>
    </w:p>
    <w:p w:rsidR="00000000" w:rsidRDefault="00000000">
      <w:pPr>
        <w:rPr>
          <w:lang w:val="es-ES_tradnl"/>
        </w:rPr>
      </w:pPr>
    </w:p>
    <w:p w:rsidR="00000000" w:rsidRDefault="00000000">
      <w:pPr>
        <w:keepNext/>
        <w:spacing w:after="240"/>
        <w:jc w:val="center"/>
        <w:rPr>
          <w:smallCaps/>
          <w:lang w:val="es-ES_tradnl"/>
        </w:rPr>
      </w:pPr>
      <w:r>
        <w:rPr>
          <w:smallCaps/>
          <w:sz w:val="22"/>
          <w:lang w:val="es-ES_tradnl"/>
        </w:rPr>
        <w:t>Diagram 4</w:t>
      </w:r>
    </w:p>
    <w:p w:rsidR="00000000" w:rsidRDefault="00000000">
      <w:pPr>
        <w:keepNext/>
        <w:spacing w:after="240"/>
        <w:jc w:val="center"/>
        <w:rPr>
          <w:lang w:val="en-US"/>
        </w:rPr>
      </w:pPr>
      <w:r>
        <w:rPr>
          <w:b/>
          <w:bCs/>
          <w:noProof/>
          <w:sz w:val="20"/>
          <w:szCs w:val="18"/>
          <w:lang w:val="fr-FR" w:eastAsia="fr-FR"/>
        </w:rPr>
        <w:pict>
          <v:shape id="_x0000_s2881" type="#_x0000_t202" style="position:absolute;left:0;text-align:left;margin-left:15.65pt;margin-top:11.35pt;width:19.6pt;height:300pt;z-index:81" stroked="f">
            <v:textbox style="mso-next-textbox:#_x0000_s2881" inset="0,0,0,0">
              <w:txbxContent>
                <w:p w:rsidR="00000000" w:rsidRDefault="00000000">
                  <w:pPr>
                    <w:spacing w:after="400"/>
                    <w:jc w:val="right"/>
                    <w:rPr>
                      <w:b/>
                      <w:bCs/>
                      <w:sz w:val="20"/>
                    </w:rPr>
                  </w:pPr>
                </w:p>
                <w:p w:rsidR="00000000" w:rsidRDefault="00000000">
                  <w:pPr>
                    <w:spacing w:after="500"/>
                    <w:jc w:val="right"/>
                    <w:rPr>
                      <w:b/>
                      <w:bCs/>
                      <w:sz w:val="20"/>
                    </w:rPr>
                  </w:pPr>
                  <w:r>
                    <w:rPr>
                      <w:b/>
                      <w:bCs/>
                      <w:sz w:val="20"/>
                    </w:rPr>
                    <w:t>35</w:t>
                  </w:r>
                </w:p>
                <w:p w:rsidR="00000000" w:rsidRDefault="00000000">
                  <w:pPr>
                    <w:spacing w:after="520"/>
                    <w:jc w:val="right"/>
                    <w:rPr>
                      <w:b/>
                      <w:bCs/>
                      <w:sz w:val="20"/>
                    </w:rPr>
                  </w:pPr>
                  <w:r>
                    <w:rPr>
                      <w:b/>
                      <w:bCs/>
                      <w:sz w:val="20"/>
                    </w:rPr>
                    <w:t>30</w:t>
                  </w:r>
                </w:p>
                <w:p w:rsidR="00000000" w:rsidRDefault="00000000">
                  <w:pPr>
                    <w:spacing w:after="100"/>
                    <w:jc w:val="right"/>
                    <w:rPr>
                      <w:b/>
                      <w:bCs/>
                      <w:sz w:val="20"/>
                    </w:rPr>
                  </w:pPr>
                  <w:r>
                    <w:rPr>
                      <w:b/>
                      <w:bCs/>
                      <w:sz w:val="20"/>
                    </w:rPr>
                    <w:t>25</w:t>
                  </w:r>
                </w:p>
                <w:p w:rsidR="00000000" w:rsidRDefault="00000000">
                  <w:pPr>
                    <w:spacing w:after="180"/>
                    <w:jc w:val="right"/>
                    <w:rPr>
                      <w:b/>
                      <w:bCs/>
                      <w:sz w:val="20"/>
                    </w:rPr>
                  </w:pPr>
                  <w:r>
                    <w:rPr>
                      <w:b/>
                      <w:bCs/>
                      <w:sz w:val="20"/>
                    </w:rPr>
                    <w:t>%</w:t>
                  </w:r>
                </w:p>
                <w:p w:rsidR="00000000" w:rsidRDefault="00000000">
                  <w:pPr>
                    <w:spacing w:after="520"/>
                    <w:jc w:val="right"/>
                    <w:rPr>
                      <w:b/>
                      <w:bCs/>
                      <w:sz w:val="20"/>
                    </w:rPr>
                  </w:pPr>
                  <w:r>
                    <w:rPr>
                      <w:b/>
                      <w:bCs/>
                      <w:sz w:val="20"/>
                    </w:rPr>
                    <w:t>20</w:t>
                  </w:r>
                </w:p>
                <w:p w:rsidR="00000000" w:rsidRDefault="00000000">
                  <w:pPr>
                    <w:spacing w:after="520"/>
                    <w:jc w:val="right"/>
                    <w:rPr>
                      <w:b/>
                      <w:bCs/>
                      <w:sz w:val="20"/>
                    </w:rPr>
                  </w:pPr>
                  <w:r>
                    <w:rPr>
                      <w:b/>
                      <w:bCs/>
                      <w:sz w:val="20"/>
                    </w:rPr>
                    <w:t>15</w:t>
                  </w:r>
                </w:p>
                <w:p w:rsidR="00000000" w:rsidRDefault="00000000">
                  <w:pPr>
                    <w:spacing w:after="480"/>
                    <w:jc w:val="right"/>
                    <w:rPr>
                      <w:b/>
                      <w:bCs/>
                      <w:sz w:val="20"/>
                    </w:rPr>
                  </w:pPr>
                  <w:r>
                    <w:rPr>
                      <w:b/>
                      <w:bCs/>
                      <w:sz w:val="20"/>
                    </w:rPr>
                    <w:t>10</w:t>
                  </w:r>
                </w:p>
                <w:p w:rsidR="00000000" w:rsidRDefault="00000000">
                  <w:pPr>
                    <w:spacing w:after="480"/>
                    <w:jc w:val="right"/>
                    <w:rPr>
                      <w:b/>
                      <w:bCs/>
                      <w:sz w:val="20"/>
                    </w:rPr>
                  </w:pPr>
                  <w:r>
                    <w:rPr>
                      <w:b/>
                      <w:bCs/>
                      <w:sz w:val="20"/>
                    </w:rPr>
                    <w:t>5</w:t>
                  </w:r>
                </w:p>
                <w:p w:rsidR="00000000" w:rsidRDefault="00000000">
                  <w:pPr>
                    <w:jc w:val="right"/>
                  </w:pPr>
                  <w:r>
                    <w:rPr>
                      <w:b/>
                      <w:bCs/>
                      <w:sz w:val="20"/>
                    </w:rPr>
                    <w:t>0</w:t>
                  </w:r>
                </w:p>
              </w:txbxContent>
            </v:textbox>
          </v:shape>
        </w:pict>
      </w:r>
      <w:r>
        <w:rPr>
          <w:b/>
          <w:sz w:val="20"/>
          <w:lang w:val="en-US"/>
        </w:rPr>
        <w:t xml:space="preserve"> </w:t>
      </w:r>
      <w:r>
        <w:rPr>
          <w:b/>
          <w:sz w:val="22"/>
          <w:lang w:val="en-US"/>
        </w:rPr>
        <w:t>Prevalence of chronic and general nutrition deficiency by type of sanitation service in the household, EIH 2000/01</w:t>
      </w:r>
      <w:r>
        <w:rPr>
          <w:rStyle w:val="FootnoteReference"/>
          <w:b/>
          <w:bCs/>
          <w:szCs w:val="18"/>
        </w:rPr>
        <w:footnoteReference w:id="30"/>
      </w:r>
    </w:p>
    <w:p w:rsidR="00000000" w:rsidRDefault="00000000">
      <w:pPr>
        <w:autoSpaceDE w:val="0"/>
        <w:autoSpaceDN w:val="0"/>
        <w:adjustRightInd w:val="0"/>
        <w:spacing w:beforeLines="40" w:before="96" w:afterLines="40" w:after="96"/>
        <w:jc w:val="center"/>
        <w:rPr>
          <w:b/>
          <w:szCs w:val="20"/>
          <w:lang w:val="fr-CH"/>
        </w:rPr>
      </w:pPr>
      <w:r>
        <w:rPr>
          <w:b/>
          <w:bCs/>
          <w:noProof/>
          <w:sz w:val="20"/>
          <w:szCs w:val="18"/>
          <w:lang w:val="fr-CH" w:eastAsia="fr-FR"/>
        </w:rPr>
        <w:pict>
          <v:shape id="_x0000_s2971" type="#_x0000_t202" style="position:absolute;left:0;text-align:left;margin-left:359.25pt;margin-top:204.3pt;width:19.1pt;height:10.1pt;z-index:155" stroked="f">
            <v:textbox style="mso-next-textbox:#_x0000_s2971" inset="0,0,0,0">
              <w:txbxContent>
                <w:p w:rsidR="00000000" w:rsidRDefault="00000000">
                  <w:pPr>
                    <w:jc w:val="center"/>
                    <w:rPr>
                      <w:b/>
                      <w:bCs/>
                      <w:sz w:val="18"/>
                    </w:rPr>
                  </w:pPr>
                  <w:r>
                    <w:rPr>
                      <w:b/>
                      <w:bCs/>
                      <w:sz w:val="18"/>
                    </w:rPr>
                    <w:t>6.2</w:t>
                  </w:r>
                </w:p>
              </w:txbxContent>
            </v:textbox>
          </v:shape>
        </w:pict>
      </w:r>
      <w:r>
        <w:rPr>
          <w:b/>
          <w:bCs/>
          <w:noProof/>
          <w:sz w:val="20"/>
          <w:szCs w:val="18"/>
          <w:lang w:val="fr-CH" w:eastAsia="fr-FR"/>
        </w:rPr>
        <w:pict>
          <v:shape id="_x0000_s2972" type="#_x0000_t202" style="position:absolute;left:0;text-align:left;margin-left:329.65pt;margin-top:239.95pt;width:19.1pt;height:10.1pt;z-index:156" stroked="f">
            <v:textbox style="mso-next-textbox:#_x0000_s2972" inset="0,0,0,0">
              <w:txbxContent>
                <w:p w:rsidR="00000000" w:rsidRDefault="00000000">
                  <w:pPr>
                    <w:jc w:val="center"/>
                    <w:rPr>
                      <w:b/>
                      <w:bCs/>
                      <w:sz w:val="18"/>
                    </w:rPr>
                  </w:pPr>
                  <w:r>
                    <w:rPr>
                      <w:b/>
                      <w:bCs/>
                      <w:sz w:val="18"/>
                    </w:rPr>
                    <w:t>2.3</w:t>
                  </w:r>
                </w:p>
              </w:txbxContent>
            </v:textbox>
          </v:shape>
        </w:pict>
      </w:r>
      <w:r>
        <w:rPr>
          <w:b/>
          <w:bCs/>
          <w:noProof/>
          <w:sz w:val="20"/>
          <w:szCs w:val="18"/>
          <w:lang w:val="fr-CH" w:eastAsia="fr-FR"/>
        </w:rPr>
        <w:pict>
          <v:shape id="_x0000_s2973" type="#_x0000_t202" style="position:absolute;left:0;text-align:left;margin-left:301.15pt;margin-top:239.95pt;width:19.1pt;height:10.1pt;z-index:157" stroked="f">
            <v:textbox style="mso-next-textbox:#_x0000_s2973" inset="0,0,0,0">
              <w:txbxContent>
                <w:p w:rsidR="00000000" w:rsidRDefault="00000000">
                  <w:pPr>
                    <w:jc w:val="center"/>
                    <w:rPr>
                      <w:b/>
                      <w:bCs/>
                      <w:sz w:val="18"/>
                    </w:rPr>
                  </w:pPr>
                  <w:r>
                    <w:rPr>
                      <w:b/>
                      <w:bCs/>
                      <w:sz w:val="18"/>
                    </w:rPr>
                    <w:t>2.4</w:t>
                  </w:r>
                </w:p>
              </w:txbxContent>
            </v:textbox>
          </v:shape>
        </w:pict>
      </w:r>
      <w:r>
        <w:rPr>
          <w:b/>
          <w:bCs/>
          <w:noProof/>
          <w:sz w:val="20"/>
          <w:szCs w:val="18"/>
          <w:lang w:val="fr-CH" w:eastAsia="fr-FR"/>
        </w:rPr>
        <w:pict>
          <v:shape id="_x0000_s2974" type="#_x0000_t202" style="position:absolute;left:0;text-align:left;margin-left:273.4pt;margin-top:248.2pt;width:19.1pt;height:10.1pt;z-index:158" stroked="f">
            <v:textbox style="mso-next-textbox:#_x0000_s2974" inset="0,0,0,0">
              <w:txbxContent>
                <w:p w:rsidR="00000000" w:rsidRDefault="00000000">
                  <w:pPr>
                    <w:jc w:val="center"/>
                    <w:rPr>
                      <w:b/>
                      <w:bCs/>
                      <w:sz w:val="18"/>
                    </w:rPr>
                  </w:pPr>
                  <w:r>
                    <w:rPr>
                      <w:b/>
                      <w:bCs/>
                      <w:sz w:val="18"/>
                    </w:rPr>
                    <w:t>1.1</w:t>
                  </w:r>
                </w:p>
              </w:txbxContent>
            </v:textbox>
          </v:shape>
        </w:pict>
      </w:r>
      <w:r>
        <w:rPr>
          <w:b/>
          <w:bCs/>
          <w:noProof/>
          <w:sz w:val="20"/>
          <w:szCs w:val="18"/>
          <w:lang w:val="fr-CH" w:eastAsia="fr-FR"/>
        </w:rPr>
        <w:pict>
          <v:shape id="_x0000_s2970" type="#_x0000_t202" style="position:absolute;left:0;text-align:left;margin-left:387.15pt;margin-top:185.95pt;width:19.1pt;height:10.1pt;z-index:154" stroked="f">
            <v:textbox style="mso-next-textbox:#_x0000_s2970" inset="0,0,0,0">
              <w:txbxContent>
                <w:p w:rsidR="00000000" w:rsidRDefault="00000000">
                  <w:pPr>
                    <w:jc w:val="center"/>
                    <w:rPr>
                      <w:b/>
                      <w:bCs/>
                      <w:sz w:val="18"/>
                    </w:rPr>
                  </w:pPr>
                  <w:r>
                    <w:rPr>
                      <w:b/>
                      <w:bCs/>
                      <w:sz w:val="18"/>
                    </w:rPr>
                    <w:t>9.3</w:t>
                  </w:r>
                </w:p>
              </w:txbxContent>
            </v:textbox>
          </v:shape>
        </w:pict>
      </w:r>
      <w:r>
        <w:rPr>
          <w:b/>
          <w:bCs/>
          <w:noProof/>
          <w:sz w:val="20"/>
          <w:szCs w:val="18"/>
          <w:lang w:val="fr-CH" w:eastAsia="fr-FR"/>
        </w:rPr>
        <w:pict>
          <v:shape id="_x0000_s2975" type="#_x0000_t202" style="position:absolute;left:0;text-align:left;margin-left:413.9pt;margin-top:133.05pt;width:19.1pt;height:10.1pt;z-index:159" stroked="f">
            <v:textbox style="mso-next-textbox:#_x0000_s2975" inset="0,0,0,0">
              <w:txbxContent>
                <w:p w:rsidR="00000000" w:rsidRDefault="00000000">
                  <w:pPr>
                    <w:jc w:val="center"/>
                    <w:rPr>
                      <w:b/>
                      <w:bCs/>
                      <w:sz w:val="18"/>
                    </w:rPr>
                  </w:pPr>
                  <w:r>
                    <w:rPr>
                      <w:b/>
                      <w:bCs/>
                      <w:sz w:val="18"/>
                    </w:rPr>
                    <w:t>16.8</w:t>
                  </w:r>
                </w:p>
              </w:txbxContent>
            </v:textbox>
          </v:shape>
        </w:pict>
      </w:r>
      <w:r>
        <w:rPr>
          <w:b/>
          <w:bCs/>
          <w:noProof/>
          <w:sz w:val="20"/>
          <w:szCs w:val="18"/>
          <w:lang w:val="fr-CH" w:eastAsia="fr-FR"/>
        </w:rPr>
        <w:pict>
          <v:shape id="_x0000_s2969" type="#_x0000_t202" style="position:absolute;left:0;text-align:left;margin-left:205pt;margin-top:19.3pt;width:19.1pt;height:10.1pt;z-index:153" stroked="f">
            <v:textbox style="mso-next-textbox:#_x0000_s2969" inset="0,0,0,0">
              <w:txbxContent>
                <w:p w:rsidR="00000000" w:rsidRDefault="00000000">
                  <w:pPr>
                    <w:jc w:val="center"/>
                    <w:rPr>
                      <w:b/>
                      <w:bCs/>
                      <w:sz w:val="18"/>
                    </w:rPr>
                  </w:pPr>
                  <w:r>
                    <w:rPr>
                      <w:b/>
                      <w:bCs/>
                      <w:sz w:val="18"/>
                    </w:rPr>
                    <w:t>32.29</w:t>
                  </w:r>
                </w:p>
              </w:txbxContent>
            </v:textbox>
          </v:shape>
        </w:pict>
      </w:r>
      <w:r>
        <w:rPr>
          <w:b/>
          <w:bCs/>
          <w:noProof/>
          <w:sz w:val="20"/>
          <w:szCs w:val="18"/>
          <w:lang w:val="fr-CH" w:eastAsia="fr-FR"/>
        </w:rPr>
        <w:pict>
          <v:shape id="_x0000_s2968" type="#_x0000_t202" style="position:absolute;left:0;text-align:left;margin-left:176.25pt;margin-top:79.8pt;width:19.1pt;height:10.1pt;z-index:152" stroked="f">
            <v:textbox style="mso-next-textbox:#_x0000_s2968" inset="0,0,0,0">
              <w:txbxContent>
                <w:p w:rsidR="00000000" w:rsidRDefault="00000000">
                  <w:pPr>
                    <w:jc w:val="center"/>
                    <w:rPr>
                      <w:b/>
                      <w:bCs/>
                      <w:sz w:val="18"/>
                    </w:rPr>
                  </w:pPr>
                  <w:r>
                    <w:rPr>
                      <w:b/>
                      <w:bCs/>
                      <w:sz w:val="18"/>
                    </w:rPr>
                    <w:t>23.9</w:t>
                  </w:r>
                </w:p>
              </w:txbxContent>
            </v:textbox>
          </v:shape>
        </w:pict>
      </w:r>
      <w:r>
        <w:rPr>
          <w:b/>
          <w:bCs/>
          <w:noProof/>
          <w:sz w:val="20"/>
          <w:szCs w:val="18"/>
          <w:lang w:val="fr-CH" w:eastAsia="fr-FR"/>
        </w:rPr>
        <w:pict>
          <v:shape id="_x0000_s2967" type="#_x0000_t202" style="position:absolute;left:0;text-align:left;margin-left:147.75pt;margin-top:101.8pt;width:19.1pt;height:10.1pt;z-index:151" stroked="f">
            <v:textbox style="mso-next-textbox:#_x0000_s2967" inset="0,0,0,0">
              <w:txbxContent>
                <w:p w:rsidR="00000000" w:rsidRDefault="00000000">
                  <w:pPr>
                    <w:jc w:val="center"/>
                    <w:rPr>
                      <w:b/>
                      <w:bCs/>
                      <w:sz w:val="18"/>
                    </w:rPr>
                  </w:pPr>
                  <w:r>
                    <w:rPr>
                      <w:b/>
                      <w:bCs/>
                      <w:sz w:val="18"/>
                    </w:rPr>
                    <w:t>20.9</w:t>
                  </w:r>
                </w:p>
              </w:txbxContent>
            </v:textbox>
          </v:shape>
        </w:pict>
      </w:r>
      <w:r>
        <w:rPr>
          <w:b/>
          <w:bCs/>
          <w:noProof/>
          <w:sz w:val="20"/>
          <w:szCs w:val="18"/>
          <w:lang w:val="fr-CH" w:eastAsia="fr-FR"/>
        </w:rPr>
        <w:pict>
          <v:shape id="_x0000_s2965" type="#_x0000_t202" style="position:absolute;left:0;text-align:left;margin-left:92pt;margin-top:203.55pt;width:19.1pt;height:10.1pt;z-index:149" stroked="f">
            <v:textbox style="mso-next-textbox:#_x0000_s2965" inset="0,0,0,0">
              <w:txbxContent>
                <w:p w:rsidR="00000000" w:rsidRDefault="00000000">
                  <w:pPr>
                    <w:jc w:val="center"/>
                    <w:rPr>
                      <w:b/>
                      <w:bCs/>
                      <w:sz w:val="18"/>
                    </w:rPr>
                  </w:pPr>
                  <w:r>
                    <w:rPr>
                      <w:b/>
                      <w:bCs/>
                      <w:sz w:val="18"/>
                    </w:rPr>
                    <w:t>7.1</w:t>
                  </w:r>
                </w:p>
              </w:txbxContent>
            </v:textbox>
          </v:shape>
        </w:pict>
      </w:r>
      <w:r>
        <w:rPr>
          <w:b/>
          <w:bCs/>
          <w:noProof/>
          <w:sz w:val="20"/>
          <w:szCs w:val="18"/>
          <w:lang w:val="fr-CH" w:eastAsia="fr-FR"/>
        </w:rPr>
        <w:pict>
          <v:shape id="_x0000_s2966" type="#_x0000_t202" style="position:absolute;left:0;text-align:left;margin-left:119.5pt;margin-top:210.55pt;width:19.1pt;height:10.1pt;z-index:150" stroked="f">
            <v:textbox style="mso-next-textbox:#_x0000_s2966" inset="0,0,0,0">
              <w:txbxContent>
                <w:p w:rsidR="00000000" w:rsidRDefault="00000000">
                  <w:pPr>
                    <w:jc w:val="center"/>
                    <w:rPr>
                      <w:b/>
                      <w:bCs/>
                      <w:sz w:val="18"/>
                    </w:rPr>
                  </w:pPr>
                  <w:r>
                    <w:rPr>
                      <w:b/>
                      <w:bCs/>
                      <w:sz w:val="18"/>
                    </w:rPr>
                    <w:t>6.2</w:t>
                  </w:r>
                </w:p>
              </w:txbxContent>
            </v:textbox>
          </v:shape>
        </w:pict>
      </w:r>
      <w:r>
        <w:rPr>
          <w:b/>
          <w:bCs/>
          <w:noProof/>
          <w:sz w:val="20"/>
          <w:szCs w:val="18"/>
          <w:lang w:val="fr-CH" w:eastAsia="fr-FR"/>
        </w:rPr>
        <w:pict>
          <v:shape id="_x0000_s2964" type="#_x0000_t202" style="position:absolute;left:0;text-align:left;margin-left:62pt;margin-top:211.45pt;width:19.1pt;height:10.1pt;z-index:148" stroked="f">
            <v:textbox style="mso-next-textbox:#_x0000_s2964" inset="0,0,0,0">
              <w:txbxContent>
                <w:p w:rsidR="00000000" w:rsidRDefault="00000000">
                  <w:pPr>
                    <w:jc w:val="center"/>
                    <w:rPr>
                      <w:b/>
                      <w:bCs/>
                      <w:sz w:val="18"/>
                    </w:rPr>
                  </w:pPr>
                  <w:r>
                    <w:rPr>
                      <w:b/>
                      <w:bCs/>
                      <w:sz w:val="18"/>
                    </w:rPr>
                    <w:t>6</w:t>
                  </w:r>
                </w:p>
              </w:txbxContent>
            </v:textbox>
          </v:shape>
        </w:pict>
      </w:r>
      <w:r>
        <w:rPr>
          <w:b/>
          <w:bCs/>
          <w:noProof/>
          <w:sz w:val="20"/>
          <w:szCs w:val="18"/>
          <w:lang w:val="fr-CH" w:eastAsia="fr-FR"/>
        </w:rPr>
        <w:pict>
          <v:shape id="_x0000_s2976" type="#_x0000_t202" style="position:absolute;left:0;text-align:left;margin-left:7.65pt;margin-top:274.55pt;width:451.35pt;height:1in;z-index:160" stroked="f">
            <v:textbox style="mso-next-textbox:#_x0000_s2976" inset="0,0,0,0">
              <w:txbxContent>
                <w:tbl>
                  <w:tblPr>
                    <w:tblW w:w="0" w:type="auto"/>
                    <w:tblInd w:w="1072" w:type="dxa"/>
                    <w:tblCellMar>
                      <w:left w:w="0" w:type="dxa"/>
                      <w:right w:w="0" w:type="dxa"/>
                    </w:tblCellMar>
                    <w:tblLook w:val="0000" w:firstRow="0" w:lastRow="0" w:firstColumn="0" w:lastColumn="0" w:noHBand="0" w:noVBand="0"/>
                  </w:tblPr>
                  <w:tblGrid>
                    <w:gridCol w:w="1694"/>
                    <w:gridCol w:w="1829"/>
                    <w:gridCol w:w="668"/>
                    <w:gridCol w:w="102"/>
                    <w:gridCol w:w="1586"/>
                    <w:gridCol w:w="1997"/>
                  </w:tblGrid>
                  <w:tr w:rsidR="00000000">
                    <w:tblPrEx>
                      <w:tblCellMar>
                        <w:top w:w="0" w:type="dxa"/>
                        <w:bottom w:w="0" w:type="dxa"/>
                      </w:tblCellMar>
                    </w:tblPrEx>
                    <w:trPr>
                      <w:cantSplit/>
                    </w:trPr>
                    <w:tc>
                      <w:tcPr>
                        <w:tcW w:w="3523" w:type="dxa"/>
                        <w:gridSpan w:val="2"/>
                      </w:tcPr>
                      <w:p w:rsidR="00000000" w:rsidRDefault="00000000">
                        <w:pPr>
                          <w:spacing w:before="80" w:after="60"/>
                          <w:jc w:val="center"/>
                          <w:rPr>
                            <w:b/>
                            <w:bCs/>
                            <w:sz w:val="14"/>
                            <w:szCs w:val="18"/>
                            <w:lang w:val="es-ES_tradnl"/>
                          </w:rPr>
                        </w:pPr>
                        <w:r>
                          <w:rPr>
                            <w:smallCaps/>
                            <w:sz w:val="18"/>
                            <w:szCs w:val="18"/>
                            <w:lang w:val="es-ES_tradnl"/>
                          </w:rPr>
                          <w:t>UNDER-AVERAGE HEIGHT</w:t>
                        </w:r>
                      </w:p>
                    </w:tc>
                    <w:tc>
                      <w:tcPr>
                        <w:tcW w:w="668" w:type="dxa"/>
                      </w:tcPr>
                      <w:p w:rsidR="00000000" w:rsidRDefault="00000000">
                        <w:pPr>
                          <w:spacing w:before="80" w:after="60"/>
                          <w:rPr>
                            <w:b/>
                            <w:bCs/>
                            <w:sz w:val="14"/>
                          </w:rPr>
                        </w:pPr>
                      </w:p>
                    </w:tc>
                    <w:tc>
                      <w:tcPr>
                        <w:tcW w:w="102" w:type="dxa"/>
                      </w:tcPr>
                      <w:p w:rsidR="00000000" w:rsidRDefault="00000000">
                        <w:pPr>
                          <w:spacing w:before="80" w:after="60"/>
                          <w:rPr>
                            <w:b/>
                            <w:bCs/>
                            <w:sz w:val="14"/>
                          </w:rPr>
                        </w:pPr>
                      </w:p>
                    </w:tc>
                    <w:tc>
                      <w:tcPr>
                        <w:tcW w:w="3583" w:type="dxa"/>
                        <w:gridSpan w:val="2"/>
                      </w:tcPr>
                      <w:p w:rsidR="00000000" w:rsidRDefault="00000000">
                        <w:pPr>
                          <w:spacing w:before="80" w:after="60"/>
                          <w:jc w:val="center"/>
                          <w:rPr>
                            <w:b/>
                            <w:bCs/>
                            <w:sz w:val="14"/>
                            <w:szCs w:val="18"/>
                            <w:lang w:val="es-ES_tradnl"/>
                          </w:rPr>
                        </w:pPr>
                        <w:r>
                          <w:rPr>
                            <w:smallCaps/>
                            <w:sz w:val="18"/>
                            <w:szCs w:val="18"/>
                            <w:lang w:val="es-ES_tradnl"/>
                          </w:rPr>
                          <w:t>GENERAL NUTRITIONAL DEFICIENCY</w:t>
                        </w:r>
                      </w:p>
                    </w:tc>
                  </w:tr>
                  <w:tr w:rsidR="00000000">
                    <w:tblPrEx>
                      <w:tblCellMar>
                        <w:top w:w="0" w:type="dxa"/>
                        <w:bottom w:w="0" w:type="dxa"/>
                      </w:tblCellMar>
                    </w:tblPrEx>
                    <w:trPr>
                      <w:cantSplit/>
                    </w:trPr>
                    <w:tc>
                      <w:tcPr>
                        <w:tcW w:w="1694" w:type="dxa"/>
                      </w:tcPr>
                      <w:p w:rsidR="00000000" w:rsidRDefault="00000000">
                        <w:pPr>
                          <w:spacing w:after="80"/>
                          <w:jc w:val="center"/>
                          <w:rPr>
                            <w:b/>
                            <w:bCs/>
                            <w:sz w:val="16"/>
                            <w:lang w:val="en-US"/>
                          </w:rPr>
                        </w:pPr>
                        <w:r>
                          <w:rPr>
                            <w:b/>
                            <w:bCs/>
                            <w:sz w:val="16"/>
                            <w:lang w:val="en-US"/>
                          </w:rPr>
                          <w:t>Toilets connected to public sewer or to a cesspool</w:t>
                        </w:r>
                      </w:p>
                    </w:tc>
                    <w:tc>
                      <w:tcPr>
                        <w:tcW w:w="1829" w:type="dxa"/>
                      </w:tcPr>
                      <w:p w:rsidR="00000000" w:rsidRDefault="00000000">
                        <w:pPr>
                          <w:spacing w:after="80"/>
                          <w:jc w:val="center"/>
                          <w:rPr>
                            <w:b/>
                            <w:bCs/>
                            <w:sz w:val="16"/>
                            <w:lang w:val="en-US"/>
                          </w:rPr>
                        </w:pPr>
                        <w:r>
                          <w:rPr>
                            <w:b/>
                            <w:bCs/>
                            <w:sz w:val="16"/>
                            <w:lang w:val="en-US"/>
                          </w:rPr>
                          <w:t>Household with no drain or highly unreliable drain</w:t>
                        </w:r>
                      </w:p>
                    </w:tc>
                    <w:tc>
                      <w:tcPr>
                        <w:tcW w:w="668" w:type="dxa"/>
                      </w:tcPr>
                      <w:p w:rsidR="00000000" w:rsidRDefault="00000000">
                        <w:pPr>
                          <w:spacing w:after="80"/>
                          <w:rPr>
                            <w:b/>
                            <w:bCs/>
                            <w:sz w:val="14"/>
                            <w:lang w:val="en-US"/>
                          </w:rPr>
                        </w:pPr>
                      </w:p>
                    </w:tc>
                    <w:tc>
                      <w:tcPr>
                        <w:tcW w:w="1688" w:type="dxa"/>
                        <w:gridSpan w:val="2"/>
                      </w:tcPr>
                      <w:p w:rsidR="00000000" w:rsidRDefault="00000000">
                        <w:pPr>
                          <w:spacing w:after="80"/>
                          <w:jc w:val="center"/>
                          <w:rPr>
                            <w:b/>
                            <w:bCs/>
                            <w:sz w:val="16"/>
                            <w:lang w:val="en-US"/>
                          </w:rPr>
                        </w:pPr>
                        <w:r>
                          <w:rPr>
                            <w:b/>
                            <w:bCs/>
                            <w:sz w:val="16"/>
                            <w:lang w:val="en-US"/>
                          </w:rPr>
                          <w:t>Toilets connected to public sewer or to a cesspool</w:t>
                        </w:r>
                      </w:p>
                    </w:tc>
                    <w:tc>
                      <w:tcPr>
                        <w:tcW w:w="1997" w:type="dxa"/>
                      </w:tcPr>
                      <w:p w:rsidR="00000000" w:rsidRDefault="00000000">
                        <w:pPr>
                          <w:spacing w:after="80"/>
                          <w:jc w:val="center"/>
                          <w:rPr>
                            <w:b/>
                            <w:bCs/>
                            <w:sz w:val="16"/>
                            <w:lang w:val="en-US"/>
                          </w:rPr>
                        </w:pPr>
                        <w:r>
                          <w:rPr>
                            <w:b/>
                            <w:bCs/>
                            <w:sz w:val="16"/>
                            <w:lang w:val="en-US"/>
                          </w:rPr>
                          <w:t>Household with no drain or highly unreliable drain</w:t>
                        </w:r>
                      </w:p>
                    </w:tc>
                  </w:tr>
                </w:tbl>
                <w:p w:rsidR="00000000" w:rsidRDefault="00000000">
                  <w:pPr>
                    <w:rPr>
                      <w:lang w:val="en-US"/>
                    </w:rPr>
                  </w:pPr>
                </w:p>
              </w:txbxContent>
            </v:textbox>
          </v:shape>
        </w:pict>
      </w:r>
      <w:r>
        <w:rPr>
          <w:lang w:val="fr-CH"/>
        </w:rPr>
        <w:pict>
          <v:shape id="_x0000_i1050" type="#_x0000_t75" style="width:456.75pt;height:319.5pt;mso-wrap-edited:f" o:allowoverlap="f">
            <v:imagedata r:id="rId58" o:title="" croptop="7800f" cropright="12414f" grayscale="t"/>
          </v:shape>
        </w:pict>
      </w:r>
    </w:p>
    <w:p w:rsidR="00000000" w:rsidRDefault="00000000">
      <w:pPr>
        <w:pStyle w:val="xl23"/>
        <w:keepNext/>
        <w:spacing w:before="0" w:beforeAutospacing="0" w:after="240" w:afterAutospacing="0"/>
        <w:rPr>
          <w:rFonts w:ascii="Times New Roman" w:hAnsi="Times New Roman" w:cs="Times New Roman"/>
          <w:sz w:val="16"/>
          <w:szCs w:val="16"/>
          <w:lang w:val="fr-CH" w:eastAsia="en-US"/>
        </w:rPr>
      </w:pPr>
    </w:p>
    <w:p w:rsidR="00000000" w:rsidRDefault="00000000">
      <w:pPr>
        <w:keepNext/>
        <w:spacing w:after="240"/>
        <w:rPr>
          <w:sz w:val="16"/>
          <w:szCs w:val="16"/>
          <w:lang w:val="en-US"/>
        </w:rPr>
      </w:pPr>
      <w:r>
        <w:rPr>
          <w:sz w:val="16"/>
          <w:szCs w:val="16"/>
          <w:lang w:val="fr-CH"/>
        </w:rPr>
        <w:tab/>
      </w:r>
      <w:r>
        <w:rPr>
          <w:i/>
          <w:iCs/>
          <w:sz w:val="16"/>
          <w:szCs w:val="16"/>
          <w:lang w:val="en-US"/>
        </w:rPr>
        <w:t xml:space="preserve">Source :  </w:t>
      </w:r>
      <w:r>
        <w:rPr>
          <w:sz w:val="16"/>
          <w:szCs w:val="16"/>
          <w:lang w:val="en-US"/>
        </w:rPr>
        <w:t>DGEEC.</w:t>
      </w:r>
    </w:p>
    <w:p w:rsidR="00000000" w:rsidRDefault="00000000">
      <w:pPr>
        <w:spacing w:after="240"/>
        <w:rPr>
          <w:b/>
          <w:lang w:val="en-US"/>
        </w:rPr>
      </w:pPr>
      <w:r>
        <w:rPr>
          <w:b/>
          <w:bCs/>
          <w:lang w:val="en-US"/>
        </w:rPr>
        <w:t>3.</w:t>
      </w:r>
      <w:r>
        <w:rPr>
          <w:b/>
          <w:bCs/>
          <w:lang w:val="en-US"/>
        </w:rPr>
        <w:tab/>
        <w:t>Access to housing</w:t>
      </w:r>
      <w:r>
        <w:rPr>
          <w:b/>
          <w:lang w:val="en-US"/>
        </w:rPr>
        <w:t xml:space="preserve"> – National Housing Council</w:t>
      </w:r>
      <w:r>
        <w:rPr>
          <w:b/>
          <w:iCs/>
          <w:lang w:val="en-US"/>
        </w:rPr>
        <w:t xml:space="preserve"> (CONAVI)</w:t>
      </w:r>
    </w:p>
    <w:p w:rsidR="00000000" w:rsidRDefault="00000000">
      <w:pPr>
        <w:spacing w:after="240"/>
        <w:rPr>
          <w:iCs/>
          <w:lang w:val="en-US"/>
        </w:rPr>
      </w:pPr>
      <w:r>
        <w:rPr>
          <w:lang w:val="en-US"/>
        </w:rPr>
        <w:t>419</w:t>
      </w:r>
      <w:r>
        <w:rPr>
          <w:iCs/>
          <w:lang w:val="en-US"/>
        </w:rPr>
        <w:t>.</w:t>
      </w:r>
      <w:r>
        <w:rPr>
          <w:iCs/>
          <w:lang w:val="en-US"/>
        </w:rPr>
        <w:tab/>
        <w:t>The National Housing Council, created in 1990, is the independent body for “establishing the national housing policy within the framework of macroeconomic policies and the National Development Plan in which they are contained, with a view to meeting housing demand and find housing solutions”. CONAVI is the lead body in Paraguay’s housing sector.</w:t>
      </w:r>
    </w:p>
    <w:p w:rsidR="00000000" w:rsidRDefault="00000000">
      <w:pPr>
        <w:spacing w:after="240"/>
        <w:rPr>
          <w:lang w:val="en-US"/>
        </w:rPr>
      </w:pPr>
      <w:r>
        <w:rPr>
          <w:lang w:val="en-US"/>
        </w:rPr>
        <w:t>420.</w:t>
      </w:r>
      <w:r>
        <w:rPr>
          <w:lang w:val="en-US"/>
        </w:rPr>
        <w:tab/>
        <w:t>Between 1995 and 2000 a Direct Housing Subsidy System was developed with financing from the Inter-American Development Bank (IDB) and the National Treasury. It was based on the following three components: subsidy, savings and credit. Five levels of subsidy were established in minimum-wage units, as a function of the beneficiaries’ socio-economic level and the maximum value of the dwelling. Additional loans were awarded by intermediary financial institutions, including savings and loans housing societies (SAPVs), and some credit institutions and cooperatives at market rates and adjusted through a dual indexation system. The National Housing Bank set up a mortgage rediscount fund, discounting mortgage loans made by the intermediary institutions, in order to boost the award of such loans.</w:t>
      </w:r>
    </w:p>
    <w:p w:rsidR="00000000" w:rsidRDefault="00000000">
      <w:pPr>
        <w:spacing w:after="240"/>
        <w:rPr>
          <w:lang w:val="en-US"/>
        </w:rPr>
      </w:pPr>
      <w:r>
        <w:rPr>
          <w:lang w:val="en-US"/>
        </w:rPr>
        <w:t>421.</w:t>
      </w:r>
      <w:r>
        <w:rPr>
          <w:lang w:val="en-US"/>
        </w:rPr>
        <w:tab/>
        <w:t>Construction companies and estate agents were put in charge of construction and supply in the housing market for the subsidy beneficiaries. This system made possible the construction of 10,000 homes. The system failed for various reasons, including the crisis of the Paraguayan financial system, which led to the failure of a number of banks and housing savings and loan societies. By law the portfolios of the intermediary institutions were transferred to CONAVI and the debts were refinanced on the basis of fixed rates and payments. During the period 2000-2003 the budget allocated to CONAVI did not permit the execution of significant projects, and long-term financing of housing practically disappeared in Paraguay. Since 2003, with the new government administration and that of CONAVI, the institutions have established two major programmes for access to social housing, as follows.</w:t>
      </w:r>
    </w:p>
    <w:p w:rsidR="00000000" w:rsidRDefault="00000000">
      <w:pPr>
        <w:spacing w:after="240"/>
        <w:rPr>
          <w:b/>
          <w:lang w:val="en-US"/>
        </w:rPr>
      </w:pPr>
      <w:r>
        <w:rPr>
          <w:b/>
          <w:lang w:val="en-US"/>
        </w:rPr>
        <w:t>3.1</w:t>
      </w:r>
      <w:r>
        <w:rPr>
          <w:b/>
          <w:lang w:val="en-US"/>
        </w:rPr>
        <w:tab/>
        <w:t>The Community Improvement Programme</w:t>
      </w:r>
    </w:p>
    <w:p w:rsidR="00000000" w:rsidRDefault="00000000">
      <w:pPr>
        <w:spacing w:after="240"/>
        <w:rPr>
          <w:lang w:val="en-US"/>
        </w:rPr>
      </w:pPr>
      <w:r>
        <w:rPr>
          <w:lang w:val="en-US"/>
        </w:rPr>
        <w:t>422.</w:t>
      </w:r>
      <w:r>
        <w:rPr>
          <w:lang w:val="en-US"/>
        </w:rPr>
        <w:tab/>
        <w:t>With donations from Taiwan, this programme is geared to families living in poverty or extreme poverty, which are virtually subsidized in full. Houses are built and improvements made to homes inhabited by the beneficiary population where they actually live. In two years 1,500 homes have been built, and they do not generate a loan portfolio.</w:t>
      </w:r>
    </w:p>
    <w:p w:rsidR="00000000" w:rsidRDefault="00000000">
      <w:pPr>
        <w:spacing w:after="240"/>
        <w:rPr>
          <w:lang w:val="en-US"/>
        </w:rPr>
      </w:pPr>
      <w:r>
        <w:rPr>
          <w:lang w:val="en-US"/>
        </w:rPr>
        <w:t>423.</w:t>
      </w:r>
      <w:r>
        <w:rPr>
          <w:lang w:val="en-US"/>
        </w:rPr>
        <w:tab/>
        <w:t>The Social Action Secretariat (SAS) is implementing a similar programme with funds from the same source and with a similar number of houses per year.</w:t>
      </w:r>
    </w:p>
    <w:p w:rsidR="00000000" w:rsidRDefault="00000000">
      <w:pPr>
        <w:spacing w:after="240"/>
        <w:rPr>
          <w:lang w:val="en-US"/>
        </w:rPr>
      </w:pPr>
      <w:r>
        <w:rPr>
          <w:b/>
          <w:lang w:val="en-US"/>
        </w:rPr>
        <w:t>3.2</w:t>
      </w:r>
      <w:r>
        <w:rPr>
          <w:b/>
          <w:lang w:val="en-US"/>
        </w:rPr>
        <w:tab/>
        <w:t>Mortgage loans programme</w:t>
      </w:r>
    </w:p>
    <w:p w:rsidR="00000000" w:rsidRDefault="00000000">
      <w:pPr>
        <w:spacing w:after="240"/>
        <w:rPr>
          <w:lang w:val="en-US"/>
        </w:rPr>
      </w:pPr>
      <w:r>
        <w:rPr>
          <w:lang w:val="en-US"/>
        </w:rPr>
        <w:t>424.</w:t>
      </w:r>
      <w:r>
        <w:rPr>
          <w:lang w:val="en-US"/>
        </w:rPr>
        <w:tab/>
        <w:t>Using CONAVI’s own resources, this programme is targets middle-class families. The loans are made by intermediary financial institutions, especially cooperatives, at a rate of 17 per cent per annum on salaries, without readjustments, with fixed payments over a period of 15 years. These loans are rediscounted at CONAVI with a mortgage guarantee for the same period and at a rate of 11 per cent per annum on balances. This programme is currently suffering from limited resources. However, a total of 300 dwellings have been built.</w:t>
      </w:r>
    </w:p>
    <w:p w:rsidR="00000000" w:rsidRDefault="00000000">
      <w:pPr>
        <w:spacing w:after="240"/>
        <w:rPr>
          <w:lang w:val="en-US"/>
        </w:rPr>
      </w:pPr>
      <w:r>
        <w:rPr>
          <w:lang w:val="en-US"/>
        </w:rPr>
        <w:t>425.</w:t>
      </w:r>
      <w:r>
        <w:rPr>
          <w:lang w:val="en-US"/>
        </w:rPr>
        <w:tab/>
        <w:t>Also under way is a pilot project with mutual-aid housing cooperatives for the population living in poverty. A mortgage loan was granted to the cooperatives consortium, with a readjustment system based on the minimum wage unit (USM) but interest-free. The project provides for a total of 300 dwellings, 135 of which have so far been completed.</w:t>
      </w:r>
    </w:p>
    <w:p w:rsidR="00000000" w:rsidRDefault="00000000">
      <w:pPr>
        <w:spacing w:after="240"/>
        <w:rPr>
          <w:lang w:val="en-US"/>
        </w:rPr>
      </w:pPr>
      <w:r>
        <w:rPr>
          <w:lang w:val="en-US"/>
        </w:rPr>
        <w:t>426.</w:t>
      </w:r>
      <w:r>
        <w:rPr>
          <w:lang w:val="en-US"/>
        </w:rPr>
        <w:tab/>
        <w:t>There are also plans to implement a new programme for workers at the medium-to-low socio-economic level. This project is also based on the components of: direct subsidy, savings and loans, and would preferably operate through cooperatives. Another initiative in this area is the recent creation, by law, of the Development Financing Agency (AFD)</w:t>
      </w:r>
      <w:r>
        <w:rPr>
          <w:b/>
          <w:lang w:val="en-US"/>
        </w:rPr>
        <w:t xml:space="preserve">, </w:t>
      </w:r>
      <w:r>
        <w:rPr>
          <w:lang w:val="en-US"/>
        </w:rPr>
        <w:t>which operates as a second-tier bank, promoting the granting of loans through first-tier intermediary financial institutions for:</w:t>
      </w:r>
    </w:p>
    <w:p w:rsidR="00000000" w:rsidRDefault="00000000">
      <w:pPr>
        <w:spacing w:after="240"/>
        <w:rPr>
          <w:lang w:val="en-US"/>
        </w:rPr>
      </w:pPr>
      <w:r>
        <w:rPr>
          <w:lang w:val="en-US"/>
        </w:rPr>
        <w:tab/>
        <w:t>–</w:t>
      </w:r>
      <w:r>
        <w:rPr>
          <w:lang w:val="en-US"/>
        </w:rPr>
        <w:tab/>
        <w:t>Rural development</w:t>
      </w:r>
    </w:p>
    <w:p w:rsidR="00000000" w:rsidRDefault="00000000">
      <w:pPr>
        <w:spacing w:after="240"/>
        <w:ind w:firstLine="567"/>
        <w:rPr>
          <w:lang w:val="en-US"/>
        </w:rPr>
      </w:pPr>
      <w:r>
        <w:rPr>
          <w:lang w:val="en-US"/>
        </w:rPr>
        <w:t>–</w:t>
      </w:r>
      <w:r>
        <w:rPr>
          <w:lang w:val="en-US"/>
        </w:rPr>
        <w:tab/>
        <w:t>Loans for small and medium-sized enterprises (SMEs)</w:t>
      </w:r>
    </w:p>
    <w:p w:rsidR="00000000" w:rsidRDefault="00000000">
      <w:pPr>
        <w:spacing w:after="240"/>
        <w:ind w:firstLine="567"/>
        <w:rPr>
          <w:lang w:val="en-US"/>
        </w:rPr>
      </w:pPr>
      <w:r>
        <w:rPr>
          <w:lang w:val="en-US"/>
        </w:rPr>
        <w:t>–</w:t>
      </w:r>
      <w:r>
        <w:rPr>
          <w:lang w:val="en-US"/>
        </w:rPr>
        <w:tab/>
        <w:t>Setting-up and development of businesses</w:t>
      </w:r>
    </w:p>
    <w:p w:rsidR="00000000" w:rsidRDefault="00000000">
      <w:pPr>
        <w:spacing w:after="240"/>
        <w:ind w:firstLine="567"/>
        <w:rPr>
          <w:lang w:val="en-US"/>
        </w:rPr>
      </w:pPr>
      <w:r>
        <w:rPr>
          <w:lang w:val="en-US"/>
        </w:rPr>
        <w:t>–</w:t>
      </w:r>
      <w:r>
        <w:rPr>
          <w:lang w:val="en-US"/>
        </w:rPr>
        <w:tab/>
        <w:t>Exports of goods and services and imports of capital goods for SMEs</w:t>
      </w:r>
    </w:p>
    <w:p w:rsidR="00000000" w:rsidRDefault="00000000">
      <w:pPr>
        <w:spacing w:after="240"/>
        <w:ind w:firstLine="567"/>
        <w:rPr>
          <w:lang w:val="en-US"/>
        </w:rPr>
      </w:pPr>
      <w:r>
        <w:rPr>
          <w:lang w:val="en-US"/>
        </w:rPr>
        <w:t>–</w:t>
      </w:r>
      <w:r>
        <w:rPr>
          <w:lang w:val="en-US"/>
        </w:rPr>
        <w:tab/>
        <w:t>Tourism development projects</w:t>
      </w:r>
    </w:p>
    <w:p w:rsidR="00000000" w:rsidRDefault="00000000">
      <w:pPr>
        <w:spacing w:after="240"/>
        <w:ind w:firstLine="567"/>
        <w:rPr>
          <w:lang w:val="en-US"/>
        </w:rPr>
      </w:pPr>
      <w:r>
        <w:rPr>
          <w:lang w:val="en-US"/>
        </w:rPr>
        <w:t>–</w:t>
      </w:r>
      <w:r>
        <w:rPr>
          <w:lang w:val="en-US"/>
        </w:rPr>
        <w:tab/>
        <w:t>Basic infrastructure investment projects</w:t>
      </w:r>
    </w:p>
    <w:p w:rsidR="00000000" w:rsidRDefault="00000000">
      <w:pPr>
        <w:spacing w:after="240"/>
        <w:ind w:firstLine="567"/>
        <w:rPr>
          <w:lang w:val="en-US"/>
        </w:rPr>
      </w:pPr>
      <w:r>
        <w:rPr>
          <w:lang w:val="en-US"/>
        </w:rPr>
        <w:t>–</w:t>
      </w:r>
      <w:r>
        <w:rPr>
          <w:lang w:val="en-US"/>
        </w:rPr>
        <w:tab/>
        <w:t>Development of housing and town-planning programmes.</w:t>
      </w:r>
    </w:p>
    <w:p w:rsidR="00000000" w:rsidRDefault="00000000">
      <w:pPr>
        <w:spacing w:after="240"/>
        <w:rPr>
          <w:lang w:val="en-US"/>
        </w:rPr>
      </w:pPr>
      <w:r>
        <w:rPr>
          <w:lang w:val="en-US"/>
        </w:rPr>
        <w:t>427.</w:t>
      </w:r>
      <w:r>
        <w:rPr>
          <w:lang w:val="en-US"/>
        </w:rPr>
        <w:tab/>
        <w:t>With the establishment of the Development Financing Agency, the other second-tier public banks, including the National Housing Bank, have ceased to exist; at present there are no specialized housing banks. At the same time, while the intention is to finance housing and town-planning projects, the Agency and the housing sector are coordinating their activities and jointly devise programmes (for instance, with direct State subsidies) so that housing loans are truly accessible to the homeless.</w:t>
      </w:r>
    </w:p>
    <w:p w:rsidR="00000000" w:rsidRDefault="00000000">
      <w:pPr>
        <w:spacing w:after="240"/>
        <w:rPr>
          <w:lang w:val="en-US"/>
        </w:rPr>
      </w:pPr>
      <w:r>
        <w:rPr>
          <w:lang w:val="en-US"/>
        </w:rPr>
        <w:t>428.</w:t>
      </w:r>
      <w:r>
        <w:rPr>
          <w:lang w:val="en-US"/>
        </w:rPr>
        <w:tab/>
        <w:t>The Social Security Institute (IPS), an autonomous and self-contained body that administers medical security and the retirement funds of all employees in the Paraguayan private sector, is also considering the possibility of investing in housing mortgages. Meanwhile, risk securitization and classification laws have been promulgated and will stimulate a secondary market for mortgages, which are not yet covered by the required regulations. The idea of creating a secretariat or ministry of housing so as to raise the sector’s standing is also being promoted.</w:t>
      </w:r>
    </w:p>
    <w:p w:rsidR="00000000" w:rsidRDefault="00000000">
      <w:pPr>
        <w:spacing w:after="240"/>
        <w:rPr>
          <w:b/>
          <w:lang w:val="en-US"/>
        </w:rPr>
      </w:pPr>
      <w:r>
        <w:rPr>
          <w:b/>
          <w:lang w:val="en-US"/>
        </w:rPr>
        <w:t>3.3.</w:t>
      </w:r>
      <w:r>
        <w:rPr>
          <w:b/>
          <w:lang w:val="en-US"/>
        </w:rPr>
        <w:tab/>
        <w:t>Challenges facing the housing sector</w:t>
      </w:r>
    </w:p>
    <w:p w:rsidR="00000000" w:rsidRDefault="00000000">
      <w:pPr>
        <w:spacing w:after="240"/>
        <w:rPr>
          <w:lang w:val="en-US"/>
        </w:rPr>
      </w:pPr>
      <w:r>
        <w:rPr>
          <w:lang w:val="en-US"/>
        </w:rPr>
        <w:t>429.</w:t>
      </w:r>
      <w:r>
        <w:rPr>
          <w:lang w:val="en-US"/>
        </w:rPr>
        <w:tab/>
        <w:t>There is currently no long-term private sector financing for housing in Paraguay. Experience with social housing has been limited in time, and policies and resources have varied with each administration. In this connection, there is still need for the activities of all the sectors involved to be better coordinated if policies and programmes are to survive each Administration’s term of office.</w:t>
      </w:r>
    </w:p>
    <w:p w:rsidR="00000000" w:rsidRDefault="00000000">
      <w:pPr>
        <w:spacing w:after="240"/>
        <w:rPr>
          <w:lang w:val="en-US"/>
        </w:rPr>
      </w:pPr>
      <w:r>
        <w:rPr>
          <w:lang w:val="en-US"/>
        </w:rPr>
        <w:t>430.</w:t>
      </w:r>
      <w:r>
        <w:rPr>
          <w:lang w:val="en-US"/>
        </w:rPr>
        <w:tab/>
        <w:t>Regarding the number of persons registered with the National Housing Council (CONAVI) awaiting housing, some 1,000 persons apply individually to CONAVI every year, while there are also some 11,500 families belonging to organized groups throughout the country which have submitted applications to CONAVI. The waiting period for assistance to housing applicants depends entirely on the availability of the Institution’s funds.</w:t>
      </w:r>
    </w:p>
    <w:p w:rsidR="00000000" w:rsidRDefault="00000000">
      <w:pPr>
        <w:spacing w:after="240"/>
        <w:rPr>
          <w:lang w:val="en-US"/>
        </w:rPr>
      </w:pPr>
      <w:r>
        <w:rPr>
          <w:lang w:val="en-US"/>
        </w:rPr>
        <w:t>431.</w:t>
      </w:r>
      <w:r>
        <w:rPr>
          <w:lang w:val="en-US"/>
        </w:rPr>
        <w:tab/>
        <w:t>Meanwhile, where CONAVI’s production is concerned, the number of housing solutions found since its creation in 1990 stands at some 35,000 units to date, while the situation regarding home ownership and tenancy is illustrated in the tables and diagrams below. It should be pointed out that it is not only poor and extremely poor familieswhich lack appropriate housing; a high percentage of lower middle class inhabitants are in a similar situation, the main reason being the lack of adequate long-term financing for access to home ownership.</w:t>
      </w:r>
    </w:p>
    <w:p w:rsidR="00000000" w:rsidRDefault="00000000">
      <w:pPr>
        <w:spacing w:after="240"/>
        <w:rPr>
          <w:lang w:val="en-US"/>
        </w:rPr>
      </w:pPr>
      <w:r>
        <w:rPr>
          <w:lang w:val="en-US"/>
        </w:rPr>
        <w:t>432.</w:t>
      </w:r>
      <w:r>
        <w:rPr>
          <w:lang w:val="en-US"/>
        </w:rPr>
        <w:tab/>
        <w:t>Some statistics on the housing situation in Paraguay are given below:</w:t>
      </w:r>
    </w:p>
    <w:p w:rsidR="00000000" w:rsidRDefault="00000000">
      <w:pPr>
        <w:pStyle w:val="Header"/>
        <w:keepNext/>
        <w:tabs>
          <w:tab w:val="clear" w:pos="4320"/>
          <w:tab w:val="clear" w:pos="8640"/>
        </w:tabs>
        <w:spacing w:after="240"/>
        <w:jc w:val="center"/>
        <w:rPr>
          <w:b/>
          <w:bCs/>
        </w:rPr>
      </w:pPr>
      <w:r>
        <w:rPr>
          <w:b/>
          <w:bCs/>
          <w:iCs/>
          <w:sz w:val="22"/>
        </w:rPr>
        <w:t>Home ownership</w:t>
      </w:r>
    </w:p>
    <w:tbl>
      <w:tblPr>
        <w:tblW w:w="5094" w:type="pct"/>
        <w:jc w:val="center"/>
        <w:tblLayout w:type="fixed"/>
        <w:tblCellMar>
          <w:left w:w="0" w:type="dxa"/>
          <w:right w:w="0" w:type="dxa"/>
        </w:tblCellMar>
        <w:tblLook w:val="0000" w:firstRow="0" w:lastRow="0" w:firstColumn="0" w:lastColumn="0" w:noHBand="0" w:noVBand="0"/>
      </w:tblPr>
      <w:tblGrid>
        <w:gridCol w:w="3013"/>
        <w:gridCol w:w="1891"/>
        <w:gridCol w:w="1583"/>
        <w:gridCol w:w="1180"/>
        <w:gridCol w:w="958"/>
        <w:gridCol w:w="981"/>
      </w:tblGrid>
      <w:tr w:rsidR="00000000">
        <w:trPr>
          <w:cantSplit/>
          <w:jc w:val="center"/>
        </w:trPr>
        <w:tc>
          <w:tcPr>
            <w:tcW w:w="3013" w:type="dxa"/>
            <w:vMerge w:val="restart"/>
            <w:tcBorders>
              <w:top w:val="single" w:sz="4" w:space="0" w:color="auto"/>
            </w:tcBorders>
            <w:noWrap/>
            <w:vAlign w:val="center"/>
          </w:tcPr>
          <w:p w:rsidR="00000000" w:rsidRDefault="00000000">
            <w:pPr>
              <w:pStyle w:val="Heading5"/>
              <w:jc w:val="center"/>
              <w:rPr>
                <w:rFonts w:eastAsia="Arial Unicode MS"/>
                <w:i/>
                <w:iCs/>
              </w:rPr>
            </w:pPr>
            <w:r>
              <w:rPr>
                <w:i/>
                <w:iCs/>
              </w:rPr>
              <w:t>Family earnings</w:t>
            </w:r>
          </w:p>
        </w:tc>
        <w:tc>
          <w:tcPr>
            <w:tcW w:w="1891" w:type="dxa"/>
            <w:vMerge w:val="restart"/>
            <w:tcBorders>
              <w:top w:val="single" w:sz="4" w:space="0" w:color="auto"/>
            </w:tcBorders>
            <w:noWrap/>
            <w:vAlign w:val="center"/>
          </w:tcPr>
          <w:p w:rsidR="00000000" w:rsidRDefault="00000000">
            <w:pPr>
              <w:keepNext/>
              <w:spacing w:before="80" w:after="80"/>
              <w:jc w:val="center"/>
              <w:rPr>
                <w:rFonts w:eastAsia="Arial Unicode MS"/>
                <w:b/>
                <w:bCs/>
                <w:i/>
                <w:iCs/>
                <w:sz w:val="20"/>
              </w:rPr>
            </w:pPr>
            <w:r>
              <w:rPr>
                <w:b/>
                <w:bCs/>
                <w:i/>
                <w:iCs/>
                <w:sz w:val="20"/>
              </w:rPr>
              <w:t>Total h</w:t>
            </w:r>
            <w:r>
              <w:rPr>
                <w:b/>
                <w:bCs/>
                <w:i/>
                <w:iCs/>
                <w:sz w:val="20"/>
                <w:szCs w:val="20"/>
              </w:rPr>
              <w:t>omes</w:t>
            </w:r>
          </w:p>
        </w:tc>
        <w:tc>
          <w:tcPr>
            <w:tcW w:w="2763" w:type="dxa"/>
            <w:gridSpan w:val="2"/>
            <w:tcBorders>
              <w:top w:val="single" w:sz="4" w:space="0" w:color="auto"/>
              <w:bottom w:val="single" w:sz="4" w:space="0" w:color="auto"/>
            </w:tcBorders>
            <w:noWrap/>
            <w:vAlign w:val="center"/>
          </w:tcPr>
          <w:p w:rsidR="00000000" w:rsidRDefault="00000000">
            <w:pPr>
              <w:keepNext/>
              <w:spacing w:before="80" w:after="80"/>
              <w:jc w:val="center"/>
              <w:rPr>
                <w:rFonts w:eastAsia="Arial Unicode MS"/>
                <w:b/>
                <w:bCs/>
                <w:i/>
                <w:iCs/>
                <w:sz w:val="20"/>
                <w:szCs w:val="20"/>
              </w:rPr>
            </w:pPr>
            <w:r>
              <w:rPr>
                <w:b/>
                <w:bCs/>
                <w:i/>
                <w:iCs/>
                <w:sz w:val="20"/>
                <w:szCs w:val="20"/>
              </w:rPr>
              <w:t>Home ownership</w:t>
            </w:r>
          </w:p>
        </w:tc>
        <w:tc>
          <w:tcPr>
            <w:tcW w:w="958" w:type="dxa"/>
            <w:tcBorders>
              <w:top w:val="single" w:sz="4" w:space="0" w:color="auto"/>
              <w:bottom w:val="single" w:sz="4" w:space="0" w:color="auto"/>
            </w:tcBorders>
            <w:noWrap/>
            <w:vAlign w:val="center"/>
          </w:tcPr>
          <w:p w:rsidR="00000000" w:rsidRDefault="00000000">
            <w:pPr>
              <w:keepNext/>
              <w:spacing w:before="80" w:after="80"/>
              <w:jc w:val="center"/>
              <w:rPr>
                <w:rFonts w:eastAsia="Arial Unicode MS"/>
                <w:b/>
                <w:bCs/>
                <w:i/>
                <w:iCs/>
                <w:sz w:val="20"/>
                <w:szCs w:val="20"/>
              </w:rPr>
            </w:pPr>
            <w:r>
              <w:rPr>
                <w:b/>
                <w:bCs/>
                <w:i/>
                <w:iCs/>
                <w:sz w:val="20"/>
                <w:szCs w:val="20"/>
              </w:rPr>
              <w:t>(*)</w:t>
            </w:r>
          </w:p>
        </w:tc>
        <w:tc>
          <w:tcPr>
            <w:tcW w:w="981" w:type="dxa"/>
            <w:tcBorders>
              <w:top w:val="single" w:sz="4" w:space="0" w:color="auto"/>
              <w:bottom w:val="single" w:sz="4" w:space="0" w:color="auto"/>
            </w:tcBorders>
            <w:noWrap/>
            <w:vAlign w:val="center"/>
          </w:tcPr>
          <w:p w:rsidR="00000000" w:rsidRDefault="00000000">
            <w:pPr>
              <w:keepNext/>
              <w:spacing w:before="80" w:after="80"/>
              <w:jc w:val="center"/>
              <w:rPr>
                <w:rFonts w:eastAsia="Arial Unicode MS"/>
                <w:b/>
                <w:bCs/>
                <w:i/>
                <w:iCs/>
                <w:sz w:val="20"/>
                <w:szCs w:val="20"/>
              </w:rPr>
            </w:pPr>
            <w:r>
              <w:rPr>
                <w:b/>
                <w:bCs/>
                <w:i/>
                <w:iCs/>
                <w:sz w:val="20"/>
                <w:szCs w:val="20"/>
              </w:rPr>
              <w:t>(**)</w:t>
            </w:r>
          </w:p>
        </w:tc>
      </w:tr>
      <w:tr w:rsidR="00000000">
        <w:trPr>
          <w:cantSplit/>
          <w:jc w:val="center"/>
        </w:trPr>
        <w:tc>
          <w:tcPr>
            <w:tcW w:w="3013" w:type="dxa"/>
            <w:vMerge/>
            <w:tcBorders>
              <w:bottom w:val="single" w:sz="4" w:space="0" w:color="auto"/>
            </w:tcBorders>
            <w:noWrap/>
            <w:vAlign w:val="bottom"/>
          </w:tcPr>
          <w:p w:rsidR="00000000" w:rsidRDefault="00000000">
            <w:pPr>
              <w:keepNext/>
              <w:spacing w:before="80" w:after="80"/>
              <w:jc w:val="center"/>
              <w:rPr>
                <w:rFonts w:eastAsia="Arial Unicode MS"/>
                <w:b/>
                <w:bCs/>
                <w:i/>
                <w:iCs/>
                <w:sz w:val="20"/>
                <w:szCs w:val="20"/>
              </w:rPr>
            </w:pPr>
          </w:p>
        </w:tc>
        <w:tc>
          <w:tcPr>
            <w:tcW w:w="1891" w:type="dxa"/>
            <w:vMerge/>
            <w:tcBorders>
              <w:bottom w:val="single" w:sz="4" w:space="0" w:color="auto"/>
            </w:tcBorders>
            <w:noWrap/>
            <w:vAlign w:val="bottom"/>
          </w:tcPr>
          <w:p w:rsidR="00000000" w:rsidRDefault="00000000">
            <w:pPr>
              <w:keepNext/>
              <w:spacing w:before="80" w:after="80"/>
              <w:jc w:val="center"/>
              <w:rPr>
                <w:rFonts w:eastAsia="Arial Unicode MS"/>
                <w:b/>
                <w:bCs/>
                <w:i/>
                <w:iCs/>
                <w:sz w:val="20"/>
                <w:szCs w:val="20"/>
              </w:rPr>
            </w:pPr>
          </w:p>
        </w:tc>
        <w:tc>
          <w:tcPr>
            <w:tcW w:w="1583" w:type="dxa"/>
            <w:tcBorders>
              <w:top w:val="single" w:sz="4" w:space="0" w:color="auto"/>
              <w:bottom w:val="single" w:sz="4" w:space="0" w:color="auto"/>
            </w:tcBorders>
            <w:noWrap/>
            <w:vAlign w:val="bottom"/>
          </w:tcPr>
          <w:p w:rsidR="00000000" w:rsidRDefault="00000000">
            <w:pPr>
              <w:keepNext/>
              <w:spacing w:before="80" w:after="80"/>
              <w:jc w:val="center"/>
              <w:rPr>
                <w:rFonts w:eastAsia="Arial Unicode MS"/>
                <w:b/>
                <w:bCs/>
                <w:i/>
                <w:iCs/>
                <w:sz w:val="20"/>
                <w:szCs w:val="20"/>
              </w:rPr>
            </w:pPr>
            <w:r>
              <w:rPr>
                <w:b/>
                <w:bCs/>
                <w:i/>
                <w:iCs/>
                <w:sz w:val="20"/>
                <w:szCs w:val="20"/>
              </w:rPr>
              <w:t>Owned</w:t>
            </w:r>
          </w:p>
        </w:tc>
        <w:tc>
          <w:tcPr>
            <w:tcW w:w="1180" w:type="dxa"/>
            <w:tcBorders>
              <w:top w:val="single" w:sz="4" w:space="0" w:color="auto"/>
              <w:bottom w:val="single" w:sz="4" w:space="0" w:color="auto"/>
            </w:tcBorders>
            <w:noWrap/>
            <w:vAlign w:val="bottom"/>
          </w:tcPr>
          <w:p w:rsidR="00000000" w:rsidRDefault="00000000">
            <w:pPr>
              <w:keepNext/>
              <w:spacing w:before="80" w:after="80"/>
              <w:jc w:val="center"/>
              <w:rPr>
                <w:rFonts w:eastAsia="Arial Unicode MS"/>
                <w:b/>
                <w:bCs/>
                <w:i/>
                <w:iCs/>
                <w:sz w:val="20"/>
                <w:szCs w:val="20"/>
              </w:rPr>
            </w:pPr>
            <w:r>
              <w:rPr>
                <w:b/>
                <w:bCs/>
                <w:i/>
                <w:iCs/>
                <w:sz w:val="20"/>
                <w:szCs w:val="20"/>
              </w:rPr>
              <w:t>Not owned</w:t>
            </w:r>
          </w:p>
        </w:tc>
        <w:tc>
          <w:tcPr>
            <w:tcW w:w="958" w:type="dxa"/>
            <w:tcBorders>
              <w:top w:val="single" w:sz="4" w:space="0" w:color="auto"/>
              <w:bottom w:val="single" w:sz="4" w:space="0" w:color="auto"/>
            </w:tcBorders>
            <w:noWrap/>
            <w:vAlign w:val="bottom"/>
          </w:tcPr>
          <w:p w:rsidR="00000000" w:rsidRDefault="00000000">
            <w:pPr>
              <w:keepNext/>
              <w:spacing w:before="80" w:after="80"/>
              <w:jc w:val="center"/>
              <w:rPr>
                <w:rFonts w:eastAsia="Arial Unicode MS"/>
                <w:b/>
                <w:bCs/>
                <w:i/>
                <w:iCs/>
                <w:sz w:val="20"/>
                <w:szCs w:val="20"/>
              </w:rPr>
            </w:pPr>
            <w:r>
              <w:rPr>
                <w:b/>
                <w:bCs/>
                <w:i/>
                <w:iCs/>
                <w:sz w:val="20"/>
                <w:szCs w:val="20"/>
              </w:rPr>
              <w:t>%</w:t>
            </w:r>
          </w:p>
        </w:tc>
        <w:tc>
          <w:tcPr>
            <w:tcW w:w="981" w:type="dxa"/>
            <w:tcBorders>
              <w:top w:val="single" w:sz="4" w:space="0" w:color="auto"/>
              <w:bottom w:val="single" w:sz="4" w:space="0" w:color="auto"/>
            </w:tcBorders>
            <w:noWrap/>
            <w:vAlign w:val="bottom"/>
          </w:tcPr>
          <w:p w:rsidR="00000000" w:rsidRDefault="00000000">
            <w:pPr>
              <w:keepNext/>
              <w:spacing w:before="80" w:after="80"/>
              <w:jc w:val="center"/>
              <w:rPr>
                <w:rFonts w:eastAsia="Arial Unicode MS"/>
                <w:b/>
                <w:bCs/>
                <w:i/>
                <w:iCs/>
                <w:sz w:val="20"/>
                <w:szCs w:val="20"/>
              </w:rPr>
            </w:pPr>
            <w:r>
              <w:rPr>
                <w:b/>
                <w:bCs/>
                <w:i/>
                <w:iCs/>
                <w:sz w:val="20"/>
                <w:szCs w:val="20"/>
              </w:rPr>
              <w:t>%</w:t>
            </w:r>
          </w:p>
        </w:tc>
      </w:tr>
      <w:tr w:rsidR="00000000">
        <w:trPr>
          <w:jc w:val="center"/>
        </w:trPr>
        <w:tc>
          <w:tcPr>
            <w:tcW w:w="3013" w:type="dxa"/>
            <w:tcBorders>
              <w:top w:val="single" w:sz="4" w:space="0" w:color="auto"/>
            </w:tcBorders>
            <w:vAlign w:val="center"/>
          </w:tcPr>
          <w:p w:rsidR="00000000" w:rsidRDefault="00000000">
            <w:pPr>
              <w:keepNext/>
              <w:spacing w:before="80" w:after="80"/>
              <w:rPr>
                <w:rFonts w:eastAsia="Arial Unicode MS"/>
                <w:sz w:val="20"/>
                <w:szCs w:val="18"/>
                <w:lang w:val="en-US"/>
              </w:rPr>
            </w:pPr>
            <w:r>
              <w:rPr>
                <w:sz w:val="20"/>
                <w:szCs w:val="18"/>
                <w:lang w:val="en-US"/>
              </w:rPr>
              <w:t xml:space="preserve">Poverty situation </w:t>
            </w:r>
            <w:r>
              <w:rPr>
                <w:sz w:val="20"/>
                <w:szCs w:val="18"/>
                <w:lang w:val="en-US"/>
              </w:rPr>
              <w:br/>
              <w:t>Up to 1 USM</w:t>
            </w:r>
          </w:p>
        </w:tc>
        <w:tc>
          <w:tcPr>
            <w:tcW w:w="1891" w:type="dxa"/>
            <w:tcBorders>
              <w:top w:val="single" w:sz="4" w:space="0" w:color="auto"/>
            </w:tcBorders>
            <w:noWrap/>
            <w:vAlign w:val="center"/>
          </w:tcPr>
          <w:p w:rsidR="00000000" w:rsidRDefault="00000000">
            <w:pPr>
              <w:keepNext/>
              <w:spacing w:before="80" w:after="80"/>
              <w:jc w:val="center"/>
              <w:rPr>
                <w:rFonts w:eastAsia="Arial Unicode MS"/>
                <w:sz w:val="20"/>
                <w:szCs w:val="18"/>
              </w:rPr>
            </w:pPr>
            <w:r>
              <w:rPr>
                <w:sz w:val="20"/>
                <w:szCs w:val="18"/>
              </w:rPr>
              <w:t>494 999</w:t>
            </w:r>
          </w:p>
        </w:tc>
        <w:tc>
          <w:tcPr>
            <w:tcW w:w="1583" w:type="dxa"/>
            <w:tcBorders>
              <w:top w:val="single" w:sz="4" w:space="0" w:color="auto"/>
            </w:tcBorders>
            <w:noWrap/>
            <w:vAlign w:val="center"/>
          </w:tcPr>
          <w:p w:rsidR="00000000" w:rsidRDefault="00000000">
            <w:pPr>
              <w:keepNext/>
              <w:spacing w:before="80" w:after="80"/>
              <w:jc w:val="center"/>
              <w:rPr>
                <w:rFonts w:eastAsia="Arial Unicode MS"/>
                <w:sz w:val="20"/>
                <w:szCs w:val="18"/>
              </w:rPr>
            </w:pPr>
            <w:r>
              <w:rPr>
                <w:sz w:val="20"/>
                <w:szCs w:val="18"/>
              </w:rPr>
              <w:t>369 456</w:t>
            </w:r>
          </w:p>
        </w:tc>
        <w:tc>
          <w:tcPr>
            <w:tcW w:w="1180" w:type="dxa"/>
            <w:tcBorders>
              <w:top w:val="single" w:sz="4" w:space="0" w:color="auto"/>
            </w:tcBorders>
            <w:noWrap/>
            <w:vAlign w:val="center"/>
          </w:tcPr>
          <w:p w:rsidR="00000000" w:rsidRDefault="00000000">
            <w:pPr>
              <w:keepNext/>
              <w:spacing w:before="80" w:after="80"/>
              <w:jc w:val="center"/>
              <w:rPr>
                <w:rFonts w:eastAsia="Arial Unicode MS"/>
                <w:sz w:val="20"/>
                <w:szCs w:val="18"/>
              </w:rPr>
            </w:pPr>
            <w:r>
              <w:rPr>
                <w:sz w:val="20"/>
                <w:szCs w:val="18"/>
              </w:rPr>
              <w:t>125 543</w:t>
            </w:r>
          </w:p>
        </w:tc>
        <w:tc>
          <w:tcPr>
            <w:tcW w:w="958" w:type="dxa"/>
            <w:tcBorders>
              <w:top w:val="single" w:sz="4" w:space="0" w:color="auto"/>
            </w:tcBorders>
            <w:noWrap/>
            <w:vAlign w:val="center"/>
          </w:tcPr>
          <w:p w:rsidR="00000000" w:rsidRDefault="00000000">
            <w:pPr>
              <w:keepNext/>
              <w:spacing w:before="80" w:after="80"/>
              <w:jc w:val="center"/>
              <w:rPr>
                <w:rFonts w:eastAsia="Arial Unicode MS"/>
                <w:sz w:val="20"/>
                <w:szCs w:val="18"/>
              </w:rPr>
            </w:pPr>
            <w:r>
              <w:rPr>
                <w:sz w:val="20"/>
                <w:szCs w:val="18"/>
              </w:rPr>
              <w:t>25</w:t>
            </w:r>
          </w:p>
        </w:tc>
        <w:tc>
          <w:tcPr>
            <w:tcW w:w="981" w:type="dxa"/>
            <w:tcBorders>
              <w:top w:val="single" w:sz="4" w:space="0" w:color="auto"/>
            </w:tcBorders>
            <w:noWrap/>
            <w:vAlign w:val="center"/>
          </w:tcPr>
          <w:p w:rsidR="00000000" w:rsidRDefault="00000000">
            <w:pPr>
              <w:keepNext/>
              <w:spacing w:before="80" w:after="80"/>
              <w:jc w:val="center"/>
              <w:rPr>
                <w:rFonts w:eastAsia="Arial Unicode MS"/>
                <w:sz w:val="20"/>
                <w:szCs w:val="18"/>
              </w:rPr>
            </w:pPr>
            <w:r>
              <w:rPr>
                <w:sz w:val="20"/>
                <w:szCs w:val="18"/>
              </w:rPr>
              <w:t>41</w:t>
            </w:r>
          </w:p>
        </w:tc>
      </w:tr>
      <w:tr w:rsidR="00000000">
        <w:trPr>
          <w:jc w:val="center"/>
        </w:trPr>
        <w:tc>
          <w:tcPr>
            <w:tcW w:w="3013" w:type="dxa"/>
            <w:vAlign w:val="center"/>
          </w:tcPr>
          <w:p w:rsidR="00000000" w:rsidRDefault="00000000">
            <w:pPr>
              <w:keepNext/>
              <w:spacing w:before="80" w:after="80"/>
              <w:rPr>
                <w:rFonts w:eastAsia="Arial Unicode MS"/>
                <w:sz w:val="20"/>
                <w:szCs w:val="18"/>
                <w:lang w:val="en-US"/>
              </w:rPr>
            </w:pPr>
            <w:r>
              <w:rPr>
                <w:sz w:val="20"/>
                <w:szCs w:val="18"/>
                <w:lang w:val="en-US"/>
              </w:rPr>
              <w:t xml:space="preserve">Lower middle class </w:t>
            </w:r>
            <w:r>
              <w:rPr>
                <w:sz w:val="20"/>
                <w:szCs w:val="18"/>
                <w:lang w:val="en-US"/>
              </w:rPr>
              <w:br/>
              <w:t>From 1 USM to 5 USM</w:t>
            </w:r>
          </w:p>
        </w:tc>
        <w:tc>
          <w:tcPr>
            <w:tcW w:w="1891" w:type="dxa"/>
            <w:noWrap/>
            <w:vAlign w:val="center"/>
          </w:tcPr>
          <w:p w:rsidR="00000000" w:rsidRDefault="00000000">
            <w:pPr>
              <w:keepNext/>
              <w:spacing w:before="80" w:after="80"/>
              <w:jc w:val="center"/>
              <w:rPr>
                <w:rFonts w:eastAsia="Arial Unicode MS"/>
                <w:sz w:val="20"/>
                <w:szCs w:val="18"/>
              </w:rPr>
            </w:pPr>
            <w:r>
              <w:rPr>
                <w:sz w:val="20"/>
                <w:szCs w:val="18"/>
              </w:rPr>
              <w:t>659 119</w:t>
            </w:r>
          </w:p>
        </w:tc>
        <w:tc>
          <w:tcPr>
            <w:tcW w:w="1583" w:type="dxa"/>
            <w:noWrap/>
            <w:vAlign w:val="center"/>
          </w:tcPr>
          <w:p w:rsidR="00000000" w:rsidRDefault="00000000">
            <w:pPr>
              <w:keepNext/>
              <w:spacing w:before="80" w:after="80"/>
              <w:jc w:val="center"/>
              <w:rPr>
                <w:rFonts w:eastAsia="Arial Unicode MS"/>
                <w:sz w:val="20"/>
                <w:szCs w:val="18"/>
              </w:rPr>
            </w:pPr>
            <w:r>
              <w:rPr>
                <w:sz w:val="20"/>
                <w:szCs w:val="18"/>
              </w:rPr>
              <w:t>498 121</w:t>
            </w:r>
          </w:p>
        </w:tc>
        <w:tc>
          <w:tcPr>
            <w:tcW w:w="1180" w:type="dxa"/>
            <w:noWrap/>
            <w:vAlign w:val="center"/>
          </w:tcPr>
          <w:p w:rsidR="00000000" w:rsidRDefault="00000000">
            <w:pPr>
              <w:keepNext/>
              <w:spacing w:before="80" w:after="80"/>
              <w:jc w:val="center"/>
              <w:rPr>
                <w:rFonts w:eastAsia="Arial Unicode MS"/>
                <w:sz w:val="20"/>
                <w:szCs w:val="18"/>
              </w:rPr>
            </w:pPr>
            <w:r>
              <w:rPr>
                <w:sz w:val="20"/>
                <w:szCs w:val="18"/>
              </w:rPr>
              <w:t>160 998</w:t>
            </w:r>
          </w:p>
        </w:tc>
        <w:tc>
          <w:tcPr>
            <w:tcW w:w="958" w:type="dxa"/>
            <w:noWrap/>
            <w:vAlign w:val="center"/>
          </w:tcPr>
          <w:p w:rsidR="00000000" w:rsidRDefault="00000000">
            <w:pPr>
              <w:keepNext/>
              <w:spacing w:before="80" w:after="80"/>
              <w:jc w:val="center"/>
              <w:rPr>
                <w:rFonts w:eastAsia="Arial Unicode MS"/>
                <w:sz w:val="20"/>
                <w:szCs w:val="18"/>
              </w:rPr>
            </w:pPr>
            <w:r>
              <w:rPr>
                <w:sz w:val="20"/>
                <w:szCs w:val="18"/>
              </w:rPr>
              <w:t>24</w:t>
            </w:r>
          </w:p>
        </w:tc>
        <w:tc>
          <w:tcPr>
            <w:tcW w:w="981" w:type="dxa"/>
            <w:noWrap/>
            <w:vAlign w:val="center"/>
          </w:tcPr>
          <w:p w:rsidR="00000000" w:rsidRDefault="00000000">
            <w:pPr>
              <w:keepNext/>
              <w:spacing w:before="80" w:after="80"/>
              <w:jc w:val="center"/>
              <w:rPr>
                <w:rFonts w:eastAsia="Arial Unicode MS"/>
                <w:sz w:val="20"/>
                <w:szCs w:val="18"/>
              </w:rPr>
            </w:pPr>
            <w:r>
              <w:rPr>
                <w:sz w:val="20"/>
                <w:szCs w:val="18"/>
              </w:rPr>
              <w:t>53</w:t>
            </w:r>
          </w:p>
        </w:tc>
      </w:tr>
      <w:tr w:rsidR="00000000">
        <w:trPr>
          <w:jc w:val="center"/>
        </w:trPr>
        <w:tc>
          <w:tcPr>
            <w:tcW w:w="3013" w:type="dxa"/>
            <w:vAlign w:val="bottom"/>
          </w:tcPr>
          <w:p w:rsidR="00000000" w:rsidRDefault="00000000">
            <w:pPr>
              <w:keepNext/>
              <w:spacing w:before="80" w:after="80"/>
              <w:rPr>
                <w:rFonts w:eastAsia="Arial Unicode MS"/>
                <w:sz w:val="20"/>
                <w:szCs w:val="18"/>
                <w:lang w:val="en-US"/>
              </w:rPr>
            </w:pPr>
            <w:r>
              <w:rPr>
                <w:sz w:val="20"/>
                <w:szCs w:val="18"/>
                <w:lang w:val="en-US"/>
              </w:rPr>
              <w:t xml:space="preserve">Upper middle class </w:t>
            </w:r>
            <w:r>
              <w:rPr>
                <w:sz w:val="20"/>
                <w:szCs w:val="18"/>
                <w:lang w:val="en-US"/>
              </w:rPr>
              <w:br/>
              <w:t>From 5 USM to 10 USM</w:t>
            </w:r>
          </w:p>
        </w:tc>
        <w:tc>
          <w:tcPr>
            <w:tcW w:w="1891" w:type="dxa"/>
            <w:noWrap/>
            <w:vAlign w:val="center"/>
          </w:tcPr>
          <w:p w:rsidR="00000000" w:rsidRDefault="00000000">
            <w:pPr>
              <w:keepNext/>
              <w:spacing w:before="80" w:after="80"/>
              <w:jc w:val="center"/>
              <w:rPr>
                <w:rFonts w:eastAsia="Arial Unicode MS"/>
                <w:sz w:val="20"/>
                <w:szCs w:val="18"/>
              </w:rPr>
            </w:pPr>
            <w:r>
              <w:rPr>
                <w:sz w:val="20"/>
                <w:szCs w:val="18"/>
              </w:rPr>
              <w:t>66 283</w:t>
            </w:r>
          </w:p>
        </w:tc>
        <w:tc>
          <w:tcPr>
            <w:tcW w:w="1583" w:type="dxa"/>
            <w:noWrap/>
            <w:vAlign w:val="center"/>
          </w:tcPr>
          <w:p w:rsidR="00000000" w:rsidRDefault="00000000">
            <w:pPr>
              <w:keepNext/>
              <w:spacing w:before="80" w:after="80"/>
              <w:jc w:val="center"/>
              <w:rPr>
                <w:rFonts w:eastAsia="Arial Unicode MS"/>
                <w:sz w:val="20"/>
                <w:szCs w:val="18"/>
              </w:rPr>
            </w:pPr>
            <w:r>
              <w:rPr>
                <w:sz w:val="20"/>
                <w:szCs w:val="18"/>
              </w:rPr>
              <w:t>54 448</w:t>
            </w:r>
          </w:p>
        </w:tc>
        <w:tc>
          <w:tcPr>
            <w:tcW w:w="1180" w:type="dxa"/>
            <w:noWrap/>
            <w:vAlign w:val="center"/>
          </w:tcPr>
          <w:p w:rsidR="00000000" w:rsidRDefault="00000000">
            <w:pPr>
              <w:keepNext/>
              <w:spacing w:before="80" w:after="80"/>
              <w:jc w:val="center"/>
              <w:rPr>
                <w:rFonts w:eastAsia="Arial Unicode MS"/>
                <w:sz w:val="20"/>
                <w:szCs w:val="18"/>
              </w:rPr>
            </w:pPr>
            <w:r>
              <w:rPr>
                <w:sz w:val="20"/>
                <w:szCs w:val="18"/>
              </w:rPr>
              <w:t>11 835</w:t>
            </w:r>
          </w:p>
        </w:tc>
        <w:tc>
          <w:tcPr>
            <w:tcW w:w="958" w:type="dxa"/>
            <w:noWrap/>
            <w:vAlign w:val="center"/>
          </w:tcPr>
          <w:p w:rsidR="00000000" w:rsidRDefault="00000000">
            <w:pPr>
              <w:keepNext/>
              <w:spacing w:before="80" w:after="80"/>
              <w:jc w:val="center"/>
              <w:rPr>
                <w:rFonts w:eastAsia="Arial Unicode MS"/>
                <w:sz w:val="20"/>
                <w:szCs w:val="18"/>
              </w:rPr>
            </w:pPr>
            <w:r>
              <w:rPr>
                <w:sz w:val="20"/>
                <w:szCs w:val="18"/>
              </w:rPr>
              <w:t>18</w:t>
            </w:r>
          </w:p>
        </w:tc>
        <w:tc>
          <w:tcPr>
            <w:tcW w:w="981" w:type="dxa"/>
            <w:noWrap/>
            <w:vAlign w:val="center"/>
          </w:tcPr>
          <w:p w:rsidR="00000000" w:rsidRDefault="00000000">
            <w:pPr>
              <w:keepNext/>
              <w:spacing w:before="80" w:after="80"/>
              <w:jc w:val="center"/>
              <w:rPr>
                <w:rFonts w:eastAsia="Arial Unicode MS"/>
                <w:sz w:val="20"/>
                <w:szCs w:val="18"/>
              </w:rPr>
            </w:pPr>
            <w:r>
              <w:rPr>
                <w:sz w:val="20"/>
                <w:szCs w:val="18"/>
              </w:rPr>
              <w:t>4</w:t>
            </w:r>
          </w:p>
        </w:tc>
      </w:tr>
      <w:tr w:rsidR="00000000">
        <w:trPr>
          <w:jc w:val="center"/>
        </w:trPr>
        <w:tc>
          <w:tcPr>
            <w:tcW w:w="3013" w:type="dxa"/>
            <w:vAlign w:val="center"/>
          </w:tcPr>
          <w:p w:rsidR="00000000" w:rsidRDefault="00000000">
            <w:pPr>
              <w:keepNext/>
              <w:spacing w:before="80" w:after="80"/>
              <w:rPr>
                <w:rFonts w:eastAsia="Arial Unicode MS"/>
                <w:sz w:val="20"/>
                <w:szCs w:val="18"/>
                <w:lang w:val="es-ES_tradnl"/>
              </w:rPr>
            </w:pPr>
            <w:r>
              <w:rPr>
                <w:sz w:val="20"/>
                <w:szCs w:val="18"/>
                <w:lang w:val="es-ES_tradnl"/>
              </w:rPr>
              <w:t xml:space="preserve">Upper class </w:t>
            </w:r>
            <w:r>
              <w:rPr>
                <w:sz w:val="20"/>
                <w:szCs w:val="18"/>
                <w:lang w:val="es-ES_tradnl"/>
              </w:rPr>
              <w:br/>
              <w:t>Over 10 USM</w:t>
            </w:r>
          </w:p>
        </w:tc>
        <w:tc>
          <w:tcPr>
            <w:tcW w:w="1891" w:type="dxa"/>
            <w:noWrap/>
            <w:vAlign w:val="center"/>
          </w:tcPr>
          <w:p w:rsidR="00000000" w:rsidRDefault="00000000">
            <w:pPr>
              <w:keepNext/>
              <w:spacing w:before="80" w:after="80"/>
              <w:jc w:val="center"/>
              <w:rPr>
                <w:rFonts w:eastAsia="Arial Unicode MS"/>
                <w:sz w:val="20"/>
                <w:szCs w:val="18"/>
              </w:rPr>
            </w:pPr>
            <w:r>
              <w:rPr>
                <w:sz w:val="20"/>
                <w:szCs w:val="18"/>
              </w:rPr>
              <w:t>27 251</w:t>
            </w:r>
          </w:p>
        </w:tc>
        <w:tc>
          <w:tcPr>
            <w:tcW w:w="1583" w:type="dxa"/>
            <w:noWrap/>
            <w:vAlign w:val="center"/>
          </w:tcPr>
          <w:p w:rsidR="00000000" w:rsidRDefault="00000000">
            <w:pPr>
              <w:keepNext/>
              <w:spacing w:before="80" w:after="80"/>
              <w:jc w:val="center"/>
              <w:rPr>
                <w:rFonts w:eastAsia="Arial Unicode MS"/>
                <w:sz w:val="20"/>
                <w:szCs w:val="18"/>
              </w:rPr>
            </w:pPr>
            <w:r>
              <w:rPr>
                <w:sz w:val="20"/>
                <w:szCs w:val="18"/>
              </w:rPr>
              <w:t>21 804</w:t>
            </w:r>
          </w:p>
        </w:tc>
        <w:tc>
          <w:tcPr>
            <w:tcW w:w="1180" w:type="dxa"/>
            <w:noWrap/>
            <w:vAlign w:val="center"/>
          </w:tcPr>
          <w:p w:rsidR="00000000" w:rsidRDefault="00000000">
            <w:pPr>
              <w:keepNext/>
              <w:spacing w:before="80" w:after="80"/>
              <w:jc w:val="center"/>
              <w:rPr>
                <w:rFonts w:eastAsia="Arial Unicode MS"/>
                <w:sz w:val="20"/>
                <w:szCs w:val="18"/>
              </w:rPr>
            </w:pPr>
            <w:r>
              <w:rPr>
                <w:sz w:val="20"/>
                <w:szCs w:val="18"/>
              </w:rPr>
              <w:t>5 447</w:t>
            </w:r>
          </w:p>
        </w:tc>
        <w:tc>
          <w:tcPr>
            <w:tcW w:w="958" w:type="dxa"/>
            <w:noWrap/>
            <w:vAlign w:val="center"/>
          </w:tcPr>
          <w:p w:rsidR="00000000" w:rsidRDefault="00000000">
            <w:pPr>
              <w:keepNext/>
              <w:spacing w:before="80" w:after="80"/>
              <w:jc w:val="center"/>
              <w:rPr>
                <w:rFonts w:eastAsia="Arial Unicode MS"/>
                <w:sz w:val="20"/>
                <w:szCs w:val="18"/>
              </w:rPr>
            </w:pPr>
            <w:r>
              <w:rPr>
                <w:sz w:val="20"/>
                <w:szCs w:val="18"/>
              </w:rPr>
              <w:t>20</w:t>
            </w:r>
          </w:p>
        </w:tc>
        <w:tc>
          <w:tcPr>
            <w:tcW w:w="981" w:type="dxa"/>
            <w:noWrap/>
            <w:vAlign w:val="center"/>
          </w:tcPr>
          <w:p w:rsidR="00000000" w:rsidRDefault="00000000">
            <w:pPr>
              <w:keepNext/>
              <w:spacing w:before="80" w:after="80"/>
              <w:jc w:val="center"/>
              <w:rPr>
                <w:rFonts w:eastAsia="Arial Unicode MS"/>
                <w:sz w:val="20"/>
                <w:szCs w:val="18"/>
              </w:rPr>
            </w:pPr>
            <w:r>
              <w:rPr>
                <w:sz w:val="20"/>
                <w:szCs w:val="18"/>
              </w:rPr>
              <w:t>2</w:t>
            </w:r>
          </w:p>
        </w:tc>
      </w:tr>
      <w:tr w:rsidR="00000000">
        <w:trPr>
          <w:jc w:val="center"/>
        </w:trPr>
        <w:tc>
          <w:tcPr>
            <w:tcW w:w="3013" w:type="dxa"/>
            <w:tcBorders>
              <w:bottom w:val="single" w:sz="4" w:space="0" w:color="auto"/>
            </w:tcBorders>
            <w:noWrap/>
            <w:vAlign w:val="bottom"/>
          </w:tcPr>
          <w:p w:rsidR="00000000" w:rsidRDefault="00000000">
            <w:pPr>
              <w:pStyle w:val="Heading5"/>
              <w:rPr>
                <w:rFonts w:eastAsia="Arial Unicode MS"/>
                <w:szCs w:val="18"/>
              </w:rPr>
            </w:pPr>
            <w:r>
              <w:rPr>
                <w:szCs w:val="18"/>
              </w:rPr>
              <w:t>TOTAL</w:t>
            </w:r>
          </w:p>
        </w:tc>
        <w:tc>
          <w:tcPr>
            <w:tcW w:w="1891" w:type="dxa"/>
            <w:tcBorders>
              <w:bottom w:val="single" w:sz="4" w:space="0" w:color="auto"/>
            </w:tcBorders>
            <w:noWrap/>
            <w:vAlign w:val="bottom"/>
          </w:tcPr>
          <w:p w:rsidR="00000000" w:rsidRDefault="00000000">
            <w:pPr>
              <w:keepNext/>
              <w:spacing w:before="80" w:after="80"/>
              <w:jc w:val="center"/>
              <w:rPr>
                <w:rFonts w:eastAsia="Arial Unicode MS"/>
                <w:b/>
                <w:bCs/>
                <w:sz w:val="20"/>
                <w:szCs w:val="18"/>
              </w:rPr>
            </w:pPr>
            <w:r>
              <w:rPr>
                <w:b/>
                <w:bCs/>
                <w:sz w:val="20"/>
                <w:szCs w:val="18"/>
              </w:rPr>
              <w:t>1 247 652</w:t>
            </w:r>
          </w:p>
        </w:tc>
        <w:tc>
          <w:tcPr>
            <w:tcW w:w="1583" w:type="dxa"/>
            <w:tcBorders>
              <w:bottom w:val="single" w:sz="4" w:space="0" w:color="auto"/>
            </w:tcBorders>
            <w:noWrap/>
            <w:vAlign w:val="bottom"/>
          </w:tcPr>
          <w:p w:rsidR="00000000" w:rsidRDefault="00000000">
            <w:pPr>
              <w:keepNext/>
              <w:spacing w:before="80" w:after="80"/>
              <w:jc w:val="center"/>
              <w:rPr>
                <w:rFonts w:eastAsia="Arial Unicode MS"/>
                <w:b/>
                <w:bCs/>
                <w:sz w:val="20"/>
                <w:szCs w:val="18"/>
              </w:rPr>
            </w:pPr>
            <w:r>
              <w:rPr>
                <w:b/>
                <w:bCs/>
                <w:sz w:val="20"/>
                <w:szCs w:val="18"/>
              </w:rPr>
              <w:t>943 829</w:t>
            </w:r>
          </w:p>
        </w:tc>
        <w:tc>
          <w:tcPr>
            <w:tcW w:w="1180" w:type="dxa"/>
            <w:tcBorders>
              <w:bottom w:val="single" w:sz="4" w:space="0" w:color="auto"/>
            </w:tcBorders>
            <w:noWrap/>
            <w:vAlign w:val="bottom"/>
          </w:tcPr>
          <w:p w:rsidR="00000000" w:rsidRDefault="00000000">
            <w:pPr>
              <w:keepNext/>
              <w:spacing w:before="80" w:after="80"/>
              <w:jc w:val="center"/>
              <w:rPr>
                <w:rFonts w:eastAsia="Arial Unicode MS"/>
                <w:b/>
                <w:bCs/>
                <w:sz w:val="20"/>
                <w:szCs w:val="18"/>
              </w:rPr>
            </w:pPr>
            <w:r>
              <w:rPr>
                <w:b/>
                <w:bCs/>
                <w:sz w:val="20"/>
                <w:szCs w:val="18"/>
              </w:rPr>
              <w:t>303 823</w:t>
            </w:r>
          </w:p>
        </w:tc>
        <w:tc>
          <w:tcPr>
            <w:tcW w:w="958" w:type="dxa"/>
            <w:tcBorders>
              <w:bottom w:val="single" w:sz="4" w:space="0" w:color="auto"/>
            </w:tcBorders>
            <w:noWrap/>
            <w:vAlign w:val="bottom"/>
          </w:tcPr>
          <w:p w:rsidR="00000000" w:rsidRDefault="00000000">
            <w:pPr>
              <w:keepNext/>
              <w:spacing w:before="80" w:after="80"/>
              <w:jc w:val="center"/>
              <w:rPr>
                <w:rFonts w:eastAsia="Arial Unicode MS"/>
                <w:b/>
                <w:bCs/>
                <w:sz w:val="20"/>
                <w:szCs w:val="18"/>
              </w:rPr>
            </w:pPr>
            <w:r>
              <w:rPr>
                <w:b/>
                <w:bCs/>
                <w:sz w:val="20"/>
                <w:szCs w:val="18"/>
              </w:rPr>
              <w:t>24</w:t>
            </w:r>
          </w:p>
        </w:tc>
        <w:tc>
          <w:tcPr>
            <w:tcW w:w="981" w:type="dxa"/>
            <w:tcBorders>
              <w:bottom w:val="single" w:sz="4" w:space="0" w:color="auto"/>
            </w:tcBorders>
            <w:noWrap/>
            <w:vAlign w:val="bottom"/>
          </w:tcPr>
          <w:p w:rsidR="00000000" w:rsidRDefault="00000000">
            <w:pPr>
              <w:keepNext/>
              <w:spacing w:before="80" w:after="80"/>
              <w:jc w:val="center"/>
              <w:rPr>
                <w:rFonts w:eastAsia="Arial Unicode MS"/>
                <w:b/>
                <w:bCs/>
                <w:sz w:val="20"/>
                <w:szCs w:val="18"/>
              </w:rPr>
            </w:pPr>
            <w:r>
              <w:rPr>
                <w:b/>
                <w:bCs/>
                <w:sz w:val="20"/>
                <w:szCs w:val="18"/>
              </w:rPr>
              <w:t>100</w:t>
            </w:r>
          </w:p>
        </w:tc>
      </w:tr>
    </w:tbl>
    <w:p w:rsidR="00000000" w:rsidRDefault="00000000">
      <w:pPr>
        <w:widowControl w:val="0"/>
        <w:spacing w:before="120" w:after="80"/>
        <w:ind w:firstLine="567"/>
        <w:rPr>
          <w:sz w:val="20"/>
          <w:szCs w:val="14"/>
        </w:rPr>
      </w:pPr>
      <w:r>
        <w:rPr>
          <w:i/>
          <w:iCs/>
          <w:sz w:val="20"/>
          <w:szCs w:val="14"/>
        </w:rPr>
        <w:t>Source:</w:t>
      </w:r>
      <w:r>
        <w:rPr>
          <w:sz w:val="20"/>
          <w:szCs w:val="14"/>
        </w:rPr>
        <w:t xml:space="preserve"> EPH 2003 - DGEEC.</w:t>
      </w:r>
    </w:p>
    <w:p w:rsidR="00000000" w:rsidRDefault="00000000">
      <w:pPr>
        <w:spacing w:after="80"/>
        <w:ind w:firstLine="567"/>
        <w:rPr>
          <w:sz w:val="20"/>
          <w:szCs w:val="14"/>
        </w:rPr>
      </w:pPr>
      <w:r>
        <w:rPr>
          <w:sz w:val="20"/>
          <w:szCs w:val="14"/>
        </w:rPr>
        <w:t>USM= Minimum wage unit= 950 000 Gs. (2003)</w:t>
      </w:r>
    </w:p>
    <w:p w:rsidR="00000000" w:rsidRDefault="00000000">
      <w:pPr>
        <w:spacing w:after="80"/>
        <w:ind w:firstLine="567"/>
        <w:rPr>
          <w:sz w:val="20"/>
          <w:szCs w:val="14"/>
          <w:lang w:val="en-US"/>
        </w:rPr>
      </w:pPr>
      <w:r>
        <w:rPr>
          <w:sz w:val="20"/>
          <w:szCs w:val="14"/>
          <w:lang w:val="en-US"/>
        </w:rPr>
        <w:t>*  Percentage of households without own homes / % of all households.</w:t>
      </w:r>
    </w:p>
    <w:p w:rsidR="00000000" w:rsidRDefault="00000000">
      <w:pPr>
        <w:spacing w:after="80"/>
        <w:ind w:firstLine="567"/>
      </w:pPr>
      <w:r>
        <w:rPr>
          <w:sz w:val="20"/>
          <w:szCs w:val="14"/>
          <w:lang w:val="en-US"/>
        </w:rPr>
        <w:t>**  Percentage of households without own homes by level of family earnings.</w:t>
      </w:r>
    </w:p>
    <w:p w:rsidR="00000000" w:rsidRDefault="00000000">
      <w:pPr>
        <w:pStyle w:val="Header"/>
        <w:tabs>
          <w:tab w:val="clear" w:pos="4320"/>
          <w:tab w:val="clear" w:pos="8640"/>
        </w:tabs>
        <w:spacing w:after="2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53"/>
      </w:tblGrid>
      <w:tr w:rsidR="00000000">
        <w:tblPrEx>
          <w:tblCellMar>
            <w:top w:w="0" w:type="dxa"/>
            <w:bottom w:w="0" w:type="dxa"/>
          </w:tblCellMar>
        </w:tblPrEx>
        <w:trPr>
          <w:cantSplit/>
        </w:trPr>
        <w:tc>
          <w:tcPr>
            <w:tcW w:w="9553" w:type="dxa"/>
          </w:tcPr>
          <w:p w:rsidR="00000000" w:rsidRDefault="00000000">
            <w:pPr>
              <w:spacing w:before="80" w:after="80"/>
              <w:ind w:left="113" w:right="113"/>
              <w:rPr>
                <w:lang w:val="en-US"/>
              </w:rPr>
            </w:pPr>
            <w:r>
              <w:rPr>
                <w:lang w:val="en-US"/>
              </w:rPr>
              <w:tab/>
              <w:t>24% of homes in Paraguay (303,823 households) do not own their homes; of these, 53%</w:t>
            </w:r>
            <w:r>
              <w:rPr>
                <w:lang w:val="en-US"/>
              </w:rPr>
              <w:br/>
              <w:t>(160 998 households) belong to the lower middle class, with family incomes ranging from 1 to 5 minimum wage units.</w:t>
            </w:r>
          </w:p>
        </w:tc>
      </w:tr>
    </w:tbl>
    <w:p w:rsidR="00000000" w:rsidRDefault="00000000">
      <w:pPr>
        <w:spacing w:after="240"/>
        <w:rPr>
          <w:b/>
          <w:bCs/>
        </w:rPr>
      </w:pPr>
    </w:p>
    <w:p w:rsidR="00000000" w:rsidRDefault="00000000">
      <w:pPr>
        <w:autoSpaceDE w:val="0"/>
        <w:autoSpaceDN w:val="0"/>
        <w:adjustRightInd w:val="0"/>
        <w:spacing w:after="240"/>
        <w:jc w:val="center"/>
        <w:rPr>
          <w:b/>
          <w:sz w:val="22"/>
          <w:szCs w:val="18"/>
        </w:rPr>
      </w:pPr>
    </w:p>
    <w:p w:rsidR="00000000" w:rsidRDefault="00000000">
      <w:pPr>
        <w:autoSpaceDE w:val="0"/>
        <w:autoSpaceDN w:val="0"/>
        <w:adjustRightInd w:val="0"/>
        <w:spacing w:after="240"/>
        <w:jc w:val="center"/>
        <w:rPr>
          <w:b/>
          <w:bCs/>
          <w:sz w:val="16"/>
          <w:szCs w:val="18"/>
          <w:lang w:val="en-US"/>
        </w:rPr>
      </w:pPr>
      <w:r>
        <w:rPr>
          <w:b/>
          <w:bCs/>
          <w:sz w:val="22"/>
        </w:rPr>
        <w:t>Occupation of housing in Paraguay by households</w:t>
      </w:r>
      <w:r>
        <w:rPr>
          <w:b/>
          <w:bCs/>
          <w:sz w:val="20"/>
          <w:szCs w:val="18"/>
          <w:lang w:val="en-U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70"/>
      </w:tblGrid>
      <w:tr w:rsidR="00000000">
        <w:tblPrEx>
          <w:tblCellMar>
            <w:top w:w="0" w:type="dxa"/>
            <w:bottom w:w="0" w:type="dxa"/>
          </w:tblCellMar>
        </w:tblPrEx>
        <w:trPr>
          <w:jc w:val="center"/>
        </w:trPr>
        <w:tc>
          <w:tcPr>
            <w:tcW w:w="5470" w:type="dxa"/>
          </w:tcPr>
          <w:p w:rsidR="00000000" w:rsidRDefault="00000000">
            <w:pPr>
              <w:autoSpaceDE w:val="0"/>
              <w:autoSpaceDN w:val="0"/>
              <w:adjustRightInd w:val="0"/>
              <w:spacing w:after="240"/>
              <w:jc w:val="center"/>
            </w:pPr>
            <w:r>
              <w:rPr>
                <w:b/>
                <w:noProof/>
                <w:sz w:val="20"/>
                <w:szCs w:val="18"/>
                <w:lang w:val="fr-FR" w:eastAsia="fr-FR"/>
              </w:rPr>
              <w:pict>
                <v:shape id="_x0000_s2895" type="#_x0000_t202" style="position:absolute;left:0;text-align:left;margin-left:9.7pt;margin-top:11.6pt;width:110.15pt;height:19.85pt;z-index:82" stroked="f">
                  <v:textbox inset="0,0,0,0">
                    <w:txbxContent>
                      <w:p w:rsidR="00000000" w:rsidRDefault="00000000">
                        <w:pPr>
                          <w:jc w:val="center"/>
                          <w:rPr>
                            <w:b/>
                            <w:bCs/>
                          </w:rPr>
                        </w:pPr>
                        <w:r>
                          <w:rPr>
                            <w:b/>
                            <w:bCs/>
                            <w:sz w:val="20"/>
                          </w:rPr>
                          <w:t>Not owned</w:t>
                        </w:r>
                        <w:r>
                          <w:rPr>
                            <w:b/>
                            <w:bCs/>
                            <w:sz w:val="18"/>
                            <w:szCs w:val="18"/>
                          </w:rPr>
                          <w:t>, 24 %</w:t>
                        </w:r>
                      </w:p>
                    </w:txbxContent>
                  </v:textbox>
                </v:shape>
              </w:pict>
            </w:r>
            <w:r>
              <w:rPr>
                <w:b/>
                <w:noProof/>
                <w:sz w:val="20"/>
                <w:szCs w:val="18"/>
                <w:lang w:val="fr-FR" w:eastAsia="fr-FR"/>
              </w:rPr>
              <w:pict>
                <v:shape id="_x0000_s2896" type="#_x0000_t202" style="position:absolute;left:0;text-align:left;margin-left:175.45pt;margin-top:95.95pt;width:85.5pt;height:19.85pt;z-index:83" stroked="f">
                  <v:textbox inset="0,0,0,0">
                    <w:txbxContent>
                      <w:p w:rsidR="00000000" w:rsidRDefault="00000000">
                        <w:pPr>
                          <w:jc w:val="center"/>
                          <w:rPr>
                            <w:b/>
                            <w:bCs/>
                            <w:sz w:val="20"/>
                          </w:rPr>
                        </w:pPr>
                        <w:r>
                          <w:rPr>
                            <w:b/>
                            <w:bCs/>
                            <w:sz w:val="20"/>
                          </w:rPr>
                          <w:t>Owned</w:t>
                        </w:r>
                        <w:r>
                          <w:rPr>
                            <w:b/>
                            <w:bCs/>
                            <w:sz w:val="20"/>
                            <w:szCs w:val="18"/>
                          </w:rPr>
                          <w:t>, 73 %</w:t>
                        </w:r>
                      </w:p>
                    </w:txbxContent>
                  </v:textbox>
                </v:shape>
              </w:pict>
            </w:r>
            <w:r>
              <w:pict>
                <v:shape id="_x0000_i1051" type="#_x0000_t75" style="width:317.25pt;height:137.25pt" o:allowoverlap="f">
                  <v:imagedata r:id="rId59" o:title="" croptop="12591f" cropbottom="2098f" cropleft="8629f" cropright="8629f" blacklevel="3932f" grayscale="t"/>
                </v:shape>
              </w:pict>
            </w:r>
          </w:p>
        </w:tc>
      </w:tr>
    </w:tbl>
    <w:p w:rsidR="00000000" w:rsidRDefault="00000000">
      <w:pPr>
        <w:autoSpaceDE w:val="0"/>
        <w:autoSpaceDN w:val="0"/>
        <w:adjustRightInd w:val="0"/>
        <w:spacing w:after="240"/>
        <w:jc w:val="center"/>
      </w:pPr>
    </w:p>
    <w:p w:rsidR="00000000" w:rsidRDefault="00000000">
      <w:pPr>
        <w:spacing w:after="240"/>
        <w:rPr>
          <w:b/>
          <w:bCs/>
        </w:rPr>
      </w:pPr>
    </w:p>
    <w:p w:rsidR="00000000" w:rsidRDefault="00000000">
      <w:pPr>
        <w:autoSpaceDE w:val="0"/>
        <w:autoSpaceDN w:val="0"/>
        <w:adjustRightInd w:val="0"/>
        <w:spacing w:after="240"/>
        <w:jc w:val="center"/>
        <w:rPr>
          <w:b/>
          <w:sz w:val="20"/>
          <w:szCs w:val="18"/>
          <w:lang w:val="en-US"/>
        </w:rPr>
      </w:pPr>
      <w:r>
        <w:rPr>
          <w:b/>
          <w:bCs/>
          <w:lang w:val="en-US"/>
        </w:rPr>
        <w:br w:type="page"/>
      </w:r>
      <w:r>
        <w:rPr>
          <w:b/>
          <w:sz w:val="22"/>
        </w:rPr>
        <w:t>Trends in housing in Paraguay</w:t>
      </w:r>
    </w:p>
    <w:p w:rsidR="00000000" w:rsidRDefault="00000000">
      <w:pPr>
        <w:autoSpaceDE w:val="0"/>
        <w:autoSpaceDN w:val="0"/>
        <w:adjustRightInd w:val="0"/>
        <w:spacing w:after="60"/>
        <w:jc w:val="center"/>
        <w:rPr>
          <w:b/>
          <w:sz w:val="22"/>
          <w:szCs w:val="18"/>
          <w:lang w:val="en-US"/>
        </w:rPr>
      </w:pPr>
      <w:r>
        <w:rPr>
          <w:b/>
          <w:sz w:val="22"/>
        </w:rPr>
        <w:t>Percentage of households without housing of their own by family income bracket</w:t>
      </w:r>
    </w:p>
    <w:p w:rsidR="00000000" w:rsidRDefault="00000000">
      <w:pPr>
        <w:autoSpaceDE w:val="0"/>
        <w:autoSpaceDN w:val="0"/>
        <w:adjustRightInd w:val="0"/>
        <w:jc w:val="center"/>
        <w:rPr>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68"/>
      </w:tblGrid>
      <w:tr w:rsidR="00000000">
        <w:tblPrEx>
          <w:tblCellMar>
            <w:top w:w="0" w:type="dxa"/>
            <w:bottom w:w="0" w:type="dxa"/>
          </w:tblCellMar>
        </w:tblPrEx>
        <w:trPr>
          <w:jc w:val="center"/>
        </w:trPr>
        <w:tc>
          <w:tcPr>
            <w:tcW w:w="8068" w:type="dxa"/>
          </w:tcPr>
          <w:p w:rsidR="00000000" w:rsidRDefault="00000000">
            <w:pPr>
              <w:autoSpaceDE w:val="0"/>
              <w:autoSpaceDN w:val="0"/>
              <w:adjustRightInd w:val="0"/>
              <w:spacing w:after="240"/>
              <w:jc w:val="center"/>
            </w:pPr>
            <w:r>
              <w:rPr>
                <w:noProof/>
                <w:sz w:val="20"/>
                <w:lang w:val="fr-FR" w:eastAsia="fr-FR"/>
              </w:rPr>
              <w:pict>
                <v:shape id="_x0000_s2900" type="#_x0000_t202" style="position:absolute;left:0;text-align:left;margin-left:8.15pt;margin-top:36.15pt;width:99.15pt;height:39.5pt;z-index:87" stroked="f">
                  <v:textbox inset="0,0,0,0">
                    <w:txbxContent>
                      <w:p w:rsidR="00000000" w:rsidRDefault="00000000">
                        <w:pPr>
                          <w:jc w:val="center"/>
                          <w:rPr>
                            <w:sz w:val="20"/>
                          </w:rPr>
                        </w:pPr>
                        <w:r>
                          <w:rPr>
                            <w:sz w:val="20"/>
                          </w:rPr>
                          <w:t>Upper middle / Over 5, up to 10 USM / 4%</w:t>
                        </w:r>
                      </w:p>
                    </w:txbxContent>
                  </v:textbox>
                </v:shape>
              </w:pict>
            </w:r>
            <w:r>
              <w:rPr>
                <w:noProof/>
                <w:sz w:val="20"/>
                <w:lang w:val="fr-FR" w:eastAsia="fr-FR"/>
              </w:rPr>
              <w:pict>
                <v:shape id="_x0000_s2898" type="#_x0000_t202" style="position:absolute;left:0;text-align:left;margin-left:25.9pt;margin-top:120.15pt;width:99.15pt;height:41.1pt;z-index:85" stroked="f">
                  <v:textbox inset="0,0,0,0">
                    <w:txbxContent>
                      <w:p w:rsidR="00000000" w:rsidRDefault="00000000">
                        <w:pPr>
                          <w:jc w:val="center"/>
                          <w:rPr>
                            <w:sz w:val="20"/>
                          </w:rPr>
                        </w:pPr>
                        <w:r>
                          <w:rPr>
                            <w:sz w:val="20"/>
                          </w:rPr>
                          <w:t>Lower middle / Over 1, up to 5 USM / 53%</w:t>
                        </w:r>
                      </w:p>
                    </w:txbxContent>
                  </v:textbox>
                </v:shape>
              </w:pict>
            </w:r>
            <w:r>
              <w:rPr>
                <w:noProof/>
                <w:sz w:val="20"/>
                <w:lang w:val="fr-FR" w:eastAsia="fr-FR"/>
              </w:rPr>
              <w:pict>
                <v:shape id="_x0000_s2899" type="#_x0000_t202" style="position:absolute;left:0;text-align:left;margin-left:223.9pt;margin-top:49.4pt;width:99.15pt;height:38.65pt;z-index:86" stroked="f">
                  <v:textbox inset="0,0,0,0">
                    <w:txbxContent>
                      <w:p w:rsidR="00000000" w:rsidRDefault="00000000">
                        <w:pPr>
                          <w:jc w:val="center"/>
                          <w:rPr>
                            <w:sz w:val="20"/>
                          </w:rPr>
                        </w:pPr>
                        <w:r>
                          <w:rPr>
                            <w:sz w:val="20"/>
                          </w:rPr>
                          <w:t>In poverty / up to 1 USM /41%</w:t>
                        </w:r>
                      </w:p>
                    </w:txbxContent>
                  </v:textbox>
                </v:shape>
              </w:pict>
            </w:r>
            <w:r>
              <w:rPr>
                <w:noProof/>
                <w:sz w:val="20"/>
                <w:lang w:val="fr-FR" w:eastAsia="fr-FR"/>
              </w:rPr>
              <w:pict>
                <v:shape id="_x0000_s2897" type="#_x0000_t202" style="position:absolute;left:0;text-align:left;margin-left:142.75pt;margin-top:11.65pt;width:99.15pt;height:29.65pt;z-index:84" stroked="f">
                  <v:textbox inset="0,0,0,0">
                    <w:txbxContent>
                      <w:p w:rsidR="00000000" w:rsidRDefault="00000000">
                        <w:pPr>
                          <w:jc w:val="center"/>
                          <w:rPr>
                            <w:sz w:val="20"/>
                          </w:rPr>
                        </w:pPr>
                        <w:r>
                          <w:rPr>
                            <w:sz w:val="20"/>
                          </w:rPr>
                          <w:t>Upper class / over 10 USM / 2%</w:t>
                        </w:r>
                      </w:p>
                    </w:txbxContent>
                  </v:textbox>
                </v:shape>
              </w:pict>
            </w:r>
            <w:bookmarkStart w:id="80" w:name="_MON_1235999296"/>
            <w:bookmarkStart w:id="81" w:name="_MON_1250001617"/>
            <w:bookmarkStart w:id="82" w:name="_MON_1250001868"/>
            <w:bookmarkEnd w:id="80"/>
            <w:bookmarkEnd w:id="81"/>
            <w:bookmarkEnd w:id="82"/>
            <w:r>
              <w:object w:dxaOrig="8608" w:dyaOrig="4253">
                <v:shape id="_x0000_i1052" type="#_x0000_t75" style="width:396.75pt;height:170.25pt" o:ole="" filled="t" fillcolor="window">
                  <v:fill color2="black"/>
                  <v:imagedata r:id="rId60" o:title="" croptop="11358f" cropbottom="1747f" cropleft="863f" cropright="4316f" gain="69719f" grayscale="t"/>
                </v:shape>
                <o:OLEObject Type="Embed" ProgID="Word.Picture.8" ShapeID="_x0000_i1052" DrawAspect="Content" ObjectID="_1394904865" r:id="rId61"/>
              </w:object>
            </w:r>
          </w:p>
        </w:tc>
      </w:tr>
    </w:tbl>
    <w:p w:rsidR="00000000" w:rsidRDefault="00000000">
      <w:pPr>
        <w:autoSpaceDE w:val="0"/>
        <w:autoSpaceDN w:val="0"/>
        <w:adjustRightInd w:val="0"/>
        <w:jc w:val="center"/>
      </w:pPr>
    </w:p>
    <w:p w:rsidR="00000000" w:rsidRDefault="00000000">
      <w:pPr>
        <w:autoSpaceDE w:val="0"/>
        <w:autoSpaceDN w:val="0"/>
        <w:adjustRightInd w:val="0"/>
        <w:ind w:left="567"/>
        <w:rPr>
          <w:sz w:val="20"/>
          <w:lang w:val="en-US"/>
        </w:rPr>
      </w:pPr>
      <w:r>
        <w:rPr>
          <w:sz w:val="20"/>
          <w:lang w:val="en-US"/>
        </w:rPr>
        <w:t>Prepared by the CONAVI Planning Administration.</w:t>
      </w:r>
    </w:p>
    <w:p w:rsidR="00000000" w:rsidRDefault="00000000">
      <w:pPr>
        <w:autoSpaceDE w:val="0"/>
        <w:autoSpaceDN w:val="0"/>
        <w:adjustRightInd w:val="0"/>
        <w:ind w:left="567"/>
      </w:pPr>
    </w:p>
    <w:p w:rsidR="00000000" w:rsidRDefault="00000000">
      <w:pPr>
        <w:autoSpaceDE w:val="0"/>
        <w:autoSpaceDN w:val="0"/>
        <w:adjustRightInd w:val="0"/>
        <w:ind w:left="567"/>
      </w:pPr>
    </w:p>
    <w:p w:rsidR="00000000" w:rsidRDefault="00000000">
      <w:pPr>
        <w:pStyle w:val="xl46"/>
        <w:spacing w:before="0" w:beforeAutospacing="0" w:after="240" w:afterAutospacing="0"/>
        <w:rPr>
          <w:rFonts w:ascii="Times New Roman" w:eastAsia="Times New Roman" w:hAnsi="Times New Roman" w:cs="Times New Roman"/>
          <w:iCs/>
          <w:sz w:val="20"/>
          <w:szCs w:val="24"/>
          <w:lang w:val="en-GB" w:eastAsia="en-US"/>
        </w:rPr>
      </w:pPr>
      <w:r>
        <w:rPr>
          <w:rFonts w:ascii="Times New Roman" w:eastAsia="Times New Roman" w:hAnsi="Times New Roman" w:cs="Times New Roman"/>
          <w:iCs/>
          <w:szCs w:val="24"/>
          <w:lang w:val="en-GB" w:eastAsia="en-US"/>
        </w:rPr>
        <w:t>Home ownership</w:t>
      </w:r>
    </w:p>
    <w:tbl>
      <w:tblPr>
        <w:tblW w:w="4849" w:type="pct"/>
        <w:jc w:val="center"/>
        <w:tblInd w:w="-21" w:type="dxa"/>
        <w:tblCellMar>
          <w:left w:w="0" w:type="dxa"/>
          <w:right w:w="0" w:type="dxa"/>
        </w:tblCellMar>
        <w:tblLook w:val="0000" w:firstRow="0" w:lastRow="0" w:firstColumn="0" w:lastColumn="0" w:noHBand="0" w:noVBand="0"/>
      </w:tblPr>
      <w:tblGrid>
        <w:gridCol w:w="3057"/>
        <w:gridCol w:w="1976"/>
        <w:gridCol w:w="1727"/>
        <w:gridCol w:w="1085"/>
        <w:gridCol w:w="1296"/>
      </w:tblGrid>
      <w:tr w:rsidR="00000000">
        <w:trPr>
          <w:jc w:val="center"/>
        </w:trPr>
        <w:tc>
          <w:tcPr>
            <w:tcW w:w="3049" w:type="dxa"/>
            <w:tcBorders>
              <w:top w:val="single" w:sz="4" w:space="0" w:color="auto"/>
              <w:bottom w:val="single" w:sz="4" w:space="0" w:color="auto"/>
              <w:right w:val="single" w:sz="4" w:space="0" w:color="auto"/>
            </w:tcBorders>
            <w:noWrap/>
            <w:vAlign w:val="bottom"/>
          </w:tcPr>
          <w:p w:rsidR="00000000" w:rsidRDefault="00000000">
            <w:pPr>
              <w:spacing w:before="80" w:after="80"/>
              <w:jc w:val="center"/>
              <w:rPr>
                <w:rFonts w:eastAsia="Arial Unicode MS" w:cs="Arial"/>
                <w:b/>
                <w:bCs/>
                <w:i/>
                <w:iCs/>
                <w:sz w:val="20"/>
                <w:szCs w:val="20"/>
                <w:lang w:val="es-ES_tradnl"/>
              </w:rPr>
            </w:pPr>
            <w:r>
              <w:rPr>
                <w:rFonts w:cs="Arial"/>
                <w:b/>
                <w:bCs/>
                <w:i/>
                <w:iCs/>
                <w:sz w:val="20"/>
                <w:szCs w:val="20"/>
                <w:lang w:val="es-ES_tradnl"/>
              </w:rPr>
              <w:t>Income bracket</w:t>
            </w:r>
          </w:p>
        </w:tc>
        <w:tc>
          <w:tcPr>
            <w:tcW w:w="6084" w:type="dxa"/>
            <w:gridSpan w:val="4"/>
            <w:tcBorders>
              <w:top w:val="single" w:sz="4" w:space="0" w:color="auto"/>
              <w:left w:val="nil"/>
              <w:bottom w:val="single" w:sz="4" w:space="0" w:color="auto"/>
              <w:right w:val="single" w:sz="4" w:space="0" w:color="000000"/>
            </w:tcBorders>
            <w:noWrap/>
            <w:vAlign w:val="bottom"/>
          </w:tcPr>
          <w:p w:rsidR="00000000" w:rsidRDefault="00000000">
            <w:pPr>
              <w:spacing w:before="80" w:after="80"/>
              <w:jc w:val="center"/>
              <w:rPr>
                <w:rFonts w:eastAsia="Arial Unicode MS" w:cs="Arial"/>
                <w:b/>
                <w:bCs/>
                <w:i/>
                <w:iCs/>
                <w:sz w:val="20"/>
                <w:szCs w:val="20"/>
                <w:lang w:val="es-ES_tradnl"/>
              </w:rPr>
            </w:pPr>
            <w:r>
              <w:rPr>
                <w:rFonts w:cs="Arial"/>
                <w:b/>
                <w:bCs/>
                <w:i/>
                <w:iCs/>
                <w:sz w:val="20"/>
                <w:szCs w:val="20"/>
                <w:lang w:val="es-ES_tradnl"/>
              </w:rPr>
              <w:t>Households without own housing</w:t>
            </w:r>
          </w:p>
        </w:tc>
      </w:tr>
      <w:tr w:rsidR="00000000">
        <w:trPr>
          <w:jc w:val="center"/>
        </w:trPr>
        <w:tc>
          <w:tcPr>
            <w:tcW w:w="3049" w:type="dxa"/>
            <w:tcBorders>
              <w:top w:val="single" w:sz="4" w:space="0" w:color="auto"/>
              <w:bottom w:val="single" w:sz="4" w:space="0" w:color="auto"/>
              <w:right w:val="single" w:sz="4" w:space="0" w:color="auto"/>
            </w:tcBorders>
            <w:noWrap/>
            <w:vAlign w:val="bottom"/>
          </w:tcPr>
          <w:p w:rsidR="00000000" w:rsidRDefault="00000000">
            <w:pPr>
              <w:spacing w:before="80" w:after="80"/>
              <w:jc w:val="center"/>
              <w:rPr>
                <w:rFonts w:eastAsia="Arial Unicode MS" w:cs="Arial"/>
                <w:b/>
                <w:bCs/>
                <w:i/>
                <w:iCs/>
                <w:sz w:val="20"/>
                <w:szCs w:val="20"/>
                <w:lang w:val="es-ES_tradnl"/>
              </w:rPr>
            </w:pPr>
            <w:r>
              <w:rPr>
                <w:rFonts w:cs="Arial"/>
                <w:b/>
                <w:bCs/>
                <w:i/>
                <w:iCs/>
                <w:sz w:val="20"/>
                <w:szCs w:val="20"/>
                <w:lang w:val="es-ES_tradnl"/>
              </w:rPr>
              <w:t>Family</w:t>
            </w:r>
          </w:p>
        </w:tc>
        <w:tc>
          <w:tcPr>
            <w:tcW w:w="1976" w:type="dxa"/>
            <w:tcBorders>
              <w:top w:val="single" w:sz="4" w:space="0" w:color="auto"/>
              <w:left w:val="nil"/>
              <w:bottom w:val="single" w:sz="4" w:space="0" w:color="auto"/>
              <w:right w:val="single" w:sz="4" w:space="0" w:color="auto"/>
            </w:tcBorders>
            <w:noWrap/>
            <w:vAlign w:val="bottom"/>
          </w:tcPr>
          <w:p w:rsidR="00000000" w:rsidRDefault="00000000">
            <w:pPr>
              <w:spacing w:before="80" w:after="80"/>
              <w:jc w:val="center"/>
              <w:rPr>
                <w:rFonts w:eastAsia="Arial Unicode MS" w:cs="Arial"/>
                <w:b/>
                <w:bCs/>
                <w:i/>
                <w:iCs/>
                <w:sz w:val="20"/>
                <w:szCs w:val="20"/>
                <w:lang w:val="es-ES_tradnl"/>
              </w:rPr>
            </w:pPr>
            <w:r>
              <w:rPr>
                <w:rFonts w:cs="Arial"/>
                <w:b/>
                <w:bCs/>
                <w:i/>
                <w:iCs/>
                <w:sz w:val="20"/>
                <w:szCs w:val="20"/>
                <w:lang w:val="es-ES_tradnl"/>
              </w:rPr>
              <w:t>Total</w:t>
            </w:r>
          </w:p>
        </w:tc>
        <w:tc>
          <w:tcPr>
            <w:tcW w:w="1727" w:type="dxa"/>
            <w:tcBorders>
              <w:top w:val="single" w:sz="4" w:space="0" w:color="auto"/>
              <w:left w:val="nil"/>
              <w:bottom w:val="single" w:sz="4" w:space="0" w:color="auto"/>
              <w:right w:val="single" w:sz="4" w:space="0" w:color="auto"/>
            </w:tcBorders>
            <w:noWrap/>
            <w:vAlign w:val="bottom"/>
          </w:tcPr>
          <w:p w:rsidR="00000000" w:rsidRDefault="00000000">
            <w:pPr>
              <w:spacing w:before="80" w:after="80"/>
              <w:jc w:val="center"/>
              <w:rPr>
                <w:rFonts w:eastAsia="Arial Unicode MS" w:cs="Arial"/>
                <w:b/>
                <w:bCs/>
                <w:i/>
                <w:iCs/>
                <w:sz w:val="20"/>
                <w:szCs w:val="20"/>
                <w:lang w:val="es-ES_tradnl"/>
              </w:rPr>
            </w:pPr>
            <w:r>
              <w:rPr>
                <w:rFonts w:cs="Arial"/>
                <w:b/>
                <w:bCs/>
                <w:i/>
                <w:iCs/>
                <w:sz w:val="20"/>
                <w:szCs w:val="20"/>
                <w:lang w:val="es-ES_tradnl"/>
              </w:rPr>
              <w:t>Rented</w:t>
            </w:r>
          </w:p>
        </w:tc>
        <w:tc>
          <w:tcPr>
            <w:tcW w:w="1085" w:type="dxa"/>
            <w:tcBorders>
              <w:top w:val="single" w:sz="4" w:space="0" w:color="auto"/>
              <w:left w:val="nil"/>
              <w:bottom w:val="single" w:sz="4" w:space="0" w:color="auto"/>
              <w:right w:val="single" w:sz="4" w:space="0" w:color="auto"/>
            </w:tcBorders>
            <w:noWrap/>
            <w:vAlign w:val="bottom"/>
          </w:tcPr>
          <w:p w:rsidR="00000000" w:rsidRDefault="00000000">
            <w:pPr>
              <w:spacing w:before="80" w:after="80"/>
              <w:jc w:val="center"/>
              <w:rPr>
                <w:rFonts w:eastAsia="Arial Unicode MS" w:cs="Arial"/>
                <w:b/>
                <w:bCs/>
                <w:i/>
                <w:iCs/>
                <w:sz w:val="20"/>
                <w:szCs w:val="20"/>
                <w:lang w:val="es-ES_tradnl"/>
              </w:rPr>
            </w:pPr>
            <w:r>
              <w:rPr>
                <w:rFonts w:cs="Arial"/>
                <w:b/>
                <w:bCs/>
                <w:i/>
                <w:iCs/>
                <w:sz w:val="20"/>
                <w:szCs w:val="20"/>
                <w:lang w:val="es-ES_tradnl"/>
              </w:rPr>
              <w:t>% (**)</w:t>
            </w:r>
          </w:p>
        </w:tc>
        <w:tc>
          <w:tcPr>
            <w:tcW w:w="1296" w:type="dxa"/>
            <w:tcBorders>
              <w:top w:val="single" w:sz="4" w:space="0" w:color="auto"/>
              <w:left w:val="nil"/>
              <w:bottom w:val="single" w:sz="4" w:space="0" w:color="auto"/>
              <w:right w:val="single" w:sz="4" w:space="0" w:color="auto"/>
            </w:tcBorders>
            <w:noWrap/>
            <w:vAlign w:val="bottom"/>
          </w:tcPr>
          <w:p w:rsidR="00000000" w:rsidRDefault="00000000">
            <w:pPr>
              <w:spacing w:before="80" w:after="80"/>
              <w:jc w:val="center"/>
              <w:rPr>
                <w:rFonts w:eastAsia="Arial Unicode MS" w:cs="Arial"/>
                <w:b/>
                <w:bCs/>
                <w:i/>
                <w:iCs/>
                <w:sz w:val="20"/>
                <w:szCs w:val="20"/>
                <w:lang w:val="es-ES_tradnl"/>
              </w:rPr>
            </w:pPr>
            <w:r>
              <w:rPr>
                <w:rFonts w:cs="Arial"/>
                <w:b/>
                <w:bCs/>
                <w:i/>
                <w:iCs/>
                <w:sz w:val="20"/>
                <w:szCs w:val="20"/>
                <w:lang w:val="es-ES_tradnl"/>
              </w:rPr>
              <w:t>Other (*)</w:t>
            </w:r>
          </w:p>
        </w:tc>
      </w:tr>
      <w:tr w:rsidR="00000000">
        <w:trPr>
          <w:jc w:val="center"/>
        </w:trPr>
        <w:tc>
          <w:tcPr>
            <w:tcW w:w="3049" w:type="dxa"/>
            <w:tcBorders>
              <w:top w:val="single" w:sz="4" w:space="0" w:color="auto"/>
              <w:bottom w:val="nil"/>
              <w:right w:val="single" w:sz="4" w:space="0" w:color="auto"/>
            </w:tcBorders>
            <w:vAlign w:val="center"/>
          </w:tcPr>
          <w:p w:rsidR="00000000" w:rsidRDefault="00000000">
            <w:pPr>
              <w:spacing w:before="80" w:after="80"/>
              <w:rPr>
                <w:rFonts w:eastAsia="Arial Unicode MS" w:cs="Arial"/>
                <w:sz w:val="20"/>
                <w:szCs w:val="18"/>
                <w:lang w:val="en-US"/>
              </w:rPr>
            </w:pPr>
            <w:r>
              <w:rPr>
                <w:rFonts w:cs="Arial"/>
                <w:sz w:val="20"/>
                <w:szCs w:val="18"/>
                <w:lang w:val="en-US"/>
              </w:rPr>
              <w:t>Lower middle class</w:t>
            </w:r>
            <w:r>
              <w:rPr>
                <w:rFonts w:cs="Arial"/>
                <w:sz w:val="20"/>
                <w:szCs w:val="18"/>
                <w:lang w:val="en-US"/>
              </w:rPr>
              <w:br/>
              <w:t>Over 1 USM, up to 5 USM</w:t>
            </w:r>
          </w:p>
        </w:tc>
        <w:tc>
          <w:tcPr>
            <w:tcW w:w="1976" w:type="dxa"/>
            <w:tcBorders>
              <w:top w:val="single" w:sz="4" w:space="0" w:color="auto"/>
              <w:left w:val="nil"/>
              <w:bottom w:val="nil"/>
              <w:right w:val="single" w:sz="4" w:space="0" w:color="auto"/>
            </w:tcBorders>
            <w:noWrap/>
            <w:vAlign w:val="center"/>
          </w:tcPr>
          <w:p w:rsidR="00000000" w:rsidRDefault="00000000">
            <w:pPr>
              <w:spacing w:before="80" w:after="80"/>
              <w:ind w:right="397"/>
              <w:jc w:val="right"/>
              <w:rPr>
                <w:rFonts w:eastAsia="Arial Unicode MS" w:cs="Arial"/>
                <w:sz w:val="20"/>
                <w:szCs w:val="18"/>
              </w:rPr>
            </w:pPr>
            <w:r>
              <w:rPr>
                <w:rFonts w:cs="Arial"/>
                <w:sz w:val="20"/>
                <w:szCs w:val="18"/>
              </w:rPr>
              <w:t>160 998</w:t>
            </w:r>
          </w:p>
        </w:tc>
        <w:tc>
          <w:tcPr>
            <w:tcW w:w="1727" w:type="dxa"/>
            <w:tcBorders>
              <w:top w:val="single" w:sz="4" w:space="0" w:color="auto"/>
              <w:left w:val="nil"/>
              <w:bottom w:val="nil"/>
              <w:right w:val="single" w:sz="4" w:space="0" w:color="auto"/>
            </w:tcBorders>
            <w:noWrap/>
            <w:vAlign w:val="center"/>
          </w:tcPr>
          <w:p w:rsidR="00000000" w:rsidRDefault="00000000">
            <w:pPr>
              <w:spacing w:before="80" w:after="80"/>
              <w:ind w:right="397"/>
              <w:jc w:val="right"/>
              <w:rPr>
                <w:rFonts w:eastAsia="Arial Unicode MS" w:cs="Arial"/>
                <w:sz w:val="20"/>
                <w:szCs w:val="18"/>
              </w:rPr>
            </w:pPr>
            <w:r>
              <w:rPr>
                <w:rFonts w:cs="Arial"/>
                <w:sz w:val="20"/>
                <w:szCs w:val="18"/>
              </w:rPr>
              <w:t>71 872</w:t>
            </w:r>
          </w:p>
        </w:tc>
        <w:tc>
          <w:tcPr>
            <w:tcW w:w="1085" w:type="dxa"/>
            <w:tcBorders>
              <w:top w:val="single" w:sz="4" w:space="0" w:color="auto"/>
              <w:left w:val="nil"/>
              <w:bottom w:val="nil"/>
              <w:right w:val="single" w:sz="4" w:space="0" w:color="auto"/>
            </w:tcBorders>
            <w:noWrap/>
            <w:vAlign w:val="center"/>
          </w:tcPr>
          <w:p w:rsidR="00000000" w:rsidRDefault="00000000">
            <w:pPr>
              <w:spacing w:before="80" w:after="80"/>
              <w:ind w:right="397"/>
              <w:jc w:val="right"/>
              <w:rPr>
                <w:rFonts w:eastAsia="Arial Unicode MS" w:cs="Arial"/>
                <w:sz w:val="20"/>
                <w:szCs w:val="18"/>
              </w:rPr>
            </w:pPr>
            <w:r>
              <w:rPr>
                <w:rFonts w:cs="Arial"/>
                <w:sz w:val="20"/>
                <w:szCs w:val="18"/>
              </w:rPr>
              <w:t>59</w:t>
            </w:r>
          </w:p>
        </w:tc>
        <w:tc>
          <w:tcPr>
            <w:tcW w:w="1296" w:type="dxa"/>
            <w:tcBorders>
              <w:top w:val="single" w:sz="4" w:space="0" w:color="auto"/>
              <w:left w:val="nil"/>
              <w:bottom w:val="nil"/>
              <w:right w:val="single" w:sz="4" w:space="0" w:color="auto"/>
            </w:tcBorders>
            <w:noWrap/>
            <w:vAlign w:val="center"/>
          </w:tcPr>
          <w:p w:rsidR="00000000" w:rsidRDefault="00000000">
            <w:pPr>
              <w:spacing w:before="80" w:after="80"/>
              <w:ind w:right="397"/>
              <w:jc w:val="right"/>
              <w:rPr>
                <w:rFonts w:eastAsia="Arial Unicode MS" w:cs="Arial"/>
                <w:sz w:val="20"/>
                <w:szCs w:val="18"/>
              </w:rPr>
            </w:pPr>
            <w:r>
              <w:rPr>
                <w:rFonts w:cs="Arial"/>
                <w:sz w:val="20"/>
                <w:szCs w:val="18"/>
              </w:rPr>
              <w:t>89 126</w:t>
            </w:r>
          </w:p>
        </w:tc>
      </w:tr>
      <w:tr w:rsidR="00000000">
        <w:trPr>
          <w:jc w:val="center"/>
        </w:trPr>
        <w:tc>
          <w:tcPr>
            <w:tcW w:w="3049" w:type="dxa"/>
            <w:tcBorders>
              <w:top w:val="nil"/>
              <w:bottom w:val="nil"/>
              <w:right w:val="single" w:sz="4" w:space="0" w:color="auto"/>
            </w:tcBorders>
            <w:vAlign w:val="center"/>
          </w:tcPr>
          <w:p w:rsidR="00000000" w:rsidRDefault="00000000">
            <w:pPr>
              <w:spacing w:before="80" w:after="80"/>
              <w:rPr>
                <w:rFonts w:eastAsia="Arial Unicode MS" w:cs="Arial"/>
                <w:sz w:val="20"/>
                <w:szCs w:val="18"/>
                <w:lang w:val="en-US"/>
              </w:rPr>
            </w:pPr>
            <w:r>
              <w:rPr>
                <w:rFonts w:cs="Arial"/>
                <w:sz w:val="20"/>
                <w:szCs w:val="18"/>
                <w:lang w:val="en-US"/>
              </w:rPr>
              <w:t xml:space="preserve">Upper middle class </w:t>
            </w:r>
            <w:r>
              <w:rPr>
                <w:rFonts w:cs="Arial"/>
                <w:sz w:val="20"/>
                <w:szCs w:val="18"/>
                <w:lang w:val="en-US"/>
              </w:rPr>
              <w:br/>
              <w:t>Over 5 USM, up to 10 USM</w:t>
            </w:r>
          </w:p>
        </w:tc>
        <w:tc>
          <w:tcPr>
            <w:tcW w:w="1976" w:type="dxa"/>
            <w:tcBorders>
              <w:top w:val="nil"/>
              <w:left w:val="nil"/>
              <w:bottom w:val="nil"/>
              <w:right w:val="single" w:sz="4" w:space="0" w:color="auto"/>
            </w:tcBorders>
            <w:noWrap/>
            <w:vAlign w:val="center"/>
          </w:tcPr>
          <w:p w:rsidR="00000000" w:rsidRDefault="00000000">
            <w:pPr>
              <w:spacing w:before="80" w:after="80"/>
              <w:ind w:right="397"/>
              <w:jc w:val="right"/>
              <w:rPr>
                <w:rFonts w:eastAsia="Arial Unicode MS" w:cs="Arial"/>
                <w:sz w:val="20"/>
                <w:szCs w:val="18"/>
              </w:rPr>
            </w:pPr>
            <w:r>
              <w:rPr>
                <w:rFonts w:cs="Arial"/>
                <w:sz w:val="20"/>
                <w:szCs w:val="18"/>
              </w:rPr>
              <w:t>11 835</w:t>
            </w:r>
          </w:p>
        </w:tc>
        <w:tc>
          <w:tcPr>
            <w:tcW w:w="1727" w:type="dxa"/>
            <w:tcBorders>
              <w:top w:val="nil"/>
              <w:left w:val="nil"/>
              <w:bottom w:val="nil"/>
              <w:right w:val="single" w:sz="4" w:space="0" w:color="auto"/>
            </w:tcBorders>
            <w:noWrap/>
            <w:vAlign w:val="center"/>
          </w:tcPr>
          <w:p w:rsidR="00000000" w:rsidRDefault="00000000">
            <w:pPr>
              <w:spacing w:before="80" w:after="80"/>
              <w:ind w:right="397"/>
              <w:jc w:val="right"/>
              <w:rPr>
                <w:rFonts w:eastAsia="Arial Unicode MS" w:cs="Arial"/>
                <w:sz w:val="20"/>
                <w:szCs w:val="18"/>
              </w:rPr>
            </w:pPr>
            <w:r>
              <w:rPr>
                <w:rFonts w:cs="Arial"/>
                <w:sz w:val="20"/>
                <w:szCs w:val="18"/>
              </w:rPr>
              <w:t>7 602</w:t>
            </w:r>
          </w:p>
        </w:tc>
        <w:tc>
          <w:tcPr>
            <w:tcW w:w="1085" w:type="dxa"/>
            <w:tcBorders>
              <w:top w:val="nil"/>
              <w:left w:val="nil"/>
              <w:bottom w:val="nil"/>
              <w:right w:val="single" w:sz="4" w:space="0" w:color="auto"/>
            </w:tcBorders>
            <w:noWrap/>
            <w:vAlign w:val="center"/>
          </w:tcPr>
          <w:p w:rsidR="00000000" w:rsidRDefault="00000000">
            <w:pPr>
              <w:spacing w:before="80" w:after="80"/>
              <w:ind w:right="397"/>
              <w:jc w:val="right"/>
              <w:rPr>
                <w:rFonts w:eastAsia="Arial Unicode MS" w:cs="Arial"/>
                <w:sz w:val="20"/>
                <w:szCs w:val="18"/>
              </w:rPr>
            </w:pPr>
            <w:r>
              <w:rPr>
                <w:rFonts w:cs="Arial"/>
                <w:sz w:val="20"/>
                <w:szCs w:val="18"/>
              </w:rPr>
              <w:t>6</w:t>
            </w:r>
          </w:p>
        </w:tc>
        <w:tc>
          <w:tcPr>
            <w:tcW w:w="1296" w:type="dxa"/>
            <w:tcBorders>
              <w:top w:val="nil"/>
              <w:left w:val="nil"/>
              <w:bottom w:val="nil"/>
              <w:right w:val="single" w:sz="4" w:space="0" w:color="auto"/>
            </w:tcBorders>
            <w:noWrap/>
            <w:vAlign w:val="center"/>
          </w:tcPr>
          <w:p w:rsidR="00000000" w:rsidRDefault="00000000">
            <w:pPr>
              <w:spacing w:before="80" w:after="80"/>
              <w:ind w:right="397"/>
              <w:jc w:val="right"/>
              <w:rPr>
                <w:rFonts w:eastAsia="Arial Unicode MS" w:cs="Arial"/>
                <w:sz w:val="20"/>
                <w:szCs w:val="18"/>
              </w:rPr>
            </w:pPr>
            <w:r>
              <w:rPr>
                <w:rFonts w:cs="Arial"/>
                <w:sz w:val="20"/>
                <w:szCs w:val="18"/>
              </w:rPr>
              <w:t>4 233</w:t>
            </w:r>
          </w:p>
        </w:tc>
      </w:tr>
      <w:tr w:rsidR="00000000">
        <w:trPr>
          <w:jc w:val="center"/>
        </w:trPr>
        <w:tc>
          <w:tcPr>
            <w:tcW w:w="3049" w:type="dxa"/>
            <w:tcBorders>
              <w:top w:val="nil"/>
              <w:right w:val="single" w:sz="4" w:space="0" w:color="auto"/>
            </w:tcBorders>
            <w:vAlign w:val="center"/>
          </w:tcPr>
          <w:p w:rsidR="00000000" w:rsidRDefault="00000000">
            <w:pPr>
              <w:spacing w:before="80" w:after="80"/>
              <w:rPr>
                <w:rFonts w:eastAsia="Arial Unicode MS" w:cs="Arial"/>
                <w:sz w:val="20"/>
                <w:szCs w:val="18"/>
                <w:lang w:val="es-ES_tradnl"/>
              </w:rPr>
            </w:pPr>
            <w:r>
              <w:rPr>
                <w:rFonts w:cs="Arial"/>
                <w:sz w:val="20"/>
                <w:szCs w:val="18"/>
                <w:lang w:val="es-ES_tradnl"/>
              </w:rPr>
              <w:t xml:space="preserve">Upper class </w:t>
            </w:r>
            <w:r>
              <w:rPr>
                <w:rFonts w:cs="Arial"/>
                <w:sz w:val="20"/>
                <w:szCs w:val="18"/>
                <w:lang w:val="es-ES_tradnl"/>
              </w:rPr>
              <w:br/>
              <w:t>Over 10 USM</w:t>
            </w:r>
          </w:p>
        </w:tc>
        <w:tc>
          <w:tcPr>
            <w:tcW w:w="1976" w:type="dxa"/>
            <w:tcBorders>
              <w:top w:val="nil"/>
              <w:left w:val="nil"/>
              <w:right w:val="single" w:sz="4" w:space="0" w:color="auto"/>
            </w:tcBorders>
            <w:noWrap/>
            <w:vAlign w:val="center"/>
          </w:tcPr>
          <w:p w:rsidR="00000000" w:rsidRDefault="00000000">
            <w:pPr>
              <w:spacing w:before="80" w:after="80"/>
              <w:ind w:right="397"/>
              <w:jc w:val="right"/>
              <w:rPr>
                <w:rFonts w:eastAsia="Arial Unicode MS" w:cs="Arial"/>
                <w:sz w:val="20"/>
                <w:szCs w:val="18"/>
              </w:rPr>
            </w:pPr>
            <w:r>
              <w:rPr>
                <w:rFonts w:cs="Arial"/>
                <w:sz w:val="20"/>
                <w:szCs w:val="18"/>
              </w:rPr>
              <w:t>5 447</w:t>
            </w:r>
          </w:p>
        </w:tc>
        <w:tc>
          <w:tcPr>
            <w:tcW w:w="1727" w:type="dxa"/>
            <w:tcBorders>
              <w:top w:val="nil"/>
              <w:left w:val="nil"/>
              <w:right w:val="single" w:sz="4" w:space="0" w:color="auto"/>
            </w:tcBorders>
            <w:noWrap/>
            <w:vAlign w:val="center"/>
          </w:tcPr>
          <w:p w:rsidR="00000000" w:rsidRDefault="00000000">
            <w:pPr>
              <w:spacing w:before="80" w:after="80"/>
              <w:ind w:right="397"/>
              <w:jc w:val="right"/>
              <w:rPr>
                <w:rFonts w:eastAsia="Arial Unicode MS" w:cs="Arial"/>
                <w:sz w:val="20"/>
                <w:szCs w:val="18"/>
              </w:rPr>
            </w:pPr>
            <w:r>
              <w:rPr>
                <w:rFonts w:cs="Arial"/>
                <w:sz w:val="20"/>
                <w:szCs w:val="18"/>
              </w:rPr>
              <w:t>4 089</w:t>
            </w:r>
          </w:p>
        </w:tc>
        <w:tc>
          <w:tcPr>
            <w:tcW w:w="1085" w:type="dxa"/>
            <w:tcBorders>
              <w:top w:val="nil"/>
              <w:left w:val="nil"/>
              <w:right w:val="single" w:sz="4" w:space="0" w:color="auto"/>
            </w:tcBorders>
            <w:noWrap/>
            <w:vAlign w:val="center"/>
          </w:tcPr>
          <w:p w:rsidR="00000000" w:rsidRDefault="00000000">
            <w:pPr>
              <w:spacing w:before="80" w:after="80"/>
              <w:ind w:right="397"/>
              <w:jc w:val="right"/>
              <w:rPr>
                <w:rFonts w:eastAsia="Arial Unicode MS" w:cs="Arial"/>
                <w:sz w:val="20"/>
                <w:szCs w:val="18"/>
              </w:rPr>
            </w:pPr>
            <w:r>
              <w:rPr>
                <w:rFonts w:cs="Arial"/>
                <w:sz w:val="20"/>
                <w:szCs w:val="18"/>
              </w:rPr>
              <w:t>4</w:t>
            </w:r>
          </w:p>
        </w:tc>
        <w:tc>
          <w:tcPr>
            <w:tcW w:w="1296" w:type="dxa"/>
            <w:tcBorders>
              <w:top w:val="nil"/>
              <w:left w:val="nil"/>
              <w:right w:val="single" w:sz="4" w:space="0" w:color="auto"/>
            </w:tcBorders>
            <w:noWrap/>
            <w:vAlign w:val="center"/>
          </w:tcPr>
          <w:p w:rsidR="00000000" w:rsidRDefault="00000000">
            <w:pPr>
              <w:spacing w:before="80" w:after="80"/>
              <w:ind w:right="397"/>
              <w:jc w:val="right"/>
              <w:rPr>
                <w:rFonts w:eastAsia="Arial Unicode MS" w:cs="Arial"/>
                <w:sz w:val="20"/>
                <w:szCs w:val="18"/>
              </w:rPr>
            </w:pPr>
            <w:r>
              <w:rPr>
                <w:rFonts w:cs="Arial"/>
                <w:sz w:val="20"/>
                <w:szCs w:val="18"/>
              </w:rPr>
              <w:t>1 358</w:t>
            </w:r>
          </w:p>
        </w:tc>
      </w:tr>
      <w:tr w:rsidR="00000000">
        <w:trPr>
          <w:jc w:val="center"/>
        </w:trPr>
        <w:tc>
          <w:tcPr>
            <w:tcW w:w="3049" w:type="dxa"/>
            <w:tcBorders>
              <w:top w:val="nil"/>
              <w:bottom w:val="single" w:sz="4" w:space="0" w:color="auto"/>
              <w:right w:val="single" w:sz="4" w:space="0" w:color="auto"/>
            </w:tcBorders>
            <w:noWrap/>
            <w:vAlign w:val="bottom"/>
          </w:tcPr>
          <w:p w:rsidR="00000000" w:rsidRDefault="00000000">
            <w:pPr>
              <w:pStyle w:val="Heading5"/>
              <w:rPr>
                <w:rFonts w:eastAsia="Arial Unicode MS" w:cs="Arial"/>
                <w:szCs w:val="18"/>
              </w:rPr>
            </w:pPr>
            <w:r>
              <w:rPr>
                <w:rFonts w:cs="Arial"/>
                <w:szCs w:val="18"/>
              </w:rPr>
              <w:t>Total</w:t>
            </w:r>
          </w:p>
        </w:tc>
        <w:tc>
          <w:tcPr>
            <w:tcW w:w="1976" w:type="dxa"/>
            <w:tcBorders>
              <w:top w:val="nil"/>
              <w:left w:val="nil"/>
              <w:bottom w:val="single" w:sz="4" w:space="0" w:color="auto"/>
              <w:right w:val="single" w:sz="4" w:space="0" w:color="auto"/>
            </w:tcBorders>
            <w:noWrap/>
            <w:vAlign w:val="bottom"/>
          </w:tcPr>
          <w:p w:rsidR="00000000" w:rsidRDefault="00000000">
            <w:pPr>
              <w:spacing w:before="80" w:after="80"/>
              <w:ind w:right="397"/>
              <w:jc w:val="right"/>
              <w:rPr>
                <w:rFonts w:eastAsia="Arial Unicode MS" w:cs="Arial"/>
                <w:b/>
                <w:bCs/>
                <w:sz w:val="20"/>
                <w:szCs w:val="18"/>
              </w:rPr>
            </w:pPr>
            <w:r>
              <w:rPr>
                <w:rFonts w:cs="Arial"/>
                <w:b/>
                <w:bCs/>
                <w:sz w:val="20"/>
                <w:szCs w:val="18"/>
              </w:rPr>
              <w:t>303 823</w:t>
            </w:r>
          </w:p>
        </w:tc>
        <w:tc>
          <w:tcPr>
            <w:tcW w:w="1727" w:type="dxa"/>
            <w:tcBorders>
              <w:top w:val="nil"/>
              <w:left w:val="nil"/>
              <w:bottom w:val="single" w:sz="4" w:space="0" w:color="auto"/>
              <w:right w:val="single" w:sz="4" w:space="0" w:color="auto"/>
            </w:tcBorders>
            <w:noWrap/>
            <w:vAlign w:val="bottom"/>
          </w:tcPr>
          <w:p w:rsidR="00000000" w:rsidRDefault="00000000">
            <w:pPr>
              <w:spacing w:before="80" w:after="80"/>
              <w:ind w:right="397"/>
              <w:jc w:val="right"/>
              <w:rPr>
                <w:rFonts w:eastAsia="Arial Unicode MS" w:cs="Arial"/>
                <w:b/>
                <w:bCs/>
                <w:sz w:val="20"/>
                <w:szCs w:val="18"/>
              </w:rPr>
            </w:pPr>
            <w:r>
              <w:rPr>
                <w:rFonts w:cs="Arial"/>
                <w:b/>
                <w:bCs/>
                <w:sz w:val="20"/>
                <w:szCs w:val="18"/>
              </w:rPr>
              <w:t>121 276</w:t>
            </w:r>
          </w:p>
        </w:tc>
        <w:tc>
          <w:tcPr>
            <w:tcW w:w="1085" w:type="dxa"/>
            <w:tcBorders>
              <w:top w:val="nil"/>
              <w:left w:val="nil"/>
              <w:bottom w:val="single" w:sz="4" w:space="0" w:color="auto"/>
              <w:right w:val="single" w:sz="4" w:space="0" w:color="auto"/>
            </w:tcBorders>
            <w:noWrap/>
            <w:vAlign w:val="bottom"/>
          </w:tcPr>
          <w:p w:rsidR="00000000" w:rsidRDefault="00000000">
            <w:pPr>
              <w:spacing w:before="80" w:after="80"/>
              <w:ind w:right="397"/>
              <w:jc w:val="right"/>
              <w:rPr>
                <w:rFonts w:eastAsia="Arial Unicode MS" w:cs="Arial"/>
                <w:b/>
                <w:bCs/>
                <w:sz w:val="20"/>
                <w:szCs w:val="18"/>
              </w:rPr>
            </w:pPr>
            <w:r>
              <w:rPr>
                <w:rFonts w:cs="Arial"/>
                <w:b/>
                <w:bCs/>
                <w:sz w:val="20"/>
                <w:szCs w:val="18"/>
              </w:rPr>
              <w:t>100</w:t>
            </w:r>
          </w:p>
        </w:tc>
        <w:tc>
          <w:tcPr>
            <w:tcW w:w="1296" w:type="dxa"/>
            <w:tcBorders>
              <w:top w:val="nil"/>
              <w:left w:val="nil"/>
              <w:bottom w:val="single" w:sz="4" w:space="0" w:color="auto"/>
              <w:right w:val="single" w:sz="4" w:space="0" w:color="auto"/>
            </w:tcBorders>
            <w:noWrap/>
            <w:vAlign w:val="bottom"/>
          </w:tcPr>
          <w:p w:rsidR="00000000" w:rsidRDefault="00000000">
            <w:pPr>
              <w:spacing w:before="80" w:after="80"/>
              <w:ind w:right="397"/>
              <w:jc w:val="right"/>
              <w:rPr>
                <w:rFonts w:eastAsia="Arial Unicode MS" w:cs="Arial"/>
                <w:b/>
                <w:bCs/>
                <w:sz w:val="20"/>
                <w:szCs w:val="18"/>
              </w:rPr>
            </w:pPr>
            <w:r>
              <w:rPr>
                <w:rFonts w:cs="Arial"/>
                <w:b/>
                <w:bCs/>
                <w:sz w:val="20"/>
                <w:szCs w:val="18"/>
              </w:rPr>
              <w:t>182 547</w:t>
            </w:r>
          </w:p>
        </w:tc>
      </w:tr>
    </w:tbl>
    <w:p w:rsidR="00000000" w:rsidRDefault="00000000">
      <w:pPr>
        <w:pStyle w:val="Header"/>
        <w:tabs>
          <w:tab w:val="clear" w:pos="4320"/>
          <w:tab w:val="clear" w:pos="8640"/>
        </w:tabs>
        <w:spacing w:before="80" w:after="80"/>
        <w:ind w:left="567"/>
        <w:rPr>
          <w:rFonts w:cs="Arial"/>
          <w:sz w:val="20"/>
          <w:szCs w:val="14"/>
        </w:rPr>
      </w:pPr>
      <w:r>
        <w:rPr>
          <w:rFonts w:cs="Arial"/>
          <w:i/>
          <w:iCs/>
          <w:sz w:val="20"/>
          <w:szCs w:val="14"/>
        </w:rPr>
        <w:t>Source:</w:t>
      </w:r>
      <w:r>
        <w:rPr>
          <w:rFonts w:cs="Arial"/>
          <w:sz w:val="20"/>
          <w:szCs w:val="14"/>
        </w:rPr>
        <w:t xml:space="preserve"> EPH 2003 - DGEEC.</w:t>
      </w:r>
    </w:p>
    <w:p w:rsidR="00000000" w:rsidRDefault="00000000">
      <w:pPr>
        <w:pStyle w:val="Header"/>
        <w:tabs>
          <w:tab w:val="clear" w:pos="4320"/>
          <w:tab w:val="clear" w:pos="8640"/>
        </w:tabs>
        <w:spacing w:after="80"/>
        <w:ind w:firstLine="567"/>
        <w:rPr>
          <w:rFonts w:cs="Arial"/>
          <w:sz w:val="20"/>
          <w:szCs w:val="14"/>
        </w:rPr>
      </w:pPr>
      <w:r>
        <w:rPr>
          <w:rFonts w:cs="Arial"/>
          <w:sz w:val="20"/>
          <w:szCs w:val="14"/>
        </w:rPr>
        <w:t>USM= Minimum wage= 950 000 Gs. (2003)</w:t>
      </w:r>
    </w:p>
    <w:p w:rsidR="00000000" w:rsidRDefault="00000000">
      <w:pPr>
        <w:pStyle w:val="Header"/>
        <w:tabs>
          <w:tab w:val="clear" w:pos="4320"/>
          <w:tab w:val="clear" w:pos="8640"/>
        </w:tabs>
        <w:spacing w:after="80"/>
        <w:ind w:firstLine="567"/>
        <w:rPr>
          <w:rFonts w:cs="Arial"/>
          <w:sz w:val="20"/>
          <w:szCs w:val="14"/>
          <w:lang w:val="es-ES_tradnl"/>
        </w:rPr>
      </w:pPr>
      <w:r>
        <w:rPr>
          <w:sz w:val="20"/>
          <w:szCs w:val="14"/>
          <w:lang w:val="en-US"/>
        </w:rPr>
        <w:t>Does not include households without incomes.</w:t>
      </w:r>
    </w:p>
    <w:p w:rsidR="00000000" w:rsidRDefault="00000000">
      <w:pPr>
        <w:pStyle w:val="Header"/>
        <w:tabs>
          <w:tab w:val="clear" w:pos="4320"/>
          <w:tab w:val="clear" w:pos="8640"/>
        </w:tabs>
        <w:spacing w:after="80"/>
        <w:ind w:firstLine="567"/>
        <w:rPr>
          <w:rFonts w:cs="Arial"/>
          <w:sz w:val="20"/>
          <w:szCs w:val="14"/>
          <w:lang w:val="es-ES_tradnl"/>
        </w:rPr>
      </w:pPr>
      <w:r>
        <w:rPr>
          <w:rFonts w:cs="Arial"/>
          <w:sz w:val="20"/>
          <w:szCs w:val="14"/>
          <w:lang w:val="es-ES_tradnl"/>
        </w:rPr>
        <w:t>(*) Other: Ceded; de facto occupation,; condominium; payment by instalments,.</w:t>
      </w:r>
    </w:p>
    <w:p w:rsidR="00000000" w:rsidRDefault="00000000">
      <w:pPr>
        <w:pStyle w:val="Header"/>
        <w:tabs>
          <w:tab w:val="clear" w:pos="4320"/>
          <w:tab w:val="clear" w:pos="8640"/>
        </w:tabs>
        <w:spacing w:after="240"/>
        <w:ind w:firstLine="567"/>
        <w:rPr>
          <w:szCs w:val="14"/>
          <w:lang w:val="en-US"/>
        </w:rPr>
      </w:pPr>
      <w:r>
        <w:rPr>
          <w:rFonts w:cs="Arial"/>
          <w:sz w:val="20"/>
          <w:szCs w:val="14"/>
          <w:lang w:val="en-US"/>
        </w:rPr>
        <w:t>(**) Percentage of renting households according to family income bracket.</w:t>
      </w:r>
    </w:p>
    <w:p w:rsidR="00000000" w:rsidRDefault="00000000">
      <w:pPr>
        <w:spacing w:after="240"/>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23"/>
      </w:tblGrid>
      <w:tr w:rsidR="00000000">
        <w:tblPrEx>
          <w:tblCellMar>
            <w:top w:w="0" w:type="dxa"/>
            <w:bottom w:w="0" w:type="dxa"/>
          </w:tblCellMar>
        </w:tblPrEx>
        <w:trPr>
          <w:jc w:val="center"/>
        </w:trPr>
        <w:tc>
          <w:tcPr>
            <w:tcW w:w="9553" w:type="dxa"/>
          </w:tcPr>
          <w:p w:rsidR="00000000" w:rsidRDefault="00000000">
            <w:pPr>
              <w:pStyle w:val="xl23"/>
              <w:spacing w:before="120" w:beforeAutospacing="0" w:after="120" w:afterAutospacing="0"/>
              <w:ind w:left="170" w:right="170"/>
              <w:rPr>
                <w:rFonts w:ascii="Times New Roman" w:hAnsi="Times New Roman" w:cs="Times New Roman"/>
                <w:b w:val="0"/>
                <w:bCs w:val="0"/>
              </w:rPr>
            </w:pPr>
            <w:r>
              <w:rPr>
                <w:rFonts w:ascii="Times New Roman" w:hAnsi="Times New Roman" w:cs="Times New Roman"/>
                <w:b w:val="0"/>
                <w:bCs w:val="0"/>
              </w:rPr>
              <w:tab/>
              <w:t xml:space="preserve">Of the 303 823 households not owning their homes,  40% (121 276 households) are renting. Of these 59% belong to the lower middle class, with family incomes ranging from </w:t>
            </w:r>
            <w:r>
              <w:rPr>
                <w:rFonts w:ascii="Times New Roman" w:hAnsi="Times New Roman" w:cs="Times New Roman"/>
                <w:b w:val="0"/>
                <w:bCs w:val="0"/>
                <w:lang w:val="en-US"/>
              </w:rPr>
              <w:t xml:space="preserve"> </w:t>
            </w:r>
            <w:r>
              <w:rPr>
                <w:rFonts w:ascii="Times New Roman" w:hAnsi="Times New Roman" w:cs="Times New Roman"/>
                <w:b w:val="0"/>
                <w:bCs w:val="0"/>
              </w:rPr>
              <w:t>1USM to 5 USM.</w:t>
            </w:r>
          </w:p>
        </w:tc>
      </w:tr>
    </w:tbl>
    <w:p w:rsidR="00000000" w:rsidRDefault="00000000">
      <w:pPr>
        <w:spacing w:line="360" w:lineRule="auto"/>
        <w:rPr>
          <w:rFonts w:eastAsia="Arial Unicode MS"/>
          <w:b/>
          <w:bCs/>
        </w:rPr>
      </w:pPr>
    </w:p>
    <w:p w:rsidR="00000000" w:rsidRDefault="00000000">
      <w:pPr>
        <w:spacing w:after="240"/>
        <w:rPr>
          <w:b/>
          <w:bCs/>
        </w:rPr>
      </w:pPr>
    </w:p>
    <w:p w:rsidR="00000000" w:rsidRDefault="00000000">
      <w:pPr>
        <w:spacing w:after="240"/>
        <w:jc w:val="center"/>
        <w:rPr>
          <w:b/>
          <w:bCs/>
          <w:sz w:val="22"/>
        </w:rPr>
      </w:pPr>
      <w:r>
        <w:rPr>
          <w:b/>
          <w:bCs/>
        </w:rPr>
        <w:br w:type="page"/>
      </w:r>
      <w:r>
        <w:rPr>
          <w:b/>
          <w:bCs/>
          <w:sz w:val="22"/>
        </w:rPr>
        <w:t>Households not owning their housing – Occupation as tenants or in some other form</w:t>
      </w:r>
    </w:p>
    <w:tbl>
      <w:tblPr>
        <w:tblW w:w="0" w:type="auto"/>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70"/>
      </w:tblGrid>
      <w:tr w:rsidR="00000000">
        <w:tblPrEx>
          <w:tblCellMar>
            <w:top w:w="0" w:type="dxa"/>
            <w:bottom w:w="0" w:type="dxa"/>
          </w:tblCellMar>
        </w:tblPrEx>
        <w:trPr>
          <w:jc w:val="center"/>
        </w:trPr>
        <w:tc>
          <w:tcPr>
            <w:tcW w:w="7270" w:type="dxa"/>
          </w:tcPr>
          <w:p w:rsidR="00000000" w:rsidRDefault="00000000">
            <w:pPr>
              <w:autoSpaceDE w:val="0"/>
              <w:autoSpaceDN w:val="0"/>
              <w:adjustRightInd w:val="0"/>
              <w:spacing w:after="480"/>
              <w:jc w:val="center"/>
            </w:pPr>
            <w:r>
              <w:rPr>
                <w:b/>
                <w:noProof/>
                <w:sz w:val="20"/>
                <w:szCs w:val="18"/>
                <w:lang w:val="fr-FR" w:eastAsia="fr-FR"/>
              </w:rPr>
              <w:pict>
                <v:shape id="_x0000_s2901" type="#_x0000_t202" style="position:absolute;left:0;text-align:left;margin-left:41.35pt;margin-top:21.95pt;width:78.7pt;height:38.8pt;z-index:88" stroked="f">
                  <v:textbox style="mso-next-textbox:#_x0000_s2901" inset="0,0,0,0">
                    <w:txbxContent>
                      <w:p w:rsidR="00000000" w:rsidRDefault="00000000">
                        <w:pPr>
                          <w:jc w:val="center"/>
                          <w:rPr>
                            <w:sz w:val="18"/>
                          </w:rPr>
                        </w:pPr>
                        <w:r>
                          <w:rPr>
                            <w:sz w:val="18"/>
                          </w:rPr>
                          <w:t>TENANCY / 40%</w:t>
                        </w:r>
                      </w:p>
                    </w:txbxContent>
                  </v:textbox>
                </v:shape>
              </w:pict>
            </w:r>
            <w:r>
              <w:rPr>
                <w:noProof/>
                <w:sz w:val="20"/>
                <w:lang w:val="fr-FR" w:eastAsia="fr-FR"/>
              </w:rPr>
              <w:pict>
                <v:shape id="_x0000_s2902" type="#_x0000_t202" style="position:absolute;left:0;text-align:left;margin-left:214.45pt;margin-top:83.05pt;width:82.65pt;height:48.1pt;z-index:89" stroked="f">
                  <v:textbox style="mso-next-textbox:#_x0000_s2902" inset="0,0,0,0">
                    <w:txbxContent>
                      <w:p w:rsidR="00000000" w:rsidRDefault="00000000">
                        <w:pPr>
                          <w:jc w:val="center"/>
                          <w:rPr>
                            <w:sz w:val="18"/>
                          </w:rPr>
                        </w:pPr>
                        <w:r>
                          <w:rPr>
                            <w:sz w:val="18"/>
                          </w:rPr>
                          <w:t>OTHER FORMS OF OCCUPATION / (NOT OWNED) / 60%</w:t>
                        </w:r>
                      </w:p>
                    </w:txbxContent>
                  </v:textbox>
                </v:shape>
              </w:pict>
            </w:r>
            <w:bookmarkStart w:id="83" w:name="_MON_1235999320"/>
            <w:bookmarkEnd w:id="83"/>
            <w:r>
              <w:object w:dxaOrig="8446" w:dyaOrig="3811">
                <v:shape id="_x0000_i1053" type="#_x0000_t75" style="width:314.25pt;height:120pt" o:ole="" filled="t" fillcolor="window">
                  <v:fill color2="black"/>
                  <v:imagedata r:id="rId62" o:title="" croptop="12674f" cropbottom="11699f" cropleft="9678f" cropright="7038f" grayscale="t"/>
                </v:shape>
                <o:OLEObject Type="Embed" ProgID="Word.Picture.8" ShapeID="_x0000_i1053" DrawAspect="Content" ObjectID="_1394904866" r:id="rId63"/>
              </w:object>
            </w:r>
          </w:p>
        </w:tc>
      </w:tr>
    </w:tbl>
    <w:p w:rsidR="00000000" w:rsidRDefault="00000000">
      <w:pPr>
        <w:autoSpaceDE w:val="0"/>
        <w:autoSpaceDN w:val="0"/>
        <w:adjustRightInd w:val="0"/>
        <w:spacing w:after="240"/>
        <w:jc w:val="center"/>
      </w:pPr>
    </w:p>
    <w:p w:rsidR="00000000" w:rsidRDefault="00000000">
      <w:pPr>
        <w:autoSpaceDE w:val="0"/>
        <w:autoSpaceDN w:val="0"/>
        <w:adjustRightInd w:val="0"/>
        <w:spacing w:after="240"/>
        <w:jc w:val="center"/>
        <w:rPr>
          <w:b/>
          <w:iCs/>
          <w:sz w:val="22"/>
          <w:szCs w:val="18"/>
          <w:lang w:val="en-US"/>
        </w:rPr>
      </w:pPr>
      <w:r>
        <w:rPr>
          <w:bCs/>
          <w:sz w:val="22"/>
        </w:rPr>
        <w:t>Households living as tenants by income bracket</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000000">
        <w:tblPrEx>
          <w:tblCellMar>
            <w:top w:w="0" w:type="dxa"/>
            <w:bottom w:w="0" w:type="dxa"/>
          </w:tblCellMar>
        </w:tblPrEx>
        <w:tc>
          <w:tcPr>
            <w:tcW w:w="8640" w:type="dxa"/>
          </w:tcPr>
          <w:p w:rsidR="00000000" w:rsidRDefault="00000000">
            <w:pPr>
              <w:autoSpaceDE w:val="0"/>
              <w:autoSpaceDN w:val="0"/>
              <w:adjustRightInd w:val="0"/>
              <w:spacing w:after="240"/>
              <w:jc w:val="center"/>
              <w:rPr>
                <w:i/>
                <w:iCs/>
                <w:szCs w:val="20"/>
              </w:rPr>
            </w:pPr>
            <w:r>
              <w:rPr>
                <w:noProof/>
                <w:sz w:val="20"/>
                <w:lang w:val="fr-FR" w:eastAsia="fr-FR"/>
              </w:rPr>
              <w:pict>
                <v:shape id="_x0000_s2906" type="#_x0000_t202" style="position:absolute;left:0;text-align:left;margin-left:5.5pt;margin-top:123.2pt;width:160.65pt;height:29.35pt;z-index:93" stroked="f">
                  <v:textbox inset="0,0,0,0">
                    <w:txbxContent>
                      <w:p w:rsidR="00000000" w:rsidRDefault="00000000">
                        <w:pPr>
                          <w:jc w:val="center"/>
                          <w:rPr>
                            <w:sz w:val="18"/>
                          </w:rPr>
                        </w:pPr>
                        <w:r>
                          <w:rPr>
                            <w:bCs/>
                            <w:sz w:val="18"/>
                          </w:rPr>
                          <w:t>Lower middle / Over 1 USM up to 5 USM / 59%</w:t>
                        </w:r>
                      </w:p>
                    </w:txbxContent>
                  </v:textbox>
                </v:shape>
              </w:pict>
            </w:r>
            <w:r>
              <w:rPr>
                <w:noProof/>
                <w:sz w:val="20"/>
                <w:lang w:val="fr-FR" w:eastAsia="fr-FR"/>
              </w:rPr>
              <w:pict>
                <v:shape id="_x0000_s2903" type="#_x0000_t202" style="position:absolute;left:0;text-align:left;margin-left:12.5pt;margin-top:13.7pt;width:117pt;height:34.45pt;z-index:90" stroked="f">
                  <v:textbox inset="0,0,0,0">
                    <w:txbxContent>
                      <w:p w:rsidR="00000000" w:rsidRDefault="00000000">
                        <w:pPr>
                          <w:jc w:val="center"/>
                          <w:rPr>
                            <w:sz w:val="18"/>
                          </w:rPr>
                        </w:pPr>
                        <w:r>
                          <w:rPr>
                            <w:bCs/>
                            <w:sz w:val="18"/>
                          </w:rPr>
                          <w:t>Upper middle class / Over 5 USM up to 10 USM / 6%</w:t>
                        </w:r>
                      </w:p>
                    </w:txbxContent>
                  </v:textbox>
                </v:shape>
              </w:pict>
            </w:r>
            <w:r>
              <w:rPr>
                <w:noProof/>
                <w:sz w:val="20"/>
                <w:lang w:val="fr-FR" w:eastAsia="fr-FR"/>
              </w:rPr>
              <w:pict>
                <v:shape id="_x0000_s2904" type="#_x0000_t202" style="position:absolute;left:0;text-align:left;margin-left:149.5pt;margin-top:10.25pt;width:117pt;height:28.45pt;z-index:91" stroked="f">
                  <v:textbox inset="0,0,0,0">
                    <w:txbxContent>
                      <w:p w:rsidR="00000000" w:rsidRDefault="00000000">
                        <w:pPr>
                          <w:jc w:val="center"/>
                          <w:rPr>
                            <w:sz w:val="18"/>
                          </w:rPr>
                        </w:pPr>
                        <w:r>
                          <w:rPr>
                            <w:bCs/>
                            <w:sz w:val="18"/>
                          </w:rPr>
                          <w:t>Upper class / Over 10 USM / 4%</w:t>
                        </w:r>
                      </w:p>
                    </w:txbxContent>
                  </v:textbox>
                </v:shape>
              </w:pict>
            </w:r>
            <w:r>
              <w:rPr>
                <w:noProof/>
                <w:sz w:val="20"/>
                <w:lang w:val="fr-FR" w:eastAsia="fr-FR"/>
              </w:rPr>
              <w:pict>
                <v:shape id="_x0000_s2905" type="#_x0000_t202" style="position:absolute;left:0;text-align:left;margin-left:294.5pt;margin-top:23.05pt;width:117pt;height:34.45pt;z-index:92" stroked="f">
                  <v:textbox inset="0,0,0,0">
                    <w:txbxContent>
                      <w:p w:rsidR="00000000" w:rsidRDefault="00000000">
                        <w:pPr>
                          <w:jc w:val="center"/>
                          <w:rPr>
                            <w:sz w:val="18"/>
                          </w:rPr>
                        </w:pPr>
                        <w:r>
                          <w:rPr>
                            <w:bCs/>
                            <w:sz w:val="18"/>
                          </w:rPr>
                          <w:t>In poverty / Up to 1 USM / 31%</w:t>
                        </w:r>
                      </w:p>
                    </w:txbxContent>
                  </v:textbox>
                </v:shape>
              </w:pict>
            </w:r>
            <w:r>
              <w:pict>
                <v:shapetype id="_x0000_t201" coordsize="21600,21600" o:spt="201" path="m,l,21600r21600,l21600,xe">
                  <v:stroke joinstyle="miter"/>
                  <v:path shadowok="f" o:extrusionok="f" strokeok="f" fillok="f" o:connecttype="rect"/>
                  <o:lock v:ext="edit" shapetype="t"/>
                </v:shapetype>
                <v:shape id="_x0000_i1054" type="#_x0000_t201" style="width:412.5pt;height:151.5pt" o:allowoverlap="f" fillcolor="window" stroked="f" strokecolor="windowText" strokeweight="3e-5mm" o:insetmode="auto">
                  <v:fill color2="windowText"/>
                  <v:imagedata r:id="rId64" o:title="clip_image004" croptop="5489f" cropbottom="11664f" cropleft="770f" cropright="770f" grayscale="t"/>
                  <o:lock v:ext="edit" rotation="t"/>
                </v:shape>
              </w:pict>
            </w:r>
          </w:p>
        </w:tc>
      </w:tr>
    </w:tbl>
    <w:p w:rsidR="00000000" w:rsidRDefault="00000000">
      <w:pPr>
        <w:autoSpaceDE w:val="0"/>
        <w:autoSpaceDN w:val="0"/>
        <w:adjustRightInd w:val="0"/>
        <w:spacing w:after="120"/>
        <w:jc w:val="center"/>
        <w:rPr>
          <w:i/>
          <w:iCs/>
          <w:sz w:val="36"/>
          <w:szCs w:val="20"/>
        </w:rPr>
      </w:pPr>
    </w:p>
    <w:p w:rsidR="00000000" w:rsidRDefault="00000000">
      <w:pPr>
        <w:pStyle w:val="BodyText"/>
        <w:jc w:val="center"/>
        <w:rPr>
          <w:b/>
          <w:sz w:val="22"/>
          <w:lang w:val="en-US" w:eastAsia="en-US"/>
        </w:rPr>
      </w:pPr>
      <w:r>
        <w:rPr>
          <w:b/>
          <w:sz w:val="22"/>
          <w:lang w:val="en-US" w:eastAsia="en-US"/>
        </w:rPr>
        <w:t xml:space="preserve">Trends in home occupation according to residence area (urban or rural area) – </w:t>
      </w:r>
      <w:r>
        <w:rPr>
          <w:b/>
          <w:bCs/>
          <w:sz w:val="22"/>
          <w:szCs w:val="20"/>
        </w:rPr>
        <w:t>Country total</w:t>
      </w:r>
    </w:p>
    <w:tbl>
      <w:tblPr>
        <w:tblW w:w="5000" w:type="pct"/>
        <w:tblLayout w:type="fixed"/>
        <w:tblCellMar>
          <w:left w:w="0" w:type="dxa"/>
          <w:right w:w="0" w:type="dxa"/>
        </w:tblCellMar>
        <w:tblLook w:val="0000" w:firstRow="0" w:lastRow="0" w:firstColumn="0" w:lastColumn="0" w:noHBand="0" w:noVBand="0"/>
      </w:tblPr>
      <w:tblGrid>
        <w:gridCol w:w="1550"/>
        <w:gridCol w:w="724"/>
        <w:gridCol w:w="669"/>
        <w:gridCol w:w="672"/>
        <w:gridCol w:w="724"/>
        <w:gridCol w:w="754"/>
        <w:gridCol w:w="753"/>
        <w:gridCol w:w="754"/>
        <w:gridCol w:w="669"/>
        <w:gridCol w:w="15"/>
        <w:gridCol w:w="709"/>
        <w:gridCol w:w="669"/>
        <w:gridCol w:w="767"/>
      </w:tblGrid>
      <w:tr w:rsidR="00000000">
        <w:trPr>
          <w:cantSplit/>
          <w:trHeight w:val="240"/>
        </w:trPr>
        <w:tc>
          <w:tcPr>
            <w:tcW w:w="1550" w:type="dxa"/>
            <w:vMerge w:val="restart"/>
            <w:tcBorders>
              <w:top w:val="single" w:sz="4" w:space="0" w:color="auto"/>
              <w:bottom w:val="single" w:sz="4" w:space="0" w:color="auto"/>
            </w:tcBorders>
            <w:vAlign w:val="center"/>
          </w:tcPr>
          <w:p w:rsidR="00000000" w:rsidRDefault="00000000">
            <w:pPr>
              <w:spacing w:before="40" w:after="40"/>
              <w:jc w:val="center"/>
              <w:rPr>
                <w:b/>
                <w:bCs/>
                <w:i/>
                <w:iCs/>
                <w:sz w:val="18"/>
                <w:szCs w:val="20"/>
                <w:lang w:val="en-US"/>
              </w:rPr>
            </w:pPr>
            <w:r>
              <w:rPr>
                <w:b/>
                <w:bCs/>
                <w:i/>
                <w:iCs/>
                <w:sz w:val="18"/>
                <w:szCs w:val="20"/>
              </w:rPr>
              <w:t>Home ownership</w:t>
            </w:r>
          </w:p>
        </w:tc>
        <w:tc>
          <w:tcPr>
            <w:tcW w:w="2065" w:type="dxa"/>
            <w:gridSpan w:val="3"/>
            <w:tcBorders>
              <w:top w:val="single" w:sz="4" w:space="0" w:color="auto"/>
              <w:bottom w:val="single" w:sz="4" w:space="0" w:color="auto"/>
            </w:tcBorders>
            <w:vAlign w:val="center"/>
          </w:tcPr>
          <w:p w:rsidR="00000000" w:rsidRDefault="00000000">
            <w:pPr>
              <w:spacing w:before="40" w:after="40"/>
              <w:jc w:val="center"/>
              <w:rPr>
                <w:b/>
                <w:bCs/>
                <w:i/>
                <w:iCs/>
                <w:sz w:val="18"/>
                <w:szCs w:val="20"/>
                <w:lang w:val="en-US"/>
              </w:rPr>
            </w:pPr>
            <w:r>
              <w:rPr>
                <w:b/>
                <w:bCs/>
                <w:i/>
                <w:iCs/>
                <w:sz w:val="18"/>
                <w:szCs w:val="20"/>
                <w:lang w:val="en-US"/>
              </w:rPr>
              <w:t>1995</w:t>
            </w:r>
            <w:r>
              <w:rPr>
                <w:b/>
                <w:bCs/>
                <w:i/>
                <w:iCs/>
                <w:sz w:val="18"/>
                <w:szCs w:val="20"/>
                <w:vertAlign w:val="superscript"/>
                <w:lang w:val="en-US"/>
              </w:rPr>
              <w:t>*</w:t>
            </w:r>
          </w:p>
        </w:tc>
        <w:tc>
          <w:tcPr>
            <w:tcW w:w="2231" w:type="dxa"/>
            <w:gridSpan w:val="3"/>
            <w:tcBorders>
              <w:top w:val="single" w:sz="4" w:space="0" w:color="auto"/>
              <w:bottom w:val="single" w:sz="4" w:space="0" w:color="auto"/>
            </w:tcBorders>
            <w:vAlign w:val="center"/>
          </w:tcPr>
          <w:p w:rsidR="00000000" w:rsidRDefault="00000000">
            <w:pPr>
              <w:spacing w:before="40" w:after="40"/>
              <w:jc w:val="center"/>
              <w:rPr>
                <w:b/>
                <w:bCs/>
                <w:i/>
                <w:iCs/>
                <w:sz w:val="18"/>
                <w:szCs w:val="20"/>
                <w:lang w:val="en-US"/>
              </w:rPr>
            </w:pPr>
            <w:r>
              <w:rPr>
                <w:b/>
                <w:bCs/>
                <w:i/>
                <w:iCs/>
                <w:sz w:val="18"/>
                <w:szCs w:val="20"/>
                <w:lang w:val="en-US"/>
              </w:rPr>
              <w:t>1999</w:t>
            </w:r>
            <w:r>
              <w:rPr>
                <w:b/>
                <w:bCs/>
                <w:i/>
                <w:iCs/>
                <w:sz w:val="18"/>
                <w:szCs w:val="20"/>
                <w:vertAlign w:val="superscript"/>
                <w:lang w:val="en-US"/>
              </w:rPr>
              <w:t>*</w:t>
            </w:r>
          </w:p>
        </w:tc>
        <w:tc>
          <w:tcPr>
            <w:tcW w:w="1438" w:type="dxa"/>
            <w:gridSpan w:val="3"/>
            <w:tcBorders>
              <w:top w:val="single" w:sz="4" w:space="0" w:color="auto"/>
              <w:bottom w:val="single" w:sz="4" w:space="0" w:color="auto"/>
            </w:tcBorders>
            <w:vAlign w:val="center"/>
          </w:tcPr>
          <w:p w:rsidR="00000000" w:rsidRDefault="00000000">
            <w:pPr>
              <w:spacing w:before="40" w:after="40"/>
              <w:jc w:val="center"/>
              <w:rPr>
                <w:b/>
                <w:bCs/>
                <w:i/>
                <w:iCs/>
                <w:sz w:val="18"/>
                <w:szCs w:val="20"/>
                <w:lang w:val="en-US"/>
              </w:rPr>
            </w:pPr>
            <w:r>
              <w:rPr>
                <w:b/>
                <w:bCs/>
                <w:i/>
                <w:iCs/>
                <w:sz w:val="18"/>
                <w:szCs w:val="20"/>
                <w:lang w:val="en-US"/>
              </w:rPr>
              <w:t>2004</w:t>
            </w:r>
          </w:p>
        </w:tc>
        <w:tc>
          <w:tcPr>
            <w:tcW w:w="2145" w:type="dxa"/>
            <w:gridSpan w:val="3"/>
            <w:tcBorders>
              <w:top w:val="single" w:sz="4" w:space="0" w:color="auto"/>
              <w:bottom w:val="single" w:sz="4" w:space="0" w:color="auto"/>
            </w:tcBorders>
            <w:vAlign w:val="center"/>
          </w:tcPr>
          <w:p w:rsidR="00000000" w:rsidRDefault="00000000">
            <w:pPr>
              <w:spacing w:before="40" w:after="40"/>
              <w:jc w:val="center"/>
              <w:rPr>
                <w:b/>
                <w:bCs/>
                <w:i/>
                <w:iCs/>
                <w:sz w:val="18"/>
                <w:szCs w:val="20"/>
                <w:lang w:val="en-US"/>
              </w:rPr>
            </w:pPr>
            <w:r>
              <w:rPr>
                <w:b/>
                <w:bCs/>
                <w:i/>
                <w:iCs/>
                <w:sz w:val="18"/>
                <w:szCs w:val="20"/>
                <w:lang w:val="en-US"/>
              </w:rPr>
              <w:t>2005</w:t>
            </w:r>
          </w:p>
        </w:tc>
      </w:tr>
      <w:tr w:rsidR="00000000">
        <w:trPr>
          <w:cantSplit/>
          <w:trHeight w:val="270"/>
        </w:trPr>
        <w:tc>
          <w:tcPr>
            <w:tcW w:w="1550" w:type="dxa"/>
            <w:vMerge/>
            <w:tcBorders>
              <w:top w:val="single" w:sz="4" w:space="0" w:color="auto"/>
            </w:tcBorders>
            <w:vAlign w:val="center"/>
          </w:tcPr>
          <w:p w:rsidR="00000000" w:rsidRDefault="00000000">
            <w:pPr>
              <w:spacing w:before="40" w:after="40"/>
              <w:jc w:val="center"/>
              <w:rPr>
                <w:b/>
                <w:bCs/>
                <w:i/>
                <w:iCs/>
                <w:sz w:val="18"/>
                <w:szCs w:val="20"/>
                <w:lang w:val="en-US"/>
              </w:rPr>
            </w:pPr>
          </w:p>
        </w:tc>
        <w:tc>
          <w:tcPr>
            <w:tcW w:w="724" w:type="dxa"/>
            <w:vMerge w:val="restart"/>
            <w:tcBorders>
              <w:top w:val="single" w:sz="4" w:space="0" w:color="auto"/>
            </w:tcBorders>
            <w:vAlign w:val="center"/>
          </w:tcPr>
          <w:p w:rsidR="00000000" w:rsidRDefault="00000000">
            <w:pPr>
              <w:spacing w:before="40" w:after="40"/>
              <w:jc w:val="center"/>
              <w:rPr>
                <w:b/>
                <w:bCs/>
                <w:i/>
                <w:iCs/>
                <w:sz w:val="18"/>
                <w:szCs w:val="20"/>
                <w:lang w:val="en-US"/>
              </w:rPr>
            </w:pPr>
            <w:r>
              <w:rPr>
                <w:b/>
                <w:bCs/>
                <w:i/>
                <w:iCs/>
                <w:sz w:val="18"/>
                <w:szCs w:val="20"/>
                <w:lang w:val="en-US"/>
              </w:rPr>
              <w:t>Total</w:t>
            </w:r>
          </w:p>
        </w:tc>
        <w:tc>
          <w:tcPr>
            <w:tcW w:w="1341" w:type="dxa"/>
            <w:gridSpan w:val="2"/>
            <w:tcBorders>
              <w:top w:val="single" w:sz="4" w:space="0" w:color="auto"/>
              <w:bottom w:val="single" w:sz="4" w:space="0" w:color="auto"/>
            </w:tcBorders>
            <w:vAlign w:val="center"/>
          </w:tcPr>
          <w:p w:rsidR="00000000" w:rsidRDefault="00000000">
            <w:pPr>
              <w:spacing w:before="40" w:after="40"/>
              <w:jc w:val="center"/>
              <w:rPr>
                <w:b/>
                <w:bCs/>
                <w:i/>
                <w:iCs/>
                <w:sz w:val="18"/>
                <w:szCs w:val="20"/>
                <w:lang w:val="en-US"/>
              </w:rPr>
            </w:pPr>
            <w:r>
              <w:rPr>
                <w:b/>
                <w:bCs/>
                <w:i/>
                <w:iCs/>
                <w:sz w:val="18"/>
                <w:szCs w:val="20"/>
              </w:rPr>
              <w:t>Residence area</w:t>
            </w:r>
          </w:p>
        </w:tc>
        <w:tc>
          <w:tcPr>
            <w:tcW w:w="724" w:type="dxa"/>
            <w:vMerge w:val="restart"/>
            <w:tcBorders>
              <w:top w:val="single" w:sz="4" w:space="0" w:color="auto"/>
            </w:tcBorders>
            <w:vAlign w:val="center"/>
          </w:tcPr>
          <w:p w:rsidR="00000000" w:rsidRDefault="00000000">
            <w:pPr>
              <w:spacing w:before="40" w:after="40"/>
              <w:jc w:val="center"/>
              <w:rPr>
                <w:b/>
                <w:bCs/>
                <w:i/>
                <w:iCs/>
                <w:sz w:val="18"/>
                <w:szCs w:val="20"/>
                <w:lang w:val="en-US"/>
              </w:rPr>
            </w:pPr>
            <w:r>
              <w:rPr>
                <w:b/>
                <w:bCs/>
                <w:i/>
                <w:iCs/>
                <w:sz w:val="18"/>
                <w:szCs w:val="20"/>
                <w:lang w:val="en-US"/>
              </w:rPr>
              <w:t>Total</w:t>
            </w:r>
          </w:p>
        </w:tc>
        <w:tc>
          <w:tcPr>
            <w:tcW w:w="1507" w:type="dxa"/>
            <w:gridSpan w:val="2"/>
            <w:tcBorders>
              <w:top w:val="single" w:sz="4" w:space="0" w:color="auto"/>
              <w:bottom w:val="single" w:sz="4" w:space="0" w:color="auto"/>
            </w:tcBorders>
            <w:vAlign w:val="center"/>
          </w:tcPr>
          <w:p w:rsidR="00000000" w:rsidRDefault="00000000">
            <w:pPr>
              <w:spacing w:before="40" w:after="40"/>
              <w:jc w:val="center"/>
              <w:rPr>
                <w:b/>
                <w:bCs/>
                <w:i/>
                <w:iCs/>
                <w:sz w:val="18"/>
                <w:szCs w:val="20"/>
                <w:lang w:val="en-US"/>
              </w:rPr>
            </w:pPr>
            <w:r>
              <w:rPr>
                <w:b/>
                <w:bCs/>
                <w:i/>
                <w:iCs/>
                <w:sz w:val="18"/>
                <w:szCs w:val="20"/>
              </w:rPr>
              <w:t>Residence area</w:t>
            </w:r>
          </w:p>
        </w:tc>
        <w:tc>
          <w:tcPr>
            <w:tcW w:w="754" w:type="dxa"/>
            <w:vMerge w:val="restart"/>
            <w:tcBorders>
              <w:top w:val="single" w:sz="4" w:space="0" w:color="auto"/>
            </w:tcBorders>
            <w:vAlign w:val="center"/>
          </w:tcPr>
          <w:p w:rsidR="00000000" w:rsidRDefault="00000000">
            <w:pPr>
              <w:spacing w:before="40" w:after="40"/>
              <w:jc w:val="center"/>
              <w:rPr>
                <w:b/>
                <w:bCs/>
                <w:i/>
                <w:iCs/>
                <w:sz w:val="18"/>
                <w:szCs w:val="20"/>
                <w:lang w:val="en-US"/>
              </w:rPr>
            </w:pPr>
            <w:r>
              <w:rPr>
                <w:b/>
                <w:bCs/>
                <w:i/>
                <w:iCs/>
                <w:sz w:val="18"/>
                <w:szCs w:val="20"/>
                <w:lang w:val="en-US"/>
              </w:rPr>
              <w:t>Total</w:t>
            </w:r>
          </w:p>
        </w:tc>
        <w:tc>
          <w:tcPr>
            <w:tcW w:w="669" w:type="dxa"/>
            <w:tcBorders>
              <w:top w:val="single" w:sz="4" w:space="0" w:color="auto"/>
              <w:bottom w:val="single" w:sz="4" w:space="0" w:color="auto"/>
            </w:tcBorders>
            <w:vAlign w:val="center"/>
          </w:tcPr>
          <w:p w:rsidR="00000000" w:rsidRDefault="00000000">
            <w:pPr>
              <w:spacing w:before="40" w:after="40"/>
              <w:jc w:val="center"/>
              <w:rPr>
                <w:b/>
                <w:bCs/>
                <w:i/>
                <w:iCs/>
                <w:sz w:val="18"/>
                <w:szCs w:val="20"/>
                <w:lang w:val="en-US"/>
              </w:rPr>
            </w:pPr>
            <w:r>
              <w:rPr>
                <w:b/>
                <w:bCs/>
                <w:i/>
                <w:iCs/>
                <w:sz w:val="18"/>
                <w:szCs w:val="20"/>
                <w:lang w:val="en-US"/>
              </w:rPr>
              <w:t>Total</w:t>
            </w:r>
          </w:p>
        </w:tc>
        <w:tc>
          <w:tcPr>
            <w:tcW w:w="724" w:type="dxa"/>
            <w:gridSpan w:val="2"/>
            <w:vMerge w:val="restart"/>
            <w:tcBorders>
              <w:top w:val="single" w:sz="4" w:space="0" w:color="auto"/>
            </w:tcBorders>
            <w:vAlign w:val="center"/>
          </w:tcPr>
          <w:p w:rsidR="00000000" w:rsidRDefault="00000000">
            <w:pPr>
              <w:spacing w:before="40" w:after="40"/>
              <w:jc w:val="center"/>
              <w:rPr>
                <w:b/>
                <w:bCs/>
                <w:i/>
                <w:iCs/>
                <w:sz w:val="18"/>
                <w:szCs w:val="20"/>
                <w:lang w:val="en-US"/>
              </w:rPr>
            </w:pPr>
          </w:p>
        </w:tc>
        <w:tc>
          <w:tcPr>
            <w:tcW w:w="1436" w:type="dxa"/>
            <w:gridSpan w:val="2"/>
            <w:tcBorders>
              <w:top w:val="single" w:sz="4" w:space="0" w:color="auto"/>
              <w:bottom w:val="single" w:sz="4" w:space="0" w:color="auto"/>
            </w:tcBorders>
            <w:vAlign w:val="center"/>
          </w:tcPr>
          <w:p w:rsidR="00000000" w:rsidRDefault="00000000">
            <w:pPr>
              <w:spacing w:before="40" w:after="40"/>
              <w:jc w:val="center"/>
              <w:rPr>
                <w:b/>
                <w:bCs/>
                <w:i/>
                <w:iCs/>
                <w:sz w:val="18"/>
                <w:szCs w:val="20"/>
                <w:lang w:val="en-US"/>
              </w:rPr>
            </w:pPr>
            <w:r>
              <w:rPr>
                <w:b/>
                <w:bCs/>
                <w:i/>
                <w:iCs/>
                <w:sz w:val="18"/>
                <w:szCs w:val="20"/>
              </w:rPr>
              <w:t>Residence area</w:t>
            </w:r>
          </w:p>
        </w:tc>
      </w:tr>
      <w:tr w:rsidR="00000000">
        <w:trPr>
          <w:cantSplit/>
          <w:trHeight w:val="210"/>
        </w:trPr>
        <w:tc>
          <w:tcPr>
            <w:tcW w:w="1550" w:type="dxa"/>
            <w:vMerge/>
            <w:tcBorders>
              <w:bottom w:val="single" w:sz="4" w:space="0" w:color="auto"/>
            </w:tcBorders>
            <w:vAlign w:val="center"/>
          </w:tcPr>
          <w:p w:rsidR="00000000" w:rsidRDefault="00000000">
            <w:pPr>
              <w:spacing w:before="40" w:after="40"/>
              <w:jc w:val="center"/>
              <w:rPr>
                <w:b/>
                <w:bCs/>
                <w:i/>
                <w:iCs/>
                <w:sz w:val="18"/>
                <w:szCs w:val="20"/>
                <w:lang w:val="en-US"/>
              </w:rPr>
            </w:pPr>
          </w:p>
        </w:tc>
        <w:tc>
          <w:tcPr>
            <w:tcW w:w="724" w:type="dxa"/>
            <w:vMerge/>
            <w:tcBorders>
              <w:bottom w:val="single" w:sz="4" w:space="0" w:color="auto"/>
            </w:tcBorders>
            <w:vAlign w:val="center"/>
          </w:tcPr>
          <w:p w:rsidR="00000000" w:rsidRDefault="00000000">
            <w:pPr>
              <w:spacing w:before="40" w:after="40"/>
              <w:jc w:val="center"/>
              <w:rPr>
                <w:b/>
                <w:bCs/>
                <w:i/>
                <w:iCs/>
                <w:sz w:val="18"/>
                <w:szCs w:val="20"/>
                <w:lang w:val="en-US"/>
              </w:rPr>
            </w:pPr>
          </w:p>
        </w:tc>
        <w:tc>
          <w:tcPr>
            <w:tcW w:w="669" w:type="dxa"/>
            <w:tcBorders>
              <w:top w:val="single" w:sz="4" w:space="0" w:color="auto"/>
              <w:bottom w:val="single" w:sz="4" w:space="0" w:color="auto"/>
            </w:tcBorders>
            <w:vAlign w:val="center"/>
          </w:tcPr>
          <w:p w:rsidR="00000000" w:rsidRDefault="00000000">
            <w:pPr>
              <w:spacing w:before="40" w:after="40"/>
              <w:jc w:val="center"/>
              <w:rPr>
                <w:b/>
                <w:bCs/>
                <w:i/>
                <w:iCs/>
                <w:sz w:val="18"/>
                <w:szCs w:val="20"/>
                <w:lang w:val="en-US"/>
              </w:rPr>
            </w:pPr>
            <w:r>
              <w:rPr>
                <w:b/>
                <w:bCs/>
                <w:i/>
                <w:iCs/>
                <w:sz w:val="18"/>
                <w:szCs w:val="20"/>
              </w:rPr>
              <w:t>Urban</w:t>
            </w:r>
          </w:p>
        </w:tc>
        <w:tc>
          <w:tcPr>
            <w:tcW w:w="672" w:type="dxa"/>
            <w:tcBorders>
              <w:top w:val="single" w:sz="4" w:space="0" w:color="auto"/>
              <w:bottom w:val="single" w:sz="4" w:space="0" w:color="auto"/>
            </w:tcBorders>
            <w:vAlign w:val="center"/>
          </w:tcPr>
          <w:p w:rsidR="00000000" w:rsidRDefault="00000000">
            <w:pPr>
              <w:spacing w:before="40" w:after="40"/>
              <w:jc w:val="center"/>
              <w:rPr>
                <w:b/>
                <w:bCs/>
                <w:i/>
                <w:iCs/>
                <w:sz w:val="18"/>
                <w:szCs w:val="20"/>
                <w:lang w:val="en-US"/>
              </w:rPr>
            </w:pPr>
            <w:r>
              <w:rPr>
                <w:b/>
                <w:bCs/>
                <w:i/>
                <w:iCs/>
                <w:sz w:val="18"/>
                <w:szCs w:val="20"/>
              </w:rPr>
              <w:t>Rural</w:t>
            </w:r>
          </w:p>
        </w:tc>
        <w:tc>
          <w:tcPr>
            <w:tcW w:w="724" w:type="dxa"/>
            <w:vMerge/>
            <w:tcBorders>
              <w:bottom w:val="single" w:sz="4" w:space="0" w:color="auto"/>
            </w:tcBorders>
            <w:vAlign w:val="center"/>
          </w:tcPr>
          <w:p w:rsidR="00000000" w:rsidRDefault="00000000">
            <w:pPr>
              <w:spacing w:before="40" w:after="40"/>
              <w:jc w:val="center"/>
              <w:rPr>
                <w:b/>
                <w:bCs/>
                <w:i/>
                <w:iCs/>
                <w:sz w:val="18"/>
                <w:szCs w:val="20"/>
                <w:lang w:val="en-US"/>
              </w:rPr>
            </w:pPr>
          </w:p>
        </w:tc>
        <w:tc>
          <w:tcPr>
            <w:tcW w:w="754" w:type="dxa"/>
            <w:tcBorders>
              <w:top w:val="single" w:sz="4" w:space="0" w:color="auto"/>
              <w:bottom w:val="single" w:sz="4" w:space="0" w:color="auto"/>
            </w:tcBorders>
            <w:vAlign w:val="center"/>
          </w:tcPr>
          <w:p w:rsidR="00000000" w:rsidRDefault="00000000">
            <w:pPr>
              <w:spacing w:before="40" w:after="40"/>
              <w:jc w:val="center"/>
              <w:rPr>
                <w:b/>
                <w:bCs/>
                <w:i/>
                <w:iCs/>
                <w:sz w:val="18"/>
                <w:szCs w:val="20"/>
                <w:lang w:val="en-US"/>
              </w:rPr>
            </w:pPr>
            <w:r>
              <w:rPr>
                <w:b/>
                <w:bCs/>
                <w:i/>
                <w:iCs/>
                <w:sz w:val="18"/>
                <w:szCs w:val="20"/>
              </w:rPr>
              <w:t>Urban</w:t>
            </w:r>
          </w:p>
        </w:tc>
        <w:tc>
          <w:tcPr>
            <w:tcW w:w="753" w:type="dxa"/>
            <w:tcBorders>
              <w:top w:val="single" w:sz="4" w:space="0" w:color="auto"/>
              <w:bottom w:val="single" w:sz="4" w:space="0" w:color="auto"/>
            </w:tcBorders>
            <w:vAlign w:val="center"/>
          </w:tcPr>
          <w:p w:rsidR="00000000" w:rsidRDefault="00000000">
            <w:pPr>
              <w:spacing w:before="40" w:after="40"/>
              <w:jc w:val="center"/>
              <w:rPr>
                <w:b/>
                <w:bCs/>
                <w:i/>
                <w:iCs/>
                <w:sz w:val="18"/>
                <w:szCs w:val="20"/>
                <w:lang w:val="en-US"/>
              </w:rPr>
            </w:pPr>
            <w:r>
              <w:rPr>
                <w:b/>
                <w:bCs/>
                <w:i/>
                <w:iCs/>
                <w:sz w:val="18"/>
                <w:szCs w:val="20"/>
              </w:rPr>
              <w:t>Rural</w:t>
            </w:r>
          </w:p>
        </w:tc>
        <w:tc>
          <w:tcPr>
            <w:tcW w:w="754" w:type="dxa"/>
            <w:vMerge/>
            <w:tcBorders>
              <w:bottom w:val="single" w:sz="4" w:space="0" w:color="auto"/>
            </w:tcBorders>
            <w:vAlign w:val="center"/>
          </w:tcPr>
          <w:p w:rsidR="00000000" w:rsidRDefault="00000000">
            <w:pPr>
              <w:spacing w:before="40" w:after="40"/>
              <w:jc w:val="center"/>
              <w:rPr>
                <w:b/>
                <w:bCs/>
                <w:i/>
                <w:iCs/>
                <w:sz w:val="18"/>
                <w:szCs w:val="20"/>
                <w:lang w:val="en-US"/>
              </w:rPr>
            </w:pPr>
          </w:p>
        </w:tc>
        <w:tc>
          <w:tcPr>
            <w:tcW w:w="669" w:type="dxa"/>
            <w:tcBorders>
              <w:top w:val="single" w:sz="4" w:space="0" w:color="auto"/>
              <w:bottom w:val="single" w:sz="4" w:space="0" w:color="auto"/>
            </w:tcBorders>
            <w:vAlign w:val="center"/>
          </w:tcPr>
          <w:p w:rsidR="00000000" w:rsidRDefault="00000000">
            <w:pPr>
              <w:spacing w:before="40" w:after="40"/>
              <w:jc w:val="center"/>
              <w:rPr>
                <w:b/>
                <w:bCs/>
                <w:i/>
                <w:iCs/>
                <w:sz w:val="18"/>
                <w:szCs w:val="20"/>
                <w:lang w:val="en-US"/>
              </w:rPr>
            </w:pPr>
            <w:r>
              <w:rPr>
                <w:b/>
                <w:bCs/>
                <w:i/>
                <w:iCs/>
                <w:sz w:val="18"/>
                <w:szCs w:val="20"/>
              </w:rPr>
              <w:t>Urban</w:t>
            </w:r>
          </w:p>
        </w:tc>
        <w:tc>
          <w:tcPr>
            <w:tcW w:w="724" w:type="dxa"/>
            <w:gridSpan w:val="2"/>
            <w:vMerge/>
            <w:tcBorders>
              <w:bottom w:val="single" w:sz="4" w:space="0" w:color="auto"/>
            </w:tcBorders>
            <w:vAlign w:val="center"/>
          </w:tcPr>
          <w:p w:rsidR="00000000" w:rsidRDefault="00000000">
            <w:pPr>
              <w:spacing w:before="40" w:after="40"/>
              <w:jc w:val="center"/>
              <w:rPr>
                <w:b/>
                <w:bCs/>
                <w:i/>
                <w:iCs/>
                <w:sz w:val="18"/>
                <w:szCs w:val="20"/>
                <w:lang w:val="en-US"/>
              </w:rPr>
            </w:pPr>
          </w:p>
        </w:tc>
        <w:tc>
          <w:tcPr>
            <w:tcW w:w="669" w:type="dxa"/>
            <w:tcBorders>
              <w:top w:val="single" w:sz="4" w:space="0" w:color="auto"/>
              <w:bottom w:val="single" w:sz="4" w:space="0" w:color="auto"/>
            </w:tcBorders>
            <w:vAlign w:val="center"/>
          </w:tcPr>
          <w:p w:rsidR="00000000" w:rsidRDefault="00000000">
            <w:pPr>
              <w:spacing w:before="40" w:after="40"/>
              <w:jc w:val="center"/>
              <w:rPr>
                <w:b/>
                <w:bCs/>
                <w:i/>
                <w:iCs/>
                <w:sz w:val="18"/>
                <w:szCs w:val="20"/>
                <w:lang w:val="en-US"/>
              </w:rPr>
            </w:pPr>
            <w:r>
              <w:rPr>
                <w:b/>
                <w:bCs/>
                <w:i/>
                <w:iCs/>
                <w:sz w:val="18"/>
                <w:szCs w:val="20"/>
              </w:rPr>
              <w:t>Urban</w:t>
            </w:r>
          </w:p>
        </w:tc>
        <w:tc>
          <w:tcPr>
            <w:tcW w:w="767" w:type="dxa"/>
            <w:tcBorders>
              <w:top w:val="single" w:sz="4" w:space="0" w:color="auto"/>
              <w:bottom w:val="single" w:sz="4" w:space="0" w:color="auto"/>
            </w:tcBorders>
            <w:vAlign w:val="center"/>
          </w:tcPr>
          <w:p w:rsidR="00000000" w:rsidRDefault="00000000">
            <w:pPr>
              <w:spacing w:before="40" w:after="40"/>
              <w:jc w:val="center"/>
              <w:rPr>
                <w:b/>
                <w:bCs/>
                <w:i/>
                <w:iCs/>
                <w:sz w:val="18"/>
                <w:szCs w:val="20"/>
                <w:lang w:val="en-US"/>
              </w:rPr>
            </w:pPr>
            <w:r>
              <w:rPr>
                <w:b/>
                <w:bCs/>
                <w:i/>
                <w:iCs/>
                <w:sz w:val="18"/>
                <w:szCs w:val="20"/>
              </w:rPr>
              <w:t>Rural</w:t>
            </w:r>
          </w:p>
        </w:tc>
      </w:tr>
      <w:tr w:rsidR="00000000">
        <w:trPr>
          <w:trHeight w:val="255"/>
        </w:trPr>
        <w:tc>
          <w:tcPr>
            <w:tcW w:w="1550" w:type="dxa"/>
            <w:tcBorders>
              <w:top w:val="single" w:sz="4" w:space="0" w:color="auto"/>
            </w:tcBorders>
            <w:noWrap/>
            <w:vAlign w:val="bottom"/>
          </w:tcPr>
          <w:p w:rsidR="00000000" w:rsidRDefault="00000000">
            <w:pPr>
              <w:spacing w:before="60" w:after="60"/>
              <w:rPr>
                <w:sz w:val="18"/>
                <w:szCs w:val="20"/>
                <w:lang w:val="en-US"/>
              </w:rPr>
            </w:pPr>
            <w:r>
              <w:rPr>
                <w:sz w:val="20"/>
                <w:szCs w:val="20"/>
              </w:rPr>
              <w:t>Owned</w:t>
            </w:r>
          </w:p>
        </w:tc>
        <w:tc>
          <w:tcPr>
            <w:tcW w:w="724" w:type="dxa"/>
            <w:tcBorders>
              <w:top w:val="single" w:sz="4" w:space="0" w:color="auto"/>
            </w:tcBorders>
            <w:noWrap/>
            <w:vAlign w:val="bottom"/>
          </w:tcPr>
          <w:p w:rsidR="00000000" w:rsidRDefault="00000000">
            <w:pPr>
              <w:spacing w:before="60" w:after="60"/>
              <w:ind w:right="170"/>
              <w:jc w:val="right"/>
              <w:rPr>
                <w:sz w:val="18"/>
                <w:szCs w:val="20"/>
                <w:lang w:val="en-US"/>
              </w:rPr>
            </w:pPr>
            <w:r>
              <w:rPr>
                <w:sz w:val="18"/>
                <w:szCs w:val="20"/>
                <w:lang w:val="en-US"/>
              </w:rPr>
              <w:t>74.2</w:t>
            </w:r>
          </w:p>
        </w:tc>
        <w:tc>
          <w:tcPr>
            <w:tcW w:w="669" w:type="dxa"/>
            <w:tcBorders>
              <w:top w:val="single" w:sz="4" w:space="0" w:color="auto"/>
            </w:tcBorders>
            <w:noWrap/>
            <w:vAlign w:val="bottom"/>
          </w:tcPr>
          <w:p w:rsidR="00000000" w:rsidRDefault="00000000">
            <w:pPr>
              <w:spacing w:before="60" w:after="60"/>
              <w:ind w:right="170"/>
              <w:jc w:val="right"/>
              <w:rPr>
                <w:sz w:val="18"/>
                <w:szCs w:val="20"/>
                <w:lang w:val="en-US"/>
              </w:rPr>
            </w:pPr>
            <w:r>
              <w:rPr>
                <w:sz w:val="18"/>
                <w:szCs w:val="20"/>
                <w:lang w:val="en-US"/>
              </w:rPr>
              <w:t>67.5</w:t>
            </w:r>
          </w:p>
        </w:tc>
        <w:tc>
          <w:tcPr>
            <w:tcW w:w="672" w:type="dxa"/>
            <w:tcBorders>
              <w:top w:val="single" w:sz="4" w:space="0" w:color="auto"/>
            </w:tcBorders>
            <w:noWrap/>
            <w:vAlign w:val="bottom"/>
          </w:tcPr>
          <w:p w:rsidR="00000000" w:rsidRDefault="00000000">
            <w:pPr>
              <w:spacing w:before="60" w:after="60"/>
              <w:ind w:right="170"/>
              <w:jc w:val="right"/>
              <w:rPr>
                <w:sz w:val="18"/>
                <w:szCs w:val="20"/>
                <w:lang w:val="en-US"/>
              </w:rPr>
            </w:pPr>
            <w:r>
              <w:rPr>
                <w:sz w:val="18"/>
                <w:szCs w:val="20"/>
                <w:lang w:val="en-US"/>
              </w:rPr>
              <w:t>82.2</w:t>
            </w:r>
          </w:p>
        </w:tc>
        <w:tc>
          <w:tcPr>
            <w:tcW w:w="724" w:type="dxa"/>
            <w:tcBorders>
              <w:top w:val="single" w:sz="4" w:space="0" w:color="auto"/>
            </w:tcBorders>
            <w:noWrap/>
            <w:vAlign w:val="bottom"/>
          </w:tcPr>
          <w:p w:rsidR="00000000" w:rsidRDefault="00000000">
            <w:pPr>
              <w:spacing w:before="60" w:after="60"/>
              <w:ind w:right="170"/>
              <w:jc w:val="right"/>
              <w:rPr>
                <w:sz w:val="18"/>
                <w:szCs w:val="20"/>
                <w:lang w:val="en-US"/>
              </w:rPr>
            </w:pPr>
            <w:r>
              <w:rPr>
                <w:sz w:val="18"/>
                <w:szCs w:val="20"/>
                <w:lang w:val="en-US"/>
              </w:rPr>
              <w:t>79.6</w:t>
            </w:r>
          </w:p>
        </w:tc>
        <w:tc>
          <w:tcPr>
            <w:tcW w:w="754" w:type="dxa"/>
            <w:tcBorders>
              <w:top w:val="single" w:sz="4" w:space="0" w:color="auto"/>
            </w:tcBorders>
            <w:noWrap/>
            <w:vAlign w:val="bottom"/>
          </w:tcPr>
          <w:p w:rsidR="00000000" w:rsidRDefault="00000000">
            <w:pPr>
              <w:spacing w:before="60" w:after="60"/>
              <w:ind w:right="170"/>
              <w:jc w:val="right"/>
              <w:rPr>
                <w:sz w:val="18"/>
                <w:szCs w:val="20"/>
                <w:lang w:val="en-US"/>
              </w:rPr>
            </w:pPr>
            <w:r>
              <w:rPr>
                <w:sz w:val="18"/>
                <w:szCs w:val="20"/>
                <w:lang w:val="en-US"/>
              </w:rPr>
              <w:t>74.5</w:t>
            </w:r>
          </w:p>
        </w:tc>
        <w:tc>
          <w:tcPr>
            <w:tcW w:w="753" w:type="dxa"/>
            <w:tcBorders>
              <w:top w:val="single" w:sz="4" w:space="0" w:color="auto"/>
            </w:tcBorders>
            <w:noWrap/>
            <w:vAlign w:val="bottom"/>
          </w:tcPr>
          <w:p w:rsidR="00000000" w:rsidRDefault="00000000">
            <w:pPr>
              <w:spacing w:before="60" w:after="60"/>
              <w:ind w:right="170"/>
              <w:jc w:val="right"/>
              <w:rPr>
                <w:sz w:val="18"/>
                <w:szCs w:val="20"/>
                <w:lang w:val="en-US"/>
              </w:rPr>
            </w:pPr>
            <w:r>
              <w:rPr>
                <w:sz w:val="18"/>
                <w:szCs w:val="20"/>
                <w:lang w:val="en-US"/>
              </w:rPr>
              <w:t>86.3</w:t>
            </w:r>
          </w:p>
        </w:tc>
        <w:tc>
          <w:tcPr>
            <w:tcW w:w="754" w:type="dxa"/>
            <w:tcBorders>
              <w:top w:val="single" w:sz="4" w:space="0" w:color="auto"/>
            </w:tcBorders>
            <w:noWrap/>
            <w:vAlign w:val="bottom"/>
          </w:tcPr>
          <w:p w:rsidR="00000000" w:rsidRDefault="00000000">
            <w:pPr>
              <w:spacing w:before="60" w:after="60"/>
              <w:ind w:right="170"/>
              <w:jc w:val="right"/>
              <w:rPr>
                <w:sz w:val="18"/>
                <w:szCs w:val="20"/>
                <w:lang w:val="en-US"/>
              </w:rPr>
            </w:pPr>
            <w:r>
              <w:rPr>
                <w:sz w:val="18"/>
                <w:szCs w:val="20"/>
                <w:lang w:val="en-US"/>
              </w:rPr>
              <w:t>75.4</w:t>
            </w:r>
          </w:p>
        </w:tc>
        <w:tc>
          <w:tcPr>
            <w:tcW w:w="669" w:type="dxa"/>
            <w:tcBorders>
              <w:top w:val="single" w:sz="4" w:space="0" w:color="auto"/>
            </w:tcBorders>
            <w:noWrap/>
            <w:vAlign w:val="bottom"/>
          </w:tcPr>
          <w:p w:rsidR="00000000" w:rsidRDefault="00000000">
            <w:pPr>
              <w:spacing w:before="60" w:after="60"/>
              <w:ind w:right="170"/>
              <w:jc w:val="right"/>
              <w:rPr>
                <w:sz w:val="18"/>
                <w:szCs w:val="20"/>
                <w:lang w:val="en-US"/>
              </w:rPr>
            </w:pPr>
            <w:r>
              <w:rPr>
                <w:sz w:val="18"/>
                <w:szCs w:val="20"/>
                <w:lang w:val="en-US"/>
              </w:rPr>
              <w:t>69.6</w:t>
            </w:r>
          </w:p>
        </w:tc>
        <w:tc>
          <w:tcPr>
            <w:tcW w:w="724" w:type="dxa"/>
            <w:gridSpan w:val="2"/>
            <w:tcBorders>
              <w:top w:val="single" w:sz="4" w:space="0" w:color="auto"/>
            </w:tcBorders>
            <w:noWrap/>
            <w:vAlign w:val="bottom"/>
          </w:tcPr>
          <w:p w:rsidR="00000000" w:rsidRDefault="00000000">
            <w:pPr>
              <w:spacing w:before="60" w:after="60"/>
              <w:ind w:right="170"/>
              <w:jc w:val="right"/>
              <w:rPr>
                <w:sz w:val="18"/>
                <w:szCs w:val="20"/>
                <w:lang w:val="en-US"/>
              </w:rPr>
            </w:pPr>
            <w:r>
              <w:rPr>
                <w:sz w:val="18"/>
                <w:szCs w:val="20"/>
                <w:lang w:val="en-US"/>
              </w:rPr>
              <w:t>77.0</w:t>
            </w:r>
          </w:p>
        </w:tc>
        <w:tc>
          <w:tcPr>
            <w:tcW w:w="669" w:type="dxa"/>
            <w:tcBorders>
              <w:top w:val="single" w:sz="4" w:space="0" w:color="auto"/>
            </w:tcBorders>
            <w:noWrap/>
            <w:vAlign w:val="bottom"/>
          </w:tcPr>
          <w:p w:rsidR="00000000" w:rsidRDefault="00000000">
            <w:pPr>
              <w:spacing w:before="60" w:after="60"/>
              <w:ind w:right="170"/>
              <w:jc w:val="right"/>
              <w:rPr>
                <w:sz w:val="18"/>
                <w:szCs w:val="20"/>
                <w:lang w:val="en-US"/>
              </w:rPr>
            </w:pPr>
            <w:r>
              <w:rPr>
                <w:sz w:val="18"/>
                <w:szCs w:val="20"/>
                <w:lang w:val="en-US"/>
              </w:rPr>
              <w:t>73.2</w:t>
            </w:r>
          </w:p>
        </w:tc>
        <w:tc>
          <w:tcPr>
            <w:tcW w:w="767" w:type="dxa"/>
            <w:tcBorders>
              <w:top w:val="single" w:sz="4" w:space="0" w:color="auto"/>
            </w:tcBorders>
            <w:noWrap/>
            <w:vAlign w:val="bottom"/>
          </w:tcPr>
          <w:p w:rsidR="00000000" w:rsidRDefault="00000000">
            <w:pPr>
              <w:spacing w:before="60" w:after="60"/>
              <w:ind w:right="170"/>
              <w:jc w:val="right"/>
              <w:rPr>
                <w:sz w:val="18"/>
                <w:szCs w:val="20"/>
                <w:lang w:val="en-US"/>
              </w:rPr>
            </w:pPr>
            <w:r>
              <w:rPr>
                <w:sz w:val="18"/>
                <w:szCs w:val="20"/>
                <w:lang w:val="en-US"/>
              </w:rPr>
              <w:t>83.0</w:t>
            </w:r>
          </w:p>
        </w:tc>
      </w:tr>
      <w:tr w:rsidR="00000000">
        <w:trPr>
          <w:trHeight w:val="255"/>
        </w:trPr>
        <w:tc>
          <w:tcPr>
            <w:tcW w:w="1550" w:type="dxa"/>
            <w:noWrap/>
            <w:vAlign w:val="bottom"/>
          </w:tcPr>
          <w:p w:rsidR="00000000" w:rsidRDefault="00000000">
            <w:pPr>
              <w:spacing w:before="60" w:after="60"/>
              <w:rPr>
                <w:sz w:val="18"/>
                <w:szCs w:val="20"/>
                <w:lang w:val="en-US"/>
              </w:rPr>
            </w:pPr>
            <w:r>
              <w:rPr>
                <w:sz w:val="20"/>
                <w:szCs w:val="20"/>
              </w:rPr>
              <w:t>Paying by instalments</w:t>
            </w:r>
          </w:p>
        </w:tc>
        <w:tc>
          <w:tcPr>
            <w:tcW w:w="724" w:type="dxa"/>
            <w:noWrap/>
            <w:vAlign w:val="bottom"/>
          </w:tcPr>
          <w:p w:rsidR="00000000" w:rsidRDefault="00000000">
            <w:pPr>
              <w:spacing w:before="60" w:after="60"/>
              <w:ind w:right="170"/>
              <w:jc w:val="right"/>
              <w:rPr>
                <w:sz w:val="18"/>
                <w:szCs w:val="20"/>
                <w:lang w:val="en-US"/>
              </w:rPr>
            </w:pPr>
            <w:r>
              <w:rPr>
                <w:sz w:val="18"/>
                <w:szCs w:val="20"/>
                <w:lang w:val="en-US"/>
              </w:rPr>
              <w:t>2.6</w:t>
            </w:r>
          </w:p>
        </w:tc>
        <w:tc>
          <w:tcPr>
            <w:tcW w:w="669" w:type="dxa"/>
            <w:noWrap/>
            <w:vAlign w:val="bottom"/>
          </w:tcPr>
          <w:p w:rsidR="00000000" w:rsidRDefault="00000000">
            <w:pPr>
              <w:spacing w:before="60" w:after="60"/>
              <w:ind w:right="170"/>
              <w:jc w:val="right"/>
              <w:rPr>
                <w:sz w:val="18"/>
                <w:szCs w:val="20"/>
                <w:lang w:val="en-US"/>
              </w:rPr>
            </w:pPr>
            <w:r>
              <w:rPr>
                <w:sz w:val="18"/>
                <w:szCs w:val="20"/>
                <w:lang w:val="en-US"/>
              </w:rPr>
              <w:t>2.8</w:t>
            </w:r>
          </w:p>
        </w:tc>
        <w:tc>
          <w:tcPr>
            <w:tcW w:w="672" w:type="dxa"/>
            <w:noWrap/>
            <w:vAlign w:val="bottom"/>
          </w:tcPr>
          <w:p w:rsidR="00000000" w:rsidRDefault="00000000">
            <w:pPr>
              <w:spacing w:before="60" w:after="60"/>
              <w:ind w:right="170"/>
              <w:jc w:val="right"/>
              <w:rPr>
                <w:sz w:val="18"/>
                <w:szCs w:val="20"/>
                <w:lang w:val="en-US"/>
              </w:rPr>
            </w:pPr>
            <w:r>
              <w:rPr>
                <w:sz w:val="18"/>
                <w:szCs w:val="20"/>
                <w:lang w:val="en-US"/>
              </w:rPr>
              <w:t>2.3</w:t>
            </w:r>
          </w:p>
        </w:tc>
        <w:tc>
          <w:tcPr>
            <w:tcW w:w="724" w:type="dxa"/>
            <w:noWrap/>
            <w:vAlign w:val="bottom"/>
          </w:tcPr>
          <w:p w:rsidR="00000000" w:rsidRDefault="00000000">
            <w:pPr>
              <w:spacing w:before="60" w:after="60"/>
              <w:ind w:right="170"/>
              <w:jc w:val="right"/>
              <w:rPr>
                <w:sz w:val="18"/>
                <w:szCs w:val="20"/>
                <w:lang w:val="en-US"/>
              </w:rPr>
            </w:pPr>
            <w:r>
              <w:rPr>
                <w:sz w:val="18"/>
                <w:szCs w:val="20"/>
                <w:lang w:val="en-US"/>
              </w:rPr>
              <w:t>1.0</w:t>
            </w:r>
          </w:p>
        </w:tc>
        <w:tc>
          <w:tcPr>
            <w:tcW w:w="754" w:type="dxa"/>
            <w:noWrap/>
            <w:vAlign w:val="bottom"/>
          </w:tcPr>
          <w:p w:rsidR="00000000" w:rsidRDefault="00000000">
            <w:pPr>
              <w:spacing w:before="60" w:after="60"/>
              <w:ind w:right="170"/>
              <w:jc w:val="right"/>
              <w:rPr>
                <w:sz w:val="18"/>
                <w:szCs w:val="20"/>
                <w:lang w:val="en-US"/>
              </w:rPr>
            </w:pPr>
            <w:r>
              <w:rPr>
                <w:sz w:val="18"/>
                <w:szCs w:val="20"/>
                <w:lang w:val="en-US"/>
              </w:rPr>
              <w:t>0.6</w:t>
            </w:r>
          </w:p>
        </w:tc>
        <w:tc>
          <w:tcPr>
            <w:tcW w:w="753" w:type="dxa"/>
            <w:noWrap/>
            <w:vAlign w:val="bottom"/>
          </w:tcPr>
          <w:p w:rsidR="00000000" w:rsidRDefault="00000000">
            <w:pPr>
              <w:spacing w:before="60" w:after="60"/>
              <w:ind w:right="170"/>
              <w:jc w:val="right"/>
              <w:rPr>
                <w:sz w:val="18"/>
                <w:szCs w:val="20"/>
                <w:lang w:val="en-US"/>
              </w:rPr>
            </w:pPr>
            <w:r>
              <w:rPr>
                <w:sz w:val="18"/>
                <w:szCs w:val="20"/>
                <w:lang w:val="en-US"/>
              </w:rPr>
              <w:t>1.4</w:t>
            </w:r>
          </w:p>
        </w:tc>
        <w:tc>
          <w:tcPr>
            <w:tcW w:w="754" w:type="dxa"/>
            <w:noWrap/>
            <w:vAlign w:val="bottom"/>
          </w:tcPr>
          <w:p w:rsidR="00000000" w:rsidRDefault="00000000">
            <w:pPr>
              <w:spacing w:before="60" w:after="60"/>
              <w:ind w:right="170"/>
              <w:jc w:val="right"/>
              <w:rPr>
                <w:sz w:val="18"/>
                <w:szCs w:val="20"/>
                <w:lang w:val="en-US"/>
              </w:rPr>
            </w:pPr>
            <w:r>
              <w:rPr>
                <w:sz w:val="18"/>
                <w:szCs w:val="20"/>
                <w:lang w:val="en-US"/>
              </w:rPr>
              <w:t>1.0</w:t>
            </w:r>
          </w:p>
        </w:tc>
        <w:tc>
          <w:tcPr>
            <w:tcW w:w="669" w:type="dxa"/>
            <w:noWrap/>
            <w:vAlign w:val="bottom"/>
          </w:tcPr>
          <w:p w:rsidR="00000000" w:rsidRDefault="00000000">
            <w:pPr>
              <w:spacing w:before="60" w:after="60"/>
              <w:ind w:right="170"/>
              <w:jc w:val="right"/>
              <w:rPr>
                <w:sz w:val="18"/>
                <w:szCs w:val="20"/>
                <w:lang w:val="en-US"/>
              </w:rPr>
            </w:pPr>
            <w:r>
              <w:rPr>
                <w:sz w:val="18"/>
                <w:szCs w:val="20"/>
                <w:lang w:val="en-US"/>
              </w:rPr>
              <w:t>1.1</w:t>
            </w:r>
          </w:p>
        </w:tc>
        <w:tc>
          <w:tcPr>
            <w:tcW w:w="724" w:type="dxa"/>
            <w:gridSpan w:val="2"/>
            <w:noWrap/>
            <w:vAlign w:val="bottom"/>
          </w:tcPr>
          <w:p w:rsidR="00000000" w:rsidRDefault="00000000">
            <w:pPr>
              <w:spacing w:before="60" w:after="60"/>
              <w:ind w:right="170"/>
              <w:jc w:val="right"/>
              <w:rPr>
                <w:sz w:val="18"/>
                <w:szCs w:val="20"/>
                <w:lang w:val="en-US"/>
              </w:rPr>
            </w:pPr>
            <w:r>
              <w:rPr>
                <w:sz w:val="18"/>
                <w:szCs w:val="20"/>
                <w:lang w:val="en-US"/>
              </w:rPr>
              <w:t>0.7</w:t>
            </w:r>
          </w:p>
        </w:tc>
        <w:tc>
          <w:tcPr>
            <w:tcW w:w="669" w:type="dxa"/>
            <w:noWrap/>
            <w:vAlign w:val="bottom"/>
          </w:tcPr>
          <w:p w:rsidR="00000000" w:rsidRDefault="00000000">
            <w:pPr>
              <w:spacing w:before="60" w:after="60"/>
              <w:ind w:right="170"/>
              <w:jc w:val="right"/>
              <w:rPr>
                <w:sz w:val="18"/>
                <w:szCs w:val="20"/>
                <w:lang w:val="en-US"/>
              </w:rPr>
            </w:pPr>
            <w:r>
              <w:rPr>
                <w:sz w:val="18"/>
                <w:szCs w:val="20"/>
                <w:lang w:val="en-US"/>
              </w:rPr>
              <w:t>0.6</w:t>
            </w:r>
          </w:p>
        </w:tc>
        <w:tc>
          <w:tcPr>
            <w:tcW w:w="767" w:type="dxa"/>
            <w:noWrap/>
            <w:vAlign w:val="bottom"/>
          </w:tcPr>
          <w:p w:rsidR="00000000" w:rsidRDefault="00000000">
            <w:pPr>
              <w:spacing w:before="60" w:after="60"/>
              <w:ind w:right="170"/>
              <w:jc w:val="right"/>
              <w:rPr>
                <w:sz w:val="18"/>
                <w:szCs w:val="20"/>
                <w:lang w:val="en-US"/>
              </w:rPr>
            </w:pPr>
            <w:r>
              <w:rPr>
                <w:sz w:val="18"/>
                <w:szCs w:val="20"/>
                <w:lang w:val="en-US"/>
              </w:rPr>
              <w:t>0.8</w:t>
            </w:r>
          </w:p>
        </w:tc>
      </w:tr>
      <w:tr w:rsidR="00000000">
        <w:trPr>
          <w:trHeight w:val="255"/>
        </w:trPr>
        <w:tc>
          <w:tcPr>
            <w:tcW w:w="1550" w:type="dxa"/>
            <w:noWrap/>
            <w:vAlign w:val="bottom"/>
          </w:tcPr>
          <w:p w:rsidR="00000000" w:rsidRDefault="00000000">
            <w:pPr>
              <w:spacing w:before="60" w:after="60"/>
              <w:rPr>
                <w:sz w:val="18"/>
                <w:szCs w:val="20"/>
                <w:lang w:val="en-US"/>
              </w:rPr>
            </w:pPr>
            <w:r>
              <w:rPr>
                <w:sz w:val="20"/>
                <w:szCs w:val="20"/>
              </w:rPr>
              <w:t>Condominium ownership</w:t>
            </w:r>
          </w:p>
        </w:tc>
        <w:tc>
          <w:tcPr>
            <w:tcW w:w="724" w:type="dxa"/>
            <w:noWrap/>
            <w:vAlign w:val="bottom"/>
          </w:tcPr>
          <w:p w:rsidR="00000000" w:rsidRDefault="00000000">
            <w:pPr>
              <w:spacing w:before="60" w:after="60"/>
              <w:ind w:right="170"/>
              <w:jc w:val="right"/>
              <w:rPr>
                <w:sz w:val="18"/>
                <w:szCs w:val="20"/>
                <w:lang w:val="en-US"/>
              </w:rPr>
            </w:pPr>
            <w:r>
              <w:rPr>
                <w:sz w:val="18"/>
                <w:szCs w:val="20"/>
                <w:lang w:val="en-US"/>
              </w:rPr>
              <w:t>0.4</w:t>
            </w:r>
          </w:p>
        </w:tc>
        <w:tc>
          <w:tcPr>
            <w:tcW w:w="669" w:type="dxa"/>
            <w:noWrap/>
            <w:vAlign w:val="bottom"/>
          </w:tcPr>
          <w:p w:rsidR="00000000" w:rsidRDefault="00000000">
            <w:pPr>
              <w:spacing w:before="60" w:after="60"/>
              <w:ind w:right="170"/>
              <w:jc w:val="right"/>
              <w:rPr>
                <w:sz w:val="18"/>
                <w:szCs w:val="20"/>
                <w:lang w:val="en-US"/>
              </w:rPr>
            </w:pPr>
            <w:r>
              <w:rPr>
                <w:sz w:val="18"/>
                <w:szCs w:val="20"/>
                <w:lang w:val="en-US"/>
              </w:rPr>
              <w:t>0.6</w:t>
            </w:r>
          </w:p>
        </w:tc>
        <w:tc>
          <w:tcPr>
            <w:tcW w:w="672" w:type="dxa"/>
            <w:noWrap/>
            <w:vAlign w:val="bottom"/>
          </w:tcPr>
          <w:p w:rsidR="00000000" w:rsidRDefault="00000000">
            <w:pPr>
              <w:spacing w:before="60" w:after="60"/>
              <w:ind w:right="170"/>
              <w:jc w:val="right"/>
              <w:rPr>
                <w:sz w:val="18"/>
                <w:szCs w:val="20"/>
                <w:lang w:val="en-US"/>
              </w:rPr>
            </w:pPr>
            <w:r>
              <w:rPr>
                <w:sz w:val="18"/>
                <w:szCs w:val="20"/>
                <w:lang w:val="en-US"/>
              </w:rPr>
              <w:t>0.2</w:t>
            </w:r>
          </w:p>
        </w:tc>
        <w:tc>
          <w:tcPr>
            <w:tcW w:w="724" w:type="dxa"/>
            <w:noWrap/>
            <w:vAlign w:val="bottom"/>
          </w:tcPr>
          <w:p w:rsidR="00000000" w:rsidRDefault="00000000">
            <w:pPr>
              <w:spacing w:before="60" w:after="60"/>
              <w:ind w:right="170"/>
              <w:jc w:val="right"/>
              <w:rPr>
                <w:sz w:val="18"/>
                <w:szCs w:val="20"/>
                <w:lang w:val="en-US"/>
              </w:rPr>
            </w:pPr>
            <w:r>
              <w:rPr>
                <w:sz w:val="18"/>
                <w:szCs w:val="20"/>
                <w:lang w:val="en-US"/>
              </w:rPr>
              <w:t>0.7</w:t>
            </w:r>
          </w:p>
        </w:tc>
        <w:tc>
          <w:tcPr>
            <w:tcW w:w="754" w:type="dxa"/>
            <w:noWrap/>
            <w:vAlign w:val="bottom"/>
          </w:tcPr>
          <w:p w:rsidR="00000000" w:rsidRDefault="00000000">
            <w:pPr>
              <w:spacing w:before="60" w:after="60"/>
              <w:ind w:right="170"/>
              <w:jc w:val="right"/>
              <w:rPr>
                <w:sz w:val="18"/>
                <w:szCs w:val="20"/>
                <w:lang w:val="en-US"/>
              </w:rPr>
            </w:pPr>
            <w:r>
              <w:rPr>
                <w:sz w:val="18"/>
                <w:szCs w:val="20"/>
                <w:lang w:val="en-US"/>
              </w:rPr>
              <w:t>1.0</w:t>
            </w:r>
          </w:p>
        </w:tc>
        <w:tc>
          <w:tcPr>
            <w:tcW w:w="753" w:type="dxa"/>
            <w:noWrap/>
            <w:vAlign w:val="bottom"/>
          </w:tcPr>
          <w:p w:rsidR="00000000" w:rsidRDefault="00000000">
            <w:pPr>
              <w:spacing w:before="60" w:after="60"/>
              <w:ind w:right="170"/>
              <w:jc w:val="right"/>
              <w:rPr>
                <w:sz w:val="18"/>
                <w:szCs w:val="20"/>
                <w:lang w:val="en-US"/>
              </w:rPr>
            </w:pPr>
            <w:r>
              <w:rPr>
                <w:sz w:val="18"/>
                <w:szCs w:val="20"/>
                <w:lang w:val="en-US"/>
              </w:rPr>
              <w:t>0.2</w:t>
            </w:r>
          </w:p>
        </w:tc>
        <w:tc>
          <w:tcPr>
            <w:tcW w:w="754" w:type="dxa"/>
            <w:noWrap/>
            <w:vAlign w:val="bottom"/>
          </w:tcPr>
          <w:p w:rsidR="00000000" w:rsidRDefault="00000000">
            <w:pPr>
              <w:spacing w:before="60" w:after="60"/>
              <w:ind w:right="170"/>
              <w:jc w:val="right"/>
              <w:rPr>
                <w:sz w:val="18"/>
                <w:szCs w:val="20"/>
                <w:lang w:val="en-US"/>
              </w:rPr>
            </w:pPr>
            <w:r>
              <w:rPr>
                <w:sz w:val="18"/>
                <w:szCs w:val="20"/>
                <w:lang w:val="en-US"/>
              </w:rPr>
              <w:t>0.4</w:t>
            </w:r>
          </w:p>
        </w:tc>
        <w:tc>
          <w:tcPr>
            <w:tcW w:w="669" w:type="dxa"/>
            <w:noWrap/>
            <w:vAlign w:val="bottom"/>
          </w:tcPr>
          <w:p w:rsidR="00000000" w:rsidRDefault="00000000">
            <w:pPr>
              <w:spacing w:before="60" w:after="60"/>
              <w:ind w:right="170"/>
              <w:jc w:val="right"/>
              <w:rPr>
                <w:sz w:val="18"/>
                <w:szCs w:val="20"/>
                <w:lang w:val="en-US"/>
              </w:rPr>
            </w:pPr>
            <w:r>
              <w:rPr>
                <w:sz w:val="18"/>
                <w:szCs w:val="20"/>
                <w:lang w:val="en-US"/>
              </w:rPr>
              <w:t>0.4</w:t>
            </w:r>
          </w:p>
        </w:tc>
        <w:tc>
          <w:tcPr>
            <w:tcW w:w="724" w:type="dxa"/>
            <w:gridSpan w:val="2"/>
            <w:noWrap/>
            <w:vAlign w:val="bottom"/>
          </w:tcPr>
          <w:p w:rsidR="00000000" w:rsidRDefault="00000000">
            <w:pPr>
              <w:spacing w:before="60" w:after="60"/>
              <w:ind w:right="170"/>
              <w:jc w:val="right"/>
              <w:rPr>
                <w:sz w:val="18"/>
                <w:szCs w:val="20"/>
                <w:lang w:val="en-US"/>
              </w:rPr>
            </w:pPr>
            <w:r>
              <w:rPr>
                <w:sz w:val="18"/>
                <w:szCs w:val="20"/>
                <w:lang w:val="en-US"/>
              </w:rPr>
              <w:t>0.4</w:t>
            </w:r>
          </w:p>
        </w:tc>
        <w:tc>
          <w:tcPr>
            <w:tcW w:w="669" w:type="dxa"/>
            <w:noWrap/>
            <w:vAlign w:val="bottom"/>
          </w:tcPr>
          <w:p w:rsidR="00000000" w:rsidRDefault="00000000">
            <w:pPr>
              <w:spacing w:before="60" w:after="60"/>
              <w:ind w:right="170"/>
              <w:jc w:val="right"/>
              <w:rPr>
                <w:sz w:val="18"/>
                <w:szCs w:val="20"/>
                <w:lang w:val="en-US"/>
              </w:rPr>
            </w:pPr>
            <w:r>
              <w:rPr>
                <w:sz w:val="18"/>
                <w:szCs w:val="20"/>
                <w:lang w:val="en-US"/>
              </w:rPr>
              <w:t>0.6</w:t>
            </w:r>
          </w:p>
        </w:tc>
        <w:tc>
          <w:tcPr>
            <w:tcW w:w="767" w:type="dxa"/>
            <w:noWrap/>
            <w:vAlign w:val="bottom"/>
          </w:tcPr>
          <w:p w:rsidR="00000000" w:rsidRDefault="00000000">
            <w:pPr>
              <w:spacing w:before="60" w:after="60"/>
              <w:ind w:right="170"/>
              <w:jc w:val="right"/>
              <w:rPr>
                <w:sz w:val="18"/>
                <w:szCs w:val="20"/>
                <w:lang w:val="en-US"/>
              </w:rPr>
            </w:pPr>
            <w:r>
              <w:rPr>
                <w:sz w:val="18"/>
                <w:szCs w:val="20"/>
                <w:lang w:val="en-US"/>
              </w:rPr>
              <w:t>0.2</w:t>
            </w:r>
          </w:p>
        </w:tc>
      </w:tr>
      <w:tr w:rsidR="00000000">
        <w:trPr>
          <w:trHeight w:val="255"/>
        </w:trPr>
        <w:tc>
          <w:tcPr>
            <w:tcW w:w="1550" w:type="dxa"/>
            <w:noWrap/>
            <w:vAlign w:val="bottom"/>
          </w:tcPr>
          <w:p w:rsidR="00000000" w:rsidRDefault="00000000">
            <w:pPr>
              <w:spacing w:before="60" w:after="60"/>
              <w:rPr>
                <w:sz w:val="18"/>
                <w:szCs w:val="20"/>
                <w:lang w:val="en-US"/>
              </w:rPr>
            </w:pPr>
            <w:r>
              <w:rPr>
                <w:sz w:val="20"/>
                <w:szCs w:val="20"/>
              </w:rPr>
              <w:t>Tenant or renter</w:t>
            </w:r>
          </w:p>
        </w:tc>
        <w:tc>
          <w:tcPr>
            <w:tcW w:w="724" w:type="dxa"/>
            <w:noWrap/>
            <w:vAlign w:val="bottom"/>
          </w:tcPr>
          <w:p w:rsidR="00000000" w:rsidRDefault="00000000">
            <w:pPr>
              <w:spacing w:before="60" w:after="60"/>
              <w:ind w:right="170"/>
              <w:jc w:val="right"/>
              <w:rPr>
                <w:sz w:val="18"/>
                <w:szCs w:val="20"/>
                <w:lang w:val="pt-BR"/>
              </w:rPr>
            </w:pPr>
            <w:r>
              <w:rPr>
                <w:sz w:val="18"/>
                <w:szCs w:val="20"/>
                <w:lang w:val="pt-BR"/>
              </w:rPr>
              <w:t>9.7</w:t>
            </w:r>
          </w:p>
        </w:tc>
        <w:tc>
          <w:tcPr>
            <w:tcW w:w="669" w:type="dxa"/>
            <w:noWrap/>
            <w:vAlign w:val="bottom"/>
          </w:tcPr>
          <w:p w:rsidR="00000000" w:rsidRDefault="00000000">
            <w:pPr>
              <w:spacing w:before="60" w:after="60"/>
              <w:ind w:right="170"/>
              <w:jc w:val="right"/>
              <w:rPr>
                <w:sz w:val="18"/>
                <w:szCs w:val="20"/>
                <w:lang w:val="pt-BR"/>
              </w:rPr>
            </w:pPr>
            <w:r>
              <w:rPr>
                <w:sz w:val="18"/>
                <w:szCs w:val="20"/>
                <w:lang w:val="pt-BR"/>
              </w:rPr>
              <w:t>16.9</w:t>
            </w:r>
          </w:p>
        </w:tc>
        <w:tc>
          <w:tcPr>
            <w:tcW w:w="672" w:type="dxa"/>
            <w:noWrap/>
            <w:vAlign w:val="bottom"/>
          </w:tcPr>
          <w:p w:rsidR="00000000" w:rsidRDefault="00000000">
            <w:pPr>
              <w:spacing w:before="60" w:after="60"/>
              <w:ind w:right="170"/>
              <w:jc w:val="right"/>
              <w:rPr>
                <w:sz w:val="18"/>
                <w:szCs w:val="20"/>
                <w:lang w:val="pt-BR"/>
              </w:rPr>
            </w:pPr>
            <w:r>
              <w:rPr>
                <w:sz w:val="18"/>
                <w:szCs w:val="20"/>
                <w:lang w:val="pt-BR"/>
              </w:rPr>
              <w:t>1.2</w:t>
            </w:r>
          </w:p>
        </w:tc>
        <w:tc>
          <w:tcPr>
            <w:tcW w:w="724" w:type="dxa"/>
            <w:noWrap/>
            <w:vAlign w:val="bottom"/>
          </w:tcPr>
          <w:p w:rsidR="00000000" w:rsidRDefault="00000000">
            <w:pPr>
              <w:spacing w:before="60" w:after="60"/>
              <w:ind w:right="170"/>
              <w:jc w:val="right"/>
              <w:rPr>
                <w:sz w:val="18"/>
                <w:szCs w:val="20"/>
                <w:lang w:val="pt-BR"/>
              </w:rPr>
            </w:pPr>
            <w:r>
              <w:rPr>
                <w:sz w:val="18"/>
                <w:szCs w:val="20"/>
                <w:lang w:val="pt-BR"/>
              </w:rPr>
              <w:t>8.8</w:t>
            </w:r>
          </w:p>
        </w:tc>
        <w:tc>
          <w:tcPr>
            <w:tcW w:w="754" w:type="dxa"/>
            <w:noWrap/>
            <w:vAlign w:val="bottom"/>
          </w:tcPr>
          <w:p w:rsidR="00000000" w:rsidRDefault="00000000">
            <w:pPr>
              <w:spacing w:before="60" w:after="60"/>
              <w:ind w:right="170"/>
              <w:jc w:val="right"/>
              <w:rPr>
                <w:sz w:val="18"/>
                <w:szCs w:val="20"/>
                <w:lang w:val="pt-BR"/>
              </w:rPr>
            </w:pPr>
            <w:r>
              <w:rPr>
                <w:sz w:val="18"/>
                <w:szCs w:val="20"/>
                <w:lang w:val="pt-BR"/>
              </w:rPr>
              <w:t>14.2</w:t>
            </w:r>
          </w:p>
        </w:tc>
        <w:tc>
          <w:tcPr>
            <w:tcW w:w="753" w:type="dxa"/>
            <w:noWrap/>
            <w:vAlign w:val="bottom"/>
          </w:tcPr>
          <w:p w:rsidR="00000000" w:rsidRDefault="00000000">
            <w:pPr>
              <w:spacing w:before="60" w:after="60"/>
              <w:ind w:right="170"/>
              <w:jc w:val="right"/>
              <w:rPr>
                <w:sz w:val="18"/>
                <w:szCs w:val="20"/>
                <w:lang w:val="pt-BR"/>
              </w:rPr>
            </w:pPr>
            <w:r>
              <w:rPr>
                <w:sz w:val="18"/>
                <w:szCs w:val="20"/>
                <w:lang w:val="pt-BR"/>
              </w:rPr>
              <w:t>1.7</w:t>
            </w:r>
          </w:p>
        </w:tc>
        <w:tc>
          <w:tcPr>
            <w:tcW w:w="754" w:type="dxa"/>
            <w:noWrap/>
            <w:vAlign w:val="bottom"/>
          </w:tcPr>
          <w:p w:rsidR="00000000" w:rsidRDefault="00000000">
            <w:pPr>
              <w:spacing w:before="60" w:after="60"/>
              <w:ind w:right="170"/>
              <w:jc w:val="right"/>
              <w:rPr>
                <w:sz w:val="18"/>
                <w:szCs w:val="20"/>
                <w:lang w:val="pt-BR"/>
              </w:rPr>
            </w:pPr>
            <w:r>
              <w:rPr>
                <w:sz w:val="18"/>
                <w:szCs w:val="20"/>
                <w:lang w:val="pt-BR"/>
              </w:rPr>
              <w:t>9.9</w:t>
            </w:r>
          </w:p>
        </w:tc>
        <w:tc>
          <w:tcPr>
            <w:tcW w:w="669" w:type="dxa"/>
            <w:noWrap/>
            <w:vAlign w:val="bottom"/>
          </w:tcPr>
          <w:p w:rsidR="00000000" w:rsidRDefault="00000000">
            <w:pPr>
              <w:spacing w:before="60" w:after="60"/>
              <w:ind w:right="170"/>
              <w:jc w:val="right"/>
              <w:rPr>
                <w:sz w:val="18"/>
                <w:szCs w:val="20"/>
                <w:lang w:val="pt-BR"/>
              </w:rPr>
            </w:pPr>
            <w:r>
              <w:rPr>
                <w:sz w:val="18"/>
                <w:szCs w:val="20"/>
                <w:lang w:val="pt-BR"/>
              </w:rPr>
              <w:t>15.9</w:t>
            </w:r>
          </w:p>
        </w:tc>
        <w:tc>
          <w:tcPr>
            <w:tcW w:w="724" w:type="dxa"/>
            <w:gridSpan w:val="2"/>
            <w:noWrap/>
            <w:vAlign w:val="bottom"/>
          </w:tcPr>
          <w:p w:rsidR="00000000" w:rsidRDefault="00000000">
            <w:pPr>
              <w:spacing w:before="60" w:after="60"/>
              <w:ind w:right="170"/>
              <w:jc w:val="right"/>
              <w:rPr>
                <w:sz w:val="18"/>
                <w:szCs w:val="20"/>
                <w:lang w:val="pt-BR"/>
              </w:rPr>
            </w:pPr>
            <w:r>
              <w:rPr>
                <w:sz w:val="18"/>
                <w:szCs w:val="20"/>
                <w:lang w:val="pt-BR"/>
              </w:rPr>
              <w:t>10.1</w:t>
            </w:r>
          </w:p>
        </w:tc>
        <w:tc>
          <w:tcPr>
            <w:tcW w:w="669" w:type="dxa"/>
            <w:noWrap/>
            <w:vAlign w:val="bottom"/>
          </w:tcPr>
          <w:p w:rsidR="00000000" w:rsidRDefault="00000000">
            <w:pPr>
              <w:spacing w:before="60" w:after="60"/>
              <w:ind w:right="170"/>
              <w:jc w:val="right"/>
              <w:rPr>
                <w:sz w:val="18"/>
                <w:szCs w:val="20"/>
                <w:lang w:val="pt-BR"/>
              </w:rPr>
            </w:pPr>
            <w:r>
              <w:rPr>
                <w:sz w:val="18"/>
                <w:szCs w:val="20"/>
                <w:lang w:val="pt-BR"/>
              </w:rPr>
              <w:t>15.6</w:t>
            </w:r>
          </w:p>
        </w:tc>
        <w:tc>
          <w:tcPr>
            <w:tcW w:w="767" w:type="dxa"/>
            <w:noWrap/>
            <w:vAlign w:val="bottom"/>
          </w:tcPr>
          <w:p w:rsidR="00000000" w:rsidRDefault="00000000">
            <w:pPr>
              <w:spacing w:before="60" w:after="60"/>
              <w:ind w:right="170"/>
              <w:jc w:val="right"/>
              <w:rPr>
                <w:sz w:val="18"/>
                <w:szCs w:val="20"/>
                <w:lang w:val="pt-BR"/>
              </w:rPr>
            </w:pPr>
            <w:r>
              <w:rPr>
                <w:sz w:val="18"/>
                <w:szCs w:val="20"/>
                <w:lang w:val="pt-BR"/>
              </w:rPr>
              <w:t>1.6</w:t>
            </w:r>
          </w:p>
        </w:tc>
      </w:tr>
      <w:tr w:rsidR="00000000">
        <w:trPr>
          <w:trHeight w:val="255"/>
        </w:trPr>
        <w:tc>
          <w:tcPr>
            <w:tcW w:w="1550" w:type="dxa"/>
            <w:noWrap/>
            <w:vAlign w:val="bottom"/>
          </w:tcPr>
          <w:p w:rsidR="00000000" w:rsidRDefault="00000000">
            <w:pPr>
              <w:spacing w:before="60" w:after="60"/>
              <w:rPr>
                <w:sz w:val="18"/>
                <w:szCs w:val="20"/>
                <w:lang w:val="pt-BR"/>
              </w:rPr>
            </w:pPr>
            <w:r>
              <w:rPr>
                <w:sz w:val="20"/>
                <w:szCs w:val="20"/>
                <w:lang w:val="pt-BR"/>
              </w:rPr>
              <w:t>De facto occupant</w:t>
            </w:r>
          </w:p>
        </w:tc>
        <w:tc>
          <w:tcPr>
            <w:tcW w:w="724" w:type="dxa"/>
            <w:noWrap/>
            <w:vAlign w:val="bottom"/>
          </w:tcPr>
          <w:p w:rsidR="00000000" w:rsidRDefault="00000000">
            <w:pPr>
              <w:spacing w:before="60" w:after="60"/>
              <w:ind w:right="170"/>
              <w:jc w:val="right"/>
              <w:rPr>
                <w:sz w:val="18"/>
                <w:szCs w:val="20"/>
                <w:lang w:val="en-US"/>
              </w:rPr>
            </w:pPr>
            <w:r>
              <w:rPr>
                <w:sz w:val="18"/>
                <w:szCs w:val="20"/>
                <w:lang w:val="en-US"/>
              </w:rPr>
              <w:t>1.4</w:t>
            </w:r>
          </w:p>
        </w:tc>
        <w:tc>
          <w:tcPr>
            <w:tcW w:w="669" w:type="dxa"/>
            <w:noWrap/>
            <w:vAlign w:val="bottom"/>
          </w:tcPr>
          <w:p w:rsidR="00000000" w:rsidRDefault="00000000">
            <w:pPr>
              <w:spacing w:before="60" w:after="60"/>
              <w:ind w:right="170"/>
              <w:jc w:val="right"/>
              <w:rPr>
                <w:sz w:val="18"/>
                <w:szCs w:val="20"/>
                <w:lang w:val="en-US"/>
              </w:rPr>
            </w:pPr>
            <w:r>
              <w:rPr>
                <w:sz w:val="18"/>
                <w:szCs w:val="20"/>
                <w:lang w:val="en-US"/>
              </w:rPr>
              <w:t>2.2</w:t>
            </w:r>
          </w:p>
        </w:tc>
        <w:tc>
          <w:tcPr>
            <w:tcW w:w="672" w:type="dxa"/>
            <w:noWrap/>
            <w:vAlign w:val="bottom"/>
          </w:tcPr>
          <w:p w:rsidR="00000000" w:rsidRDefault="00000000">
            <w:pPr>
              <w:spacing w:before="60" w:after="60"/>
              <w:ind w:right="170"/>
              <w:jc w:val="right"/>
              <w:rPr>
                <w:sz w:val="18"/>
                <w:szCs w:val="20"/>
                <w:lang w:val="en-US"/>
              </w:rPr>
            </w:pPr>
            <w:r>
              <w:rPr>
                <w:sz w:val="18"/>
                <w:szCs w:val="20"/>
                <w:lang w:val="en-US"/>
              </w:rPr>
              <w:t>0.4</w:t>
            </w:r>
          </w:p>
        </w:tc>
        <w:tc>
          <w:tcPr>
            <w:tcW w:w="724" w:type="dxa"/>
            <w:noWrap/>
            <w:vAlign w:val="bottom"/>
          </w:tcPr>
          <w:p w:rsidR="00000000" w:rsidRDefault="00000000">
            <w:pPr>
              <w:spacing w:before="60" w:after="60"/>
              <w:ind w:right="170"/>
              <w:jc w:val="right"/>
              <w:rPr>
                <w:sz w:val="18"/>
                <w:szCs w:val="20"/>
                <w:lang w:val="en-US"/>
              </w:rPr>
            </w:pPr>
            <w:r>
              <w:rPr>
                <w:sz w:val="18"/>
                <w:szCs w:val="20"/>
                <w:lang w:val="en-US"/>
              </w:rPr>
              <w:t>0.4</w:t>
            </w:r>
          </w:p>
        </w:tc>
        <w:tc>
          <w:tcPr>
            <w:tcW w:w="754" w:type="dxa"/>
            <w:noWrap/>
            <w:vAlign w:val="bottom"/>
          </w:tcPr>
          <w:p w:rsidR="00000000" w:rsidRDefault="00000000">
            <w:pPr>
              <w:spacing w:before="60" w:after="60"/>
              <w:ind w:right="170"/>
              <w:jc w:val="right"/>
              <w:rPr>
                <w:sz w:val="18"/>
                <w:szCs w:val="20"/>
                <w:lang w:val="en-US"/>
              </w:rPr>
            </w:pPr>
            <w:r>
              <w:rPr>
                <w:sz w:val="18"/>
                <w:szCs w:val="20"/>
                <w:lang w:val="en-US"/>
              </w:rPr>
              <w:t>0.4</w:t>
            </w:r>
          </w:p>
        </w:tc>
        <w:tc>
          <w:tcPr>
            <w:tcW w:w="753" w:type="dxa"/>
            <w:noWrap/>
            <w:vAlign w:val="bottom"/>
          </w:tcPr>
          <w:p w:rsidR="00000000" w:rsidRDefault="00000000">
            <w:pPr>
              <w:spacing w:before="60" w:after="60"/>
              <w:ind w:right="170"/>
              <w:jc w:val="right"/>
              <w:rPr>
                <w:sz w:val="18"/>
                <w:szCs w:val="20"/>
                <w:lang w:val="en-US"/>
              </w:rPr>
            </w:pPr>
            <w:r>
              <w:rPr>
                <w:sz w:val="18"/>
                <w:szCs w:val="20"/>
                <w:lang w:val="en-US"/>
              </w:rPr>
              <w:t>0.2</w:t>
            </w:r>
          </w:p>
        </w:tc>
        <w:tc>
          <w:tcPr>
            <w:tcW w:w="754" w:type="dxa"/>
            <w:noWrap/>
            <w:vAlign w:val="bottom"/>
          </w:tcPr>
          <w:p w:rsidR="00000000" w:rsidRDefault="00000000">
            <w:pPr>
              <w:spacing w:before="60" w:after="60"/>
              <w:ind w:right="170"/>
              <w:jc w:val="right"/>
              <w:rPr>
                <w:sz w:val="18"/>
                <w:szCs w:val="20"/>
                <w:lang w:val="en-US"/>
              </w:rPr>
            </w:pPr>
            <w:r>
              <w:rPr>
                <w:sz w:val="18"/>
                <w:szCs w:val="20"/>
                <w:lang w:val="en-US"/>
              </w:rPr>
              <w:t>0.7</w:t>
            </w:r>
          </w:p>
        </w:tc>
        <w:tc>
          <w:tcPr>
            <w:tcW w:w="669" w:type="dxa"/>
            <w:noWrap/>
            <w:vAlign w:val="bottom"/>
          </w:tcPr>
          <w:p w:rsidR="00000000" w:rsidRDefault="00000000">
            <w:pPr>
              <w:spacing w:before="60" w:after="60"/>
              <w:ind w:right="170"/>
              <w:jc w:val="right"/>
              <w:rPr>
                <w:sz w:val="18"/>
                <w:szCs w:val="20"/>
                <w:lang w:val="en-US"/>
              </w:rPr>
            </w:pPr>
            <w:r>
              <w:rPr>
                <w:sz w:val="18"/>
                <w:szCs w:val="20"/>
                <w:lang w:val="en-US"/>
              </w:rPr>
              <w:t>0.6</w:t>
            </w:r>
          </w:p>
        </w:tc>
        <w:tc>
          <w:tcPr>
            <w:tcW w:w="724" w:type="dxa"/>
            <w:gridSpan w:val="2"/>
            <w:noWrap/>
            <w:vAlign w:val="bottom"/>
          </w:tcPr>
          <w:p w:rsidR="00000000" w:rsidRDefault="00000000">
            <w:pPr>
              <w:spacing w:before="60" w:after="60"/>
              <w:ind w:right="170"/>
              <w:jc w:val="right"/>
              <w:rPr>
                <w:sz w:val="18"/>
                <w:szCs w:val="20"/>
                <w:lang w:val="en-US"/>
              </w:rPr>
            </w:pPr>
            <w:r>
              <w:rPr>
                <w:sz w:val="18"/>
                <w:szCs w:val="20"/>
                <w:lang w:val="en-US"/>
              </w:rPr>
              <w:t>0.3</w:t>
            </w:r>
          </w:p>
        </w:tc>
        <w:tc>
          <w:tcPr>
            <w:tcW w:w="669" w:type="dxa"/>
            <w:noWrap/>
            <w:vAlign w:val="bottom"/>
          </w:tcPr>
          <w:p w:rsidR="00000000" w:rsidRDefault="00000000">
            <w:pPr>
              <w:spacing w:before="60" w:after="60"/>
              <w:ind w:right="170"/>
              <w:jc w:val="right"/>
              <w:rPr>
                <w:sz w:val="18"/>
                <w:szCs w:val="20"/>
                <w:lang w:val="en-US"/>
              </w:rPr>
            </w:pPr>
            <w:r>
              <w:rPr>
                <w:sz w:val="18"/>
                <w:szCs w:val="20"/>
                <w:lang w:val="en-US"/>
              </w:rPr>
              <w:t>0.1</w:t>
            </w:r>
          </w:p>
        </w:tc>
        <w:tc>
          <w:tcPr>
            <w:tcW w:w="767" w:type="dxa"/>
            <w:noWrap/>
            <w:vAlign w:val="bottom"/>
          </w:tcPr>
          <w:p w:rsidR="00000000" w:rsidRDefault="00000000">
            <w:pPr>
              <w:spacing w:before="60" w:after="60"/>
              <w:ind w:right="170"/>
              <w:jc w:val="right"/>
              <w:rPr>
                <w:sz w:val="18"/>
                <w:szCs w:val="20"/>
                <w:lang w:val="en-US"/>
              </w:rPr>
            </w:pPr>
            <w:r>
              <w:rPr>
                <w:sz w:val="18"/>
                <w:szCs w:val="20"/>
                <w:lang w:val="en-US"/>
              </w:rPr>
              <w:t>0.7</w:t>
            </w:r>
          </w:p>
        </w:tc>
      </w:tr>
      <w:tr w:rsidR="00000000">
        <w:trPr>
          <w:trHeight w:val="255"/>
        </w:trPr>
        <w:tc>
          <w:tcPr>
            <w:tcW w:w="1550" w:type="dxa"/>
            <w:noWrap/>
            <w:vAlign w:val="bottom"/>
          </w:tcPr>
          <w:p w:rsidR="00000000" w:rsidRDefault="00000000">
            <w:pPr>
              <w:spacing w:before="60" w:after="60"/>
              <w:rPr>
                <w:sz w:val="18"/>
                <w:szCs w:val="20"/>
                <w:lang w:val="en-US"/>
              </w:rPr>
            </w:pPr>
            <w:r>
              <w:rPr>
                <w:sz w:val="20"/>
                <w:szCs w:val="20"/>
              </w:rPr>
              <w:t>Ceded</w:t>
            </w:r>
          </w:p>
        </w:tc>
        <w:tc>
          <w:tcPr>
            <w:tcW w:w="724" w:type="dxa"/>
            <w:noWrap/>
            <w:vAlign w:val="bottom"/>
          </w:tcPr>
          <w:p w:rsidR="00000000" w:rsidRDefault="00000000">
            <w:pPr>
              <w:spacing w:before="60" w:after="60"/>
              <w:ind w:right="170"/>
              <w:jc w:val="right"/>
              <w:rPr>
                <w:sz w:val="18"/>
                <w:szCs w:val="20"/>
                <w:lang w:val="en-US"/>
              </w:rPr>
            </w:pPr>
            <w:r>
              <w:rPr>
                <w:sz w:val="18"/>
                <w:szCs w:val="20"/>
                <w:lang w:val="en-US"/>
              </w:rPr>
              <w:t>8.3</w:t>
            </w:r>
          </w:p>
        </w:tc>
        <w:tc>
          <w:tcPr>
            <w:tcW w:w="669" w:type="dxa"/>
            <w:noWrap/>
            <w:vAlign w:val="bottom"/>
          </w:tcPr>
          <w:p w:rsidR="00000000" w:rsidRDefault="00000000">
            <w:pPr>
              <w:spacing w:before="60" w:after="60"/>
              <w:ind w:right="170"/>
              <w:jc w:val="right"/>
              <w:rPr>
                <w:sz w:val="18"/>
                <w:szCs w:val="20"/>
                <w:lang w:val="en-US"/>
              </w:rPr>
            </w:pPr>
            <w:r>
              <w:rPr>
                <w:sz w:val="18"/>
                <w:szCs w:val="20"/>
                <w:lang w:val="en-US"/>
              </w:rPr>
              <w:t>7.6</w:t>
            </w:r>
          </w:p>
        </w:tc>
        <w:tc>
          <w:tcPr>
            <w:tcW w:w="672" w:type="dxa"/>
            <w:noWrap/>
            <w:vAlign w:val="bottom"/>
          </w:tcPr>
          <w:p w:rsidR="00000000" w:rsidRDefault="00000000">
            <w:pPr>
              <w:spacing w:before="60" w:after="60"/>
              <w:ind w:right="170"/>
              <w:jc w:val="right"/>
              <w:rPr>
                <w:sz w:val="18"/>
                <w:szCs w:val="20"/>
                <w:lang w:val="en-US"/>
              </w:rPr>
            </w:pPr>
            <w:r>
              <w:rPr>
                <w:sz w:val="18"/>
                <w:szCs w:val="20"/>
                <w:lang w:val="en-US"/>
              </w:rPr>
              <w:t>9.0</w:t>
            </w:r>
          </w:p>
        </w:tc>
        <w:tc>
          <w:tcPr>
            <w:tcW w:w="724" w:type="dxa"/>
            <w:noWrap/>
            <w:vAlign w:val="bottom"/>
          </w:tcPr>
          <w:p w:rsidR="00000000" w:rsidRDefault="00000000">
            <w:pPr>
              <w:spacing w:before="60" w:after="60"/>
              <w:ind w:right="170"/>
              <w:jc w:val="right"/>
              <w:rPr>
                <w:sz w:val="18"/>
                <w:szCs w:val="20"/>
                <w:lang w:val="en-US"/>
              </w:rPr>
            </w:pPr>
            <w:r>
              <w:rPr>
                <w:sz w:val="18"/>
                <w:szCs w:val="20"/>
                <w:lang w:val="en-US"/>
              </w:rPr>
              <w:t>9.6</w:t>
            </w:r>
          </w:p>
        </w:tc>
        <w:tc>
          <w:tcPr>
            <w:tcW w:w="754" w:type="dxa"/>
            <w:noWrap/>
            <w:vAlign w:val="bottom"/>
          </w:tcPr>
          <w:p w:rsidR="00000000" w:rsidRDefault="00000000">
            <w:pPr>
              <w:spacing w:before="60" w:after="60"/>
              <w:ind w:right="170"/>
              <w:jc w:val="right"/>
              <w:rPr>
                <w:sz w:val="18"/>
                <w:szCs w:val="20"/>
                <w:lang w:val="en-US"/>
              </w:rPr>
            </w:pPr>
            <w:r>
              <w:rPr>
                <w:sz w:val="18"/>
                <w:szCs w:val="20"/>
                <w:lang w:val="en-US"/>
              </w:rPr>
              <w:t>9.3</w:t>
            </w:r>
          </w:p>
        </w:tc>
        <w:tc>
          <w:tcPr>
            <w:tcW w:w="753" w:type="dxa"/>
            <w:noWrap/>
            <w:vAlign w:val="bottom"/>
          </w:tcPr>
          <w:p w:rsidR="00000000" w:rsidRDefault="00000000">
            <w:pPr>
              <w:spacing w:before="60" w:after="60"/>
              <w:ind w:right="170"/>
              <w:jc w:val="right"/>
              <w:rPr>
                <w:sz w:val="18"/>
                <w:szCs w:val="20"/>
                <w:lang w:val="en-US"/>
              </w:rPr>
            </w:pPr>
            <w:r>
              <w:rPr>
                <w:sz w:val="18"/>
                <w:szCs w:val="20"/>
                <w:lang w:val="en-US"/>
              </w:rPr>
              <w:t>10.1</w:t>
            </w:r>
          </w:p>
        </w:tc>
        <w:tc>
          <w:tcPr>
            <w:tcW w:w="754" w:type="dxa"/>
            <w:noWrap/>
            <w:vAlign w:val="bottom"/>
          </w:tcPr>
          <w:p w:rsidR="00000000" w:rsidRDefault="00000000">
            <w:pPr>
              <w:spacing w:before="60" w:after="60"/>
              <w:ind w:right="170"/>
              <w:jc w:val="right"/>
              <w:rPr>
                <w:sz w:val="18"/>
                <w:szCs w:val="20"/>
                <w:lang w:val="en-US"/>
              </w:rPr>
            </w:pPr>
            <w:r>
              <w:rPr>
                <w:sz w:val="18"/>
                <w:szCs w:val="20"/>
                <w:lang w:val="en-US"/>
              </w:rPr>
              <w:t>12.6</w:t>
            </w:r>
          </w:p>
        </w:tc>
        <w:tc>
          <w:tcPr>
            <w:tcW w:w="669" w:type="dxa"/>
            <w:noWrap/>
            <w:vAlign w:val="bottom"/>
          </w:tcPr>
          <w:p w:rsidR="00000000" w:rsidRDefault="00000000">
            <w:pPr>
              <w:spacing w:before="60" w:after="60"/>
              <w:ind w:right="170"/>
              <w:jc w:val="right"/>
              <w:rPr>
                <w:sz w:val="18"/>
                <w:szCs w:val="20"/>
                <w:lang w:val="en-US"/>
              </w:rPr>
            </w:pPr>
            <w:r>
              <w:rPr>
                <w:sz w:val="18"/>
                <w:szCs w:val="20"/>
                <w:lang w:val="en-US"/>
              </w:rPr>
              <w:t>12.3</w:t>
            </w:r>
          </w:p>
        </w:tc>
        <w:tc>
          <w:tcPr>
            <w:tcW w:w="724" w:type="dxa"/>
            <w:gridSpan w:val="2"/>
            <w:noWrap/>
            <w:vAlign w:val="bottom"/>
          </w:tcPr>
          <w:p w:rsidR="00000000" w:rsidRDefault="00000000">
            <w:pPr>
              <w:spacing w:before="60" w:after="60"/>
              <w:ind w:right="170"/>
              <w:jc w:val="right"/>
              <w:rPr>
                <w:sz w:val="18"/>
                <w:szCs w:val="20"/>
                <w:lang w:val="en-US"/>
              </w:rPr>
            </w:pPr>
            <w:r>
              <w:rPr>
                <w:sz w:val="18"/>
                <w:szCs w:val="20"/>
                <w:lang w:val="en-US"/>
              </w:rPr>
              <w:t>11.4</w:t>
            </w:r>
          </w:p>
        </w:tc>
        <w:tc>
          <w:tcPr>
            <w:tcW w:w="669" w:type="dxa"/>
            <w:noWrap/>
            <w:vAlign w:val="bottom"/>
          </w:tcPr>
          <w:p w:rsidR="00000000" w:rsidRDefault="00000000">
            <w:pPr>
              <w:spacing w:before="60" w:after="60"/>
              <w:ind w:right="170"/>
              <w:jc w:val="right"/>
              <w:rPr>
                <w:sz w:val="18"/>
                <w:szCs w:val="20"/>
                <w:lang w:val="en-US"/>
              </w:rPr>
            </w:pPr>
            <w:r>
              <w:rPr>
                <w:sz w:val="18"/>
                <w:szCs w:val="20"/>
                <w:lang w:val="en-US"/>
              </w:rPr>
              <w:t>9.9</w:t>
            </w:r>
          </w:p>
        </w:tc>
        <w:tc>
          <w:tcPr>
            <w:tcW w:w="767" w:type="dxa"/>
            <w:noWrap/>
            <w:vAlign w:val="bottom"/>
          </w:tcPr>
          <w:p w:rsidR="00000000" w:rsidRDefault="00000000">
            <w:pPr>
              <w:spacing w:before="60" w:after="60"/>
              <w:ind w:right="170"/>
              <w:jc w:val="right"/>
              <w:rPr>
                <w:sz w:val="18"/>
                <w:szCs w:val="20"/>
                <w:lang w:val="en-US"/>
              </w:rPr>
            </w:pPr>
            <w:r>
              <w:rPr>
                <w:sz w:val="18"/>
                <w:szCs w:val="20"/>
                <w:lang w:val="en-US"/>
              </w:rPr>
              <w:t>13.7</w:t>
            </w:r>
          </w:p>
        </w:tc>
      </w:tr>
      <w:tr w:rsidR="00000000">
        <w:trPr>
          <w:trHeight w:val="270"/>
        </w:trPr>
        <w:tc>
          <w:tcPr>
            <w:tcW w:w="1550" w:type="dxa"/>
            <w:noWrap/>
            <w:vAlign w:val="bottom"/>
          </w:tcPr>
          <w:p w:rsidR="00000000" w:rsidRDefault="00000000">
            <w:pPr>
              <w:spacing w:before="60" w:after="60"/>
              <w:rPr>
                <w:sz w:val="18"/>
                <w:szCs w:val="20"/>
                <w:lang w:val="en-US"/>
              </w:rPr>
            </w:pPr>
            <w:r>
              <w:rPr>
                <w:sz w:val="20"/>
                <w:szCs w:val="20"/>
              </w:rPr>
              <w:t>Other</w:t>
            </w:r>
          </w:p>
        </w:tc>
        <w:tc>
          <w:tcPr>
            <w:tcW w:w="724" w:type="dxa"/>
            <w:noWrap/>
            <w:vAlign w:val="bottom"/>
          </w:tcPr>
          <w:p w:rsidR="00000000" w:rsidRDefault="00000000">
            <w:pPr>
              <w:spacing w:before="60" w:after="60"/>
              <w:ind w:right="170"/>
              <w:jc w:val="right"/>
              <w:rPr>
                <w:sz w:val="18"/>
                <w:szCs w:val="20"/>
                <w:lang w:val="en-US"/>
              </w:rPr>
            </w:pPr>
            <w:r>
              <w:rPr>
                <w:sz w:val="18"/>
                <w:szCs w:val="20"/>
                <w:lang w:val="en-US"/>
              </w:rPr>
              <w:t>3.5</w:t>
            </w:r>
          </w:p>
        </w:tc>
        <w:tc>
          <w:tcPr>
            <w:tcW w:w="669" w:type="dxa"/>
            <w:noWrap/>
            <w:vAlign w:val="bottom"/>
          </w:tcPr>
          <w:p w:rsidR="00000000" w:rsidRDefault="00000000">
            <w:pPr>
              <w:spacing w:before="60" w:after="60"/>
              <w:ind w:right="170"/>
              <w:jc w:val="right"/>
              <w:rPr>
                <w:sz w:val="18"/>
                <w:szCs w:val="20"/>
                <w:lang w:val="en-US"/>
              </w:rPr>
            </w:pPr>
            <w:r>
              <w:rPr>
                <w:sz w:val="18"/>
                <w:szCs w:val="20"/>
                <w:lang w:val="en-US"/>
              </w:rPr>
              <w:t>2.5</w:t>
            </w:r>
          </w:p>
        </w:tc>
        <w:tc>
          <w:tcPr>
            <w:tcW w:w="672" w:type="dxa"/>
            <w:noWrap/>
            <w:vAlign w:val="bottom"/>
          </w:tcPr>
          <w:p w:rsidR="00000000" w:rsidRDefault="00000000">
            <w:pPr>
              <w:spacing w:before="60" w:after="60"/>
              <w:ind w:right="170"/>
              <w:jc w:val="right"/>
              <w:rPr>
                <w:sz w:val="18"/>
                <w:szCs w:val="20"/>
                <w:lang w:val="en-US"/>
              </w:rPr>
            </w:pPr>
            <w:r>
              <w:rPr>
                <w:sz w:val="18"/>
                <w:szCs w:val="20"/>
                <w:lang w:val="en-US"/>
              </w:rPr>
              <w:t>4.7</w:t>
            </w:r>
          </w:p>
        </w:tc>
        <w:tc>
          <w:tcPr>
            <w:tcW w:w="724" w:type="dxa"/>
            <w:noWrap/>
            <w:vAlign w:val="bottom"/>
          </w:tcPr>
          <w:p w:rsidR="00000000" w:rsidRDefault="00000000">
            <w:pPr>
              <w:spacing w:before="60" w:after="60"/>
              <w:ind w:right="170"/>
              <w:jc w:val="right"/>
              <w:rPr>
                <w:sz w:val="18"/>
                <w:szCs w:val="20"/>
                <w:lang w:val="en-US"/>
              </w:rPr>
            </w:pPr>
            <w:r>
              <w:rPr>
                <w:sz w:val="18"/>
                <w:szCs w:val="20"/>
                <w:lang w:val="en-US"/>
              </w:rPr>
              <w:t>-</w:t>
            </w:r>
          </w:p>
        </w:tc>
        <w:tc>
          <w:tcPr>
            <w:tcW w:w="754" w:type="dxa"/>
            <w:noWrap/>
            <w:vAlign w:val="bottom"/>
          </w:tcPr>
          <w:p w:rsidR="00000000" w:rsidRDefault="00000000">
            <w:pPr>
              <w:spacing w:before="60" w:after="60"/>
              <w:ind w:right="170"/>
              <w:jc w:val="right"/>
              <w:rPr>
                <w:sz w:val="18"/>
                <w:szCs w:val="20"/>
                <w:lang w:val="en-US"/>
              </w:rPr>
            </w:pPr>
            <w:r>
              <w:rPr>
                <w:sz w:val="18"/>
                <w:szCs w:val="20"/>
                <w:lang w:val="en-US"/>
              </w:rPr>
              <w:t>-</w:t>
            </w:r>
          </w:p>
        </w:tc>
        <w:tc>
          <w:tcPr>
            <w:tcW w:w="753" w:type="dxa"/>
            <w:noWrap/>
            <w:vAlign w:val="bottom"/>
          </w:tcPr>
          <w:p w:rsidR="00000000" w:rsidRDefault="00000000">
            <w:pPr>
              <w:spacing w:before="60" w:after="60"/>
              <w:ind w:right="170"/>
              <w:jc w:val="right"/>
              <w:rPr>
                <w:sz w:val="18"/>
                <w:szCs w:val="20"/>
                <w:lang w:val="en-US"/>
              </w:rPr>
            </w:pPr>
            <w:r>
              <w:rPr>
                <w:sz w:val="18"/>
                <w:szCs w:val="20"/>
                <w:lang w:val="en-US"/>
              </w:rPr>
              <w:t>-</w:t>
            </w:r>
          </w:p>
        </w:tc>
        <w:tc>
          <w:tcPr>
            <w:tcW w:w="754" w:type="dxa"/>
            <w:noWrap/>
            <w:vAlign w:val="bottom"/>
          </w:tcPr>
          <w:p w:rsidR="00000000" w:rsidRDefault="00000000">
            <w:pPr>
              <w:spacing w:before="60" w:after="60"/>
              <w:ind w:right="170"/>
              <w:jc w:val="right"/>
              <w:rPr>
                <w:sz w:val="18"/>
                <w:szCs w:val="20"/>
                <w:lang w:val="en-US"/>
              </w:rPr>
            </w:pPr>
            <w:r>
              <w:rPr>
                <w:sz w:val="18"/>
                <w:szCs w:val="20"/>
                <w:lang w:val="en-US"/>
              </w:rPr>
              <w:t>-</w:t>
            </w:r>
          </w:p>
        </w:tc>
        <w:tc>
          <w:tcPr>
            <w:tcW w:w="669" w:type="dxa"/>
            <w:noWrap/>
            <w:vAlign w:val="bottom"/>
          </w:tcPr>
          <w:p w:rsidR="00000000" w:rsidRDefault="00000000">
            <w:pPr>
              <w:spacing w:before="60" w:after="60"/>
              <w:ind w:right="170"/>
              <w:jc w:val="right"/>
              <w:rPr>
                <w:sz w:val="18"/>
                <w:szCs w:val="20"/>
                <w:lang w:val="en-US"/>
              </w:rPr>
            </w:pPr>
            <w:r>
              <w:rPr>
                <w:sz w:val="18"/>
                <w:szCs w:val="20"/>
                <w:lang w:val="en-US"/>
              </w:rPr>
              <w:t>-</w:t>
            </w:r>
          </w:p>
        </w:tc>
        <w:tc>
          <w:tcPr>
            <w:tcW w:w="724" w:type="dxa"/>
            <w:gridSpan w:val="2"/>
            <w:noWrap/>
            <w:vAlign w:val="bottom"/>
          </w:tcPr>
          <w:p w:rsidR="00000000" w:rsidRDefault="00000000">
            <w:pPr>
              <w:spacing w:before="60" w:after="60"/>
              <w:ind w:right="170"/>
              <w:jc w:val="right"/>
              <w:rPr>
                <w:sz w:val="18"/>
                <w:szCs w:val="20"/>
                <w:lang w:val="en-US"/>
              </w:rPr>
            </w:pPr>
            <w:r>
              <w:rPr>
                <w:sz w:val="18"/>
                <w:szCs w:val="20"/>
                <w:lang w:val="en-US"/>
              </w:rPr>
              <w:t>-</w:t>
            </w:r>
          </w:p>
        </w:tc>
        <w:tc>
          <w:tcPr>
            <w:tcW w:w="669" w:type="dxa"/>
            <w:noWrap/>
            <w:vAlign w:val="bottom"/>
          </w:tcPr>
          <w:p w:rsidR="00000000" w:rsidRDefault="00000000">
            <w:pPr>
              <w:spacing w:before="60" w:after="60"/>
              <w:ind w:right="170"/>
              <w:jc w:val="right"/>
              <w:rPr>
                <w:sz w:val="18"/>
                <w:szCs w:val="20"/>
                <w:lang w:val="en-US"/>
              </w:rPr>
            </w:pPr>
            <w:r>
              <w:rPr>
                <w:sz w:val="18"/>
                <w:szCs w:val="20"/>
                <w:lang w:val="en-US"/>
              </w:rPr>
              <w:t>-</w:t>
            </w:r>
          </w:p>
        </w:tc>
        <w:tc>
          <w:tcPr>
            <w:tcW w:w="767" w:type="dxa"/>
            <w:noWrap/>
            <w:vAlign w:val="bottom"/>
          </w:tcPr>
          <w:p w:rsidR="00000000" w:rsidRDefault="00000000">
            <w:pPr>
              <w:spacing w:before="60" w:after="60"/>
              <w:ind w:right="170"/>
              <w:jc w:val="right"/>
              <w:rPr>
                <w:sz w:val="18"/>
                <w:szCs w:val="20"/>
                <w:lang w:val="en-US"/>
              </w:rPr>
            </w:pPr>
            <w:r>
              <w:rPr>
                <w:sz w:val="18"/>
                <w:szCs w:val="20"/>
                <w:lang w:val="en-US"/>
              </w:rPr>
              <w:t>-</w:t>
            </w:r>
          </w:p>
        </w:tc>
      </w:tr>
      <w:tr w:rsidR="00000000">
        <w:trPr>
          <w:trHeight w:val="270"/>
        </w:trPr>
        <w:tc>
          <w:tcPr>
            <w:tcW w:w="1550" w:type="dxa"/>
            <w:tcBorders>
              <w:bottom w:val="single" w:sz="4" w:space="0" w:color="auto"/>
            </w:tcBorders>
            <w:noWrap/>
            <w:vAlign w:val="bottom"/>
          </w:tcPr>
          <w:p w:rsidR="00000000" w:rsidRDefault="00000000">
            <w:pPr>
              <w:spacing w:before="60" w:after="60"/>
              <w:rPr>
                <w:b/>
                <w:bCs/>
                <w:sz w:val="16"/>
                <w:szCs w:val="20"/>
                <w:lang w:val="en-US"/>
              </w:rPr>
            </w:pPr>
            <w:r>
              <w:rPr>
                <w:b/>
                <w:bCs/>
                <w:sz w:val="16"/>
                <w:szCs w:val="20"/>
                <w:lang w:val="en-US"/>
              </w:rPr>
              <w:tab/>
              <w:t>Total</w:t>
            </w:r>
          </w:p>
        </w:tc>
        <w:tc>
          <w:tcPr>
            <w:tcW w:w="724" w:type="dxa"/>
            <w:tcBorders>
              <w:bottom w:val="single" w:sz="4" w:space="0" w:color="auto"/>
            </w:tcBorders>
            <w:noWrap/>
            <w:vAlign w:val="bottom"/>
          </w:tcPr>
          <w:p w:rsidR="00000000" w:rsidRDefault="00000000">
            <w:pPr>
              <w:spacing w:before="60" w:after="60"/>
              <w:jc w:val="right"/>
              <w:rPr>
                <w:b/>
                <w:bCs/>
                <w:sz w:val="17"/>
                <w:szCs w:val="20"/>
                <w:lang w:val="en-US"/>
              </w:rPr>
            </w:pPr>
            <w:r>
              <w:rPr>
                <w:b/>
                <w:bCs/>
                <w:sz w:val="17"/>
                <w:szCs w:val="20"/>
                <w:lang w:val="en-US"/>
              </w:rPr>
              <w:t>1 000 404</w:t>
            </w:r>
          </w:p>
        </w:tc>
        <w:tc>
          <w:tcPr>
            <w:tcW w:w="669" w:type="dxa"/>
            <w:tcBorders>
              <w:bottom w:val="single" w:sz="4" w:space="0" w:color="auto"/>
            </w:tcBorders>
            <w:noWrap/>
            <w:vAlign w:val="bottom"/>
          </w:tcPr>
          <w:p w:rsidR="00000000" w:rsidRDefault="00000000">
            <w:pPr>
              <w:spacing w:before="60" w:after="60"/>
              <w:jc w:val="right"/>
              <w:rPr>
                <w:b/>
                <w:bCs/>
                <w:sz w:val="17"/>
                <w:szCs w:val="20"/>
                <w:lang w:val="en-US"/>
              </w:rPr>
            </w:pPr>
            <w:r>
              <w:rPr>
                <w:b/>
                <w:bCs/>
                <w:sz w:val="17"/>
                <w:szCs w:val="20"/>
                <w:lang w:val="en-US"/>
              </w:rPr>
              <w:t>541 050</w:t>
            </w:r>
          </w:p>
        </w:tc>
        <w:tc>
          <w:tcPr>
            <w:tcW w:w="672" w:type="dxa"/>
            <w:tcBorders>
              <w:bottom w:val="single" w:sz="4" w:space="0" w:color="auto"/>
            </w:tcBorders>
            <w:noWrap/>
            <w:vAlign w:val="bottom"/>
          </w:tcPr>
          <w:p w:rsidR="00000000" w:rsidRDefault="00000000">
            <w:pPr>
              <w:spacing w:before="60" w:after="60"/>
              <w:jc w:val="center"/>
              <w:rPr>
                <w:b/>
                <w:bCs/>
                <w:sz w:val="17"/>
                <w:szCs w:val="20"/>
                <w:lang w:val="en-US"/>
              </w:rPr>
            </w:pPr>
            <w:r>
              <w:rPr>
                <w:b/>
                <w:bCs/>
                <w:sz w:val="17"/>
                <w:szCs w:val="20"/>
                <w:lang w:val="en-US"/>
              </w:rPr>
              <w:t>459 354</w:t>
            </w:r>
          </w:p>
        </w:tc>
        <w:tc>
          <w:tcPr>
            <w:tcW w:w="724" w:type="dxa"/>
            <w:tcBorders>
              <w:bottom w:val="single" w:sz="4" w:space="0" w:color="auto"/>
            </w:tcBorders>
            <w:noWrap/>
            <w:vAlign w:val="bottom"/>
          </w:tcPr>
          <w:p w:rsidR="00000000" w:rsidRDefault="00000000">
            <w:pPr>
              <w:spacing w:before="60" w:after="60"/>
              <w:jc w:val="right"/>
              <w:rPr>
                <w:b/>
                <w:bCs/>
                <w:sz w:val="17"/>
                <w:szCs w:val="20"/>
                <w:lang w:val="en-US"/>
              </w:rPr>
            </w:pPr>
            <w:r>
              <w:rPr>
                <w:b/>
                <w:bCs/>
                <w:sz w:val="17"/>
                <w:szCs w:val="20"/>
                <w:lang w:val="en-US"/>
              </w:rPr>
              <w:t>1 107 486</w:t>
            </w:r>
          </w:p>
        </w:tc>
        <w:tc>
          <w:tcPr>
            <w:tcW w:w="754" w:type="dxa"/>
            <w:tcBorders>
              <w:bottom w:val="single" w:sz="4" w:space="0" w:color="auto"/>
            </w:tcBorders>
            <w:noWrap/>
            <w:vAlign w:val="bottom"/>
          </w:tcPr>
          <w:p w:rsidR="00000000" w:rsidRDefault="00000000">
            <w:pPr>
              <w:spacing w:before="60" w:after="60"/>
              <w:jc w:val="right"/>
              <w:rPr>
                <w:b/>
                <w:bCs/>
                <w:sz w:val="17"/>
                <w:szCs w:val="20"/>
                <w:lang w:val="en-US"/>
              </w:rPr>
            </w:pPr>
            <w:r>
              <w:rPr>
                <w:b/>
                <w:bCs/>
                <w:sz w:val="17"/>
                <w:szCs w:val="20"/>
                <w:lang w:val="en-US"/>
              </w:rPr>
              <w:t>630 864</w:t>
            </w:r>
          </w:p>
        </w:tc>
        <w:tc>
          <w:tcPr>
            <w:tcW w:w="753" w:type="dxa"/>
            <w:tcBorders>
              <w:bottom w:val="single" w:sz="4" w:space="0" w:color="auto"/>
            </w:tcBorders>
            <w:noWrap/>
            <w:vAlign w:val="bottom"/>
          </w:tcPr>
          <w:p w:rsidR="00000000" w:rsidRDefault="00000000">
            <w:pPr>
              <w:spacing w:before="60" w:after="60"/>
              <w:jc w:val="right"/>
              <w:rPr>
                <w:b/>
                <w:bCs/>
                <w:sz w:val="17"/>
                <w:szCs w:val="20"/>
                <w:lang w:val="en-US"/>
              </w:rPr>
            </w:pPr>
            <w:r>
              <w:rPr>
                <w:b/>
                <w:bCs/>
                <w:sz w:val="17"/>
                <w:szCs w:val="20"/>
                <w:lang w:val="en-US"/>
              </w:rPr>
              <w:t>476 622</w:t>
            </w:r>
          </w:p>
        </w:tc>
        <w:tc>
          <w:tcPr>
            <w:tcW w:w="754" w:type="dxa"/>
            <w:tcBorders>
              <w:bottom w:val="single" w:sz="4" w:space="0" w:color="auto"/>
            </w:tcBorders>
            <w:noWrap/>
            <w:vAlign w:val="bottom"/>
          </w:tcPr>
          <w:p w:rsidR="00000000" w:rsidRDefault="00000000">
            <w:pPr>
              <w:spacing w:before="60" w:after="60"/>
              <w:jc w:val="right"/>
              <w:rPr>
                <w:b/>
                <w:bCs/>
                <w:sz w:val="17"/>
                <w:szCs w:val="20"/>
                <w:lang w:val="en-US"/>
              </w:rPr>
            </w:pPr>
            <w:r>
              <w:rPr>
                <w:b/>
                <w:bCs/>
                <w:sz w:val="17"/>
                <w:szCs w:val="20"/>
                <w:lang w:val="en-US"/>
              </w:rPr>
              <w:t>1 288 717</w:t>
            </w:r>
          </w:p>
        </w:tc>
        <w:tc>
          <w:tcPr>
            <w:tcW w:w="669" w:type="dxa"/>
            <w:tcBorders>
              <w:bottom w:val="single" w:sz="4" w:space="0" w:color="auto"/>
            </w:tcBorders>
            <w:noWrap/>
            <w:vAlign w:val="bottom"/>
          </w:tcPr>
          <w:p w:rsidR="00000000" w:rsidRDefault="00000000">
            <w:pPr>
              <w:spacing w:before="60" w:after="60"/>
              <w:jc w:val="center"/>
              <w:rPr>
                <w:b/>
                <w:bCs/>
                <w:sz w:val="17"/>
                <w:szCs w:val="20"/>
                <w:lang w:val="en-US"/>
              </w:rPr>
            </w:pPr>
            <w:r>
              <w:rPr>
                <w:b/>
                <w:bCs/>
                <w:sz w:val="17"/>
                <w:szCs w:val="20"/>
                <w:lang w:val="en-US"/>
              </w:rPr>
              <w:t>765 308</w:t>
            </w:r>
          </w:p>
        </w:tc>
        <w:tc>
          <w:tcPr>
            <w:tcW w:w="724" w:type="dxa"/>
            <w:gridSpan w:val="2"/>
            <w:tcBorders>
              <w:bottom w:val="single" w:sz="4" w:space="0" w:color="auto"/>
            </w:tcBorders>
            <w:noWrap/>
            <w:vAlign w:val="bottom"/>
          </w:tcPr>
          <w:p w:rsidR="00000000" w:rsidRDefault="00000000">
            <w:pPr>
              <w:spacing w:before="60" w:after="60"/>
              <w:jc w:val="right"/>
              <w:rPr>
                <w:b/>
                <w:bCs/>
                <w:sz w:val="17"/>
                <w:szCs w:val="20"/>
                <w:lang w:val="en-US"/>
              </w:rPr>
            </w:pPr>
            <w:r>
              <w:rPr>
                <w:b/>
                <w:bCs/>
                <w:sz w:val="17"/>
                <w:szCs w:val="20"/>
                <w:lang w:val="en-US"/>
              </w:rPr>
              <w:t>1 343 713</w:t>
            </w:r>
          </w:p>
        </w:tc>
        <w:tc>
          <w:tcPr>
            <w:tcW w:w="669" w:type="dxa"/>
            <w:tcBorders>
              <w:bottom w:val="single" w:sz="4" w:space="0" w:color="auto"/>
            </w:tcBorders>
            <w:noWrap/>
            <w:vAlign w:val="bottom"/>
          </w:tcPr>
          <w:p w:rsidR="00000000" w:rsidRDefault="00000000">
            <w:pPr>
              <w:spacing w:before="60" w:after="60"/>
              <w:jc w:val="right"/>
              <w:rPr>
                <w:b/>
                <w:bCs/>
                <w:sz w:val="17"/>
                <w:szCs w:val="20"/>
                <w:lang w:val="en-US"/>
              </w:rPr>
            </w:pPr>
            <w:r>
              <w:rPr>
                <w:b/>
                <w:bCs/>
                <w:sz w:val="17"/>
                <w:szCs w:val="20"/>
                <w:lang w:val="en-US"/>
              </w:rPr>
              <w:t>813 606</w:t>
            </w:r>
          </w:p>
        </w:tc>
        <w:tc>
          <w:tcPr>
            <w:tcW w:w="767" w:type="dxa"/>
            <w:tcBorders>
              <w:bottom w:val="single" w:sz="4" w:space="0" w:color="auto"/>
            </w:tcBorders>
            <w:noWrap/>
            <w:vAlign w:val="bottom"/>
          </w:tcPr>
          <w:p w:rsidR="00000000" w:rsidRDefault="00000000">
            <w:pPr>
              <w:spacing w:before="60" w:after="60"/>
              <w:jc w:val="right"/>
              <w:rPr>
                <w:b/>
                <w:bCs/>
                <w:sz w:val="17"/>
                <w:szCs w:val="20"/>
                <w:lang w:val="en-US"/>
              </w:rPr>
            </w:pPr>
            <w:r>
              <w:rPr>
                <w:b/>
                <w:bCs/>
                <w:sz w:val="17"/>
                <w:szCs w:val="20"/>
                <w:lang w:val="en-US"/>
              </w:rPr>
              <w:t>530 107</w:t>
            </w:r>
          </w:p>
        </w:tc>
      </w:tr>
    </w:tbl>
    <w:p w:rsidR="00000000" w:rsidRDefault="00000000">
      <w:pPr>
        <w:autoSpaceDE w:val="0"/>
        <w:autoSpaceDN w:val="0"/>
        <w:adjustRightInd w:val="0"/>
        <w:spacing w:before="60" w:after="80"/>
        <w:ind w:left="567"/>
        <w:rPr>
          <w:i/>
          <w:iCs/>
          <w:sz w:val="18"/>
          <w:szCs w:val="20"/>
          <w:lang w:val="en-US"/>
        </w:rPr>
      </w:pPr>
      <w:r>
        <w:rPr>
          <w:sz w:val="20"/>
          <w:szCs w:val="16"/>
          <w:lang w:val="en-US"/>
        </w:rPr>
        <w:t>(*) In EPH 1995-1999 the  data are adjusted to the findings of the 2002 census.</w:t>
      </w:r>
    </w:p>
    <w:p w:rsidR="00000000" w:rsidRDefault="00000000">
      <w:pPr>
        <w:autoSpaceDE w:val="0"/>
        <w:autoSpaceDN w:val="0"/>
        <w:adjustRightInd w:val="0"/>
        <w:ind w:left="567"/>
        <w:rPr>
          <w:sz w:val="18"/>
          <w:szCs w:val="16"/>
          <w:lang w:val="en-US"/>
        </w:rPr>
      </w:pPr>
      <w:r>
        <w:rPr>
          <w:i/>
          <w:iCs/>
          <w:sz w:val="20"/>
          <w:szCs w:val="16"/>
          <w:lang w:val="en-US"/>
        </w:rPr>
        <w:t>Source:</w:t>
      </w:r>
      <w:r>
        <w:rPr>
          <w:sz w:val="20"/>
          <w:szCs w:val="16"/>
          <w:lang w:val="en-US"/>
        </w:rPr>
        <w:t xml:space="preserve"> STP/DGEEC. Permanent Household Survey 1995, 1999, 2004, 2005.</w:t>
      </w:r>
    </w:p>
    <w:p w:rsidR="00000000" w:rsidRDefault="00000000">
      <w:pPr>
        <w:spacing w:after="240"/>
        <w:rPr>
          <w:b/>
          <w:lang w:val="en-US"/>
        </w:rPr>
      </w:pPr>
      <w:r>
        <w:rPr>
          <w:b/>
          <w:lang w:val="en-US"/>
        </w:rPr>
        <w:t>3.4</w:t>
      </w:r>
      <w:r>
        <w:rPr>
          <w:b/>
          <w:lang w:val="en-US"/>
        </w:rPr>
        <w:tab/>
        <w:t>List of laws regulating the implementation of the right to housing</w:t>
      </w:r>
    </w:p>
    <w:p w:rsidR="00000000" w:rsidRDefault="00000000">
      <w:pPr>
        <w:spacing w:after="240"/>
        <w:rPr>
          <w:lang w:val="en-US"/>
        </w:rPr>
      </w:pPr>
      <w:r>
        <w:rPr>
          <w:lang w:val="en-US"/>
        </w:rPr>
        <w:t>433.</w:t>
      </w:r>
      <w:r>
        <w:rPr>
          <w:lang w:val="en-US"/>
        </w:rPr>
        <w:tab/>
        <w:t>First and foremost, Article 100 of the National Constitution (1992) establishes that: “</w:t>
      </w:r>
      <w:r>
        <w:t>Every inhabitant of the Republic has the right to decent housing. The State shall establish conditions conductive to the implementation of this right and shall promote housing projects of social interest, specially those designed for low-income families, through adequate methods of financing.”</w:t>
      </w:r>
    </w:p>
    <w:tbl>
      <w:tblPr>
        <w:tblW w:w="5000" w:type="pct"/>
        <w:tblBorders>
          <w:insideV w:val="single" w:sz="4" w:space="0" w:color="auto"/>
        </w:tblBorders>
        <w:tblCellMar>
          <w:left w:w="0" w:type="dxa"/>
          <w:right w:w="0" w:type="dxa"/>
        </w:tblCellMar>
        <w:tblLook w:val="0000" w:firstRow="0" w:lastRow="0" w:firstColumn="0" w:lastColumn="0" w:noHBand="0" w:noVBand="0"/>
      </w:tblPr>
      <w:tblGrid>
        <w:gridCol w:w="2392"/>
        <w:gridCol w:w="5536"/>
        <w:gridCol w:w="1501"/>
      </w:tblGrid>
      <w:tr w:rsidR="00000000">
        <w:tblPrEx>
          <w:tblCellMar>
            <w:top w:w="0" w:type="dxa"/>
            <w:bottom w:w="0" w:type="dxa"/>
          </w:tblCellMar>
        </w:tblPrEx>
        <w:trPr>
          <w:tblHeader/>
        </w:trPr>
        <w:tc>
          <w:tcPr>
            <w:tcW w:w="2392" w:type="dxa"/>
            <w:tcBorders>
              <w:top w:val="single" w:sz="4" w:space="0" w:color="auto"/>
              <w:bottom w:val="single" w:sz="4" w:space="0" w:color="auto"/>
            </w:tcBorders>
          </w:tcPr>
          <w:p w:rsidR="00000000" w:rsidRDefault="00000000">
            <w:pPr>
              <w:pStyle w:val="Heading2"/>
              <w:keepNext w:val="0"/>
              <w:spacing w:before="80" w:after="80"/>
              <w:ind w:left="113" w:right="113"/>
              <w:jc w:val="center"/>
              <w:rPr>
                <w:rFonts w:ascii="Times New Roman" w:hAnsi="Times New Roman" w:cs="Times New Roman"/>
                <w:iCs w:val="0"/>
                <w:sz w:val="20"/>
                <w:szCs w:val="24"/>
              </w:rPr>
            </w:pPr>
            <w:r>
              <w:rPr>
                <w:rFonts w:ascii="Times New Roman" w:hAnsi="Times New Roman" w:cs="Times New Roman"/>
                <w:iCs w:val="0"/>
                <w:sz w:val="20"/>
                <w:szCs w:val="24"/>
              </w:rPr>
              <w:t>Decree or Act No.</w:t>
            </w:r>
          </w:p>
        </w:tc>
        <w:tc>
          <w:tcPr>
            <w:tcW w:w="5536" w:type="dxa"/>
            <w:tcBorders>
              <w:top w:val="single" w:sz="4" w:space="0" w:color="auto"/>
              <w:bottom w:val="single" w:sz="4" w:space="0" w:color="auto"/>
            </w:tcBorders>
          </w:tcPr>
          <w:p w:rsidR="00000000" w:rsidRDefault="00000000">
            <w:pPr>
              <w:pStyle w:val="Heading2"/>
              <w:keepNext w:val="0"/>
              <w:spacing w:before="80" w:after="80"/>
              <w:ind w:left="113" w:right="113"/>
              <w:jc w:val="center"/>
              <w:rPr>
                <w:rFonts w:ascii="Times New Roman" w:hAnsi="Times New Roman" w:cs="Times New Roman"/>
                <w:iCs w:val="0"/>
                <w:sz w:val="20"/>
                <w:szCs w:val="24"/>
              </w:rPr>
            </w:pPr>
            <w:r>
              <w:rPr>
                <w:rFonts w:ascii="Times New Roman" w:hAnsi="Times New Roman" w:cs="Times New Roman"/>
                <w:iCs w:val="0"/>
                <w:sz w:val="20"/>
                <w:szCs w:val="24"/>
              </w:rPr>
              <w:t>Purpose</w:t>
            </w:r>
          </w:p>
        </w:tc>
        <w:tc>
          <w:tcPr>
            <w:tcW w:w="1501" w:type="dxa"/>
            <w:tcBorders>
              <w:top w:val="single" w:sz="4" w:space="0" w:color="auto"/>
              <w:bottom w:val="single" w:sz="4" w:space="0" w:color="auto"/>
            </w:tcBorders>
          </w:tcPr>
          <w:p w:rsidR="00000000" w:rsidRDefault="00000000">
            <w:pPr>
              <w:spacing w:before="80" w:after="80"/>
              <w:ind w:left="113" w:right="113"/>
              <w:jc w:val="center"/>
              <w:rPr>
                <w:b/>
                <w:bCs/>
                <w:i/>
                <w:sz w:val="20"/>
              </w:rPr>
            </w:pPr>
            <w:r>
              <w:rPr>
                <w:b/>
                <w:bCs/>
                <w:i/>
                <w:sz w:val="20"/>
              </w:rPr>
              <w:t>Promulgation date</w:t>
            </w:r>
          </w:p>
        </w:tc>
      </w:tr>
      <w:tr w:rsidR="00000000">
        <w:tblPrEx>
          <w:tblCellMar>
            <w:top w:w="0" w:type="dxa"/>
            <w:bottom w:w="0" w:type="dxa"/>
          </w:tblCellMar>
        </w:tblPrEx>
        <w:tc>
          <w:tcPr>
            <w:tcW w:w="2392" w:type="dxa"/>
            <w:tcBorders>
              <w:top w:val="single" w:sz="4" w:space="0" w:color="auto"/>
            </w:tcBorders>
          </w:tcPr>
          <w:p w:rsidR="00000000" w:rsidRDefault="00000000">
            <w:pPr>
              <w:spacing w:before="80" w:after="80"/>
              <w:ind w:left="113" w:right="113"/>
              <w:rPr>
                <w:iCs/>
                <w:sz w:val="20"/>
              </w:rPr>
            </w:pPr>
            <w:r>
              <w:rPr>
                <w:iCs/>
                <w:sz w:val="20"/>
              </w:rPr>
              <w:t>Act No. 970/64</w:t>
            </w:r>
          </w:p>
        </w:tc>
        <w:tc>
          <w:tcPr>
            <w:tcW w:w="5536" w:type="dxa"/>
            <w:tcBorders>
              <w:top w:val="single" w:sz="4" w:space="0" w:color="auto"/>
            </w:tcBorders>
          </w:tcPr>
          <w:p w:rsidR="00000000" w:rsidRDefault="00000000">
            <w:pPr>
              <w:spacing w:before="80" w:after="80"/>
              <w:ind w:left="113" w:right="113"/>
              <w:rPr>
                <w:iCs/>
                <w:sz w:val="20"/>
                <w:lang w:val="en-US"/>
              </w:rPr>
            </w:pPr>
            <w:r>
              <w:rPr>
                <w:iCs/>
                <w:sz w:val="20"/>
                <w:lang w:val="en-US"/>
              </w:rPr>
              <w:t>Creating the Paraguayan Institute for Housing and Urban Planning – IPVU</w:t>
            </w:r>
          </w:p>
        </w:tc>
        <w:tc>
          <w:tcPr>
            <w:tcW w:w="1501" w:type="dxa"/>
            <w:tcBorders>
              <w:top w:val="single" w:sz="4" w:space="0" w:color="auto"/>
            </w:tcBorders>
          </w:tcPr>
          <w:p w:rsidR="00000000" w:rsidRDefault="00000000">
            <w:pPr>
              <w:spacing w:before="80" w:after="80"/>
              <w:ind w:left="113" w:right="113"/>
              <w:rPr>
                <w:iCs/>
                <w:sz w:val="20"/>
              </w:rPr>
            </w:pPr>
            <w:r>
              <w:rPr>
                <w:iCs/>
                <w:sz w:val="20"/>
              </w:rPr>
              <w:t>14 Aug. 1964</w:t>
            </w:r>
          </w:p>
        </w:tc>
      </w:tr>
      <w:tr w:rsidR="00000000">
        <w:tblPrEx>
          <w:tblCellMar>
            <w:top w:w="0" w:type="dxa"/>
            <w:bottom w:w="0" w:type="dxa"/>
          </w:tblCellMar>
        </w:tblPrEx>
        <w:tc>
          <w:tcPr>
            <w:tcW w:w="2392" w:type="dxa"/>
          </w:tcPr>
          <w:p w:rsidR="00000000" w:rsidRDefault="00000000">
            <w:pPr>
              <w:spacing w:before="80" w:after="80"/>
              <w:ind w:left="113" w:right="113"/>
              <w:rPr>
                <w:iCs/>
                <w:sz w:val="20"/>
              </w:rPr>
            </w:pPr>
            <w:r>
              <w:rPr>
                <w:iCs/>
                <w:sz w:val="20"/>
              </w:rPr>
              <w:t>Act No. 325/71</w:t>
            </w:r>
          </w:p>
        </w:tc>
        <w:tc>
          <w:tcPr>
            <w:tcW w:w="5536" w:type="dxa"/>
          </w:tcPr>
          <w:p w:rsidR="00000000" w:rsidRDefault="00000000">
            <w:pPr>
              <w:spacing w:before="80" w:after="80"/>
              <w:ind w:left="113" w:right="113"/>
              <w:rPr>
                <w:iCs/>
                <w:sz w:val="20"/>
                <w:lang w:val="en-US"/>
              </w:rPr>
            </w:pPr>
            <w:r>
              <w:rPr>
                <w:iCs/>
                <w:sz w:val="20"/>
                <w:lang w:val="en-US"/>
              </w:rPr>
              <w:t>Creating the National Housing Bank (BNV) and the National Savings and Loans System.</w:t>
            </w:r>
          </w:p>
        </w:tc>
        <w:tc>
          <w:tcPr>
            <w:tcW w:w="1501" w:type="dxa"/>
          </w:tcPr>
          <w:p w:rsidR="00000000" w:rsidRDefault="00000000">
            <w:pPr>
              <w:spacing w:before="80" w:after="80"/>
              <w:ind w:left="113" w:right="113"/>
              <w:rPr>
                <w:iCs/>
                <w:sz w:val="20"/>
              </w:rPr>
            </w:pPr>
            <w:r>
              <w:rPr>
                <w:iCs/>
                <w:sz w:val="20"/>
              </w:rPr>
              <w:t>10 Dec. 1971</w:t>
            </w:r>
          </w:p>
        </w:tc>
      </w:tr>
      <w:tr w:rsidR="00000000">
        <w:tblPrEx>
          <w:tblCellMar>
            <w:top w:w="0" w:type="dxa"/>
            <w:bottom w:w="0" w:type="dxa"/>
          </w:tblCellMar>
        </w:tblPrEx>
        <w:tc>
          <w:tcPr>
            <w:tcW w:w="2392" w:type="dxa"/>
          </w:tcPr>
          <w:p w:rsidR="00000000" w:rsidRDefault="00000000">
            <w:pPr>
              <w:spacing w:before="80" w:after="80"/>
              <w:ind w:left="113" w:right="113"/>
              <w:rPr>
                <w:iCs/>
                <w:sz w:val="20"/>
              </w:rPr>
            </w:pPr>
            <w:r>
              <w:rPr>
                <w:iCs/>
                <w:sz w:val="20"/>
              </w:rPr>
              <w:t xml:space="preserve">Decree Law No. 29721/72 </w:t>
            </w:r>
          </w:p>
        </w:tc>
        <w:tc>
          <w:tcPr>
            <w:tcW w:w="5536" w:type="dxa"/>
          </w:tcPr>
          <w:p w:rsidR="00000000" w:rsidRDefault="00000000">
            <w:pPr>
              <w:spacing w:before="80" w:after="80"/>
              <w:ind w:left="113" w:right="113"/>
              <w:rPr>
                <w:iCs/>
                <w:sz w:val="20"/>
                <w:lang w:val="en-US"/>
              </w:rPr>
            </w:pPr>
            <w:r>
              <w:rPr>
                <w:iCs/>
                <w:sz w:val="20"/>
                <w:lang w:val="en-US"/>
              </w:rPr>
              <w:t>Regulating Act No. 325 of 10 Dec. 1971 creating the BNV.</w:t>
            </w:r>
          </w:p>
        </w:tc>
        <w:tc>
          <w:tcPr>
            <w:tcW w:w="1501" w:type="dxa"/>
          </w:tcPr>
          <w:p w:rsidR="00000000" w:rsidRDefault="00000000">
            <w:pPr>
              <w:spacing w:before="80" w:after="80"/>
              <w:ind w:left="113" w:right="113"/>
              <w:rPr>
                <w:iCs/>
                <w:sz w:val="20"/>
                <w:lang w:val="en-US"/>
              </w:rPr>
            </w:pPr>
            <w:r>
              <w:rPr>
                <w:iCs/>
                <w:sz w:val="20"/>
                <w:lang w:val="en-US"/>
              </w:rPr>
              <w:t>15 Dec. 1972</w:t>
            </w:r>
          </w:p>
        </w:tc>
      </w:tr>
      <w:tr w:rsidR="00000000">
        <w:tblPrEx>
          <w:tblCellMar>
            <w:top w:w="0" w:type="dxa"/>
            <w:bottom w:w="0" w:type="dxa"/>
          </w:tblCellMar>
        </w:tblPrEx>
        <w:tc>
          <w:tcPr>
            <w:tcW w:w="2392" w:type="dxa"/>
          </w:tcPr>
          <w:p w:rsidR="00000000" w:rsidRDefault="00000000">
            <w:pPr>
              <w:spacing w:before="80" w:after="80"/>
              <w:ind w:left="113" w:right="113"/>
              <w:rPr>
                <w:iCs/>
                <w:sz w:val="20"/>
                <w:lang w:val="en-US"/>
              </w:rPr>
            </w:pPr>
            <w:r>
              <w:rPr>
                <w:iCs/>
                <w:sz w:val="20"/>
                <w:lang w:val="en-US"/>
              </w:rPr>
              <w:t>Act N° 1378/88</w:t>
            </w:r>
          </w:p>
        </w:tc>
        <w:tc>
          <w:tcPr>
            <w:tcW w:w="5536" w:type="dxa"/>
          </w:tcPr>
          <w:p w:rsidR="00000000" w:rsidRDefault="00000000">
            <w:pPr>
              <w:spacing w:before="80" w:after="80"/>
              <w:ind w:left="113" w:right="113"/>
              <w:rPr>
                <w:iCs/>
                <w:sz w:val="20"/>
                <w:lang w:val="en-US"/>
              </w:rPr>
            </w:pPr>
            <w:r>
              <w:rPr>
                <w:iCs/>
                <w:sz w:val="20"/>
                <w:lang w:val="en-US"/>
              </w:rPr>
              <w:t>Expanding and amending Act No. 325/71 creating the BNV.</w:t>
            </w:r>
          </w:p>
        </w:tc>
        <w:tc>
          <w:tcPr>
            <w:tcW w:w="1501" w:type="dxa"/>
          </w:tcPr>
          <w:p w:rsidR="00000000" w:rsidRDefault="00000000">
            <w:pPr>
              <w:spacing w:before="80" w:after="80"/>
              <w:ind w:left="113" w:right="113"/>
              <w:rPr>
                <w:iCs/>
                <w:sz w:val="20"/>
                <w:lang w:val="en-US"/>
              </w:rPr>
            </w:pPr>
            <w:r>
              <w:rPr>
                <w:iCs/>
                <w:sz w:val="20"/>
                <w:lang w:val="en-US"/>
              </w:rPr>
              <w:t>20 Dec. 1988</w:t>
            </w:r>
          </w:p>
        </w:tc>
      </w:tr>
      <w:tr w:rsidR="00000000">
        <w:tblPrEx>
          <w:tblCellMar>
            <w:top w:w="0" w:type="dxa"/>
            <w:bottom w:w="0" w:type="dxa"/>
          </w:tblCellMar>
        </w:tblPrEx>
        <w:tc>
          <w:tcPr>
            <w:tcW w:w="2392" w:type="dxa"/>
          </w:tcPr>
          <w:p w:rsidR="00000000" w:rsidRDefault="00000000">
            <w:pPr>
              <w:spacing w:before="80" w:after="80"/>
              <w:ind w:left="113" w:right="113"/>
              <w:rPr>
                <w:iCs/>
                <w:sz w:val="20"/>
                <w:lang w:val="en-US"/>
              </w:rPr>
            </w:pPr>
            <w:r>
              <w:rPr>
                <w:iCs/>
                <w:sz w:val="20"/>
                <w:lang w:val="en-US"/>
              </w:rPr>
              <w:t>Decree Law No. 25/89</w:t>
            </w:r>
          </w:p>
        </w:tc>
        <w:tc>
          <w:tcPr>
            <w:tcW w:w="5536" w:type="dxa"/>
          </w:tcPr>
          <w:p w:rsidR="00000000" w:rsidRDefault="00000000">
            <w:pPr>
              <w:spacing w:before="80" w:after="80"/>
              <w:ind w:left="113" w:right="113"/>
              <w:rPr>
                <w:iCs/>
                <w:sz w:val="20"/>
                <w:lang w:val="en-US"/>
              </w:rPr>
            </w:pPr>
            <w:r>
              <w:rPr>
                <w:iCs/>
                <w:sz w:val="20"/>
                <w:lang w:val="en-US"/>
              </w:rPr>
              <w:t>Authorizing the BNV to create the National Housing Council and expanding and amending articles of Act No. 1378 of 22 Dec. 1988.</w:t>
            </w:r>
          </w:p>
        </w:tc>
        <w:tc>
          <w:tcPr>
            <w:tcW w:w="1501" w:type="dxa"/>
          </w:tcPr>
          <w:p w:rsidR="00000000" w:rsidRDefault="00000000">
            <w:pPr>
              <w:spacing w:before="80" w:after="80"/>
              <w:ind w:left="113" w:right="113"/>
              <w:rPr>
                <w:iCs/>
                <w:sz w:val="20"/>
              </w:rPr>
            </w:pPr>
            <w:r>
              <w:rPr>
                <w:iCs/>
                <w:sz w:val="20"/>
              </w:rPr>
              <w:t>6 May 1989</w:t>
            </w:r>
          </w:p>
        </w:tc>
      </w:tr>
      <w:tr w:rsidR="00000000">
        <w:tblPrEx>
          <w:tblCellMar>
            <w:top w:w="0" w:type="dxa"/>
            <w:bottom w:w="0" w:type="dxa"/>
          </w:tblCellMar>
        </w:tblPrEx>
        <w:tc>
          <w:tcPr>
            <w:tcW w:w="2392" w:type="dxa"/>
          </w:tcPr>
          <w:p w:rsidR="00000000" w:rsidRDefault="00000000">
            <w:pPr>
              <w:spacing w:before="80" w:after="80"/>
              <w:ind w:left="113" w:right="113"/>
              <w:rPr>
                <w:iCs/>
                <w:sz w:val="20"/>
              </w:rPr>
            </w:pPr>
            <w:r>
              <w:rPr>
                <w:iCs/>
                <w:sz w:val="20"/>
              </w:rPr>
              <w:t>Act No. 42/89</w:t>
            </w:r>
          </w:p>
        </w:tc>
        <w:tc>
          <w:tcPr>
            <w:tcW w:w="5536" w:type="dxa"/>
          </w:tcPr>
          <w:p w:rsidR="00000000" w:rsidRDefault="00000000">
            <w:pPr>
              <w:spacing w:before="80" w:after="80"/>
              <w:ind w:left="113" w:right="113"/>
              <w:rPr>
                <w:iCs/>
                <w:sz w:val="20"/>
                <w:lang w:val="en-US"/>
              </w:rPr>
            </w:pPr>
            <w:r>
              <w:rPr>
                <w:iCs/>
                <w:sz w:val="20"/>
                <w:lang w:val="en-US"/>
              </w:rPr>
              <w:t>Approving, with amendments, Decree Law No. 25 of 6 May 1989 creating the National Housing Council (CONAVI) and expanding and amending articles of Act No. 1378 of 22 Dec. 1988</w:t>
            </w:r>
          </w:p>
        </w:tc>
        <w:tc>
          <w:tcPr>
            <w:tcW w:w="1501" w:type="dxa"/>
          </w:tcPr>
          <w:p w:rsidR="00000000" w:rsidRDefault="00000000">
            <w:pPr>
              <w:spacing w:before="80" w:after="80"/>
              <w:ind w:left="113" w:right="113"/>
              <w:rPr>
                <w:iCs/>
                <w:sz w:val="20"/>
              </w:rPr>
            </w:pPr>
            <w:r>
              <w:rPr>
                <w:iCs/>
                <w:sz w:val="20"/>
              </w:rPr>
              <w:t>2 Nov. 1989</w:t>
            </w:r>
          </w:p>
        </w:tc>
      </w:tr>
      <w:tr w:rsidR="00000000">
        <w:tblPrEx>
          <w:tblCellMar>
            <w:top w:w="0" w:type="dxa"/>
            <w:bottom w:w="0" w:type="dxa"/>
          </w:tblCellMar>
        </w:tblPrEx>
        <w:tc>
          <w:tcPr>
            <w:tcW w:w="2392" w:type="dxa"/>
          </w:tcPr>
          <w:p w:rsidR="00000000" w:rsidRDefault="00000000">
            <w:pPr>
              <w:spacing w:before="80" w:after="80"/>
              <w:ind w:left="113" w:right="113"/>
              <w:rPr>
                <w:iCs/>
                <w:sz w:val="20"/>
              </w:rPr>
            </w:pPr>
            <w:r>
              <w:rPr>
                <w:iCs/>
                <w:sz w:val="20"/>
              </w:rPr>
              <w:t>Act No. 118/90</w:t>
            </w:r>
          </w:p>
        </w:tc>
        <w:tc>
          <w:tcPr>
            <w:tcW w:w="5536" w:type="dxa"/>
          </w:tcPr>
          <w:p w:rsidR="00000000" w:rsidRDefault="00000000">
            <w:pPr>
              <w:spacing w:before="80" w:after="80"/>
              <w:ind w:left="113" w:right="113"/>
              <w:rPr>
                <w:iCs/>
                <w:sz w:val="20"/>
                <w:lang w:val="en-US"/>
              </w:rPr>
            </w:pPr>
            <w:r>
              <w:rPr>
                <w:iCs/>
                <w:sz w:val="20"/>
                <w:lang w:val="en-US"/>
              </w:rPr>
              <w:t>Creating the independent body “National Housing Council”(CONAVI) and establishing its organizational chart</w:t>
            </w:r>
          </w:p>
        </w:tc>
        <w:tc>
          <w:tcPr>
            <w:tcW w:w="1501" w:type="dxa"/>
          </w:tcPr>
          <w:p w:rsidR="00000000" w:rsidRDefault="00000000">
            <w:pPr>
              <w:spacing w:before="80" w:after="80"/>
              <w:ind w:left="113" w:right="113"/>
              <w:rPr>
                <w:iCs/>
                <w:sz w:val="20"/>
              </w:rPr>
            </w:pPr>
            <w:r>
              <w:rPr>
                <w:iCs/>
                <w:sz w:val="20"/>
              </w:rPr>
              <w:t>14 Dec.1990</w:t>
            </w:r>
          </w:p>
        </w:tc>
      </w:tr>
      <w:tr w:rsidR="00000000">
        <w:tblPrEx>
          <w:tblCellMar>
            <w:top w:w="0" w:type="dxa"/>
            <w:bottom w:w="0" w:type="dxa"/>
          </w:tblCellMar>
        </w:tblPrEx>
        <w:tc>
          <w:tcPr>
            <w:tcW w:w="2392" w:type="dxa"/>
          </w:tcPr>
          <w:p w:rsidR="00000000" w:rsidRDefault="00000000">
            <w:pPr>
              <w:spacing w:before="80" w:after="80"/>
              <w:ind w:left="113" w:right="113"/>
              <w:rPr>
                <w:iCs/>
                <w:sz w:val="20"/>
              </w:rPr>
            </w:pPr>
            <w:r>
              <w:rPr>
                <w:iCs/>
                <w:sz w:val="20"/>
              </w:rPr>
              <w:t>Decree Law No. 27/92</w:t>
            </w:r>
          </w:p>
        </w:tc>
        <w:tc>
          <w:tcPr>
            <w:tcW w:w="5536" w:type="dxa"/>
          </w:tcPr>
          <w:p w:rsidR="00000000" w:rsidRDefault="00000000">
            <w:pPr>
              <w:spacing w:before="80" w:after="80"/>
              <w:ind w:left="113" w:right="113"/>
              <w:rPr>
                <w:iCs/>
                <w:sz w:val="20"/>
                <w:lang w:val="en-US"/>
              </w:rPr>
            </w:pPr>
            <w:r>
              <w:rPr>
                <w:iCs/>
                <w:sz w:val="20"/>
                <w:lang w:val="en-US"/>
              </w:rPr>
              <w:t>Closing the IPVU and amending, abrogating and expanding articles of Acts Nos. 325/71 and. 118/90</w:t>
            </w:r>
          </w:p>
        </w:tc>
        <w:tc>
          <w:tcPr>
            <w:tcW w:w="1501" w:type="dxa"/>
          </w:tcPr>
          <w:p w:rsidR="00000000" w:rsidRDefault="00000000">
            <w:pPr>
              <w:spacing w:before="80" w:after="80"/>
              <w:ind w:left="113" w:right="113"/>
              <w:rPr>
                <w:iCs/>
                <w:sz w:val="20"/>
                <w:lang w:val="pt-BR"/>
              </w:rPr>
            </w:pPr>
            <w:r>
              <w:rPr>
                <w:iCs/>
                <w:sz w:val="20"/>
                <w:lang w:val="pt-BR"/>
              </w:rPr>
              <w:t>24 Mar. 1992</w:t>
            </w:r>
          </w:p>
        </w:tc>
      </w:tr>
      <w:tr w:rsidR="00000000">
        <w:tblPrEx>
          <w:tblCellMar>
            <w:top w:w="0" w:type="dxa"/>
            <w:bottom w:w="0" w:type="dxa"/>
          </w:tblCellMar>
        </w:tblPrEx>
        <w:tc>
          <w:tcPr>
            <w:tcW w:w="2392" w:type="dxa"/>
          </w:tcPr>
          <w:p w:rsidR="00000000" w:rsidRDefault="00000000">
            <w:pPr>
              <w:spacing w:before="80" w:after="80"/>
              <w:ind w:left="113" w:right="113"/>
              <w:rPr>
                <w:iCs/>
                <w:sz w:val="20"/>
                <w:lang w:val="pt-BR"/>
              </w:rPr>
            </w:pPr>
            <w:r>
              <w:rPr>
                <w:iCs/>
                <w:sz w:val="20"/>
                <w:lang w:val="pt-BR"/>
              </w:rPr>
              <w:t>Act No. 79/92</w:t>
            </w:r>
          </w:p>
        </w:tc>
        <w:tc>
          <w:tcPr>
            <w:tcW w:w="5536" w:type="dxa"/>
          </w:tcPr>
          <w:p w:rsidR="00000000" w:rsidRDefault="00000000">
            <w:pPr>
              <w:spacing w:before="80" w:after="80"/>
              <w:ind w:left="113" w:right="113"/>
              <w:rPr>
                <w:iCs/>
                <w:sz w:val="20"/>
                <w:lang w:val="en-US"/>
              </w:rPr>
            </w:pPr>
            <w:r>
              <w:rPr>
                <w:iCs/>
                <w:sz w:val="20"/>
                <w:lang w:val="en-US"/>
              </w:rPr>
              <w:t>Approving, with amendments, Decree Law No. 27 of 24 March 1992 providing for the closure of the IPVU and amending, abrogating and expanding articles of Acts Nos. N° 325//71 and 118/90</w:t>
            </w:r>
          </w:p>
        </w:tc>
        <w:tc>
          <w:tcPr>
            <w:tcW w:w="1501" w:type="dxa"/>
          </w:tcPr>
          <w:p w:rsidR="00000000" w:rsidRDefault="00000000">
            <w:pPr>
              <w:spacing w:before="80" w:after="80"/>
              <w:ind w:left="113" w:right="113"/>
              <w:rPr>
                <w:iCs/>
                <w:sz w:val="20"/>
              </w:rPr>
            </w:pPr>
            <w:r>
              <w:rPr>
                <w:iCs/>
                <w:sz w:val="20"/>
              </w:rPr>
              <w:t>3 Sept 1992</w:t>
            </w:r>
          </w:p>
        </w:tc>
      </w:tr>
      <w:tr w:rsidR="00000000">
        <w:tblPrEx>
          <w:tblCellMar>
            <w:top w:w="0" w:type="dxa"/>
            <w:bottom w:w="0" w:type="dxa"/>
          </w:tblCellMar>
        </w:tblPrEx>
        <w:tc>
          <w:tcPr>
            <w:tcW w:w="2392" w:type="dxa"/>
          </w:tcPr>
          <w:p w:rsidR="00000000" w:rsidRDefault="00000000">
            <w:pPr>
              <w:spacing w:before="80" w:after="80"/>
              <w:ind w:left="113" w:right="113"/>
              <w:rPr>
                <w:iCs/>
                <w:sz w:val="20"/>
              </w:rPr>
            </w:pPr>
            <w:r>
              <w:rPr>
                <w:iCs/>
                <w:sz w:val="20"/>
              </w:rPr>
              <w:t>Act No. 771/95</w:t>
            </w:r>
          </w:p>
        </w:tc>
        <w:tc>
          <w:tcPr>
            <w:tcW w:w="5536" w:type="dxa"/>
          </w:tcPr>
          <w:p w:rsidR="00000000" w:rsidRDefault="00000000">
            <w:pPr>
              <w:spacing w:before="80" w:after="80"/>
              <w:ind w:left="113" w:right="113"/>
              <w:rPr>
                <w:iCs/>
                <w:sz w:val="20"/>
                <w:lang w:val="en-US"/>
              </w:rPr>
            </w:pPr>
            <w:r>
              <w:rPr>
                <w:iCs/>
                <w:sz w:val="20"/>
                <w:lang w:val="en-US"/>
              </w:rPr>
              <w:t>Amending Act No. 125/92 and exempting from tax low-cost dwellings of social interest and social loans from the National Workers’ Bank</w:t>
            </w:r>
          </w:p>
        </w:tc>
        <w:tc>
          <w:tcPr>
            <w:tcW w:w="1501" w:type="dxa"/>
          </w:tcPr>
          <w:p w:rsidR="00000000" w:rsidRDefault="00000000">
            <w:pPr>
              <w:spacing w:before="80" w:after="80"/>
              <w:ind w:left="113" w:right="113"/>
              <w:rPr>
                <w:iCs/>
                <w:sz w:val="20"/>
              </w:rPr>
            </w:pPr>
            <w:r>
              <w:rPr>
                <w:iCs/>
                <w:sz w:val="20"/>
              </w:rPr>
              <w:t>16 Nov. 1995</w:t>
            </w:r>
          </w:p>
        </w:tc>
      </w:tr>
      <w:tr w:rsidR="00000000">
        <w:tblPrEx>
          <w:tblCellMar>
            <w:top w:w="0" w:type="dxa"/>
            <w:bottom w:w="0" w:type="dxa"/>
          </w:tblCellMar>
        </w:tblPrEx>
        <w:tc>
          <w:tcPr>
            <w:tcW w:w="2392" w:type="dxa"/>
          </w:tcPr>
          <w:p w:rsidR="00000000" w:rsidRDefault="00000000">
            <w:pPr>
              <w:spacing w:before="80" w:after="80"/>
              <w:ind w:left="113" w:right="113"/>
              <w:rPr>
                <w:iCs/>
                <w:sz w:val="20"/>
              </w:rPr>
            </w:pPr>
            <w:r>
              <w:rPr>
                <w:iCs/>
                <w:sz w:val="20"/>
              </w:rPr>
              <w:t>Act No. 815/95</w:t>
            </w:r>
          </w:p>
        </w:tc>
        <w:tc>
          <w:tcPr>
            <w:tcW w:w="5536" w:type="dxa"/>
          </w:tcPr>
          <w:p w:rsidR="00000000" w:rsidRDefault="00000000">
            <w:pPr>
              <w:spacing w:before="80" w:after="80"/>
              <w:ind w:left="113" w:right="113"/>
              <w:rPr>
                <w:iCs/>
                <w:sz w:val="20"/>
                <w:lang w:val="en-US"/>
              </w:rPr>
            </w:pPr>
            <w:r>
              <w:rPr>
                <w:iCs/>
                <w:sz w:val="20"/>
                <w:lang w:val="en-US"/>
              </w:rPr>
              <w:t xml:space="preserve">Amending Act No. 118/90, and the legal provisions connected with the National Savings and Loan System for Housing, and regulating the Direct Housing Subsidy System for the purchase, construction, extension or improvement of low-cost and social housing. </w:t>
            </w:r>
          </w:p>
        </w:tc>
        <w:tc>
          <w:tcPr>
            <w:tcW w:w="1501" w:type="dxa"/>
          </w:tcPr>
          <w:p w:rsidR="00000000" w:rsidRDefault="00000000">
            <w:pPr>
              <w:spacing w:before="80" w:after="80"/>
              <w:ind w:left="113" w:right="113"/>
              <w:rPr>
                <w:iCs/>
                <w:sz w:val="20"/>
              </w:rPr>
            </w:pPr>
            <w:r>
              <w:rPr>
                <w:iCs/>
                <w:sz w:val="20"/>
              </w:rPr>
              <w:t>14 Dec. 1995</w:t>
            </w:r>
          </w:p>
        </w:tc>
      </w:tr>
      <w:tr w:rsidR="00000000">
        <w:tblPrEx>
          <w:tblCellMar>
            <w:top w:w="0" w:type="dxa"/>
            <w:bottom w:w="0" w:type="dxa"/>
          </w:tblCellMar>
        </w:tblPrEx>
        <w:tc>
          <w:tcPr>
            <w:tcW w:w="2392" w:type="dxa"/>
          </w:tcPr>
          <w:p w:rsidR="00000000" w:rsidRDefault="00000000">
            <w:pPr>
              <w:spacing w:before="80" w:after="80"/>
              <w:ind w:left="113" w:right="113"/>
              <w:rPr>
                <w:iCs/>
                <w:sz w:val="20"/>
              </w:rPr>
            </w:pPr>
            <w:r>
              <w:rPr>
                <w:iCs/>
                <w:sz w:val="20"/>
              </w:rPr>
              <w:t>Act No. 1555/00</w:t>
            </w:r>
          </w:p>
        </w:tc>
        <w:tc>
          <w:tcPr>
            <w:tcW w:w="5536" w:type="dxa"/>
          </w:tcPr>
          <w:p w:rsidR="00000000" w:rsidRDefault="00000000">
            <w:pPr>
              <w:spacing w:before="80" w:after="80"/>
              <w:ind w:left="113" w:right="113"/>
              <w:rPr>
                <w:iCs/>
                <w:sz w:val="20"/>
                <w:lang w:val="en-US"/>
              </w:rPr>
            </w:pPr>
            <w:r>
              <w:rPr>
                <w:iCs/>
                <w:sz w:val="20"/>
                <w:lang w:val="en-US"/>
              </w:rPr>
              <w:t>Establishing norms for determining the current pr ice of housing units and declaring Article 27 of Act No. 118/90 inapplicable.</w:t>
            </w:r>
          </w:p>
        </w:tc>
        <w:tc>
          <w:tcPr>
            <w:tcW w:w="1501" w:type="dxa"/>
          </w:tcPr>
          <w:p w:rsidR="00000000" w:rsidRDefault="00000000">
            <w:pPr>
              <w:spacing w:before="80" w:after="80"/>
              <w:ind w:left="113" w:right="113"/>
              <w:rPr>
                <w:iCs/>
                <w:sz w:val="20"/>
              </w:rPr>
            </w:pPr>
            <w:r>
              <w:rPr>
                <w:iCs/>
                <w:sz w:val="20"/>
              </w:rPr>
              <w:t>4 May 2000</w:t>
            </w:r>
          </w:p>
        </w:tc>
      </w:tr>
      <w:tr w:rsidR="00000000">
        <w:tblPrEx>
          <w:tblCellMar>
            <w:top w:w="0" w:type="dxa"/>
            <w:bottom w:w="0" w:type="dxa"/>
          </w:tblCellMar>
        </w:tblPrEx>
        <w:tc>
          <w:tcPr>
            <w:tcW w:w="2392" w:type="dxa"/>
          </w:tcPr>
          <w:p w:rsidR="00000000" w:rsidRDefault="00000000">
            <w:pPr>
              <w:spacing w:before="80" w:after="80"/>
              <w:ind w:left="113" w:right="113"/>
              <w:rPr>
                <w:iCs/>
                <w:sz w:val="20"/>
              </w:rPr>
            </w:pPr>
            <w:r>
              <w:rPr>
                <w:iCs/>
                <w:sz w:val="20"/>
              </w:rPr>
              <w:t>Act No. 1741/01</w:t>
            </w:r>
          </w:p>
        </w:tc>
        <w:tc>
          <w:tcPr>
            <w:tcW w:w="5536" w:type="dxa"/>
          </w:tcPr>
          <w:p w:rsidR="00000000" w:rsidRDefault="00000000">
            <w:pPr>
              <w:spacing w:before="80" w:after="80"/>
              <w:ind w:left="113" w:right="113"/>
              <w:rPr>
                <w:iCs/>
                <w:sz w:val="20"/>
                <w:lang w:val="en-US"/>
              </w:rPr>
            </w:pPr>
            <w:r>
              <w:rPr>
                <w:iCs/>
                <w:sz w:val="20"/>
                <w:lang w:val="en-US"/>
              </w:rPr>
              <w:t>Restructuring the debt contracted by borrowers in the national housing system.</w:t>
            </w:r>
          </w:p>
        </w:tc>
        <w:tc>
          <w:tcPr>
            <w:tcW w:w="1501" w:type="dxa"/>
          </w:tcPr>
          <w:p w:rsidR="00000000" w:rsidRDefault="00000000">
            <w:pPr>
              <w:spacing w:before="80" w:after="80"/>
              <w:ind w:left="113" w:right="113"/>
              <w:rPr>
                <w:iCs/>
                <w:sz w:val="20"/>
              </w:rPr>
            </w:pPr>
            <w:r>
              <w:rPr>
                <w:iCs/>
                <w:sz w:val="20"/>
              </w:rPr>
              <w:t>10 July 2001</w:t>
            </w:r>
          </w:p>
        </w:tc>
      </w:tr>
      <w:tr w:rsidR="00000000">
        <w:tblPrEx>
          <w:tblCellMar>
            <w:top w:w="0" w:type="dxa"/>
            <w:bottom w:w="0" w:type="dxa"/>
          </w:tblCellMar>
        </w:tblPrEx>
        <w:tc>
          <w:tcPr>
            <w:tcW w:w="2392" w:type="dxa"/>
          </w:tcPr>
          <w:p w:rsidR="00000000" w:rsidRDefault="00000000">
            <w:pPr>
              <w:spacing w:before="80" w:after="80"/>
              <w:ind w:left="113" w:right="113"/>
              <w:rPr>
                <w:iCs/>
                <w:sz w:val="20"/>
              </w:rPr>
            </w:pPr>
            <w:r>
              <w:rPr>
                <w:iCs/>
                <w:sz w:val="20"/>
              </w:rPr>
              <w:t>Act No. 1920/02</w:t>
            </w:r>
          </w:p>
        </w:tc>
        <w:tc>
          <w:tcPr>
            <w:tcW w:w="5536" w:type="dxa"/>
          </w:tcPr>
          <w:p w:rsidR="00000000" w:rsidRDefault="00000000">
            <w:pPr>
              <w:spacing w:before="80" w:after="80"/>
              <w:ind w:left="113" w:right="113"/>
              <w:rPr>
                <w:iCs/>
                <w:sz w:val="20"/>
                <w:lang w:val="en-US"/>
              </w:rPr>
            </w:pPr>
            <w:r>
              <w:rPr>
                <w:iCs/>
                <w:sz w:val="20"/>
                <w:lang w:val="en-US"/>
              </w:rPr>
              <w:t>Expanding Act No. 1555/20 establishing standards for determining the current price of housing units and declaring article 27 of Act No. 118/90 inapplicable.</w:t>
            </w:r>
          </w:p>
        </w:tc>
        <w:tc>
          <w:tcPr>
            <w:tcW w:w="1501" w:type="dxa"/>
          </w:tcPr>
          <w:p w:rsidR="00000000" w:rsidRDefault="00000000">
            <w:pPr>
              <w:spacing w:before="80" w:after="80"/>
              <w:ind w:left="113" w:right="113"/>
              <w:rPr>
                <w:iCs/>
                <w:sz w:val="20"/>
              </w:rPr>
            </w:pPr>
            <w:r>
              <w:rPr>
                <w:iCs/>
                <w:sz w:val="20"/>
              </w:rPr>
              <w:t>23 May 2002</w:t>
            </w:r>
          </w:p>
        </w:tc>
      </w:tr>
      <w:tr w:rsidR="00000000">
        <w:tblPrEx>
          <w:tblCellMar>
            <w:top w:w="0" w:type="dxa"/>
            <w:bottom w:w="0" w:type="dxa"/>
          </w:tblCellMar>
        </w:tblPrEx>
        <w:tc>
          <w:tcPr>
            <w:tcW w:w="2392" w:type="dxa"/>
          </w:tcPr>
          <w:p w:rsidR="00000000" w:rsidRDefault="00000000">
            <w:pPr>
              <w:keepNext/>
              <w:spacing w:before="80" w:after="80"/>
              <w:ind w:left="113" w:right="113"/>
              <w:rPr>
                <w:iCs/>
                <w:sz w:val="20"/>
              </w:rPr>
            </w:pPr>
            <w:r>
              <w:rPr>
                <w:iCs/>
                <w:sz w:val="20"/>
              </w:rPr>
              <w:t>Act No. 1896/02</w:t>
            </w:r>
          </w:p>
        </w:tc>
        <w:tc>
          <w:tcPr>
            <w:tcW w:w="5536" w:type="dxa"/>
          </w:tcPr>
          <w:p w:rsidR="00000000" w:rsidRDefault="00000000">
            <w:pPr>
              <w:keepNext/>
              <w:spacing w:before="80" w:after="80"/>
              <w:ind w:left="113" w:right="113"/>
              <w:rPr>
                <w:iCs/>
                <w:sz w:val="20"/>
                <w:lang w:val="en-US"/>
              </w:rPr>
            </w:pPr>
            <w:r>
              <w:rPr>
                <w:iCs/>
                <w:sz w:val="20"/>
                <w:lang w:val="en-US"/>
              </w:rPr>
              <w:t>Expanding the functions of the Savings and Loan Societies for Housing and amending and repealing articles of Act No. 325/71 creating the BNV and the National Savings and Loan System and other related laws.</w:t>
            </w:r>
          </w:p>
        </w:tc>
        <w:tc>
          <w:tcPr>
            <w:tcW w:w="1501" w:type="dxa"/>
          </w:tcPr>
          <w:p w:rsidR="00000000" w:rsidRDefault="00000000">
            <w:pPr>
              <w:keepNext/>
              <w:spacing w:before="80" w:after="80"/>
              <w:ind w:left="113" w:right="113"/>
              <w:rPr>
                <w:iCs/>
                <w:sz w:val="20"/>
                <w:lang w:val="es-ES_tradnl"/>
              </w:rPr>
            </w:pPr>
            <w:r>
              <w:rPr>
                <w:iCs/>
                <w:sz w:val="20"/>
                <w:lang w:val="es-ES_tradnl"/>
              </w:rPr>
              <w:t>22 May 2002</w:t>
            </w:r>
          </w:p>
        </w:tc>
      </w:tr>
      <w:tr w:rsidR="00000000">
        <w:tblPrEx>
          <w:tblCellMar>
            <w:top w:w="0" w:type="dxa"/>
            <w:bottom w:w="0" w:type="dxa"/>
          </w:tblCellMar>
        </w:tblPrEx>
        <w:tc>
          <w:tcPr>
            <w:tcW w:w="2392" w:type="dxa"/>
          </w:tcPr>
          <w:p w:rsidR="00000000" w:rsidRDefault="00000000">
            <w:pPr>
              <w:spacing w:before="80" w:after="80"/>
              <w:ind w:left="113" w:right="113"/>
              <w:rPr>
                <w:iCs/>
                <w:sz w:val="20"/>
                <w:lang w:val="es-ES_tradnl"/>
              </w:rPr>
            </w:pPr>
            <w:r>
              <w:rPr>
                <w:iCs/>
                <w:sz w:val="20"/>
                <w:lang w:val="es-ES_tradnl"/>
              </w:rPr>
              <w:t>Act No. 2026/02</w:t>
            </w:r>
          </w:p>
        </w:tc>
        <w:tc>
          <w:tcPr>
            <w:tcW w:w="5536" w:type="dxa"/>
          </w:tcPr>
          <w:p w:rsidR="00000000" w:rsidRDefault="00000000">
            <w:pPr>
              <w:spacing w:before="80" w:after="80"/>
              <w:ind w:left="113" w:right="113"/>
              <w:rPr>
                <w:iCs/>
                <w:sz w:val="20"/>
                <w:lang w:val="en-US"/>
              </w:rPr>
            </w:pPr>
            <w:r>
              <w:rPr>
                <w:iCs/>
                <w:sz w:val="20"/>
                <w:lang w:val="en-US"/>
              </w:rPr>
              <w:t>Establishing additional norms for the expansion of Act No. 1741/01 restructuring the debt contracted by borrowers in the national housing system.</w:t>
            </w:r>
          </w:p>
        </w:tc>
        <w:tc>
          <w:tcPr>
            <w:tcW w:w="1501" w:type="dxa"/>
          </w:tcPr>
          <w:p w:rsidR="00000000" w:rsidRDefault="00000000">
            <w:pPr>
              <w:spacing w:before="80" w:after="80"/>
              <w:ind w:left="113" w:right="113"/>
              <w:rPr>
                <w:iCs/>
                <w:sz w:val="20"/>
              </w:rPr>
            </w:pPr>
            <w:r>
              <w:rPr>
                <w:iCs/>
                <w:sz w:val="20"/>
              </w:rPr>
              <w:t>21 Nov. 2002</w:t>
            </w:r>
          </w:p>
        </w:tc>
      </w:tr>
      <w:tr w:rsidR="00000000">
        <w:tblPrEx>
          <w:tblCellMar>
            <w:top w:w="0" w:type="dxa"/>
            <w:bottom w:w="0" w:type="dxa"/>
          </w:tblCellMar>
        </w:tblPrEx>
        <w:tc>
          <w:tcPr>
            <w:tcW w:w="2392" w:type="dxa"/>
          </w:tcPr>
          <w:p w:rsidR="00000000" w:rsidRDefault="00000000">
            <w:pPr>
              <w:spacing w:before="80" w:after="80"/>
              <w:ind w:left="113" w:right="113"/>
              <w:rPr>
                <w:iCs/>
                <w:sz w:val="20"/>
              </w:rPr>
            </w:pPr>
            <w:r>
              <w:rPr>
                <w:iCs/>
                <w:sz w:val="20"/>
              </w:rPr>
              <w:t>Act No. 2199/03</w:t>
            </w:r>
          </w:p>
        </w:tc>
        <w:tc>
          <w:tcPr>
            <w:tcW w:w="5536" w:type="dxa"/>
          </w:tcPr>
          <w:p w:rsidR="00000000" w:rsidRDefault="00000000">
            <w:pPr>
              <w:spacing w:before="80" w:after="80"/>
              <w:ind w:left="113" w:right="113"/>
              <w:rPr>
                <w:iCs/>
                <w:sz w:val="20"/>
                <w:lang w:val="en-US"/>
              </w:rPr>
            </w:pPr>
            <w:r>
              <w:rPr>
                <w:iCs/>
                <w:sz w:val="20"/>
                <w:lang w:val="en-US"/>
              </w:rPr>
              <w:t>Providing for the reorganization of the collegiate organs responsible for the management of State-owned enterprises and entities.</w:t>
            </w:r>
          </w:p>
        </w:tc>
        <w:tc>
          <w:tcPr>
            <w:tcW w:w="1501" w:type="dxa"/>
          </w:tcPr>
          <w:p w:rsidR="00000000" w:rsidRDefault="00000000">
            <w:pPr>
              <w:spacing w:before="80" w:after="80"/>
              <w:ind w:left="113" w:right="113"/>
              <w:rPr>
                <w:iCs/>
                <w:sz w:val="20"/>
              </w:rPr>
            </w:pPr>
            <w:r>
              <w:rPr>
                <w:iCs/>
                <w:sz w:val="20"/>
              </w:rPr>
              <w:t>8 Sept. 2003</w:t>
            </w:r>
          </w:p>
        </w:tc>
      </w:tr>
      <w:tr w:rsidR="00000000">
        <w:tblPrEx>
          <w:tblCellMar>
            <w:top w:w="0" w:type="dxa"/>
            <w:bottom w:w="0" w:type="dxa"/>
          </w:tblCellMar>
        </w:tblPrEx>
        <w:tc>
          <w:tcPr>
            <w:tcW w:w="2392" w:type="dxa"/>
          </w:tcPr>
          <w:p w:rsidR="00000000" w:rsidRDefault="00000000">
            <w:pPr>
              <w:spacing w:before="80" w:after="80"/>
              <w:ind w:left="113" w:right="113"/>
              <w:rPr>
                <w:iCs/>
                <w:sz w:val="20"/>
              </w:rPr>
            </w:pPr>
            <w:r>
              <w:rPr>
                <w:iCs/>
                <w:sz w:val="20"/>
              </w:rPr>
              <w:t>Act No. 2329/03</w:t>
            </w:r>
          </w:p>
        </w:tc>
        <w:tc>
          <w:tcPr>
            <w:tcW w:w="5536" w:type="dxa"/>
          </w:tcPr>
          <w:p w:rsidR="00000000" w:rsidRDefault="00000000">
            <w:pPr>
              <w:spacing w:before="80" w:after="80"/>
              <w:ind w:left="113" w:right="113"/>
              <w:rPr>
                <w:iCs/>
                <w:sz w:val="20"/>
                <w:lang w:val="en-US"/>
              </w:rPr>
            </w:pPr>
            <w:r>
              <w:rPr>
                <w:iCs/>
                <w:sz w:val="20"/>
                <w:lang w:val="en-US"/>
              </w:rPr>
              <w:t>Establishing the management framework for Housing Cooperatives and the Cooperative Housing Fund.</w:t>
            </w:r>
          </w:p>
        </w:tc>
        <w:tc>
          <w:tcPr>
            <w:tcW w:w="1501" w:type="dxa"/>
          </w:tcPr>
          <w:p w:rsidR="00000000" w:rsidRDefault="00000000">
            <w:pPr>
              <w:spacing w:before="80" w:after="80"/>
              <w:ind w:left="113" w:right="113"/>
              <w:rPr>
                <w:iCs/>
                <w:sz w:val="20"/>
              </w:rPr>
            </w:pPr>
            <w:r>
              <w:rPr>
                <w:iCs/>
                <w:sz w:val="20"/>
              </w:rPr>
              <w:t>19 Aug. 2003</w:t>
            </w:r>
          </w:p>
        </w:tc>
      </w:tr>
      <w:tr w:rsidR="00000000">
        <w:tblPrEx>
          <w:tblCellMar>
            <w:top w:w="0" w:type="dxa"/>
            <w:bottom w:w="0" w:type="dxa"/>
          </w:tblCellMar>
        </w:tblPrEx>
        <w:tc>
          <w:tcPr>
            <w:tcW w:w="2392" w:type="dxa"/>
          </w:tcPr>
          <w:p w:rsidR="00000000" w:rsidRDefault="00000000">
            <w:pPr>
              <w:spacing w:before="80" w:after="80"/>
              <w:ind w:left="113" w:right="113"/>
              <w:rPr>
                <w:iCs/>
                <w:sz w:val="20"/>
              </w:rPr>
            </w:pPr>
            <w:r>
              <w:rPr>
                <w:iCs/>
                <w:sz w:val="20"/>
              </w:rPr>
              <w:t>Act No. 2253/03</w:t>
            </w:r>
          </w:p>
        </w:tc>
        <w:tc>
          <w:tcPr>
            <w:tcW w:w="5536" w:type="dxa"/>
          </w:tcPr>
          <w:p w:rsidR="00000000" w:rsidRDefault="00000000">
            <w:pPr>
              <w:spacing w:before="80" w:after="80"/>
              <w:ind w:left="113" w:right="113"/>
              <w:rPr>
                <w:iCs/>
                <w:sz w:val="20"/>
                <w:lang w:val="en-US"/>
              </w:rPr>
            </w:pPr>
            <w:r>
              <w:rPr>
                <w:iCs/>
                <w:sz w:val="20"/>
                <w:lang w:val="en-US"/>
              </w:rPr>
              <w:t>Extending the time frame established in article 1 of Act No. 2084/03 for the implementation and enforcement of Act No. 1555/00</w:t>
            </w:r>
          </w:p>
        </w:tc>
        <w:tc>
          <w:tcPr>
            <w:tcW w:w="1501" w:type="dxa"/>
          </w:tcPr>
          <w:p w:rsidR="00000000" w:rsidRDefault="00000000">
            <w:pPr>
              <w:spacing w:before="80" w:after="80"/>
              <w:ind w:left="113" w:right="113"/>
              <w:rPr>
                <w:iCs/>
                <w:sz w:val="20"/>
              </w:rPr>
            </w:pPr>
            <w:r>
              <w:rPr>
                <w:iCs/>
                <w:sz w:val="20"/>
              </w:rPr>
              <w:t>13 Oct. 2003</w:t>
            </w:r>
          </w:p>
        </w:tc>
      </w:tr>
      <w:tr w:rsidR="00000000">
        <w:tblPrEx>
          <w:tblCellMar>
            <w:top w:w="0" w:type="dxa"/>
            <w:bottom w:w="0" w:type="dxa"/>
          </w:tblCellMar>
        </w:tblPrEx>
        <w:tc>
          <w:tcPr>
            <w:tcW w:w="2392" w:type="dxa"/>
            <w:tcBorders>
              <w:bottom w:val="nil"/>
            </w:tcBorders>
          </w:tcPr>
          <w:p w:rsidR="00000000" w:rsidRDefault="00000000">
            <w:pPr>
              <w:spacing w:before="80" w:after="80"/>
              <w:ind w:left="113" w:right="113"/>
              <w:rPr>
                <w:iCs/>
                <w:sz w:val="20"/>
              </w:rPr>
            </w:pPr>
            <w:r>
              <w:rPr>
                <w:iCs/>
                <w:sz w:val="20"/>
              </w:rPr>
              <w:t>Act No. 2637/05</w:t>
            </w:r>
          </w:p>
        </w:tc>
        <w:tc>
          <w:tcPr>
            <w:tcW w:w="5536" w:type="dxa"/>
            <w:tcBorders>
              <w:bottom w:val="nil"/>
            </w:tcBorders>
          </w:tcPr>
          <w:p w:rsidR="00000000" w:rsidRDefault="00000000">
            <w:pPr>
              <w:spacing w:before="80" w:after="80"/>
              <w:ind w:left="113" w:right="113"/>
              <w:rPr>
                <w:iCs/>
                <w:sz w:val="20"/>
                <w:lang w:val="en-US"/>
              </w:rPr>
            </w:pPr>
            <w:r>
              <w:rPr>
                <w:iCs/>
                <w:sz w:val="20"/>
                <w:lang w:val="en-US"/>
              </w:rPr>
              <w:t>Authorizing CONAVI/BNV to implement a Social Assistance System and establishing  a new regime for the restructuring of mortgage loans referred to in Acts Nos. 1741/01 and 2026/02.</w:t>
            </w:r>
          </w:p>
        </w:tc>
        <w:tc>
          <w:tcPr>
            <w:tcW w:w="1501" w:type="dxa"/>
            <w:tcBorders>
              <w:bottom w:val="nil"/>
            </w:tcBorders>
          </w:tcPr>
          <w:p w:rsidR="00000000" w:rsidRDefault="00000000">
            <w:pPr>
              <w:spacing w:before="80" w:after="80"/>
              <w:ind w:left="113" w:right="113"/>
              <w:rPr>
                <w:iCs/>
                <w:sz w:val="20"/>
              </w:rPr>
            </w:pPr>
            <w:r>
              <w:rPr>
                <w:iCs/>
                <w:sz w:val="20"/>
              </w:rPr>
              <w:t>7 July 2005</w:t>
            </w:r>
          </w:p>
        </w:tc>
      </w:tr>
      <w:tr w:rsidR="00000000">
        <w:tblPrEx>
          <w:tblCellMar>
            <w:top w:w="0" w:type="dxa"/>
            <w:bottom w:w="0" w:type="dxa"/>
          </w:tblCellMar>
        </w:tblPrEx>
        <w:tc>
          <w:tcPr>
            <w:tcW w:w="2392" w:type="dxa"/>
            <w:tcBorders>
              <w:bottom w:val="single" w:sz="4" w:space="0" w:color="auto"/>
            </w:tcBorders>
          </w:tcPr>
          <w:p w:rsidR="00000000" w:rsidRDefault="00000000">
            <w:pPr>
              <w:spacing w:before="80" w:after="80"/>
              <w:ind w:left="113" w:right="113"/>
              <w:rPr>
                <w:iCs/>
                <w:sz w:val="20"/>
              </w:rPr>
            </w:pPr>
            <w:r>
              <w:rPr>
                <w:iCs/>
                <w:sz w:val="20"/>
              </w:rPr>
              <w:t>Act No. 2640/05</w:t>
            </w:r>
          </w:p>
        </w:tc>
        <w:tc>
          <w:tcPr>
            <w:tcW w:w="5536" w:type="dxa"/>
            <w:tcBorders>
              <w:bottom w:val="single" w:sz="4" w:space="0" w:color="auto"/>
            </w:tcBorders>
          </w:tcPr>
          <w:p w:rsidR="00000000" w:rsidRDefault="00000000">
            <w:pPr>
              <w:spacing w:before="80" w:after="80"/>
              <w:ind w:left="113" w:right="113"/>
              <w:rPr>
                <w:iCs/>
                <w:sz w:val="20"/>
                <w:lang w:val="en-US"/>
              </w:rPr>
            </w:pPr>
            <w:r>
              <w:rPr>
                <w:iCs/>
                <w:sz w:val="20"/>
                <w:lang w:val="en-US"/>
              </w:rPr>
              <w:t>Creating the Development Financing Agency. (In article 22 of Chapter II abolishes the National Housing Bank).</w:t>
            </w:r>
          </w:p>
        </w:tc>
        <w:tc>
          <w:tcPr>
            <w:tcW w:w="1501" w:type="dxa"/>
            <w:tcBorders>
              <w:bottom w:val="single" w:sz="4" w:space="0" w:color="auto"/>
            </w:tcBorders>
          </w:tcPr>
          <w:p w:rsidR="00000000" w:rsidRDefault="00000000">
            <w:pPr>
              <w:spacing w:before="80" w:after="80"/>
              <w:ind w:left="113" w:right="113"/>
              <w:rPr>
                <w:iCs/>
                <w:sz w:val="20"/>
              </w:rPr>
            </w:pPr>
            <w:r>
              <w:rPr>
                <w:iCs/>
                <w:sz w:val="20"/>
              </w:rPr>
              <w:t>21 July 2005</w:t>
            </w:r>
          </w:p>
        </w:tc>
      </w:tr>
    </w:tbl>
    <w:p w:rsidR="00000000" w:rsidRDefault="00000000">
      <w:pPr>
        <w:spacing w:after="240"/>
      </w:pPr>
    </w:p>
    <w:p w:rsidR="00000000" w:rsidRDefault="00000000">
      <w:pPr>
        <w:spacing w:after="240"/>
        <w:rPr>
          <w:lang w:val="en-US"/>
        </w:rPr>
      </w:pPr>
      <w:r>
        <w:rPr>
          <w:lang w:val="en-US"/>
        </w:rPr>
        <w:t>434.</w:t>
      </w:r>
      <w:r>
        <w:rPr>
          <w:lang w:val="en-US"/>
        </w:rPr>
        <w:tab/>
        <w:t>There is no draft law for reform in Paraguay that impedes full exercise of the right to housing.</w:t>
      </w:r>
    </w:p>
    <w:p w:rsidR="00000000" w:rsidRDefault="00000000">
      <w:pPr>
        <w:spacing w:after="240"/>
        <w:rPr>
          <w:b/>
          <w:lang w:val="en-US"/>
        </w:rPr>
      </w:pPr>
      <w:r>
        <w:rPr>
          <w:b/>
          <w:lang w:val="en-US"/>
        </w:rPr>
        <w:t>3.5</w:t>
      </w:r>
      <w:r>
        <w:rPr>
          <w:b/>
          <w:lang w:val="en-US"/>
        </w:rPr>
        <w:tab/>
        <w:t>Legislation on speculation on housing and property</w:t>
      </w:r>
    </w:p>
    <w:p w:rsidR="00000000" w:rsidRDefault="00000000">
      <w:pPr>
        <w:spacing w:after="240"/>
        <w:rPr>
          <w:lang w:val="en-US"/>
        </w:rPr>
      </w:pPr>
      <w:r>
        <w:rPr>
          <w:lang w:val="en-US"/>
        </w:rPr>
        <w:t>435.</w:t>
      </w:r>
      <w:r>
        <w:rPr>
          <w:lang w:val="en-US"/>
        </w:rPr>
        <w:tab/>
        <w:t>The Paraguayan Civil Code provides for “family property”, defined as constituting a building and essential furnishings of a home and being immune from seizure. This provision favours spouses: cohabitants, male or female; biological or adopted minor children and the incapacitated adults; parents and other ascendants over 70 years of age; and minor or disabled siblings.</w:t>
      </w:r>
    </w:p>
    <w:p w:rsidR="00000000" w:rsidRDefault="00000000">
      <w:pPr>
        <w:spacing w:after="240"/>
        <w:rPr>
          <w:b/>
          <w:lang w:val="en-US"/>
        </w:rPr>
      </w:pPr>
      <w:r>
        <w:rPr>
          <w:b/>
          <w:lang w:val="en-US"/>
        </w:rPr>
        <w:t>3.6</w:t>
      </w:r>
      <w:r>
        <w:rPr>
          <w:b/>
          <w:lang w:val="en-US"/>
        </w:rPr>
        <w:tab/>
        <w:t>Regularization of illegal dwellings</w:t>
      </w:r>
    </w:p>
    <w:p w:rsidR="00000000" w:rsidRDefault="00000000">
      <w:pPr>
        <w:spacing w:after="240"/>
        <w:rPr>
          <w:lang w:val="en-US"/>
        </w:rPr>
      </w:pPr>
      <w:r>
        <w:rPr>
          <w:lang w:val="en-US"/>
        </w:rPr>
        <w:t>436.</w:t>
      </w:r>
      <w:r>
        <w:rPr>
          <w:lang w:val="en-US"/>
        </w:rPr>
        <w:tab/>
        <w:t>The Programme for Regularization of Settlements in Municipalities of the Central Department (PRAM) has been in existence since 1995. It was created by Ministry of the Interior Decision No. 11177 of 1995 in response to a petition by homeless families joined together in the National Coordination Office for People’s Organizations (CONOP). In 2000 the earlier decision was repealed by Decree No. 8487/00 and CONAVI was entrusted with implementation of the programme. PRAM’s goal is to award a plot of land to every family with scant economic resources and living permanently in organized human settlements. Most of the beneficiary heads of families are informal-sector workers without stable incomes. The programme provides for the purchase of free land by the State for subsequent sale at low prices, financed over extended periods and with accessible instalments, so as to avoid further squatting on private property.</w:t>
      </w:r>
    </w:p>
    <w:p w:rsidR="00000000" w:rsidRDefault="00000000">
      <w:pPr>
        <w:spacing w:after="240"/>
        <w:rPr>
          <w:lang w:val="en-US"/>
        </w:rPr>
      </w:pPr>
      <w:r>
        <w:rPr>
          <w:lang w:val="en-US"/>
        </w:rPr>
        <w:t>437.</w:t>
      </w:r>
      <w:r>
        <w:rPr>
          <w:lang w:val="en-US"/>
        </w:rPr>
        <w:tab/>
        <w:t xml:space="preserve">Likewise, on 26 November 2003 the Executive, by Decree No. </w:t>
      </w:r>
      <w:r>
        <w:t>1038</w:t>
      </w:r>
      <w:r>
        <w:rPr>
          <w:lang w:val="en-US"/>
        </w:rPr>
        <w:t>, repealed the decree whereby the PRAM had been entrusted to CONAVI and authorized the Social Action Secretariat to take over its implementation. During the period in which PRAM was executed by CONAVI 1,500 families benefited from the programme.</w:t>
      </w:r>
    </w:p>
    <w:p w:rsidR="00000000" w:rsidRDefault="00000000">
      <w:pPr>
        <w:numPr>
          <w:ilvl w:val="0"/>
          <w:numId w:val="15"/>
        </w:numPr>
        <w:spacing w:after="240"/>
        <w:ind w:left="0" w:firstLine="0"/>
        <w:rPr>
          <w:b/>
          <w:bCs/>
        </w:rPr>
      </w:pPr>
      <w:r>
        <w:rPr>
          <w:b/>
          <w:bCs/>
        </w:rPr>
        <w:t xml:space="preserve">Healthy environment </w:t>
      </w:r>
    </w:p>
    <w:p w:rsidR="00000000" w:rsidRDefault="00000000">
      <w:pPr>
        <w:spacing w:after="240"/>
      </w:pPr>
      <w:r>
        <w:rPr>
          <w:lang w:val="en-US"/>
        </w:rPr>
        <w:t>438</w:t>
      </w:r>
      <w:r>
        <w:t>.</w:t>
      </w:r>
      <w:r>
        <w:tab/>
        <w:t xml:space="preserve">The Environment Secretariat, created by Act No. 1561/00, has the nature of an authority directing the implementation of a number of laws concerning the environment. These include Act No. 294/93 “Concerning the Evaluation of Environmental Impact”), its amending Act (No. 345/94) and the decree regulating it. </w:t>
      </w:r>
    </w:p>
    <w:p w:rsidR="00000000" w:rsidRDefault="00000000">
      <w:pPr>
        <w:spacing w:after="240"/>
      </w:pPr>
      <w:r>
        <w:rPr>
          <w:lang w:val="en-US"/>
        </w:rPr>
        <w:t>439</w:t>
      </w:r>
      <w:r>
        <w:t>.</w:t>
      </w:r>
      <w:r>
        <w:tab/>
        <w:t xml:space="preserve">It is important to mention that the right to a healthy environment is of a constitutional nature, being provided for in article 7 of that instrument. Article 8 of the same instrument lays down the guidelines for environmental protection. Furthermore,  article 38 of the National Constitution provides for the right of defence of a variety of interests in the following terms: “Everyone has the right individually or collectively to demand of the public authorities measures for the defence of the environment, the integrity of habitat, public health, the common national culture, consumer interests and other interests which by their legal nature pertain to the community and have a relation to the quality of life and the collective heritage”. </w:t>
      </w:r>
    </w:p>
    <w:p w:rsidR="00000000" w:rsidRDefault="00000000">
      <w:pPr>
        <w:spacing w:after="240"/>
      </w:pPr>
      <w:r>
        <w:rPr>
          <w:lang w:val="en-US"/>
        </w:rPr>
        <w:t>440</w:t>
      </w:r>
      <w:r>
        <w:t>.</w:t>
      </w:r>
      <w:r>
        <w:tab/>
        <w:t xml:space="preserve">Act No. 294/93 defines environmental impact as any change in the environment caused by human works or activities which positively or negatively, directly or indirectly, affect life in general, biodiversity, the quality or a significant quantity of natural or environmental resources and their provision, wellbeing, health, personal safety, habits and customs, the cultural heritage or legitimate ways of life. Articles 1 and 2 provide for scientific studies permitting the identification, forecasting and evaluation of environmental impacts in all planned works or activities and their performance. </w:t>
      </w:r>
    </w:p>
    <w:p w:rsidR="00000000" w:rsidRDefault="00000000">
      <w:pPr>
        <w:spacing w:after="240"/>
      </w:pPr>
      <w:r>
        <w:rPr>
          <w:lang w:val="en-US"/>
        </w:rPr>
        <w:t>441</w:t>
      </w:r>
      <w:r>
        <w:t>.</w:t>
      </w:r>
      <w:r>
        <w:tab/>
        <w:t xml:space="preserve">Act No. 352/94 (“Concerning Protected Forest Areas”) is designed to establish general rules to govern the conduct and the administration of the National Protected Forest Areas System, to which end a strategic plan will be provided. </w:t>
      </w:r>
    </w:p>
    <w:p w:rsidR="00000000" w:rsidRDefault="00000000">
      <w:pPr>
        <w:spacing w:after="240"/>
      </w:pPr>
      <w:r>
        <w:rPr>
          <w:lang w:val="en-US"/>
        </w:rPr>
        <w:t>442</w:t>
      </w:r>
      <w:r>
        <w:t>.</w:t>
      </w:r>
      <w:r>
        <w:tab/>
        <w:t xml:space="preserve">The National Protected Forest Areas System is declared to be of social interest and public utility and will be governed by the Act and the regulations issued under it. Every inhabitant, private organization and institution of State is under an obligation to safeguard protected forest areas. </w:t>
      </w:r>
    </w:p>
    <w:p w:rsidR="00000000" w:rsidRDefault="00000000">
      <w:pPr>
        <w:spacing w:after="240"/>
      </w:pPr>
      <w:r>
        <w:rPr>
          <w:lang w:val="en-US"/>
        </w:rPr>
        <w:t>443</w:t>
      </w:r>
      <w:r>
        <w:t>.</w:t>
      </w:r>
      <w:r>
        <w:tab/>
        <w:t xml:space="preserve">Act No. 352/94 defines the region adjacent to the entire perimeter of a protected forest area as a buffer zone. It will vary in size, and its boundaries will be fixed by the plan for the management of the protected forest area in question. In these zones solidarity, mutual benefit and the necessary responsibility shared among the administration of the protected forest area in question and the communities, the individuals and the private and governmental organizations for the management of the protected forest area and sustainable socioeconomic development find expression. Since a wide range of jurisdictional and sectoral powers are vested in a zone, the administration of a protected forest area confines itself to promoting, stimulating and, to the extent of its technical and financial resources, participating in the sustainable development of the zone by socio-environmental education activities therein. </w:t>
      </w:r>
    </w:p>
    <w:p w:rsidR="00000000" w:rsidRDefault="00000000">
      <w:pPr>
        <w:spacing w:after="240"/>
      </w:pPr>
      <w:r>
        <w:rPr>
          <w:lang w:val="en-US"/>
        </w:rPr>
        <w:t>444</w:t>
      </w:r>
      <w:r>
        <w:t>.</w:t>
      </w:r>
      <w:r>
        <w:tab/>
        <w:t xml:space="preserve">Act No. 2425/24 (“Concerning the prohibition in the eastern region of activities of transformation and conversion of woodland areas “) is designed to foster the protection, recovery and improvement of native forests in that region, so that, within a framework of sustainable development, woodland can serve its environmental, social and  economic purposes, contributing to the improvement of the quality of life of the inhabitants of the country. </w:t>
      </w:r>
    </w:p>
    <w:p w:rsidR="00000000" w:rsidRDefault="00000000">
      <w:pPr>
        <w:spacing w:after="240"/>
      </w:pPr>
      <w:r>
        <w:rPr>
          <w:lang w:val="en-US"/>
        </w:rPr>
        <w:t>445</w:t>
      </w:r>
      <w:r>
        <w:t>.</w:t>
      </w:r>
      <w:r>
        <w:tab/>
        <w:t xml:space="preserve">Under article 15 of Act No. 1561/00 the Environment Secretariat exercises authority in matters within its area of competence and in coordination with the other authorities with competence under other laws such as Act No. 836/80 (“Health Code”). </w:t>
      </w:r>
    </w:p>
    <w:p w:rsidR="00000000" w:rsidRDefault="00000000">
      <w:pPr>
        <w:spacing w:after="240"/>
      </w:pPr>
      <w:r>
        <w:rPr>
          <w:lang w:val="en-US"/>
        </w:rPr>
        <w:t>446</w:t>
      </w:r>
      <w:r>
        <w:t>.</w:t>
      </w:r>
      <w:r>
        <w:tab/>
        <w:t>The Health Code regulates the functions of the State in matters relating to the comprehensive health care of the people and the rights and obligations of those concerned in this area. The health sector comprises all the institutions, both public and private, having any connection, direct or indirect, with the health of the population through their activities. The Ministry of Public Health and Social Welfare is the apex body of State with competence in the areas of health and fundamental aspects of social welfare. In accordance with articles 1 – 4 of Act No. 836/80 authority in health matters will be exercised by the Ministry of Public Health and Social Welfare with the responsibilities and powers relating to the implementation of the provisions of the Code and its attendant regulations.</w:t>
      </w:r>
    </w:p>
    <w:p w:rsidR="00000000" w:rsidRDefault="00000000">
      <w:pPr>
        <w:spacing w:after="240"/>
      </w:pPr>
      <w:r>
        <w:rPr>
          <w:b/>
          <w:bCs/>
        </w:rPr>
        <w:t>4.1.</w:t>
      </w:r>
      <w:r>
        <w:rPr>
          <w:b/>
          <w:bCs/>
        </w:rPr>
        <w:tab/>
        <w:t>Measures taken during the period 1994-2000</w:t>
      </w:r>
    </w:p>
    <w:p w:rsidR="00000000" w:rsidRDefault="00000000">
      <w:pPr>
        <w:spacing w:after="240"/>
      </w:pPr>
      <w:r>
        <w:rPr>
          <w:lang w:val="en-US"/>
        </w:rPr>
        <w:t>447</w:t>
      </w:r>
      <w:r>
        <w:t>.</w:t>
      </w:r>
      <w:r>
        <w:tab/>
        <w:t xml:space="preserve">During that period there was no government institution with ministerial rank responsible for environmental health. The subject-matter was divided between two ministries, the Ministry of Public Health and Social Welfare – acting through the National Environmental Health Service - and the Ministry of Agriculture and Livestock, acting through the Under-Secretariat of State for Natural Resources and Environment.. The Ministry of Health and Social Welfare had set up environmental and occupational health units; in addition, commissions concerned with the environment and reporting to the national legislature and local authorities were established and introduced. </w:t>
      </w:r>
    </w:p>
    <w:p w:rsidR="00000000" w:rsidRDefault="00000000">
      <w:pPr>
        <w:spacing w:after="240"/>
      </w:pPr>
      <w:r>
        <w:rPr>
          <w:lang w:val="en-US"/>
        </w:rPr>
        <w:t>448</w:t>
      </w:r>
      <w:r>
        <w:t>.</w:t>
      </w:r>
      <w:r>
        <w:tab/>
        <w:t xml:space="preserve">The Directorate-General of the National Environmental Health Service (SENASA), established under Act No. 369/72, is a technical body and, at the same time, the authority which administers the Health Code. It discharges the functions of executing and monitoring environmental health programmes relating to the supply of drinking water, the disposal of solid waste, food controls, occupational safety and hygiene and drainage in rural and urban areas with up to 4,000 inhabitants. </w:t>
      </w:r>
    </w:p>
    <w:p w:rsidR="00000000" w:rsidRDefault="00000000">
      <w:pPr>
        <w:spacing w:after="240"/>
      </w:pPr>
      <w:r>
        <w:rPr>
          <w:b/>
          <w:bCs/>
        </w:rPr>
        <w:t>4.2.</w:t>
      </w:r>
      <w:r>
        <w:rPr>
          <w:b/>
          <w:bCs/>
        </w:rPr>
        <w:tab/>
        <w:t>The National Environment System</w:t>
      </w:r>
    </w:p>
    <w:p w:rsidR="00000000" w:rsidRDefault="00000000">
      <w:pPr>
        <w:spacing w:after="240"/>
      </w:pPr>
      <w:r>
        <w:rPr>
          <w:lang w:val="en-US"/>
        </w:rPr>
        <w:t>449</w:t>
      </w:r>
      <w:r>
        <w:t>.</w:t>
      </w:r>
      <w:r>
        <w:tab/>
        <w:t xml:space="preserve">There has been progress in the field of environmental legislation; a number of items of legislation on environmental matters have been promulgated during the last five years. The most general problem was the absence of certain laws, regulations concerning other laws already in force, and enforcement. The conflicts and difficulties of interpretation which arose in connection with the implementation of the laws which emerged in a few cases were due fundamentally to the fact that previously existing standards had not been expressly repealed and that it was unclear which provision should be applied to a specific problem. This situation gave rise to numerous difficulties in the implementation of environmental legislation, since generally the new laws did not specifically repeal the previous legislation. </w:t>
      </w:r>
    </w:p>
    <w:p w:rsidR="00000000" w:rsidRDefault="00000000">
      <w:pPr>
        <w:spacing w:after="240"/>
      </w:pPr>
      <w:r>
        <w:rPr>
          <w:lang w:val="en-US"/>
        </w:rPr>
        <w:t>450</w:t>
      </w:r>
      <w:r>
        <w:t>.</w:t>
      </w:r>
      <w:r>
        <w:tab/>
        <w:t xml:space="preserve">To correct these shortcomings Act No. 1561/00 (“Establishing the National Environment System, the National Council for the Environment and the Environment Secretariat”) was adopted on 29 May 2000. The purpose of this Act is the creation of the bodies responsible for the elaboration, standardization, coordination, implementation and enforcement of national environmental policy and management and to regulate their functions. The National Environment System (SISNAM), consisting of all the public bodies and entities in national, departmental and municipal governments with competence in the environmental field, together with private bodies created for the same purpose, is designed to ensure that all act in a joint, harmonious and orderly manner in the search for responses and solutions to environmental problems. A further aim is to avert conflicts between institutions and gaps in or overlapping of competences so as to respond effectively and efficiently to the objectives of environmental policy. </w:t>
      </w:r>
    </w:p>
    <w:p w:rsidR="00000000" w:rsidRDefault="00000000">
      <w:pPr>
        <w:spacing w:after="240"/>
      </w:pPr>
      <w:r>
        <w:rPr>
          <w:lang w:val="en-US"/>
        </w:rPr>
        <w:t>451</w:t>
      </w:r>
      <w:r>
        <w:t>.</w:t>
      </w:r>
      <w:r>
        <w:tab/>
        <w:t xml:space="preserve">The National Council for the Environment (CONAM) is a collegiate body of an interinstitutional nature. It acts as a decision-making and advisory body and defines national environmental policy. Its membership consists of the Executive Secretary of the Environment Secretariat, who is the Chairman; representatives of the environment units in the ministries, secretariats and sectoral public organizations; the environment secretariats and departments in governments of departments and municipalities; and representatives of occupational associations, of the private sectors of production and of non-profit-seeking non-governmental organizations concerned with the environment. </w:t>
      </w:r>
    </w:p>
    <w:p w:rsidR="00000000" w:rsidRDefault="00000000">
      <w:pPr>
        <w:spacing w:after="240"/>
      </w:pPr>
      <w:r>
        <w:rPr>
          <w:lang w:val="en-US"/>
        </w:rPr>
        <w:t>452</w:t>
      </w:r>
      <w:r>
        <w:t>.</w:t>
      </w:r>
      <w:r>
        <w:tab/>
        <w:t xml:space="preserve">The Environment Secretariat (SEAM) is an autonomous and independent institution with legal personality in public law and its own assets; it is constituted for an indefinite period. It reports to the President of the Republic. It will be governed by the provisions of this Act and the regulatory decrees issued for the purpose. Its purpose is the elaboration, standardization, coordination, implementation and enforcement of national environmental policy. </w:t>
      </w:r>
    </w:p>
    <w:p w:rsidR="00000000" w:rsidRDefault="00000000">
      <w:pPr>
        <w:spacing w:after="240"/>
      </w:pPr>
      <w:r>
        <w:rPr>
          <w:lang w:val="en-US"/>
        </w:rPr>
        <w:t>453</w:t>
      </w:r>
      <w:r>
        <w:t>.</w:t>
      </w:r>
      <w:r>
        <w:tab/>
        <w:t xml:space="preserve">In conclusion, it must be pointed out that there is a new National Policy on the Environment, approved by Decision No. 04/05 of 31 May 2005, which lays down a set of general objectives, principles, criteria and guidelines for the protection of the environment in a society with a view to ensuring the environmental sustainability of development for present and future generations and establish the criteria of transversality which will orientate sectoral policies. </w:t>
      </w:r>
    </w:p>
    <w:p w:rsidR="00000000" w:rsidRDefault="00000000">
      <w:pPr>
        <w:spacing w:after="240"/>
      </w:pPr>
      <w:r>
        <w:rPr>
          <w:lang w:val="en-US"/>
        </w:rPr>
        <w:t>454</w:t>
      </w:r>
      <w:r>
        <w:t>.</w:t>
      </w:r>
      <w:r>
        <w:tab/>
        <w:t xml:space="preserve">As regards the measures adopted and the specific activities carried out by the Environment Secretariat having a connection with the implementation of this Article, see Annex VI (annual reports of the Environment Secretariat, 2001-2005). </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smallCaps/>
          <w:lang w:val="en-GB" w:eastAsia="en-US"/>
        </w:rPr>
      </w:pPr>
      <w:r>
        <w:rPr>
          <w:rFonts w:ascii="Times New Roman" w:eastAsia="Times New Roman" w:hAnsi="Times New Roman" w:cs="Times New Roman"/>
          <w:smallCaps/>
          <w:lang w:val="en-GB" w:eastAsia="en-US"/>
        </w:rPr>
        <w:t>Article 12</w:t>
      </w:r>
    </w:p>
    <w:p w:rsidR="00000000" w:rsidRDefault="00000000">
      <w:pPr>
        <w:pStyle w:val="xl27"/>
        <w:pBdr>
          <w:left w:val="none" w:sz="0" w:space="0" w:color="auto"/>
          <w:bottom w:val="none" w:sz="0" w:space="0" w:color="auto"/>
          <w:right w:val="none" w:sz="0" w:space="0" w:color="auto"/>
        </w:pBdr>
        <w:spacing w:before="0" w:beforeAutospacing="0" w:after="240" w:afterAutospacing="0"/>
        <w:rPr>
          <w:rFonts w:ascii="Times New Roman" w:eastAsia="Times New Roman" w:hAnsi="Times New Roman" w:cs="Times New Roman"/>
          <w:lang w:val="en-GB" w:eastAsia="en-US"/>
        </w:rPr>
      </w:pPr>
      <w:r>
        <w:rPr>
          <w:rFonts w:ascii="Times New Roman" w:eastAsia="Times New Roman" w:hAnsi="Times New Roman" w:cs="Times New Roman"/>
          <w:lang w:val="en-GB" w:eastAsia="en-US"/>
        </w:rPr>
        <w:t>A.  General health situation</w:t>
      </w:r>
    </w:p>
    <w:p w:rsidR="00000000" w:rsidRDefault="00000000">
      <w:pPr>
        <w:spacing w:after="240"/>
      </w:pPr>
      <w:r>
        <w:rPr>
          <w:lang w:val="en-US"/>
        </w:rPr>
        <w:t>455</w:t>
      </w:r>
      <w:r>
        <w:t>.</w:t>
      </w:r>
      <w:r>
        <w:tab/>
        <w:t xml:space="preserve">In Paraguay the five principal causes of illness are related to the environment and the living conditions of the population. </w:t>
      </w:r>
      <w:r>
        <w:tab/>
        <w:t xml:space="preserve">They are: (acute respiratory infections (ARIs), diarrhoeas, intestinal parasitoses and anaemias. Cases of diarrhoea among babies under one year of age are still one of the most frequent causes of illness; they are followed by respiratory diseases and nutritional deficiencies. The principal diseases occurring among children under age 5 are those which arise during the perinatal period, and in particular intestinal and acute respiratory infections. The low levels of drainage cover explain to a considerable degree the prevalence of avoidable diseases. </w:t>
      </w:r>
    </w:p>
    <w:p w:rsidR="00000000" w:rsidRDefault="00000000">
      <w:pPr>
        <w:spacing w:after="240"/>
        <w:jc w:val="center"/>
        <w:rPr>
          <w:sz w:val="28"/>
          <w:lang w:val="en-US"/>
        </w:rPr>
      </w:pPr>
      <w:r>
        <w:rPr>
          <w:b/>
          <w:bCs/>
          <w:sz w:val="22"/>
          <w:szCs w:val="22"/>
        </w:rPr>
        <w:t xml:space="preserve">Principal diseases recorded in MSP and BS services – </w:t>
      </w:r>
      <w:r>
        <w:rPr>
          <w:b/>
          <w:bCs/>
          <w:sz w:val="22"/>
          <w:szCs w:val="20"/>
        </w:rPr>
        <w:t xml:space="preserve">Morbidity in out-patient surgeries / cases of illness per year, </w:t>
      </w:r>
      <w:r>
        <w:rPr>
          <w:b/>
          <w:bCs/>
          <w:sz w:val="22"/>
          <w:lang w:val="en-US"/>
        </w:rPr>
        <w:t>1995 - 2005</w:t>
      </w:r>
    </w:p>
    <w:tbl>
      <w:tblPr>
        <w:tblW w:w="5000" w:type="pct"/>
        <w:tblLayout w:type="fixed"/>
        <w:tblCellMar>
          <w:left w:w="0" w:type="dxa"/>
          <w:right w:w="0" w:type="dxa"/>
        </w:tblCellMar>
        <w:tblLook w:val="0000" w:firstRow="0" w:lastRow="0" w:firstColumn="0" w:lastColumn="0" w:noHBand="0" w:noVBand="0"/>
      </w:tblPr>
      <w:tblGrid>
        <w:gridCol w:w="1912"/>
        <w:gridCol w:w="667"/>
        <w:gridCol w:w="666"/>
        <w:gridCol w:w="666"/>
        <w:gridCol w:w="666"/>
        <w:gridCol w:w="666"/>
        <w:gridCol w:w="666"/>
        <w:gridCol w:w="666"/>
        <w:gridCol w:w="666"/>
        <w:gridCol w:w="666"/>
        <w:gridCol w:w="666"/>
        <w:gridCol w:w="856"/>
      </w:tblGrid>
      <w:tr w:rsidR="00000000">
        <w:tc>
          <w:tcPr>
            <w:tcW w:w="1912" w:type="dxa"/>
            <w:tcBorders>
              <w:top w:val="single" w:sz="4" w:space="0" w:color="auto"/>
              <w:bottom w:val="single" w:sz="4" w:space="0" w:color="auto"/>
            </w:tcBorders>
            <w:noWrap/>
            <w:vAlign w:val="bottom"/>
          </w:tcPr>
          <w:p w:rsidR="00000000" w:rsidRDefault="00000000">
            <w:pPr>
              <w:spacing w:before="80" w:after="80"/>
              <w:jc w:val="center"/>
              <w:rPr>
                <w:b/>
                <w:bCs/>
                <w:i/>
                <w:iCs/>
                <w:sz w:val="18"/>
                <w:szCs w:val="22"/>
                <w:lang w:val="pt-BR"/>
              </w:rPr>
            </w:pPr>
            <w:r>
              <w:rPr>
                <w:b/>
                <w:bCs/>
                <w:i/>
                <w:iCs/>
                <w:sz w:val="18"/>
                <w:szCs w:val="22"/>
                <w:lang w:val="pt-BR"/>
              </w:rPr>
              <w:t>ILLNESS</w:t>
            </w:r>
          </w:p>
        </w:tc>
        <w:tc>
          <w:tcPr>
            <w:tcW w:w="667" w:type="dxa"/>
            <w:tcBorders>
              <w:top w:val="single" w:sz="4" w:space="0" w:color="auto"/>
              <w:bottom w:val="single" w:sz="4" w:space="0" w:color="auto"/>
            </w:tcBorders>
            <w:noWrap/>
            <w:vAlign w:val="bottom"/>
          </w:tcPr>
          <w:p w:rsidR="00000000" w:rsidRDefault="00000000">
            <w:pPr>
              <w:spacing w:before="80" w:after="80"/>
              <w:jc w:val="center"/>
              <w:rPr>
                <w:b/>
                <w:bCs/>
                <w:i/>
                <w:iCs/>
                <w:sz w:val="18"/>
                <w:lang w:val="pt-BR"/>
              </w:rPr>
            </w:pPr>
            <w:r>
              <w:rPr>
                <w:b/>
                <w:bCs/>
                <w:i/>
                <w:iCs/>
                <w:sz w:val="18"/>
                <w:lang w:val="pt-BR"/>
              </w:rPr>
              <w:t>1995</w:t>
            </w:r>
          </w:p>
        </w:tc>
        <w:tc>
          <w:tcPr>
            <w:tcW w:w="666" w:type="dxa"/>
            <w:tcBorders>
              <w:top w:val="single" w:sz="4" w:space="0" w:color="auto"/>
              <w:bottom w:val="single" w:sz="4" w:space="0" w:color="auto"/>
            </w:tcBorders>
            <w:noWrap/>
            <w:vAlign w:val="bottom"/>
          </w:tcPr>
          <w:p w:rsidR="00000000" w:rsidRDefault="00000000">
            <w:pPr>
              <w:spacing w:before="80" w:after="80"/>
              <w:jc w:val="center"/>
              <w:rPr>
                <w:b/>
                <w:bCs/>
                <w:i/>
                <w:iCs/>
                <w:sz w:val="18"/>
                <w:lang w:val="pt-BR"/>
              </w:rPr>
            </w:pPr>
            <w:r>
              <w:rPr>
                <w:b/>
                <w:bCs/>
                <w:i/>
                <w:iCs/>
                <w:sz w:val="18"/>
                <w:lang w:val="pt-BR"/>
              </w:rPr>
              <w:t>1996</w:t>
            </w:r>
          </w:p>
        </w:tc>
        <w:tc>
          <w:tcPr>
            <w:tcW w:w="666" w:type="dxa"/>
            <w:tcBorders>
              <w:top w:val="single" w:sz="4" w:space="0" w:color="auto"/>
              <w:bottom w:val="single" w:sz="4" w:space="0" w:color="auto"/>
            </w:tcBorders>
            <w:noWrap/>
            <w:vAlign w:val="bottom"/>
          </w:tcPr>
          <w:p w:rsidR="00000000" w:rsidRDefault="00000000">
            <w:pPr>
              <w:spacing w:before="80" w:after="80"/>
              <w:jc w:val="center"/>
              <w:rPr>
                <w:b/>
                <w:bCs/>
                <w:i/>
                <w:iCs/>
                <w:sz w:val="18"/>
                <w:lang w:val="pt-BR"/>
              </w:rPr>
            </w:pPr>
            <w:r>
              <w:rPr>
                <w:b/>
                <w:bCs/>
                <w:i/>
                <w:iCs/>
                <w:sz w:val="18"/>
                <w:lang w:val="pt-BR"/>
              </w:rPr>
              <w:t>1997</w:t>
            </w:r>
          </w:p>
        </w:tc>
        <w:tc>
          <w:tcPr>
            <w:tcW w:w="666" w:type="dxa"/>
            <w:tcBorders>
              <w:top w:val="single" w:sz="4" w:space="0" w:color="auto"/>
              <w:bottom w:val="single" w:sz="4" w:space="0" w:color="auto"/>
            </w:tcBorders>
            <w:noWrap/>
            <w:vAlign w:val="bottom"/>
          </w:tcPr>
          <w:p w:rsidR="00000000" w:rsidRDefault="00000000">
            <w:pPr>
              <w:spacing w:before="80" w:after="80"/>
              <w:jc w:val="center"/>
              <w:rPr>
                <w:b/>
                <w:bCs/>
                <w:i/>
                <w:iCs/>
                <w:sz w:val="18"/>
                <w:lang w:val="pt-BR"/>
              </w:rPr>
            </w:pPr>
            <w:r>
              <w:rPr>
                <w:b/>
                <w:bCs/>
                <w:i/>
                <w:iCs/>
                <w:sz w:val="18"/>
                <w:lang w:val="pt-BR"/>
              </w:rPr>
              <w:t>1998</w:t>
            </w:r>
          </w:p>
        </w:tc>
        <w:tc>
          <w:tcPr>
            <w:tcW w:w="666" w:type="dxa"/>
            <w:tcBorders>
              <w:top w:val="single" w:sz="4" w:space="0" w:color="auto"/>
              <w:bottom w:val="single" w:sz="4" w:space="0" w:color="auto"/>
            </w:tcBorders>
            <w:noWrap/>
            <w:vAlign w:val="bottom"/>
          </w:tcPr>
          <w:p w:rsidR="00000000" w:rsidRDefault="00000000">
            <w:pPr>
              <w:spacing w:before="80" w:after="80"/>
              <w:jc w:val="center"/>
              <w:rPr>
                <w:b/>
                <w:bCs/>
                <w:i/>
                <w:iCs/>
                <w:sz w:val="18"/>
                <w:lang w:val="pt-BR"/>
              </w:rPr>
            </w:pPr>
            <w:r>
              <w:rPr>
                <w:b/>
                <w:bCs/>
                <w:i/>
                <w:iCs/>
                <w:sz w:val="18"/>
                <w:lang w:val="pt-BR"/>
              </w:rPr>
              <w:t>1999</w:t>
            </w:r>
          </w:p>
        </w:tc>
        <w:tc>
          <w:tcPr>
            <w:tcW w:w="666" w:type="dxa"/>
            <w:tcBorders>
              <w:top w:val="single" w:sz="4" w:space="0" w:color="auto"/>
              <w:bottom w:val="single" w:sz="4" w:space="0" w:color="auto"/>
            </w:tcBorders>
            <w:noWrap/>
            <w:vAlign w:val="bottom"/>
          </w:tcPr>
          <w:p w:rsidR="00000000" w:rsidRDefault="00000000">
            <w:pPr>
              <w:spacing w:before="80" w:after="80"/>
              <w:jc w:val="center"/>
              <w:rPr>
                <w:b/>
                <w:bCs/>
                <w:i/>
                <w:iCs/>
                <w:sz w:val="18"/>
                <w:lang w:val="pt-BR"/>
              </w:rPr>
            </w:pPr>
            <w:r>
              <w:rPr>
                <w:b/>
                <w:bCs/>
                <w:i/>
                <w:iCs/>
                <w:sz w:val="18"/>
                <w:lang w:val="pt-BR"/>
              </w:rPr>
              <w:t>2000</w:t>
            </w:r>
          </w:p>
        </w:tc>
        <w:tc>
          <w:tcPr>
            <w:tcW w:w="666" w:type="dxa"/>
            <w:tcBorders>
              <w:top w:val="single" w:sz="4" w:space="0" w:color="auto"/>
              <w:bottom w:val="single" w:sz="4" w:space="0" w:color="auto"/>
            </w:tcBorders>
            <w:noWrap/>
            <w:vAlign w:val="bottom"/>
          </w:tcPr>
          <w:p w:rsidR="00000000" w:rsidRDefault="00000000">
            <w:pPr>
              <w:spacing w:before="80" w:after="80"/>
              <w:jc w:val="center"/>
              <w:rPr>
                <w:b/>
                <w:bCs/>
                <w:i/>
                <w:iCs/>
                <w:sz w:val="18"/>
                <w:lang w:val="pt-BR"/>
              </w:rPr>
            </w:pPr>
            <w:r>
              <w:rPr>
                <w:b/>
                <w:bCs/>
                <w:i/>
                <w:iCs/>
                <w:sz w:val="18"/>
                <w:lang w:val="pt-BR"/>
              </w:rPr>
              <w:t>2001</w:t>
            </w:r>
          </w:p>
        </w:tc>
        <w:tc>
          <w:tcPr>
            <w:tcW w:w="666" w:type="dxa"/>
            <w:tcBorders>
              <w:top w:val="single" w:sz="4" w:space="0" w:color="auto"/>
              <w:bottom w:val="single" w:sz="4" w:space="0" w:color="auto"/>
            </w:tcBorders>
            <w:noWrap/>
            <w:vAlign w:val="bottom"/>
          </w:tcPr>
          <w:p w:rsidR="00000000" w:rsidRDefault="00000000">
            <w:pPr>
              <w:spacing w:before="80" w:after="80"/>
              <w:jc w:val="center"/>
              <w:rPr>
                <w:b/>
                <w:bCs/>
                <w:i/>
                <w:iCs/>
                <w:sz w:val="18"/>
                <w:lang w:val="pt-BR"/>
              </w:rPr>
            </w:pPr>
            <w:r>
              <w:rPr>
                <w:b/>
                <w:bCs/>
                <w:i/>
                <w:iCs/>
                <w:sz w:val="18"/>
                <w:lang w:val="pt-BR"/>
              </w:rPr>
              <w:t>2002</w:t>
            </w:r>
          </w:p>
        </w:tc>
        <w:tc>
          <w:tcPr>
            <w:tcW w:w="666" w:type="dxa"/>
            <w:tcBorders>
              <w:top w:val="single" w:sz="4" w:space="0" w:color="auto"/>
              <w:bottom w:val="single" w:sz="4" w:space="0" w:color="auto"/>
            </w:tcBorders>
            <w:noWrap/>
            <w:vAlign w:val="bottom"/>
          </w:tcPr>
          <w:p w:rsidR="00000000" w:rsidRDefault="00000000">
            <w:pPr>
              <w:spacing w:before="80" w:after="80"/>
              <w:jc w:val="center"/>
              <w:rPr>
                <w:b/>
                <w:bCs/>
                <w:i/>
                <w:iCs/>
                <w:sz w:val="18"/>
                <w:lang w:val="pt-BR"/>
              </w:rPr>
            </w:pPr>
            <w:r>
              <w:rPr>
                <w:b/>
                <w:bCs/>
                <w:i/>
                <w:iCs/>
                <w:sz w:val="18"/>
                <w:lang w:val="pt-BR"/>
              </w:rPr>
              <w:t>2003</w:t>
            </w:r>
          </w:p>
        </w:tc>
        <w:tc>
          <w:tcPr>
            <w:tcW w:w="666" w:type="dxa"/>
            <w:tcBorders>
              <w:top w:val="single" w:sz="4" w:space="0" w:color="auto"/>
              <w:bottom w:val="single" w:sz="4" w:space="0" w:color="auto"/>
            </w:tcBorders>
            <w:noWrap/>
            <w:vAlign w:val="bottom"/>
          </w:tcPr>
          <w:p w:rsidR="00000000" w:rsidRDefault="00000000">
            <w:pPr>
              <w:spacing w:before="80" w:after="80"/>
              <w:jc w:val="center"/>
              <w:rPr>
                <w:b/>
                <w:bCs/>
                <w:i/>
                <w:iCs/>
                <w:sz w:val="18"/>
                <w:lang w:val="pt-BR"/>
              </w:rPr>
            </w:pPr>
            <w:r>
              <w:rPr>
                <w:b/>
                <w:bCs/>
                <w:i/>
                <w:iCs/>
                <w:sz w:val="18"/>
                <w:lang w:val="pt-BR"/>
              </w:rPr>
              <w:t>2004</w:t>
            </w:r>
          </w:p>
        </w:tc>
        <w:tc>
          <w:tcPr>
            <w:tcW w:w="856" w:type="dxa"/>
            <w:tcBorders>
              <w:top w:val="single" w:sz="4" w:space="0" w:color="auto"/>
              <w:bottom w:val="single" w:sz="4" w:space="0" w:color="auto"/>
            </w:tcBorders>
            <w:noWrap/>
            <w:vAlign w:val="bottom"/>
          </w:tcPr>
          <w:p w:rsidR="00000000" w:rsidRDefault="00000000">
            <w:pPr>
              <w:spacing w:before="80" w:after="80"/>
              <w:jc w:val="center"/>
              <w:rPr>
                <w:b/>
                <w:bCs/>
                <w:i/>
                <w:iCs/>
                <w:sz w:val="18"/>
                <w:lang w:val="pt-BR"/>
              </w:rPr>
            </w:pPr>
            <w:r>
              <w:rPr>
                <w:b/>
                <w:bCs/>
                <w:i/>
                <w:iCs/>
                <w:sz w:val="18"/>
                <w:lang w:val="pt-BR"/>
              </w:rPr>
              <w:t>2005</w:t>
            </w:r>
          </w:p>
        </w:tc>
      </w:tr>
      <w:tr w:rsidR="00000000">
        <w:tc>
          <w:tcPr>
            <w:tcW w:w="1912" w:type="dxa"/>
            <w:tcBorders>
              <w:top w:val="single" w:sz="4" w:space="0" w:color="auto"/>
            </w:tcBorders>
            <w:noWrap/>
            <w:vAlign w:val="bottom"/>
          </w:tcPr>
          <w:p w:rsidR="00000000" w:rsidRDefault="00000000">
            <w:pPr>
              <w:tabs>
                <w:tab w:val="left" w:pos="284"/>
              </w:tabs>
              <w:spacing w:before="80" w:after="80"/>
              <w:ind w:left="284" w:hanging="284"/>
              <w:rPr>
                <w:sz w:val="18"/>
                <w:szCs w:val="20"/>
                <w:lang w:val="pt-BR"/>
              </w:rPr>
            </w:pPr>
            <w:r>
              <w:rPr>
                <w:sz w:val="18"/>
                <w:szCs w:val="20"/>
                <w:lang w:val="pt-BR"/>
              </w:rPr>
              <w:t>1.</w:t>
            </w:r>
            <w:r>
              <w:rPr>
                <w:sz w:val="18"/>
                <w:szCs w:val="20"/>
                <w:lang w:val="pt-BR"/>
              </w:rPr>
              <w:tab/>
              <w:t>ARI (No pneu, pneu, serious pneu.)</w:t>
            </w:r>
          </w:p>
        </w:tc>
        <w:tc>
          <w:tcPr>
            <w:tcW w:w="667" w:type="dxa"/>
            <w:tcBorders>
              <w:top w:val="single" w:sz="4" w:space="0" w:color="auto"/>
            </w:tcBorders>
            <w:noWrap/>
            <w:vAlign w:val="bottom"/>
          </w:tcPr>
          <w:p w:rsidR="00000000" w:rsidRDefault="00000000">
            <w:pPr>
              <w:spacing w:before="80" w:after="80"/>
              <w:jc w:val="right"/>
              <w:rPr>
                <w:sz w:val="18"/>
                <w:szCs w:val="20"/>
                <w:lang w:val="pt-BR"/>
              </w:rPr>
            </w:pPr>
            <w:r>
              <w:rPr>
                <w:sz w:val="18"/>
                <w:szCs w:val="20"/>
                <w:lang w:val="pt-BR"/>
              </w:rPr>
              <w:t>225 311</w:t>
            </w:r>
          </w:p>
        </w:tc>
        <w:tc>
          <w:tcPr>
            <w:tcW w:w="666" w:type="dxa"/>
            <w:tcBorders>
              <w:top w:val="single" w:sz="4" w:space="0" w:color="auto"/>
            </w:tcBorders>
            <w:noWrap/>
            <w:vAlign w:val="bottom"/>
          </w:tcPr>
          <w:p w:rsidR="00000000" w:rsidRDefault="00000000">
            <w:pPr>
              <w:spacing w:before="80" w:after="80"/>
              <w:jc w:val="right"/>
              <w:rPr>
                <w:sz w:val="18"/>
                <w:szCs w:val="16"/>
                <w:lang w:val="pt-BR"/>
              </w:rPr>
            </w:pPr>
            <w:r>
              <w:rPr>
                <w:sz w:val="18"/>
                <w:szCs w:val="16"/>
                <w:lang w:val="pt-BR"/>
              </w:rPr>
              <w:t>236 125</w:t>
            </w:r>
          </w:p>
        </w:tc>
        <w:tc>
          <w:tcPr>
            <w:tcW w:w="666" w:type="dxa"/>
            <w:tcBorders>
              <w:top w:val="single" w:sz="4" w:space="0" w:color="auto"/>
            </w:tcBorders>
            <w:noWrap/>
            <w:vAlign w:val="bottom"/>
          </w:tcPr>
          <w:p w:rsidR="00000000" w:rsidRDefault="00000000">
            <w:pPr>
              <w:spacing w:before="80" w:after="80"/>
              <w:jc w:val="right"/>
              <w:rPr>
                <w:sz w:val="18"/>
                <w:szCs w:val="16"/>
                <w:lang w:val="pt-BR"/>
              </w:rPr>
            </w:pPr>
            <w:r>
              <w:rPr>
                <w:sz w:val="18"/>
                <w:szCs w:val="16"/>
                <w:lang w:val="pt-BR"/>
              </w:rPr>
              <w:t>238 316</w:t>
            </w:r>
          </w:p>
        </w:tc>
        <w:tc>
          <w:tcPr>
            <w:tcW w:w="666" w:type="dxa"/>
            <w:tcBorders>
              <w:top w:val="single" w:sz="4" w:space="0" w:color="auto"/>
            </w:tcBorders>
            <w:noWrap/>
            <w:vAlign w:val="bottom"/>
          </w:tcPr>
          <w:p w:rsidR="00000000" w:rsidRDefault="00000000">
            <w:pPr>
              <w:spacing w:before="80" w:after="80"/>
              <w:jc w:val="right"/>
              <w:rPr>
                <w:sz w:val="18"/>
                <w:szCs w:val="16"/>
                <w:lang w:val="pt-BR"/>
              </w:rPr>
            </w:pPr>
            <w:r>
              <w:rPr>
                <w:sz w:val="18"/>
                <w:szCs w:val="16"/>
                <w:lang w:val="pt-BR"/>
              </w:rPr>
              <w:t>251 110</w:t>
            </w:r>
          </w:p>
        </w:tc>
        <w:tc>
          <w:tcPr>
            <w:tcW w:w="666" w:type="dxa"/>
            <w:tcBorders>
              <w:top w:val="single" w:sz="4" w:space="0" w:color="auto"/>
            </w:tcBorders>
            <w:noWrap/>
            <w:vAlign w:val="bottom"/>
          </w:tcPr>
          <w:p w:rsidR="00000000" w:rsidRDefault="00000000">
            <w:pPr>
              <w:spacing w:before="80" w:after="80"/>
              <w:jc w:val="right"/>
              <w:rPr>
                <w:sz w:val="18"/>
                <w:szCs w:val="16"/>
                <w:lang w:val="pt-BR"/>
              </w:rPr>
            </w:pPr>
            <w:r>
              <w:rPr>
                <w:sz w:val="18"/>
                <w:szCs w:val="16"/>
                <w:lang w:val="pt-BR"/>
              </w:rPr>
              <w:t>256 241</w:t>
            </w:r>
          </w:p>
        </w:tc>
        <w:tc>
          <w:tcPr>
            <w:tcW w:w="666" w:type="dxa"/>
            <w:tcBorders>
              <w:top w:val="single" w:sz="4" w:space="0" w:color="auto"/>
            </w:tcBorders>
            <w:noWrap/>
            <w:vAlign w:val="bottom"/>
          </w:tcPr>
          <w:p w:rsidR="00000000" w:rsidRDefault="00000000">
            <w:pPr>
              <w:spacing w:before="80" w:after="80"/>
              <w:jc w:val="right"/>
              <w:rPr>
                <w:sz w:val="18"/>
                <w:szCs w:val="16"/>
                <w:lang w:val="pt-BR"/>
              </w:rPr>
            </w:pPr>
            <w:r>
              <w:rPr>
                <w:sz w:val="18"/>
                <w:szCs w:val="16"/>
                <w:lang w:val="pt-BR"/>
              </w:rPr>
              <w:t>207 711</w:t>
            </w:r>
          </w:p>
        </w:tc>
        <w:tc>
          <w:tcPr>
            <w:tcW w:w="666" w:type="dxa"/>
            <w:tcBorders>
              <w:top w:val="single" w:sz="4" w:space="0" w:color="auto"/>
            </w:tcBorders>
            <w:noWrap/>
            <w:vAlign w:val="bottom"/>
          </w:tcPr>
          <w:p w:rsidR="00000000" w:rsidRDefault="00000000">
            <w:pPr>
              <w:spacing w:before="80" w:after="80"/>
              <w:jc w:val="right"/>
              <w:rPr>
                <w:sz w:val="18"/>
                <w:szCs w:val="16"/>
                <w:lang w:val="pt-BR"/>
              </w:rPr>
            </w:pPr>
            <w:r>
              <w:rPr>
                <w:sz w:val="18"/>
                <w:szCs w:val="16"/>
                <w:lang w:val="pt-BR"/>
              </w:rPr>
              <w:t>243 503</w:t>
            </w:r>
          </w:p>
        </w:tc>
        <w:tc>
          <w:tcPr>
            <w:tcW w:w="666" w:type="dxa"/>
            <w:tcBorders>
              <w:top w:val="single" w:sz="4" w:space="0" w:color="auto"/>
            </w:tcBorders>
            <w:noWrap/>
            <w:vAlign w:val="bottom"/>
          </w:tcPr>
          <w:p w:rsidR="00000000" w:rsidRDefault="00000000">
            <w:pPr>
              <w:spacing w:before="80" w:after="80"/>
              <w:jc w:val="right"/>
              <w:rPr>
                <w:sz w:val="18"/>
                <w:szCs w:val="16"/>
                <w:lang w:val="pt-BR"/>
              </w:rPr>
            </w:pPr>
            <w:r>
              <w:rPr>
                <w:sz w:val="18"/>
                <w:szCs w:val="16"/>
                <w:lang w:val="pt-BR"/>
              </w:rPr>
              <w:t>243 458</w:t>
            </w:r>
          </w:p>
        </w:tc>
        <w:tc>
          <w:tcPr>
            <w:tcW w:w="666" w:type="dxa"/>
            <w:tcBorders>
              <w:top w:val="single" w:sz="4" w:space="0" w:color="auto"/>
            </w:tcBorders>
            <w:noWrap/>
            <w:vAlign w:val="bottom"/>
          </w:tcPr>
          <w:p w:rsidR="00000000" w:rsidRDefault="00000000">
            <w:pPr>
              <w:spacing w:before="80" w:after="80"/>
              <w:jc w:val="right"/>
              <w:rPr>
                <w:sz w:val="18"/>
                <w:szCs w:val="16"/>
                <w:lang w:val="pt-BR"/>
              </w:rPr>
            </w:pPr>
            <w:r>
              <w:rPr>
                <w:sz w:val="18"/>
                <w:szCs w:val="16"/>
                <w:lang w:val="pt-BR"/>
              </w:rPr>
              <w:t>274 579</w:t>
            </w:r>
          </w:p>
        </w:tc>
        <w:tc>
          <w:tcPr>
            <w:tcW w:w="666" w:type="dxa"/>
            <w:tcBorders>
              <w:top w:val="single" w:sz="4" w:space="0" w:color="auto"/>
            </w:tcBorders>
            <w:noWrap/>
            <w:vAlign w:val="bottom"/>
          </w:tcPr>
          <w:p w:rsidR="00000000" w:rsidRDefault="00000000">
            <w:pPr>
              <w:spacing w:before="80" w:after="80"/>
              <w:jc w:val="right"/>
              <w:rPr>
                <w:sz w:val="18"/>
                <w:szCs w:val="16"/>
                <w:lang w:val="pt-BR"/>
              </w:rPr>
            </w:pPr>
            <w:r>
              <w:rPr>
                <w:sz w:val="18"/>
                <w:szCs w:val="16"/>
                <w:lang w:val="pt-BR"/>
              </w:rPr>
              <w:t>327 317</w:t>
            </w:r>
          </w:p>
        </w:tc>
        <w:tc>
          <w:tcPr>
            <w:tcW w:w="856" w:type="dxa"/>
            <w:tcBorders>
              <w:top w:val="single" w:sz="4" w:space="0" w:color="auto"/>
            </w:tcBorders>
            <w:noWrap/>
            <w:vAlign w:val="bottom"/>
          </w:tcPr>
          <w:p w:rsidR="00000000" w:rsidRDefault="00000000">
            <w:pPr>
              <w:spacing w:before="80" w:after="80"/>
              <w:jc w:val="right"/>
              <w:rPr>
                <w:sz w:val="18"/>
                <w:szCs w:val="16"/>
                <w:lang w:val="pt-BR"/>
              </w:rPr>
            </w:pPr>
            <w:r>
              <w:rPr>
                <w:sz w:val="18"/>
                <w:szCs w:val="16"/>
                <w:lang w:val="pt-BR"/>
              </w:rPr>
              <w:t>350 859</w:t>
            </w:r>
          </w:p>
        </w:tc>
      </w:tr>
      <w:tr w:rsidR="00000000">
        <w:tc>
          <w:tcPr>
            <w:tcW w:w="1912" w:type="dxa"/>
            <w:noWrap/>
            <w:vAlign w:val="bottom"/>
          </w:tcPr>
          <w:p w:rsidR="00000000" w:rsidRDefault="00000000">
            <w:pPr>
              <w:tabs>
                <w:tab w:val="left" w:pos="284"/>
              </w:tabs>
              <w:spacing w:before="80" w:after="80"/>
              <w:rPr>
                <w:sz w:val="18"/>
                <w:szCs w:val="20"/>
                <w:lang w:val="pt-BR"/>
              </w:rPr>
            </w:pPr>
            <w:r>
              <w:rPr>
                <w:sz w:val="18"/>
                <w:szCs w:val="20"/>
                <w:lang w:val="pt-BR"/>
              </w:rPr>
              <w:t>2.</w:t>
            </w:r>
            <w:r>
              <w:rPr>
                <w:sz w:val="18"/>
                <w:szCs w:val="20"/>
                <w:lang w:val="pt-BR"/>
              </w:rPr>
              <w:tab/>
              <w:t>Intestinal parasitosis</w:t>
            </w:r>
          </w:p>
        </w:tc>
        <w:tc>
          <w:tcPr>
            <w:tcW w:w="667" w:type="dxa"/>
            <w:noWrap/>
            <w:vAlign w:val="bottom"/>
          </w:tcPr>
          <w:p w:rsidR="00000000" w:rsidRDefault="00000000">
            <w:pPr>
              <w:spacing w:before="80" w:after="80"/>
              <w:jc w:val="right"/>
              <w:rPr>
                <w:sz w:val="18"/>
                <w:szCs w:val="20"/>
              </w:rPr>
            </w:pPr>
            <w:r>
              <w:rPr>
                <w:sz w:val="18"/>
                <w:szCs w:val="20"/>
              </w:rPr>
              <w:t>64 755</w:t>
            </w:r>
          </w:p>
        </w:tc>
        <w:tc>
          <w:tcPr>
            <w:tcW w:w="666" w:type="dxa"/>
            <w:noWrap/>
            <w:vAlign w:val="bottom"/>
          </w:tcPr>
          <w:p w:rsidR="00000000" w:rsidRDefault="00000000">
            <w:pPr>
              <w:spacing w:before="80" w:after="80"/>
              <w:jc w:val="right"/>
              <w:rPr>
                <w:sz w:val="18"/>
                <w:szCs w:val="16"/>
              </w:rPr>
            </w:pPr>
            <w:r>
              <w:rPr>
                <w:sz w:val="18"/>
                <w:szCs w:val="16"/>
              </w:rPr>
              <w:t>54 589</w:t>
            </w:r>
          </w:p>
        </w:tc>
        <w:tc>
          <w:tcPr>
            <w:tcW w:w="666" w:type="dxa"/>
            <w:noWrap/>
            <w:vAlign w:val="bottom"/>
          </w:tcPr>
          <w:p w:rsidR="00000000" w:rsidRDefault="00000000">
            <w:pPr>
              <w:spacing w:before="80" w:after="80"/>
              <w:jc w:val="right"/>
              <w:rPr>
                <w:sz w:val="18"/>
                <w:szCs w:val="16"/>
              </w:rPr>
            </w:pPr>
            <w:r>
              <w:rPr>
                <w:sz w:val="18"/>
                <w:szCs w:val="16"/>
              </w:rPr>
              <w:t>59 583</w:t>
            </w:r>
          </w:p>
        </w:tc>
        <w:tc>
          <w:tcPr>
            <w:tcW w:w="666" w:type="dxa"/>
            <w:noWrap/>
            <w:vAlign w:val="bottom"/>
          </w:tcPr>
          <w:p w:rsidR="00000000" w:rsidRDefault="00000000">
            <w:pPr>
              <w:spacing w:before="80" w:after="80"/>
              <w:jc w:val="right"/>
              <w:rPr>
                <w:sz w:val="18"/>
                <w:szCs w:val="16"/>
              </w:rPr>
            </w:pPr>
            <w:r>
              <w:rPr>
                <w:sz w:val="18"/>
                <w:szCs w:val="16"/>
              </w:rPr>
              <w:t>58 011</w:t>
            </w:r>
          </w:p>
        </w:tc>
        <w:tc>
          <w:tcPr>
            <w:tcW w:w="666" w:type="dxa"/>
            <w:noWrap/>
            <w:vAlign w:val="bottom"/>
          </w:tcPr>
          <w:p w:rsidR="00000000" w:rsidRDefault="00000000">
            <w:pPr>
              <w:spacing w:before="80" w:after="80"/>
              <w:jc w:val="right"/>
              <w:rPr>
                <w:sz w:val="18"/>
                <w:szCs w:val="16"/>
              </w:rPr>
            </w:pPr>
            <w:r>
              <w:rPr>
                <w:sz w:val="18"/>
                <w:szCs w:val="16"/>
              </w:rPr>
              <w:t>67 102</w:t>
            </w:r>
          </w:p>
        </w:tc>
        <w:tc>
          <w:tcPr>
            <w:tcW w:w="666" w:type="dxa"/>
            <w:noWrap/>
            <w:vAlign w:val="bottom"/>
          </w:tcPr>
          <w:p w:rsidR="00000000" w:rsidRDefault="00000000">
            <w:pPr>
              <w:spacing w:before="80" w:after="80"/>
              <w:jc w:val="right"/>
              <w:rPr>
                <w:sz w:val="18"/>
                <w:szCs w:val="16"/>
              </w:rPr>
            </w:pPr>
            <w:r>
              <w:rPr>
                <w:sz w:val="18"/>
                <w:szCs w:val="16"/>
              </w:rPr>
              <w:t>50 320</w:t>
            </w:r>
          </w:p>
        </w:tc>
        <w:tc>
          <w:tcPr>
            <w:tcW w:w="666" w:type="dxa"/>
            <w:noWrap/>
            <w:vAlign w:val="bottom"/>
          </w:tcPr>
          <w:p w:rsidR="00000000" w:rsidRDefault="00000000">
            <w:pPr>
              <w:spacing w:before="80" w:after="80"/>
              <w:jc w:val="right"/>
              <w:rPr>
                <w:sz w:val="18"/>
                <w:szCs w:val="16"/>
              </w:rPr>
            </w:pPr>
            <w:r>
              <w:rPr>
                <w:sz w:val="18"/>
                <w:szCs w:val="16"/>
              </w:rPr>
              <w:t>49 485</w:t>
            </w:r>
          </w:p>
        </w:tc>
        <w:tc>
          <w:tcPr>
            <w:tcW w:w="666" w:type="dxa"/>
            <w:noWrap/>
            <w:vAlign w:val="bottom"/>
          </w:tcPr>
          <w:p w:rsidR="00000000" w:rsidRDefault="00000000">
            <w:pPr>
              <w:spacing w:before="80" w:after="80"/>
              <w:jc w:val="right"/>
              <w:rPr>
                <w:sz w:val="18"/>
                <w:szCs w:val="16"/>
              </w:rPr>
            </w:pPr>
            <w:r>
              <w:rPr>
                <w:sz w:val="18"/>
                <w:szCs w:val="16"/>
              </w:rPr>
              <w:t>44 620</w:t>
            </w:r>
          </w:p>
        </w:tc>
        <w:tc>
          <w:tcPr>
            <w:tcW w:w="666" w:type="dxa"/>
            <w:noWrap/>
            <w:vAlign w:val="bottom"/>
          </w:tcPr>
          <w:p w:rsidR="00000000" w:rsidRDefault="00000000">
            <w:pPr>
              <w:spacing w:before="80" w:after="80"/>
              <w:jc w:val="center"/>
              <w:rPr>
                <w:sz w:val="18"/>
                <w:szCs w:val="16"/>
              </w:rPr>
            </w:pPr>
            <w:r>
              <w:rPr>
                <w:sz w:val="18"/>
                <w:szCs w:val="16"/>
              </w:rPr>
              <w:t>(*)</w:t>
            </w:r>
          </w:p>
        </w:tc>
        <w:tc>
          <w:tcPr>
            <w:tcW w:w="666" w:type="dxa"/>
            <w:noWrap/>
            <w:vAlign w:val="bottom"/>
          </w:tcPr>
          <w:p w:rsidR="00000000" w:rsidRDefault="00000000">
            <w:pPr>
              <w:spacing w:before="80" w:after="80"/>
              <w:jc w:val="right"/>
              <w:rPr>
                <w:sz w:val="18"/>
                <w:szCs w:val="16"/>
              </w:rPr>
            </w:pPr>
            <w:r>
              <w:rPr>
                <w:sz w:val="18"/>
                <w:szCs w:val="16"/>
              </w:rPr>
              <w:t>45 166</w:t>
            </w:r>
          </w:p>
        </w:tc>
        <w:tc>
          <w:tcPr>
            <w:tcW w:w="856" w:type="dxa"/>
            <w:noWrap/>
            <w:vAlign w:val="bottom"/>
          </w:tcPr>
          <w:p w:rsidR="00000000" w:rsidRDefault="00000000">
            <w:pPr>
              <w:spacing w:before="80" w:after="80"/>
              <w:jc w:val="right"/>
              <w:rPr>
                <w:sz w:val="18"/>
                <w:szCs w:val="16"/>
              </w:rPr>
            </w:pPr>
            <w:r>
              <w:rPr>
                <w:sz w:val="18"/>
                <w:szCs w:val="16"/>
              </w:rPr>
              <w:t>57 135</w:t>
            </w:r>
          </w:p>
        </w:tc>
      </w:tr>
      <w:tr w:rsidR="00000000">
        <w:tc>
          <w:tcPr>
            <w:tcW w:w="1912" w:type="dxa"/>
            <w:noWrap/>
            <w:vAlign w:val="bottom"/>
          </w:tcPr>
          <w:p w:rsidR="00000000" w:rsidRDefault="00000000">
            <w:pPr>
              <w:tabs>
                <w:tab w:val="left" w:pos="284"/>
              </w:tabs>
              <w:spacing w:before="80" w:after="80"/>
              <w:ind w:left="284" w:hanging="284"/>
              <w:rPr>
                <w:sz w:val="18"/>
                <w:szCs w:val="20"/>
              </w:rPr>
            </w:pPr>
            <w:r>
              <w:rPr>
                <w:sz w:val="18"/>
                <w:szCs w:val="20"/>
              </w:rPr>
              <w:t>3.</w:t>
            </w:r>
            <w:r>
              <w:rPr>
                <w:sz w:val="18"/>
                <w:szCs w:val="20"/>
              </w:rPr>
              <w:tab/>
              <w:t>Diarrhoea (with/</w:t>
            </w:r>
            <w:r>
              <w:rPr>
                <w:sz w:val="18"/>
                <w:szCs w:val="20"/>
              </w:rPr>
              <w:br/>
              <w:t>without dehydr.)</w:t>
            </w:r>
          </w:p>
        </w:tc>
        <w:tc>
          <w:tcPr>
            <w:tcW w:w="667" w:type="dxa"/>
            <w:noWrap/>
            <w:vAlign w:val="bottom"/>
          </w:tcPr>
          <w:p w:rsidR="00000000" w:rsidRDefault="00000000">
            <w:pPr>
              <w:spacing w:before="80" w:after="80"/>
              <w:jc w:val="right"/>
              <w:rPr>
                <w:sz w:val="18"/>
                <w:szCs w:val="20"/>
              </w:rPr>
            </w:pPr>
            <w:r>
              <w:rPr>
                <w:sz w:val="18"/>
                <w:szCs w:val="20"/>
              </w:rPr>
              <w:t>42 880</w:t>
            </w:r>
          </w:p>
        </w:tc>
        <w:tc>
          <w:tcPr>
            <w:tcW w:w="666" w:type="dxa"/>
            <w:noWrap/>
            <w:vAlign w:val="bottom"/>
          </w:tcPr>
          <w:p w:rsidR="00000000" w:rsidRDefault="00000000">
            <w:pPr>
              <w:spacing w:before="80" w:after="80"/>
              <w:jc w:val="right"/>
              <w:rPr>
                <w:sz w:val="18"/>
                <w:szCs w:val="16"/>
              </w:rPr>
            </w:pPr>
            <w:r>
              <w:rPr>
                <w:sz w:val="18"/>
                <w:szCs w:val="16"/>
              </w:rPr>
              <w:t>43 240</w:t>
            </w:r>
          </w:p>
        </w:tc>
        <w:tc>
          <w:tcPr>
            <w:tcW w:w="666" w:type="dxa"/>
            <w:noWrap/>
            <w:vAlign w:val="bottom"/>
          </w:tcPr>
          <w:p w:rsidR="00000000" w:rsidRDefault="00000000">
            <w:pPr>
              <w:spacing w:before="80" w:after="80"/>
              <w:jc w:val="right"/>
              <w:rPr>
                <w:sz w:val="18"/>
                <w:szCs w:val="16"/>
              </w:rPr>
            </w:pPr>
            <w:r>
              <w:rPr>
                <w:sz w:val="18"/>
                <w:szCs w:val="16"/>
              </w:rPr>
              <w:t>41 798</w:t>
            </w:r>
          </w:p>
        </w:tc>
        <w:tc>
          <w:tcPr>
            <w:tcW w:w="666" w:type="dxa"/>
            <w:noWrap/>
            <w:vAlign w:val="bottom"/>
          </w:tcPr>
          <w:p w:rsidR="00000000" w:rsidRDefault="00000000">
            <w:pPr>
              <w:spacing w:before="80" w:after="80"/>
              <w:jc w:val="right"/>
              <w:rPr>
                <w:sz w:val="18"/>
                <w:szCs w:val="16"/>
              </w:rPr>
            </w:pPr>
            <w:r>
              <w:rPr>
                <w:sz w:val="18"/>
                <w:szCs w:val="16"/>
              </w:rPr>
              <w:t>40 861</w:t>
            </w:r>
          </w:p>
        </w:tc>
        <w:tc>
          <w:tcPr>
            <w:tcW w:w="666" w:type="dxa"/>
            <w:noWrap/>
            <w:vAlign w:val="bottom"/>
          </w:tcPr>
          <w:p w:rsidR="00000000" w:rsidRDefault="00000000">
            <w:pPr>
              <w:spacing w:before="80" w:after="80"/>
              <w:jc w:val="right"/>
              <w:rPr>
                <w:sz w:val="18"/>
                <w:szCs w:val="16"/>
              </w:rPr>
            </w:pPr>
            <w:r>
              <w:rPr>
                <w:sz w:val="18"/>
                <w:szCs w:val="16"/>
              </w:rPr>
              <w:t>41 450</w:t>
            </w:r>
          </w:p>
        </w:tc>
        <w:tc>
          <w:tcPr>
            <w:tcW w:w="666" w:type="dxa"/>
            <w:noWrap/>
            <w:vAlign w:val="bottom"/>
          </w:tcPr>
          <w:p w:rsidR="00000000" w:rsidRDefault="00000000">
            <w:pPr>
              <w:spacing w:before="80" w:after="80"/>
              <w:jc w:val="right"/>
              <w:rPr>
                <w:sz w:val="18"/>
                <w:szCs w:val="16"/>
              </w:rPr>
            </w:pPr>
            <w:r>
              <w:rPr>
                <w:sz w:val="18"/>
                <w:szCs w:val="16"/>
              </w:rPr>
              <w:t>45 006</w:t>
            </w:r>
          </w:p>
        </w:tc>
        <w:tc>
          <w:tcPr>
            <w:tcW w:w="666" w:type="dxa"/>
            <w:noWrap/>
            <w:vAlign w:val="bottom"/>
          </w:tcPr>
          <w:p w:rsidR="00000000" w:rsidRDefault="00000000">
            <w:pPr>
              <w:spacing w:before="80" w:after="80"/>
              <w:jc w:val="right"/>
              <w:rPr>
                <w:sz w:val="18"/>
                <w:szCs w:val="16"/>
              </w:rPr>
            </w:pPr>
            <w:r>
              <w:rPr>
                <w:sz w:val="18"/>
                <w:szCs w:val="16"/>
              </w:rPr>
              <w:t>41 504</w:t>
            </w:r>
          </w:p>
        </w:tc>
        <w:tc>
          <w:tcPr>
            <w:tcW w:w="666" w:type="dxa"/>
            <w:noWrap/>
            <w:vAlign w:val="bottom"/>
          </w:tcPr>
          <w:p w:rsidR="00000000" w:rsidRDefault="00000000">
            <w:pPr>
              <w:spacing w:before="80" w:after="80"/>
              <w:jc w:val="right"/>
              <w:rPr>
                <w:sz w:val="18"/>
                <w:szCs w:val="16"/>
              </w:rPr>
            </w:pPr>
            <w:r>
              <w:rPr>
                <w:sz w:val="18"/>
                <w:szCs w:val="16"/>
              </w:rPr>
              <w:t>50 303</w:t>
            </w:r>
          </w:p>
        </w:tc>
        <w:tc>
          <w:tcPr>
            <w:tcW w:w="666" w:type="dxa"/>
            <w:noWrap/>
            <w:vAlign w:val="bottom"/>
          </w:tcPr>
          <w:p w:rsidR="00000000" w:rsidRDefault="00000000">
            <w:pPr>
              <w:spacing w:before="80" w:after="80"/>
              <w:jc w:val="right"/>
              <w:rPr>
                <w:sz w:val="18"/>
                <w:szCs w:val="16"/>
              </w:rPr>
            </w:pPr>
            <w:r>
              <w:rPr>
                <w:sz w:val="18"/>
                <w:szCs w:val="16"/>
              </w:rPr>
              <w:t>54 538</w:t>
            </w:r>
          </w:p>
        </w:tc>
        <w:tc>
          <w:tcPr>
            <w:tcW w:w="666" w:type="dxa"/>
            <w:noWrap/>
            <w:vAlign w:val="bottom"/>
          </w:tcPr>
          <w:p w:rsidR="00000000" w:rsidRDefault="00000000">
            <w:pPr>
              <w:spacing w:before="80" w:after="80"/>
              <w:jc w:val="right"/>
              <w:rPr>
                <w:sz w:val="18"/>
                <w:szCs w:val="16"/>
              </w:rPr>
            </w:pPr>
            <w:r>
              <w:rPr>
                <w:sz w:val="18"/>
                <w:szCs w:val="16"/>
              </w:rPr>
              <w:t>54 455</w:t>
            </w:r>
          </w:p>
        </w:tc>
        <w:tc>
          <w:tcPr>
            <w:tcW w:w="856" w:type="dxa"/>
            <w:noWrap/>
            <w:vAlign w:val="bottom"/>
          </w:tcPr>
          <w:p w:rsidR="00000000" w:rsidRDefault="00000000">
            <w:pPr>
              <w:spacing w:before="80" w:after="80"/>
              <w:jc w:val="right"/>
              <w:rPr>
                <w:sz w:val="18"/>
                <w:szCs w:val="16"/>
              </w:rPr>
            </w:pPr>
            <w:r>
              <w:rPr>
                <w:sz w:val="18"/>
                <w:szCs w:val="16"/>
              </w:rPr>
              <w:t>64 538</w:t>
            </w:r>
          </w:p>
        </w:tc>
      </w:tr>
      <w:tr w:rsidR="00000000">
        <w:tc>
          <w:tcPr>
            <w:tcW w:w="1912" w:type="dxa"/>
            <w:noWrap/>
            <w:vAlign w:val="bottom"/>
          </w:tcPr>
          <w:p w:rsidR="00000000" w:rsidRDefault="00000000">
            <w:pPr>
              <w:tabs>
                <w:tab w:val="left" w:pos="284"/>
              </w:tabs>
              <w:spacing w:before="80" w:after="80"/>
              <w:rPr>
                <w:sz w:val="18"/>
                <w:szCs w:val="20"/>
              </w:rPr>
            </w:pPr>
            <w:r>
              <w:rPr>
                <w:sz w:val="18"/>
                <w:szCs w:val="20"/>
              </w:rPr>
              <w:t>4.</w:t>
            </w:r>
            <w:r>
              <w:rPr>
                <w:sz w:val="18"/>
                <w:szCs w:val="20"/>
              </w:rPr>
              <w:tab/>
              <w:t>Anaemia (other types)</w:t>
            </w:r>
          </w:p>
        </w:tc>
        <w:tc>
          <w:tcPr>
            <w:tcW w:w="667" w:type="dxa"/>
            <w:noWrap/>
            <w:vAlign w:val="bottom"/>
          </w:tcPr>
          <w:p w:rsidR="00000000" w:rsidRDefault="00000000">
            <w:pPr>
              <w:spacing w:before="80" w:after="80"/>
              <w:jc w:val="right"/>
              <w:rPr>
                <w:sz w:val="18"/>
                <w:szCs w:val="20"/>
              </w:rPr>
            </w:pPr>
            <w:r>
              <w:rPr>
                <w:sz w:val="18"/>
                <w:szCs w:val="20"/>
              </w:rPr>
              <w:t>32 084</w:t>
            </w:r>
          </w:p>
        </w:tc>
        <w:tc>
          <w:tcPr>
            <w:tcW w:w="666" w:type="dxa"/>
            <w:noWrap/>
            <w:vAlign w:val="bottom"/>
          </w:tcPr>
          <w:p w:rsidR="00000000" w:rsidRDefault="00000000">
            <w:pPr>
              <w:spacing w:before="80" w:after="80"/>
              <w:jc w:val="right"/>
              <w:rPr>
                <w:sz w:val="18"/>
                <w:szCs w:val="16"/>
              </w:rPr>
            </w:pPr>
            <w:r>
              <w:rPr>
                <w:sz w:val="18"/>
                <w:szCs w:val="16"/>
              </w:rPr>
              <w:t>30 512</w:t>
            </w:r>
          </w:p>
        </w:tc>
        <w:tc>
          <w:tcPr>
            <w:tcW w:w="666" w:type="dxa"/>
            <w:noWrap/>
            <w:vAlign w:val="bottom"/>
          </w:tcPr>
          <w:p w:rsidR="00000000" w:rsidRDefault="00000000">
            <w:pPr>
              <w:spacing w:before="80" w:after="80"/>
              <w:jc w:val="right"/>
              <w:rPr>
                <w:sz w:val="18"/>
                <w:szCs w:val="16"/>
              </w:rPr>
            </w:pPr>
            <w:r>
              <w:rPr>
                <w:sz w:val="18"/>
                <w:szCs w:val="16"/>
              </w:rPr>
              <w:t>32 404</w:t>
            </w:r>
          </w:p>
        </w:tc>
        <w:tc>
          <w:tcPr>
            <w:tcW w:w="666" w:type="dxa"/>
            <w:noWrap/>
            <w:vAlign w:val="bottom"/>
          </w:tcPr>
          <w:p w:rsidR="00000000" w:rsidRDefault="00000000">
            <w:pPr>
              <w:spacing w:before="80" w:after="80"/>
              <w:jc w:val="right"/>
              <w:rPr>
                <w:sz w:val="18"/>
                <w:szCs w:val="16"/>
              </w:rPr>
            </w:pPr>
            <w:r>
              <w:rPr>
                <w:sz w:val="18"/>
                <w:szCs w:val="16"/>
              </w:rPr>
              <w:t>29 148</w:t>
            </w:r>
          </w:p>
        </w:tc>
        <w:tc>
          <w:tcPr>
            <w:tcW w:w="666" w:type="dxa"/>
            <w:noWrap/>
            <w:vAlign w:val="bottom"/>
          </w:tcPr>
          <w:p w:rsidR="00000000" w:rsidRDefault="00000000">
            <w:pPr>
              <w:spacing w:before="80" w:after="80"/>
              <w:jc w:val="right"/>
              <w:rPr>
                <w:sz w:val="18"/>
                <w:szCs w:val="16"/>
              </w:rPr>
            </w:pPr>
            <w:r>
              <w:rPr>
                <w:sz w:val="18"/>
                <w:szCs w:val="16"/>
              </w:rPr>
              <w:t>33 648</w:t>
            </w:r>
          </w:p>
        </w:tc>
        <w:tc>
          <w:tcPr>
            <w:tcW w:w="666" w:type="dxa"/>
            <w:noWrap/>
            <w:vAlign w:val="bottom"/>
          </w:tcPr>
          <w:p w:rsidR="00000000" w:rsidRDefault="00000000">
            <w:pPr>
              <w:spacing w:before="80" w:after="80"/>
              <w:jc w:val="right"/>
              <w:rPr>
                <w:sz w:val="18"/>
                <w:szCs w:val="16"/>
              </w:rPr>
            </w:pPr>
            <w:r>
              <w:rPr>
                <w:sz w:val="18"/>
                <w:szCs w:val="16"/>
              </w:rPr>
              <w:t>28 028</w:t>
            </w:r>
          </w:p>
        </w:tc>
        <w:tc>
          <w:tcPr>
            <w:tcW w:w="666" w:type="dxa"/>
            <w:noWrap/>
            <w:vAlign w:val="bottom"/>
          </w:tcPr>
          <w:p w:rsidR="00000000" w:rsidRDefault="00000000">
            <w:pPr>
              <w:spacing w:before="80" w:after="80"/>
              <w:jc w:val="right"/>
              <w:rPr>
                <w:sz w:val="18"/>
                <w:szCs w:val="16"/>
              </w:rPr>
            </w:pPr>
            <w:r>
              <w:rPr>
                <w:sz w:val="18"/>
                <w:szCs w:val="16"/>
              </w:rPr>
              <w:t>28 732</w:t>
            </w:r>
          </w:p>
        </w:tc>
        <w:tc>
          <w:tcPr>
            <w:tcW w:w="666" w:type="dxa"/>
            <w:noWrap/>
            <w:vAlign w:val="bottom"/>
          </w:tcPr>
          <w:p w:rsidR="00000000" w:rsidRDefault="00000000">
            <w:pPr>
              <w:spacing w:before="80" w:after="80"/>
              <w:jc w:val="right"/>
              <w:rPr>
                <w:sz w:val="18"/>
                <w:szCs w:val="16"/>
              </w:rPr>
            </w:pPr>
            <w:r>
              <w:rPr>
                <w:sz w:val="18"/>
                <w:szCs w:val="16"/>
              </w:rPr>
              <w:t>29 214</w:t>
            </w:r>
          </w:p>
        </w:tc>
        <w:tc>
          <w:tcPr>
            <w:tcW w:w="666" w:type="dxa"/>
            <w:noWrap/>
            <w:vAlign w:val="bottom"/>
          </w:tcPr>
          <w:p w:rsidR="00000000" w:rsidRDefault="00000000">
            <w:pPr>
              <w:spacing w:before="80" w:after="80"/>
              <w:jc w:val="right"/>
              <w:rPr>
                <w:sz w:val="18"/>
                <w:szCs w:val="16"/>
              </w:rPr>
            </w:pPr>
            <w:r>
              <w:rPr>
                <w:sz w:val="18"/>
                <w:szCs w:val="16"/>
              </w:rPr>
              <w:t>27 049</w:t>
            </w:r>
          </w:p>
        </w:tc>
        <w:tc>
          <w:tcPr>
            <w:tcW w:w="666" w:type="dxa"/>
            <w:noWrap/>
            <w:vAlign w:val="bottom"/>
          </w:tcPr>
          <w:p w:rsidR="00000000" w:rsidRDefault="00000000">
            <w:pPr>
              <w:spacing w:before="80" w:after="80"/>
              <w:jc w:val="right"/>
              <w:rPr>
                <w:sz w:val="18"/>
                <w:szCs w:val="16"/>
              </w:rPr>
            </w:pPr>
            <w:r>
              <w:rPr>
                <w:sz w:val="18"/>
                <w:szCs w:val="16"/>
              </w:rPr>
              <w:t>25 995</w:t>
            </w:r>
          </w:p>
        </w:tc>
        <w:tc>
          <w:tcPr>
            <w:tcW w:w="856" w:type="dxa"/>
            <w:noWrap/>
            <w:vAlign w:val="bottom"/>
          </w:tcPr>
          <w:p w:rsidR="00000000" w:rsidRDefault="00000000">
            <w:pPr>
              <w:spacing w:before="80" w:after="80"/>
              <w:jc w:val="right"/>
              <w:rPr>
                <w:sz w:val="18"/>
                <w:szCs w:val="16"/>
              </w:rPr>
            </w:pPr>
            <w:r>
              <w:rPr>
                <w:sz w:val="18"/>
                <w:szCs w:val="16"/>
              </w:rPr>
              <w:t>32 444</w:t>
            </w:r>
          </w:p>
        </w:tc>
      </w:tr>
      <w:tr w:rsidR="00000000">
        <w:tc>
          <w:tcPr>
            <w:tcW w:w="1912" w:type="dxa"/>
            <w:noWrap/>
            <w:vAlign w:val="bottom"/>
          </w:tcPr>
          <w:p w:rsidR="00000000" w:rsidRDefault="00000000">
            <w:pPr>
              <w:tabs>
                <w:tab w:val="left" w:pos="284"/>
              </w:tabs>
              <w:spacing w:before="80" w:after="80"/>
              <w:rPr>
                <w:sz w:val="18"/>
                <w:szCs w:val="20"/>
              </w:rPr>
            </w:pPr>
            <w:r>
              <w:rPr>
                <w:sz w:val="18"/>
                <w:szCs w:val="20"/>
              </w:rPr>
              <w:t>5.</w:t>
            </w:r>
            <w:r>
              <w:rPr>
                <w:sz w:val="18"/>
                <w:szCs w:val="20"/>
              </w:rPr>
              <w:tab/>
              <w:t>Accidents (all forms)</w:t>
            </w:r>
          </w:p>
        </w:tc>
        <w:tc>
          <w:tcPr>
            <w:tcW w:w="667" w:type="dxa"/>
            <w:noWrap/>
            <w:vAlign w:val="bottom"/>
          </w:tcPr>
          <w:p w:rsidR="00000000" w:rsidRDefault="00000000">
            <w:pPr>
              <w:spacing w:before="80" w:after="80"/>
              <w:jc w:val="right"/>
              <w:rPr>
                <w:sz w:val="18"/>
                <w:szCs w:val="20"/>
              </w:rPr>
            </w:pPr>
            <w:r>
              <w:rPr>
                <w:sz w:val="18"/>
                <w:szCs w:val="20"/>
              </w:rPr>
              <w:t>24 416</w:t>
            </w:r>
          </w:p>
        </w:tc>
        <w:tc>
          <w:tcPr>
            <w:tcW w:w="666" w:type="dxa"/>
            <w:noWrap/>
            <w:vAlign w:val="bottom"/>
          </w:tcPr>
          <w:p w:rsidR="00000000" w:rsidRDefault="00000000">
            <w:pPr>
              <w:spacing w:before="80" w:after="80"/>
              <w:jc w:val="right"/>
              <w:rPr>
                <w:sz w:val="18"/>
                <w:szCs w:val="16"/>
              </w:rPr>
            </w:pPr>
            <w:r>
              <w:rPr>
                <w:sz w:val="18"/>
                <w:szCs w:val="16"/>
              </w:rPr>
              <w:t>25 179</w:t>
            </w:r>
          </w:p>
        </w:tc>
        <w:tc>
          <w:tcPr>
            <w:tcW w:w="666" w:type="dxa"/>
            <w:noWrap/>
            <w:vAlign w:val="bottom"/>
          </w:tcPr>
          <w:p w:rsidR="00000000" w:rsidRDefault="00000000">
            <w:pPr>
              <w:spacing w:before="80" w:after="80"/>
              <w:jc w:val="right"/>
              <w:rPr>
                <w:sz w:val="18"/>
                <w:szCs w:val="16"/>
              </w:rPr>
            </w:pPr>
            <w:r>
              <w:rPr>
                <w:sz w:val="18"/>
                <w:szCs w:val="16"/>
              </w:rPr>
              <w:t>22 549</w:t>
            </w:r>
          </w:p>
        </w:tc>
        <w:tc>
          <w:tcPr>
            <w:tcW w:w="666" w:type="dxa"/>
            <w:noWrap/>
            <w:vAlign w:val="bottom"/>
          </w:tcPr>
          <w:p w:rsidR="00000000" w:rsidRDefault="00000000">
            <w:pPr>
              <w:spacing w:before="80" w:after="80"/>
              <w:jc w:val="right"/>
              <w:rPr>
                <w:sz w:val="18"/>
                <w:szCs w:val="16"/>
              </w:rPr>
            </w:pPr>
            <w:r>
              <w:rPr>
                <w:sz w:val="18"/>
                <w:szCs w:val="16"/>
              </w:rPr>
              <w:t>28 981</w:t>
            </w:r>
          </w:p>
        </w:tc>
        <w:tc>
          <w:tcPr>
            <w:tcW w:w="666" w:type="dxa"/>
            <w:noWrap/>
            <w:vAlign w:val="bottom"/>
          </w:tcPr>
          <w:p w:rsidR="00000000" w:rsidRDefault="00000000">
            <w:pPr>
              <w:spacing w:before="80" w:after="80"/>
              <w:jc w:val="right"/>
              <w:rPr>
                <w:sz w:val="18"/>
                <w:szCs w:val="16"/>
              </w:rPr>
            </w:pPr>
            <w:r>
              <w:rPr>
                <w:sz w:val="18"/>
                <w:szCs w:val="16"/>
              </w:rPr>
              <w:t>28 222</w:t>
            </w:r>
          </w:p>
        </w:tc>
        <w:tc>
          <w:tcPr>
            <w:tcW w:w="666" w:type="dxa"/>
            <w:noWrap/>
            <w:vAlign w:val="bottom"/>
          </w:tcPr>
          <w:p w:rsidR="00000000" w:rsidRDefault="00000000">
            <w:pPr>
              <w:spacing w:before="80" w:after="80"/>
              <w:jc w:val="right"/>
              <w:rPr>
                <w:sz w:val="18"/>
                <w:szCs w:val="16"/>
              </w:rPr>
            </w:pPr>
            <w:r>
              <w:rPr>
                <w:sz w:val="18"/>
                <w:szCs w:val="16"/>
              </w:rPr>
              <w:t>26 970</w:t>
            </w:r>
          </w:p>
        </w:tc>
        <w:tc>
          <w:tcPr>
            <w:tcW w:w="666" w:type="dxa"/>
            <w:noWrap/>
            <w:vAlign w:val="bottom"/>
          </w:tcPr>
          <w:p w:rsidR="00000000" w:rsidRDefault="00000000">
            <w:pPr>
              <w:spacing w:before="80" w:after="80"/>
              <w:jc w:val="right"/>
              <w:rPr>
                <w:sz w:val="18"/>
                <w:szCs w:val="16"/>
              </w:rPr>
            </w:pPr>
            <w:r>
              <w:rPr>
                <w:sz w:val="18"/>
                <w:szCs w:val="16"/>
              </w:rPr>
              <w:t>28 607</w:t>
            </w:r>
          </w:p>
        </w:tc>
        <w:tc>
          <w:tcPr>
            <w:tcW w:w="666" w:type="dxa"/>
            <w:noWrap/>
            <w:vAlign w:val="bottom"/>
          </w:tcPr>
          <w:p w:rsidR="00000000" w:rsidRDefault="00000000">
            <w:pPr>
              <w:spacing w:before="80" w:after="80"/>
              <w:jc w:val="right"/>
              <w:rPr>
                <w:sz w:val="18"/>
                <w:szCs w:val="16"/>
              </w:rPr>
            </w:pPr>
            <w:r>
              <w:rPr>
                <w:sz w:val="18"/>
                <w:szCs w:val="16"/>
              </w:rPr>
              <w:t>28 588</w:t>
            </w:r>
          </w:p>
        </w:tc>
        <w:tc>
          <w:tcPr>
            <w:tcW w:w="666" w:type="dxa"/>
            <w:noWrap/>
            <w:vAlign w:val="bottom"/>
          </w:tcPr>
          <w:p w:rsidR="00000000" w:rsidRDefault="00000000">
            <w:pPr>
              <w:spacing w:before="80" w:after="80"/>
              <w:jc w:val="right"/>
              <w:rPr>
                <w:sz w:val="18"/>
                <w:szCs w:val="16"/>
              </w:rPr>
            </w:pPr>
            <w:r>
              <w:rPr>
                <w:sz w:val="18"/>
                <w:szCs w:val="16"/>
              </w:rPr>
              <w:t>23 748</w:t>
            </w:r>
          </w:p>
        </w:tc>
        <w:tc>
          <w:tcPr>
            <w:tcW w:w="666" w:type="dxa"/>
            <w:noWrap/>
            <w:vAlign w:val="bottom"/>
          </w:tcPr>
          <w:p w:rsidR="00000000" w:rsidRDefault="00000000">
            <w:pPr>
              <w:spacing w:before="80" w:after="80"/>
              <w:jc w:val="right"/>
              <w:rPr>
                <w:sz w:val="18"/>
                <w:szCs w:val="16"/>
              </w:rPr>
            </w:pPr>
            <w:r>
              <w:rPr>
                <w:sz w:val="18"/>
                <w:szCs w:val="16"/>
              </w:rPr>
              <w:t>13 387</w:t>
            </w:r>
          </w:p>
        </w:tc>
        <w:tc>
          <w:tcPr>
            <w:tcW w:w="856" w:type="dxa"/>
            <w:noWrap/>
            <w:vAlign w:val="bottom"/>
          </w:tcPr>
          <w:p w:rsidR="00000000" w:rsidRDefault="00000000">
            <w:pPr>
              <w:spacing w:before="80" w:after="80"/>
              <w:jc w:val="right"/>
              <w:rPr>
                <w:sz w:val="18"/>
                <w:szCs w:val="16"/>
              </w:rPr>
            </w:pPr>
            <w:r>
              <w:rPr>
                <w:sz w:val="18"/>
                <w:szCs w:val="16"/>
              </w:rPr>
              <w:t>7 736</w:t>
            </w:r>
          </w:p>
        </w:tc>
      </w:tr>
      <w:tr w:rsidR="00000000">
        <w:tc>
          <w:tcPr>
            <w:tcW w:w="1912" w:type="dxa"/>
            <w:noWrap/>
            <w:vAlign w:val="bottom"/>
          </w:tcPr>
          <w:p w:rsidR="00000000" w:rsidRDefault="00000000">
            <w:pPr>
              <w:tabs>
                <w:tab w:val="left" w:pos="284"/>
              </w:tabs>
              <w:spacing w:before="80" w:after="80"/>
              <w:rPr>
                <w:sz w:val="18"/>
                <w:szCs w:val="20"/>
              </w:rPr>
            </w:pPr>
            <w:r>
              <w:rPr>
                <w:sz w:val="18"/>
                <w:szCs w:val="20"/>
              </w:rPr>
              <w:t>6.</w:t>
            </w:r>
            <w:r>
              <w:rPr>
                <w:sz w:val="18"/>
                <w:szCs w:val="20"/>
              </w:rPr>
              <w:tab/>
              <w:t>Arterial hypertension</w:t>
            </w:r>
          </w:p>
        </w:tc>
        <w:tc>
          <w:tcPr>
            <w:tcW w:w="667" w:type="dxa"/>
            <w:noWrap/>
            <w:vAlign w:val="bottom"/>
          </w:tcPr>
          <w:p w:rsidR="00000000" w:rsidRDefault="00000000">
            <w:pPr>
              <w:spacing w:before="80" w:after="80"/>
              <w:jc w:val="right"/>
              <w:rPr>
                <w:sz w:val="18"/>
                <w:szCs w:val="20"/>
              </w:rPr>
            </w:pPr>
            <w:r>
              <w:rPr>
                <w:sz w:val="18"/>
                <w:szCs w:val="20"/>
              </w:rPr>
              <w:t>22 004</w:t>
            </w:r>
          </w:p>
        </w:tc>
        <w:tc>
          <w:tcPr>
            <w:tcW w:w="666" w:type="dxa"/>
            <w:noWrap/>
            <w:vAlign w:val="bottom"/>
          </w:tcPr>
          <w:p w:rsidR="00000000" w:rsidRDefault="00000000">
            <w:pPr>
              <w:spacing w:before="80" w:after="80"/>
              <w:jc w:val="right"/>
              <w:rPr>
                <w:sz w:val="18"/>
                <w:szCs w:val="16"/>
              </w:rPr>
            </w:pPr>
            <w:r>
              <w:rPr>
                <w:sz w:val="18"/>
                <w:szCs w:val="16"/>
              </w:rPr>
              <w:t>21 226</w:t>
            </w:r>
          </w:p>
        </w:tc>
        <w:tc>
          <w:tcPr>
            <w:tcW w:w="666" w:type="dxa"/>
            <w:noWrap/>
            <w:vAlign w:val="bottom"/>
          </w:tcPr>
          <w:p w:rsidR="00000000" w:rsidRDefault="00000000">
            <w:pPr>
              <w:spacing w:before="80" w:after="80"/>
              <w:jc w:val="right"/>
              <w:rPr>
                <w:sz w:val="18"/>
                <w:szCs w:val="16"/>
              </w:rPr>
            </w:pPr>
            <w:r>
              <w:rPr>
                <w:sz w:val="18"/>
                <w:szCs w:val="16"/>
              </w:rPr>
              <w:t>23 646</w:t>
            </w:r>
          </w:p>
        </w:tc>
        <w:tc>
          <w:tcPr>
            <w:tcW w:w="666" w:type="dxa"/>
            <w:noWrap/>
            <w:vAlign w:val="bottom"/>
          </w:tcPr>
          <w:p w:rsidR="00000000" w:rsidRDefault="00000000">
            <w:pPr>
              <w:spacing w:before="80" w:after="80"/>
              <w:jc w:val="right"/>
              <w:rPr>
                <w:sz w:val="18"/>
                <w:szCs w:val="16"/>
              </w:rPr>
            </w:pPr>
            <w:r>
              <w:rPr>
                <w:sz w:val="18"/>
                <w:szCs w:val="16"/>
              </w:rPr>
              <w:t>23 376</w:t>
            </w:r>
          </w:p>
        </w:tc>
        <w:tc>
          <w:tcPr>
            <w:tcW w:w="666" w:type="dxa"/>
            <w:noWrap/>
            <w:vAlign w:val="bottom"/>
          </w:tcPr>
          <w:p w:rsidR="00000000" w:rsidRDefault="00000000">
            <w:pPr>
              <w:spacing w:before="80" w:after="80"/>
              <w:jc w:val="right"/>
              <w:rPr>
                <w:sz w:val="18"/>
                <w:szCs w:val="16"/>
              </w:rPr>
            </w:pPr>
            <w:r>
              <w:rPr>
                <w:sz w:val="18"/>
                <w:szCs w:val="16"/>
              </w:rPr>
              <w:t>26 255</w:t>
            </w:r>
          </w:p>
        </w:tc>
        <w:tc>
          <w:tcPr>
            <w:tcW w:w="666" w:type="dxa"/>
            <w:noWrap/>
            <w:vAlign w:val="bottom"/>
          </w:tcPr>
          <w:p w:rsidR="00000000" w:rsidRDefault="00000000">
            <w:pPr>
              <w:spacing w:before="80" w:after="80"/>
              <w:jc w:val="right"/>
              <w:rPr>
                <w:sz w:val="18"/>
                <w:szCs w:val="16"/>
              </w:rPr>
            </w:pPr>
            <w:r>
              <w:rPr>
                <w:sz w:val="18"/>
                <w:szCs w:val="16"/>
              </w:rPr>
              <w:t>25 713</w:t>
            </w:r>
          </w:p>
        </w:tc>
        <w:tc>
          <w:tcPr>
            <w:tcW w:w="666" w:type="dxa"/>
            <w:noWrap/>
            <w:vAlign w:val="bottom"/>
          </w:tcPr>
          <w:p w:rsidR="00000000" w:rsidRDefault="00000000">
            <w:pPr>
              <w:spacing w:before="80" w:after="80"/>
              <w:jc w:val="right"/>
              <w:rPr>
                <w:sz w:val="18"/>
                <w:szCs w:val="16"/>
              </w:rPr>
            </w:pPr>
            <w:r>
              <w:rPr>
                <w:sz w:val="18"/>
                <w:szCs w:val="16"/>
              </w:rPr>
              <w:t>29 948</w:t>
            </w:r>
          </w:p>
        </w:tc>
        <w:tc>
          <w:tcPr>
            <w:tcW w:w="666" w:type="dxa"/>
            <w:noWrap/>
            <w:vAlign w:val="bottom"/>
          </w:tcPr>
          <w:p w:rsidR="00000000" w:rsidRDefault="00000000">
            <w:pPr>
              <w:spacing w:before="80" w:after="80"/>
              <w:jc w:val="right"/>
              <w:rPr>
                <w:sz w:val="18"/>
                <w:szCs w:val="16"/>
              </w:rPr>
            </w:pPr>
            <w:r>
              <w:rPr>
                <w:sz w:val="18"/>
                <w:szCs w:val="16"/>
              </w:rPr>
              <w:t>30 744</w:t>
            </w:r>
          </w:p>
        </w:tc>
        <w:tc>
          <w:tcPr>
            <w:tcW w:w="666" w:type="dxa"/>
            <w:noWrap/>
            <w:vAlign w:val="bottom"/>
          </w:tcPr>
          <w:p w:rsidR="00000000" w:rsidRDefault="00000000">
            <w:pPr>
              <w:spacing w:before="80" w:after="80"/>
              <w:jc w:val="right"/>
              <w:rPr>
                <w:sz w:val="18"/>
                <w:szCs w:val="16"/>
              </w:rPr>
            </w:pPr>
            <w:r>
              <w:rPr>
                <w:sz w:val="18"/>
                <w:szCs w:val="16"/>
              </w:rPr>
              <w:t>32 001</w:t>
            </w:r>
          </w:p>
        </w:tc>
        <w:tc>
          <w:tcPr>
            <w:tcW w:w="666" w:type="dxa"/>
            <w:noWrap/>
            <w:vAlign w:val="bottom"/>
          </w:tcPr>
          <w:p w:rsidR="00000000" w:rsidRDefault="00000000">
            <w:pPr>
              <w:spacing w:before="80" w:after="80"/>
              <w:jc w:val="right"/>
              <w:rPr>
                <w:sz w:val="18"/>
                <w:szCs w:val="16"/>
              </w:rPr>
            </w:pPr>
            <w:r>
              <w:rPr>
                <w:sz w:val="18"/>
                <w:szCs w:val="16"/>
              </w:rPr>
              <w:t>33 551</w:t>
            </w:r>
          </w:p>
        </w:tc>
        <w:tc>
          <w:tcPr>
            <w:tcW w:w="856" w:type="dxa"/>
            <w:noWrap/>
            <w:vAlign w:val="bottom"/>
          </w:tcPr>
          <w:p w:rsidR="00000000" w:rsidRDefault="00000000">
            <w:pPr>
              <w:spacing w:before="80" w:after="80"/>
              <w:jc w:val="right"/>
              <w:rPr>
                <w:sz w:val="18"/>
                <w:szCs w:val="16"/>
              </w:rPr>
            </w:pPr>
            <w:r>
              <w:rPr>
                <w:sz w:val="18"/>
                <w:szCs w:val="16"/>
              </w:rPr>
              <w:t>34 788</w:t>
            </w:r>
          </w:p>
        </w:tc>
      </w:tr>
      <w:tr w:rsidR="00000000">
        <w:tc>
          <w:tcPr>
            <w:tcW w:w="1912" w:type="dxa"/>
            <w:noWrap/>
            <w:vAlign w:val="bottom"/>
          </w:tcPr>
          <w:p w:rsidR="00000000" w:rsidRDefault="00000000">
            <w:pPr>
              <w:tabs>
                <w:tab w:val="left" w:pos="284"/>
              </w:tabs>
              <w:spacing w:before="80" w:after="80"/>
              <w:ind w:left="284" w:hanging="284"/>
              <w:rPr>
                <w:sz w:val="18"/>
                <w:szCs w:val="20"/>
              </w:rPr>
            </w:pPr>
            <w:r>
              <w:rPr>
                <w:sz w:val="18"/>
                <w:szCs w:val="20"/>
              </w:rPr>
              <w:t>7.</w:t>
            </w:r>
            <w:r>
              <w:rPr>
                <w:sz w:val="18"/>
                <w:szCs w:val="20"/>
              </w:rPr>
              <w:tab/>
              <w:t xml:space="preserve">Parasitic nutritional anaemia </w:t>
            </w:r>
          </w:p>
        </w:tc>
        <w:tc>
          <w:tcPr>
            <w:tcW w:w="667" w:type="dxa"/>
            <w:noWrap/>
            <w:vAlign w:val="bottom"/>
          </w:tcPr>
          <w:p w:rsidR="00000000" w:rsidRDefault="00000000">
            <w:pPr>
              <w:spacing w:before="80" w:after="80"/>
              <w:jc w:val="right"/>
              <w:rPr>
                <w:sz w:val="18"/>
                <w:szCs w:val="20"/>
              </w:rPr>
            </w:pPr>
            <w:r>
              <w:rPr>
                <w:sz w:val="18"/>
                <w:szCs w:val="20"/>
              </w:rPr>
              <w:t>26 249</w:t>
            </w:r>
          </w:p>
        </w:tc>
        <w:tc>
          <w:tcPr>
            <w:tcW w:w="666" w:type="dxa"/>
            <w:noWrap/>
            <w:vAlign w:val="bottom"/>
          </w:tcPr>
          <w:p w:rsidR="00000000" w:rsidRDefault="00000000">
            <w:pPr>
              <w:spacing w:before="80" w:after="80"/>
              <w:jc w:val="right"/>
              <w:rPr>
                <w:sz w:val="18"/>
                <w:szCs w:val="16"/>
              </w:rPr>
            </w:pPr>
            <w:r>
              <w:rPr>
                <w:sz w:val="18"/>
                <w:szCs w:val="16"/>
              </w:rPr>
              <w:t>24 903</w:t>
            </w:r>
          </w:p>
        </w:tc>
        <w:tc>
          <w:tcPr>
            <w:tcW w:w="666" w:type="dxa"/>
            <w:noWrap/>
            <w:vAlign w:val="bottom"/>
          </w:tcPr>
          <w:p w:rsidR="00000000" w:rsidRDefault="00000000">
            <w:pPr>
              <w:spacing w:before="80" w:after="80"/>
              <w:jc w:val="right"/>
              <w:rPr>
                <w:sz w:val="18"/>
                <w:szCs w:val="16"/>
              </w:rPr>
            </w:pPr>
            <w:r>
              <w:rPr>
                <w:sz w:val="18"/>
                <w:szCs w:val="16"/>
              </w:rPr>
              <w:t>21 485</w:t>
            </w:r>
          </w:p>
        </w:tc>
        <w:tc>
          <w:tcPr>
            <w:tcW w:w="666" w:type="dxa"/>
            <w:noWrap/>
            <w:vAlign w:val="bottom"/>
          </w:tcPr>
          <w:p w:rsidR="00000000" w:rsidRDefault="00000000">
            <w:pPr>
              <w:spacing w:before="80" w:after="80"/>
              <w:jc w:val="right"/>
              <w:rPr>
                <w:sz w:val="18"/>
                <w:szCs w:val="16"/>
              </w:rPr>
            </w:pPr>
            <w:r>
              <w:rPr>
                <w:sz w:val="18"/>
                <w:szCs w:val="16"/>
              </w:rPr>
              <w:t>19 732</w:t>
            </w:r>
          </w:p>
        </w:tc>
        <w:tc>
          <w:tcPr>
            <w:tcW w:w="666" w:type="dxa"/>
            <w:noWrap/>
            <w:vAlign w:val="bottom"/>
          </w:tcPr>
          <w:p w:rsidR="00000000" w:rsidRDefault="00000000">
            <w:pPr>
              <w:spacing w:before="80" w:after="80"/>
              <w:jc w:val="right"/>
              <w:rPr>
                <w:sz w:val="18"/>
                <w:szCs w:val="16"/>
              </w:rPr>
            </w:pPr>
            <w:r>
              <w:rPr>
                <w:sz w:val="18"/>
                <w:szCs w:val="16"/>
              </w:rPr>
              <w:t>23 978</w:t>
            </w:r>
          </w:p>
        </w:tc>
        <w:tc>
          <w:tcPr>
            <w:tcW w:w="666" w:type="dxa"/>
            <w:noWrap/>
            <w:vAlign w:val="bottom"/>
          </w:tcPr>
          <w:p w:rsidR="00000000" w:rsidRDefault="00000000">
            <w:pPr>
              <w:spacing w:before="80" w:after="80"/>
              <w:jc w:val="right"/>
              <w:rPr>
                <w:sz w:val="18"/>
                <w:szCs w:val="16"/>
              </w:rPr>
            </w:pPr>
            <w:r>
              <w:rPr>
                <w:sz w:val="18"/>
                <w:szCs w:val="16"/>
              </w:rPr>
              <w:t>17 948</w:t>
            </w:r>
          </w:p>
        </w:tc>
        <w:tc>
          <w:tcPr>
            <w:tcW w:w="666" w:type="dxa"/>
            <w:noWrap/>
            <w:vAlign w:val="bottom"/>
          </w:tcPr>
          <w:p w:rsidR="00000000" w:rsidRDefault="00000000">
            <w:pPr>
              <w:spacing w:before="80" w:after="80"/>
              <w:jc w:val="right"/>
              <w:rPr>
                <w:sz w:val="18"/>
                <w:szCs w:val="16"/>
              </w:rPr>
            </w:pPr>
            <w:r>
              <w:rPr>
                <w:sz w:val="18"/>
                <w:szCs w:val="16"/>
              </w:rPr>
              <w:t>15 995</w:t>
            </w:r>
          </w:p>
        </w:tc>
        <w:tc>
          <w:tcPr>
            <w:tcW w:w="666" w:type="dxa"/>
            <w:noWrap/>
            <w:vAlign w:val="bottom"/>
          </w:tcPr>
          <w:p w:rsidR="00000000" w:rsidRDefault="00000000">
            <w:pPr>
              <w:spacing w:before="80" w:after="80"/>
              <w:jc w:val="right"/>
              <w:rPr>
                <w:sz w:val="18"/>
                <w:szCs w:val="16"/>
              </w:rPr>
            </w:pPr>
            <w:r>
              <w:rPr>
                <w:sz w:val="18"/>
                <w:szCs w:val="16"/>
              </w:rPr>
              <w:t>12 862</w:t>
            </w:r>
          </w:p>
        </w:tc>
        <w:tc>
          <w:tcPr>
            <w:tcW w:w="666" w:type="dxa"/>
            <w:noWrap/>
            <w:vAlign w:val="bottom"/>
          </w:tcPr>
          <w:p w:rsidR="00000000" w:rsidRDefault="00000000">
            <w:pPr>
              <w:spacing w:before="80" w:after="80"/>
              <w:jc w:val="right"/>
              <w:rPr>
                <w:sz w:val="18"/>
                <w:szCs w:val="16"/>
              </w:rPr>
            </w:pPr>
            <w:r>
              <w:rPr>
                <w:sz w:val="18"/>
                <w:szCs w:val="16"/>
              </w:rPr>
              <w:t>12 957</w:t>
            </w:r>
          </w:p>
        </w:tc>
        <w:tc>
          <w:tcPr>
            <w:tcW w:w="666" w:type="dxa"/>
            <w:noWrap/>
            <w:vAlign w:val="bottom"/>
          </w:tcPr>
          <w:p w:rsidR="00000000" w:rsidRDefault="00000000">
            <w:pPr>
              <w:spacing w:before="80" w:after="80"/>
              <w:jc w:val="right"/>
              <w:rPr>
                <w:sz w:val="18"/>
                <w:szCs w:val="16"/>
              </w:rPr>
            </w:pPr>
            <w:r>
              <w:rPr>
                <w:sz w:val="18"/>
                <w:szCs w:val="16"/>
              </w:rPr>
              <w:t>10 277</w:t>
            </w:r>
          </w:p>
        </w:tc>
        <w:tc>
          <w:tcPr>
            <w:tcW w:w="856" w:type="dxa"/>
            <w:noWrap/>
            <w:vAlign w:val="bottom"/>
          </w:tcPr>
          <w:p w:rsidR="00000000" w:rsidRDefault="00000000">
            <w:pPr>
              <w:spacing w:before="80" w:after="80"/>
              <w:jc w:val="right"/>
              <w:rPr>
                <w:sz w:val="18"/>
                <w:szCs w:val="16"/>
              </w:rPr>
            </w:pPr>
            <w:r>
              <w:rPr>
                <w:sz w:val="18"/>
                <w:szCs w:val="16"/>
              </w:rPr>
              <w:t>9 318</w:t>
            </w:r>
          </w:p>
        </w:tc>
      </w:tr>
      <w:tr w:rsidR="00000000">
        <w:tc>
          <w:tcPr>
            <w:tcW w:w="1912" w:type="dxa"/>
            <w:noWrap/>
            <w:vAlign w:val="bottom"/>
          </w:tcPr>
          <w:p w:rsidR="00000000" w:rsidRDefault="00000000">
            <w:pPr>
              <w:tabs>
                <w:tab w:val="left" w:pos="284"/>
              </w:tabs>
              <w:spacing w:before="80" w:after="80"/>
              <w:ind w:left="284" w:hanging="284"/>
              <w:rPr>
                <w:sz w:val="18"/>
                <w:szCs w:val="20"/>
              </w:rPr>
            </w:pPr>
            <w:r>
              <w:rPr>
                <w:sz w:val="18"/>
                <w:szCs w:val="20"/>
              </w:rPr>
              <w:t>8.</w:t>
            </w:r>
            <w:r>
              <w:rPr>
                <w:sz w:val="18"/>
                <w:szCs w:val="20"/>
              </w:rPr>
              <w:tab/>
              <w:t>Urinary infection</w:t>
            </w:r>
          </w:p>
        </w:tc>
        <w:tc>
          <w:tcPr>
            <w:tcW w:w="667" w:type="dxa"/>
            <w:noWrap/>
            <w:vAlign w:val="bottom"/>
          </w:tcPr>
          <w:p w:rsidR="00000000" w:rsidRDefault="00000000">
            <w:pPr>
              <w:spacing w:before="80" w:after="80"/>
              <w:jc w:val="right"/>
              <w:rPr>
                <w:sz w:val="18"/>
                <w:szCs w:val="20"/>
              </w:rPr>
            </w:pPr>
            <w:r>
              <w:rPr>
                <w:sz w:val="18"/>
                <w:szCs w:val="20"/>
              </w:rPr>
              <w:t>10 481</w:t>
            </w:r>
          </w:p>
        </w:tc>
        <w:tc>
          <w:tcPr>
            <w:tcW w:w="666" w:type="dxa"/>
            <w:noWrap/>
            <w:vAlign w:val="bottom"/>
          </w:tcPr>
          <w:p w:rsidR="00000000" w:rsidRDefault="00000000">
            <w:pPr>
              <w:spacing w:before="80" w:after="80"/>
              <w:jc w:val="right"/>
              <w:rPr>
                <w:sz w:val="18"/>
                <w:szCs w:val="16"/>
              </w:rPr>
            </w:pPr>
            <w:r>
              <w:rPr>
                <w:sz w:val="18"/>
                <w:szCs w:val="16"/>
              </w:rPr>
              <w:t>10 824</w:t>
            </w:r>
          </w:p>
        </w:tc>
        <w:tc>
          <w:tcPr>
            <w:tcW w:w="666" w:type="dxa"/>
            <w:noWrap/>
            <w:vAlign w:val="bottom"/>
          </w:tcPr>
          <w:p w:rsidR="00000000" w:rsidRDefault="00000000">
            <w:pPr>
              <w:spacing w:before="80" w:after="80"/>
              <w:jc w:val="right"/>
              <w:rPr>
                <w:sz w:val="18"/>
                <w:szCs w:val="16"/>
              </w:rPr>
            </w:pPr>
            <w:r>
              <w:rPr>
                <w:sz w:val="18"/>
                <w:szCs w:val="16"/>
              </w:rPr>
              <w:t>11 831</w:t>
            </w:r>
          </w:p>
        </w:tc>
        <w:tc>
          <w:tcPr>
            <w:tcW w:w="666" w:type="dxa"/>
            <w:noWrap/>
            <w:vAlign w:val="bottom"/>
          </w:tcPr>
          <w:p w:rsidR="00000000" w:rsidRDefault="00000000">
            <w:pPr>
              <w:spacing w:before="80" w:after="80"/>
              <w:jc w:val="right"/>
              <w:rPr>
                <w:sz w:val="18"/>
                <w:szCs w:val="16"/>
              </w:rPr>
            </w:pPr>
            <w:r>
              <w:rPr>
                <w:sz w:val="18"/>
                <w:szCs w:val="16"/>
              </w:rPr>
              <w:t>11 850</w:t>
            </w:r>
          </w:p>
        </w:tc>
        <w:tc>
          <w:tcPr>
            <w:tcW w:w="666" w:type="dxa"/>
            <w:noWrap/>
            <w:vAlign w:val="bottom"/>
          </w:tcPr>
          <w:p w:rsidR="00000000" w:rsidRDefault="00000000">
            <w:pPr>
              <w:spacing w:before="80" w:after="80"/>
              <w:jc w:val="right"/>
              <w:rPr>
                <w:sz w:val="18"/>
                <w:szCs w:val="16"/>
              </w:rPr>
            </w:pPr>
            <w:r>
              <w:rPr>
                <w:sz w:val="18"/>
                <w:szCs w:val="16"/>
              </w:rPr>
              <w:t>12 128</w:t>
            </w:r>
          </w:p>
        </w:tc>
        <w:tc>
          <w:tcPr>
            <w:tcW w:w="666" w:type="dxa"/>
            <w:noWrap/>
            <w:vAlign w:val="bottom"/>
          </w:tcPr>
          <w:p w:rsidR="00000000" w:rsidRDefault="00000000">
            <w:pPr>
              <w:spacing w:before="80" w:after="80"/>
              <w:jc w:val="right"/>
              <w:rPr>
                <w:sz w:val="18"/>
                <w:szCs w:val="16"/>
              </w:rPr>
            </w:pPr>
            <w:r>
              <w:rPr>
                <w:sz w:val="18"/>
                <w:szCs w:val="16"/>
              </w:rPr>
              <w:t>12 986</w:t>
            </w:r>
          </w:p>
        </w:tc>
        <w:tc>
          <w:tcPr>
            <w:tcW w:w="666" w:type="dxa"/>
            <w:noWrap/>
            <w:vAlign w:val="bottom"/>
          </w:tcPr>
          <w:p w:rsidR="00000000" w:rsidRDefault="00000000">
            <w:pPr>
              <w:spacing w:before="80" w:after="80"/>
              <w:jc w:val="right"/>
              <w:rPr>
                <w:sz w:val="18"/>
                <w:szCs w:val="16"/>
              </w:rPr>
            </w:pPr>
            <w:r>
              <w:rPr>
                <w:sz w:val="18"/>
                <w:szCs w:val="16"/>
              </w:rPr>
              <w:t>12 720</w:t>
            </w:r>
          </w:p>
        </w:tc>
        <w:tc>
          <w:tcPr>
            <w:tcW w:w="666" w:type="dxa"/>
            <w:noWrap/>
            <w:vAlign w:val="bottom"/>
          </w:tcPr>
          <w:p w:rsidR="00000000" w:rsidRDefault="00000000">
            <w:pPr>
              <w:spacing w:before="80" w:after="80"/>
              <w:jc w:val="right"/>
              <w:rPr>
                <w:sz w:val="18"/>
                <w:szCs w:val="16"/>
              </w:rPr>
            </w:pPr>
            <w:r>
              <w:rPr>
                <w:sz w:val="18"/>
                <w:szCs w:val="16"/>
              </w:rPr>
              <w:t>13 152</w:t>
            </w:r>
          </w:p>
        </w:tc>
        <w:tc>
          <w:tcPr>
            <w:tcW w:w="666" w:type="dxa"/>
            <w:noWrap/>
            <w:vAlign w:val="bottom"/>
          </w:tcPr>
          <w:p w:rsidR="00000000" w:rsidRDefault="00000000">
            <w:pPr>
              <w:spacing w:before="80" w:after="80"/>
              <w:jc w:val="right"/>
              <w:rPr>
                <w:sz w:val="18"/>
                <w:szCs w:val="16"/>
              </w:rPr>
            </w:pPr>
            <w:r>
              <w:rPr>
                <w:sz w:val="18"/>
                <w:szCs w:val="16"/>
              </w:rPr>
              <w:t>12 470</w:t>
            </w:r>
          </w:p>
        </w:tc>
        <w:tc>
          <w:tcPr>
            <w:tcW w:w="666" w:type="dxa"/>
            <w:noWrap/>
            <w:vAlign w:val="bottom"/>
          </w:tcPr>
          <w:p w:rsidR="00000000" w:rsidRDefault="00000000">
            <w:pPr>
              <w:spacing w:before="80" w:after="80"/>
              <w:jc w:val="right"/>
              <w:rPr>
                <w:sz w:val="18"/>
                <w:szCs w:val="16"/>
              </w:rPr>
            </w:pPr>
            <w:r>
              <w:rPr>
                <w:sz w:val="18"/>
                <w:szCs w:val="16"/>
              </w:rPr>
              <w:t>12 956</w:t>
            </w:r>
          </w:p>
        </w:tc>
        <w:tc>
          <w:tcPr>
            <w:tcW w:w="856" w:type="dxa"/>
            <w:noWrap/>
            <w:vAlign w:val="bottom"/>
          </w:tcPr>
          <w:p w:rsidR="00000000" w:rsidRDefault="00000000">
            <w:pPr>
              <w:spacing w:before="80" w:after="80"/>
              <w:jc w:val="right"/>
              <w:rPr>
                <w:sz w:val="18"/>
                <w:szCs w:val="16"/>
              </w:rPr>
            </w:pPr>
            <w:r>
              <w:rPr>
                <w:sz w:val="18"/>
                <w:szCs w:val="16"/>
              </w:rPr>
              <w:t>13 783</w:t>
            </w:r>
          </w:p>
        </w:tc>
      </w:tr>
      <w:tr w:rsidR="00000000">
        <w:tc>
          <w:tcPr>
            <w:tcW w:w="1912" w:type="dxa"/>
            <w:noWrap/>
            <w:vAlign w:val="bottom"/>
          </w:tcPr>
          <w:p w:rsidR="00000000" w:rsidRDefault="00000000">
            <w:pPr>
              <w:tabs>
                <w:tab w:val="left" w:pos="284"/>
              </w:tabs>
              <w:spacing w:before="80" w:after="80"/>
              <w:ind w:left="284" w:hanging="284"/>
              <w:rPr>
                <w:sz w:val="18"/>
                <w:szCs w:val="20"/>
              </w:rPr>
            </w:pPr>
            <w:r>
              <w:rPr>
                <w:sz w:val="18"/>
                <w:szCs w:val="20"/>
              </w:rPr>
              <w:t>9.</w:t>
            </w:r>
            <w:r>
              <w:rPr>
                <w:sz w:val="18"/>
                <w:szCs w:val="20"/>
              </w:rPr>
              <w:tab/>
              <w:t>Neurovegetative dystonia</w:t>
            </w:r>
          </w:p>
        </w:tc>
        <w:tc>
          <w:tcPr>
            <w:tcW w:w="667" w:type="dxa"/>
            <w:noWrap/>
            <w:vAlign w:val="bottom"/>
          </w:tcPr>
          <w:p w:rsidR="00000000" w:rsidRDefault="00000000">
            <w:pPr>
              <w:spacing w:before="80" w:after="80"/>
              <w:jc w:val="right"/>
              <w:rPr>
                <w:sz w:val="18"/>
                <w:szCs w:val="20"/>
              </w:rPr>
            </w:pPr>
            <w:r>
              <w:rPr>
                <w:sz w:val="18"/>
                <w:szCs w:val="20"/>
              </w:rPr>
              <w:t>12 364</w:t>
            </w:r>
          </w:p>
        </w:tc>
        <w:tc>
          <w:tcPr>
            <w:tcW w:w="666" w:type="dxa"/>
            <w:noWrap/>
            <w:vAlign w:val="bottom"/>
          </w:tcPr>
          <w:p w:rsidR="00000000" w:rsidRDefault="00000000">
            <w:pPr>
              <w:spacing w:before="80" w:after="80"/>
              <w:jc w:val="right"/>
              <w:rPr>
                <w:sz w:val="18"/>
                <w:szCs w:val="16"/>
              </w:rPr>
            </w:pPr>
            <w:r>
              <w:rPr>
                <w:sz w:val="18"/>
                <w:szCs w:val="16"/>
              </w:rPr>
              <w:t>8 727</w:t>
            </w:r>
          </w:p>
        </w:tc>
        <w:tc>
          <w:tcPr>
            <w:tcW w:w="666" w:type="dxa"/>
            <w:noWrap/>
            <w:vAlign w:val="bottom"/>
          </w:tcPr>
          <w:p w:rsidR="00000000" w:rsidRDefault="00000000">
            <w:pPr>
              <w:spacing w:before="80" w:after="80"/>
              <w:jc w:val="right"/>
              <w:rPr>
                <w:sz w:val="18"/>
                <w:szCs w:val="16"/>
              </w:rPr>
            </w:pPr>
            <w:r>
              <w:rPr>
                <w:sz w:val="18"/>
                <w:szCs w:val="16"/>
              </w:rPr>
              <w:t>8 607</w:t>
            </w:r>
          </w:p>
        </w:tc>
        <w:tc>
          <w:tcPr>
            <w:tcW w:w="666" w:type="dxa"/>
            <w:noWrap/>
            <w:vAlign w:val="bottom"/>
          </w:tcPr>
          <w:p w:rsidR="00000000" w:rsidRDefault="00000000">
            <w:pPr>
              <w:spacing w:before="80" w:after="80"/>
              <w:jc w:val="right"/>
              <w:rPr>
                <w:sz w:val="18"/>
                <w:szCs w:val="16"/>
              </w:rPr>
            </w:pPr>
            <w:r>
              <w:rPr>
                <w:sz w:val="18"/>
                <w:szCs w:val="16"/>
              </w:rPr>
              <w:t>8 103</w:t>
            </w:r>
          </w:p>
        </w:tc>
        <w:tc>
          <w:tcPr>
            <w:tcW w:w="666" w:type="dxa"/>
            <w:noWrap/>
            <w:vAlign w:val="bottom"/>
          </w:tcPr>
          <w:p w:rsidR="00000000" w:rsidRDefault="00000000">
            <w:pPr>
              <w:spacing w:before="80" w:after="80"/>
              <w:jc w:val="right"/>
              <w:rPr>
                <w:sz w:val="18"/>
                <w:szCs w:val="16"/>
              </w:rPr>
            </w:pPr>
            <w:r>
              <w:rPr>
                <w:sz w:val="18"/>
                <w:szCs w:val="16"/>
              </w:rPr>
              <w:t>8 289</w:t>
            </w:r>
          </w:p>
        </w:tc>
        <w:tc>
          <w:tcPr>
            <w:tcW w:w="666" w:type="dxa"/>
            <w:noWrap/>
            <w:vAlign w:val="bottom"/>
          </w:tcPr>
          <w:p w:rsidR="00000000" w:rsidRDefault="00000000">
            <w:pPr>
              <w:spacing w:before="80" w:after="80"/>
              <w:jc w:val="right"/>
              <w:rPr>
                <w:sz w:val="18"/>
                <w:szCs w:val="16"/>
              </w:rPr>
            </w:pPr>
            <w:r>
              <w:rPr>
                <w:sz w:val="18"/>
                <w:szCs w:val="16"/>
              </w:rPr>
              <w:t>7 870</w:t>
            </w:r>
          </w:p>
        </w:tc>
        <w:tc>
          <w:tcPr>
            <w:tcW w:w="666" w:type="dxa"/>
            <w:noWrap/>
            <w:vAlign w:val="bottom"/>
          </w:tcPr>
          <w:p w:rsidR="00000000" w:rsidRDefault="00000000">
            <w:pPr>
              <w:spacing w:before="80" w:after="80"/>
              <w:jc w:val="right"/>
              <w:rPr>
                <w:sz w:val="18"/>
                <w:szCs w:val="16"/>
              </w:rPr>
            </w:pPr>
            <w:r>
              <w:rPr>
                <w:sz w:val="18"/>
                <w:szCs w:val="16"/>
              </w:rPr>
              <w:t>7 317</w:t>
            </w:r>
          </w:p>
        </w:tc>
        <w:tc>
          <w:tcPr>
            <w:tcW w:w="666" w:type="dxa"/>
            <w:noWrap/>
            <w:vAlign w:val="bottom"/>
          </w:tcPr>
          <w:p w:rsidR="00000000" w:rsidRDefault="00000000">
            <w:pPr>
              <w:spacing w:before="80" w:after="80"/>
              <w:jc w:val="right"/>
              <w:rPr>
                <w:sz w:val="18"/>
                <w:szCs w:val="16"/>
              </w:rPr>
            </w:pPr>
            <w:r>
              <w:rPr>
                <w:sz w:val="18"/>
                <w:szCs w:val="16"/>
              </w:rPr>
              <w:t>7 608</w:t>
            </w:r>
          </w:p>
        </w:tc>
        <w:tc>
          <w:tcPr>
            <w:tcW w:w="666" w:type="dxa"/>
            <w:noWrap/>
            <w:vAlign w:val="bottom"/>
          </w:tcPr>
          <w:p w:rsidR="00000000" w:rsidRDefault="00000000">
            <w:pPr>
              <w:spacing w:before="80" w:after="80"/>
              <w:jc w:val="right"/>
              <w:rPr>
                <w:sz w:val="18"/>
                <w:szCs w:val="16"/>
              </w:rPr>
            </w:pPr>
            <w:r>
              <w:rPr>
                <w:sz w:val="18"/>
                <w:szCs w:val="16"/>
              </w:rPr>
              <w:t>7 285</w:t>
            </w:r>
          </w:p>
        </w:tc>
        <w:tc>
          <w:tcPr>
            <w:tcW w:w="666" w:type="dxa"/>
            <w:noWrap/>
            <w:vAlign w:val="bottom"/>
          </w:tcPr>
          <w:p w:rsidR="00000000" w:rsidRDefault="00000000">
            <w:pPr>
              <w:spacing w:before="80" w:after="80"/>
              <w:jc w:val="right"/>
              <w:rPr>
                <w:sz w:val="18"/>
                <w:szCs w:val="16"/>
              </w:rPr>
            </w:pPr>
            <w:r>
              <w:rPr>
                <w:sz w:val="18"/>
                <w:szCs w:val="16"/>
              </w:rPr>
              <w:t>6 104</w:t>
            </w:r>
          </w:p>
        </w:tc>
        <w:tc>
          <w:tcPr>
            <w:tcW w:w="856" w:type="dxa"/>
            <w:noWrap/>
            <w:vAlign w:val="bottom"/>
          </w:tcPr>
          <w:p w:rsidR="00000000" w:rsidRDefault="00000000">
            <w:pPr>
              <w:spacing w:before="80" w:after="80"/>
              <w:jc w:val="right"/>
              <w:rPr>
                <w:sz w:val="18"/>
                <w:szCs w:val="16"/>
              </w:rPr>
            </w:pPr>
            <w:r>
              <w:rPr>
                <w:sz w:val="18"/>
                <w:szCs w:val="16"/>
              </w:rPr>
              <w:t>5 453</w:t>
            </w:r>
          </w:p>
        </w:tc>
      </w:tr>
      <w:tr w:rsidR="00000000">
        <w:tc>
          <w:tcPr>
            <w:tcW w:w="1912" w:type="dxa"/>
            <w:noWrap/>
            <w:vAlign w:val="bottom"/>
          </w:tcPr>
          <w:p w:rsidR="00000000" w:rsidRDefault="00000000">
            <w:pPr>
              <w:tabs>
                <w:tab w:val="left" w:pos="284"/>
              </w:tabs>
              <w:spacing w:before="80" w:after="80"/>
              <w:ind w:left="284" w:hanging="284"/>
              <w:rPr>
                <w:sz w:val="18"/>
                <w:szCs w:val="20"/>
              </w:rPr>
            </w:pPr>
            <w:r>
              <w:rPr>
                <w:sz w:val="18"/>
                <w:szCs w:val="20"/>
              </w:rPr>
              <w:t>10.</w:t>
            </w:r>
            <w:r>
              <w:rPr>
                <w:sz w:val="18"/>
                <w:szCs w:val="20"/>
              </w:rPr>
              <w:tab/>
              <w:t>Scabies or mange</w:t>
            </w:r>
          </w:p>
        </w:tc>
        <w:tc>
          <w:tcPr>
            <w:tcW w:w="667" w:type="dxa"/>
            <w:noWrap/>
            <w:vAlign w:val="bottom"/>
          </w:tcPr>
          <w:p w:rsidR="00000000" w:rsidRDefault="00000000">
            <w:pPr>
              <w:spacing w:before="80" w:after="80"/>
              <w:jc w:val="right"/>
              <w:rPr>
                <w:sz w:val="18"/>
                <w:szCs w:val="20"/>
              </w:rPr>
            </w:pPr>
            <w:r>
              <w:rPr>
                <w:sz w:val="18"/>
                <w:szCs w:val="20"/>
              </w:rPr>
              <w:t>2 840</w:t>
            </w:r>
          </w:p>
        </w:tc>
        <w:tc>
          <w:tcPr>
            <w:tcW w:w="666" w:type="dxa"/>
            <w:noWrap/>
            <w:vAlign w:val="bottom"/>
          </w:tcPr>
          <w:p w:rsidR="00000000" w:rsidRDefault="00000000">
            <w:pPr>
              <w:spacing w:before="80" w:after="80"/>
              <w:jc w:val="right"/>
              <w:rPr>
                <w:sz w:val="18"/>
                <w:szCs w:val="16"/>
              </w:rPr>
            </w:pPr>
            <w:r>
              <w:rPr>
                <w:sz w:val="18"/>
                <w:szCs w:val="16"/>
              </w:rPr>
              <w:t>8 542</w:t>
            </w:r>
          </w:p>
        </w:tc>
        <w:tc>
          <w:tcPr>
            <w:tcW w:w="666" w:type="dxa"/>
            <w:noWrap/>
            <w:vAlign w:val="bottom"/>
          </w:tcPr>
          <w:p w:rsidR="00000000" w:rsidRDefault="00000000">
            <w:pPr>
              <w:spacing w:before="80" w:after="80"/>
              <w:jc w:val="right"/>
              <w:rPr>
                <w:sz w:val="18"/>
                <w:szCs w:val="16"/>
              </w:rPr>
            </w:pPr>
            <w:r>
              <w:rPr>
                <w:sz w:val="18"/>
                <w:szCs w:val="16"/>
              </w:rPr>
              <w:t>8 227</w:t>
            </w:r>
          </w:p>
        </w:tc>
        <w:tc>
          <w:tcPr>
            <w:tcW w:w="666" w:type="dxa"/>
            <w:noWrap/>
            <w:vAlign w:val="bottom"/>
          </w:tcPr>
          <w:p w:rsidR="00000000" w:rsidRDefault="00000000">
            <w:pPr>
              <w:spacing w:before="80" w:after="80"/>
              <w:jc w:val="right"/>
              <w:rPr>
                <w:sz w:val="18"/>
                <w:szCs w:val="16"/>
              </w:rPr>
            </w:pPr>
            <w:r>
              <w:rPr>
                <w:sz w:val="18"/>
                <w:szCs w:val="16"/>
              </w:rPr>
              <w:t>9 220</w:t>
            </w:r>
          </w:p>
        </w:tc>
        <w:tc>
          <w:tcPr>
            <w:tcW w:w="666" w:type="dxa"/>
            <w:noWrap/>
            <w:vAlign w:val="bottom"/>
          </w:tcPr>
          <w:p w:rsidR="00000000" w:rsidRDefault="00000000">
            <w:pPr>
              <w:spacing w:before="80" w:after="80"/>
              <w:jc w:val="right"/>
              <w:rPr>
                <w:sz w:val="18"/>
                <w:szCs w:val="16"/>
              </w:rPr>
            </w:pPr>
            <w:r>
              <w:rPr>
                <w:sz w:val="18"/>
                <w:szCs w:val="16"/>
              </w:rPr>
              <w:t>10 487</w:t>
            </w:r>
          </w:p>
        </w:tc>
        <w:tc>
          <w:tcPr>
            <w:tcW w:w="666" w:type="dxa"/>
            <w:noWrap/>
            <w:vAlign w:val="bottom"/>
          </w:tcPr>
          <w:p w:rsidR="00000000" w:rsidRDefault="00000000">
            <w:pPr>
              <w:spacing w:before="80" w:after="80"/>
              <w:jc w:val="right"/>
              <w:rPr>
                <w:sz w:val="18"/>
                <w:szCs w:val="16"/>
              </w:rPr>
            </w:pPr>
            <w:r>
              <w:rPr>
                <w:sz w:val="18"/>
                <w:szCs w:val="16"/>
              </w:rPr>
              <w:t>7 274</w:t>
            </w:r>
          </w:p>
        </w:tc>
        <w:tc>
          <w:tcPr>
            <w:tcW w:w="666" w:type="dxa"/>
            <w:noWrap/>
            <w:vAlign w:val="bottom"/>
          </w:tcPr>
          <w:p w:rsidR="00000000" w:rsidRDefault="00000000">
            <w:pPr>
              <w:spacing w:before="80" w:after="80"/>
              <w:jc w:val="right"/>
              <w:rPr>
                <w:sz w:val="18"/>
                <w:szCs w:val="16"/>
              </w:rPr>
            </w:pPr>
            <w:r>
              <w:rPr>
                <w:sz w:val="18"/>
                <w:szCs w:val="16"/>
              </w:rPr>
              <w:t>8 942</w:t>
            </w:r>
          </w:p>
        </w:tc>
        <w:tc>
          <w:tcPr>
            <w:tcW w:w="666" w:type="dxa"/>
            <w:noWrap/>
            <w:vAlign w:val="bottom"/>
          </w:tcPr>
          <w:p w:rsidR="00000000" w:rsidRDefault="00000000">
            <w:pPr>
              <w:spacing w:before="80" w:after="80"/>
              <w:jc w:val="right"/>
              <w:rPr>
                <w:sz w:val="18"/>
                <w:szCs w:val="16"/>
              </w:rPr>
            </w:pPr>
            <w:r>
              <w:rPr>
                <w:sz w:val="18"/>
                <w:szCs w:val="16"/>
              </w:rPr>
              <w:t>10 025</w:t>
            </w:r>
          </w:p>
        </w:tc>
        <w:tc>
          <w:tcPr>
            <w:tcW w:w="666" w:type="dxa"/>
            <w:noWrap/>
            <w:vAlign w:val="bottom"/>
          </w:tcPr>
          <w:p w:rsidR="00000000" w:rsidRDefault="00000000">
            <w:pPr>
              <w:spacing w:before="80" w:after="80"/>
              <w:jc w:val="right"/>
              <w:rPr>
                <w:sz w:val="18"/>
                <w:szCs w:val="16"/>
              </w:rPr>
            </w:pPr>
            <w:r>
              <w:rPr>
                <w:sz w:val="18"/>
                <w:szCs w:val="16"/>
              </w:rPr>
              <w:t>10 471</w:t>
            </w:r>
          </w:p>
        </w:tc>
        <w:tc>
          <w:tcPr>
            <w:tcW w:w="666" w:type="dxa"/>
            <w:noWrap/>
            <w:vAlign w:val="bottom"/>
          </w:tcPr>
          <w:p w:rsidR="00000000" w:rsidRDefault="00000000">
            <w:pPr>
              <w:spacing w:before="80" w:after="80"/>
              <w:jc w:val="right"/>
              <w:rPr>
                <w:sz w:val="18"/>
                <w:szCs w:val="16"/>
              </w:rPr>
            </w:pPr>
            <w:r>
              <w:rPr>
                <w:sz w:val="18"/>
                <w:szCs w:val="16"/>
              </w:rPr>
              <w:t>10 980</w:t>
            </w:r>
          </w:p>
        </w:tc>
        <w:tc>
          <w:tcPr>
            <w:tcW w:w="856" w:type="dxa"/>
            <w:noWrap/>
            <w:vAlign w:val="bottom"/>
          </w:tcPr>
          <w:p w:rsidR="00000000" w:rsidRDefault="00000000">
            <w:pPr>
              <w:spacing w:before="80" w:after="80"/>
              <w:jc w:val="right"/>
              <w:rPr>
                <w:sz w:val="18"/>
                <w:szCs w:val="16"/>
              </w:rPr>
            </w:pPr>
            <w:r>
              <w:rPr>
                <w:sz w:val="18"/>
                <w:szCs w:val="16"/>
              </w:rPr>
              <w:t>11 603</w:t>
            </w:r>
          </w:p>
        </w:tc>
      </w:tr>
      <w:tr w:rsidR="00000000">
        <w:tc>
          <w:tcPr>
            <w:tcW w:w="1912" w:type="dxa"/>
            <w:noWrap/>
            <w:vAlign w:val="bottom"/>
          </w:tcPr>
          <w:p w:rsidR="00000000" w:rsidRDefault="00000000">
            <w:pPr>
              <w:tabs>
                <w:tab w:val="left" w:pos="284"/>
              </w:tabs>
              <w:spacing w:before="80" w:after="80"/>
              <w:ind w:left="284" w:hanging="284"/>
              <w:rPr>
                <w:sz w:val="18"/>
                <w:szCs w:val="20"/>
              </w:rPr>
            </w:pPr>
            <w:r>
              <w:rPr>
                <w:sz w:val="18"/>
                <w:szCs w:val="20"/>
              </w:rPr>
              <w:t>11.</w:t>
            </w:r>
            <w:r>
              <w:rPr>
                <w:sz w:val="18"/>
                <w:szCs w:val="20"/>
              </w:rPr>
              <w:tab/>
              <w:t xml:space="preserve">High-risk pregnancy </w:t>
            </w:r>
          </w:p>
        </w:tc>
        <w:tc>
          <w:tcPr>
            <w:tcW w:w="667" w:type="dxa"/>
            <w:noWrap/>
            <w:vAlign w:val="bottom"/>
          </w:tcPr>
          <w:p w:rsidR="00000000" w:rsidRDefault="00000000">
            <w:pPr>
              <w:spacing w:before="80" w:after="80"/>
              <w:jc w:val="right"/>
              <w:rPr>
                <w:sz w:val="18"/>
                <w:szCs w:val="20"/>
              </w:rPr>
            </w:pPr>
            <w:r>
              <w:rPr>
                <w:sz w:val="18"/>
                <w:szCs w:val="20"/>
              </w:rPr>
              <w:t>9 059</w:t>
            </w:r>
          </w:p>
        </w:tc>
        <w:tc>
          <w:tcPr>
            <w:tcW w:w="666" w:type="dxa"/>
            <w:noWrap/>
            <w:vAlign w:val="bottom"/>
          </w:tcPr>
          <w:p w:rsidR="00000000" w:rsidRDefault="00000000">
            <w:pPr>
              <w:spacing w:before="80" w:after="80"/>
              <w:jc w:val="right"/>
              <w:rPr>
                <w:sz w:val="18"/>
                <w:szCs w:val="16"/>
              </w:rPr>
            </w:pPr>
            <w:r>
              <w:rPr>
                <w:sz w:val="18"/>
                <w:szCs w:val="16"/>
              </w:rPr>
              <w:t>7 991</w:t>
            </w:r>
          </w:p>
        </w:tc>
        <w:tc>
          <w:tcPr>
            <w:tcW w:w="666" w:type="dxa"/>
            <w:noWrap/>
            <w:vAlign w:val="bottom"/>
          </w:tcPr>
          <w:p w:rsidR="00000000" w:rsidRDefault="00000000">
            <w:pPr>
              <w:spacing w:before="80" w:after="80"/>
              <w:jc w:val="right"/>
              <w:rPr>
                <w:sz w:val="18"/>
                <w:szCs w:val="16"/>
              </w:rPr>
            </w:pPr>
            <w:r>
              <w:rPr>
                <w:sz w:val="18"/>
                <w:szCs w:val="16"/>
              </w:rPr>
              <w:t>7 947</w:t>
            </w:r>
          </w:p>
        </w:tc>
        <w:tc>
          <w:tcPr>
            <w:tcW w:w="666" w:type="dxa"/>
            <w:noWrap/>
            <w:vAlign w:val="bottom"/>
          </w:tcPr>
          <w:p w:rsidR="00000000" w:rsidRDefault="00000000">
            <w:pPr>
              <w:spacing w:before="80" w:after="80"/>
              <w:jc w:val="right"/>
              <w:rPr>
                <w:sz w:val="18"/>
                <w:szCs w:val="16"/>
              </w:rPr>
            </w:pPr>
            <w:r>
              <w:rPr>
                <w:sz w:val="18"/>
                <w:szCs w:val="16"/>
              </w:rPr>
              <w:t>7 722</w:t>
            </w:r>
          </w:p>
        </w:tc>
        <w:tc>
          <w:tcPr>
            <w:tcW w:w="666" w:type="dxa"/>
            <w:noWrap/>
            <w:vAlign w:val="bottom"/>
          </w:tcPr>
          <w:p w:rsidR="00000000" w:rsidRDefault="00000000">
            <w:pPr>
              <w:spacing w:before="80" w:after="80"/>
              <w:jc w:val="right"/>
              <w:rPr>
                <w:sz w:val="18"/>
                <w:szCs w:val="16"/>
              </w:rPr>
            </w:pPr>
            <w:r>
              <w:rPr>
                <w:sz w:val="18"/>
                <w:szCs w:val="16"/>
              </w:rPr>
              <w:t>7 366</w:t>
            </w:r>
          </w:p>
        </w:tc>
        <w:tc>
          <w:tcPr>
            <w:tcW w:w="666" w:type="dxa"/>
            <w:noWrap/>
            <w:vAlign w:val="bottom"/>
          </w:tcPr>
          <w:p w:rsidR="00000000" w:rsidRDefault="00000000">
            <w:pPr>
              <w:spacing w:before="80" w:after="80"/>
              <w:jc w:val="right"/>
              <w:rPr>
                <w:sz w:val="18"/>
                <w:szCs w:val="16"/>
              </w:rPr>
            </w:pPr>
            <w:r>
              <w:rPr>
                <w:sz w:val="18"/>
                <w:szCs w:val="16"/>
              </w:rPr>
              <w:t>9 868</w:t>
            </w:r>
          </w:p>
        </w:tc>
        <w:tc>
          <w:tcPr>
            <w:tcW w:w="666" w:type="dxa"/>
            <w:noWrap/>
            <w:vAlign w:val="bottom"/>
          </w:tcPr>
          <w:p w:rsidR="00000000" w:rsidRDefault="00000000">
            <w:pPr>
              <w:spacing w:before="80" w:after="80"/>
              <w:jc w:val="right"/>
              <w:rPr>
                <w:sz w:val="18"/>
                <w:szCs w:val="16"/>
              </w:rPr>
            </w:pPr>
            <w:r>
              <w:rPr>
                <w:sz w:val="18"/>
                <w:szCs w:val="16"/>
              </w:rPr>
              <w:t>13 708</w:t>
            </w:r>
          </w:p>
        </w:tc>
        <w:tc>
          <w:tcPr>
            <w:tcW w:w="666" w:type="dxa"/>
            <w:noWrap/>
            <w:vAlign w:val="bottom"/>
          </w:tcPr>
          <w:p w:rsidR="00000000" w:rsidRDefault="00000000">
            <w:pPr>
              <w:spacing w:before="80" w:after="80"/>
              <w:jc w:val="right"/>
              <w:rPr>
                <w:sz w:val="18"/>
                <w:szCs w:val="16"/>
              </w:rPr>
            </w:pPr>
            <w:r>
              <w:rPr>
                <w:sz w:val="18"/>
                <w:szCs w:val="16"/>
              </w:rPr>
              <w:t>13 255</w:t>
            </w:r>
          </w:p>
        </w:tc>
        <w:tc>
          <w:tcPr>
            <w:tcW w:w="666" w:type="dxa"/>
            <w:noWrap/>
            <w:vAlign w:val="bottom"/>
          </w:tcPr>
          <w:p w:rsidR="00000000" w:rsidRDefault="00000000">
            <w:pPr>
              <w:spacing w:before="80" w:after="80"/>
              <w:jc w:val="right"/>
              <w:rPr>
                <w:sz w:val="18"/>
                <w:szCs w:val="16"/>
              </w:rPr>
            </w:pPr>
            <w:r>
              <w:rPr>
                <w:sz w:val="18"/>
                <w:szCs w:val="16"/>
              </w:rPr>
              <w:t>9 894</w:t>
            </w:r>
          </w:p>
        </w:tc>
        <w:tc>
          <w:tcPr>
            <w:tcW w:w="666" w:type="dxa"/>
            <w:noWrap/>
            <w:vAlign w:val="bottom"/>
          </w:tcPr>
          <w:p w:rsidR="00000000" w:rsidRDefault="00000000">
            <w:pPr>
              <w:spacing w:before="80" w:after="80"/>
              <w:jc w:val="right"/>
              <w:rPr>
                <w:sz w:val="18"/>
                <w:szCs w:val="16"/>
              </w:rPr>
            </w:pPr>
            <w:r>
              <w:rPr>
                <w:sz w:val="18"/>
                <w:szCs w:val="16"/>
              </w:rPr>
              <w:t>10 800</w:t>
            </w:r>
          </w:p>
        </w:tc>
        <w:tc>
          <w:tcPr>
            <w:tcW w:w="856" w:type="dxa"/>
            <w:noWrap/>
            <w:vAlign w:val="bottom"/>
          </w:tcPr>
          <w:p w:rsidR="00000000" w:rsidRDefault="00000000">
            <w:pPr>
              <w:spacing w:before="80" w:after="80"/>
              <w:jc w:val="right"/>
              <w:rPr>
                <w:sz w:val="18"/>
                <w:szCs w:val="16"/>
              </w:rPr>
            </w:pPr>
            <w:r>
              <w:rPr>
                <w:sz w:val="18"/>
                <w:szCs w:val="16"/>
              </w:rPr>
              <w:t>11 309</w:t>
            </w:r>
          </w:p>
        </w:tc>
      </w:tr>
      <w:tr w:rsidR="00000000">
        <w:tc>
          <w:tcPr>
            <w:tcW w:w="1912" w:type="dxa"/>
            <w:noWrap/>
            <w:vAlign w:val="bottom"/>
          </w:tcPr>
          <w:p w:rsidR="00000000" w:rsidRDefault="00000000">
            <w:pPr>
              <w:tabs>
                <w:tab w:val="left" w:pos="284"/>
              </w:tabs>
              <w:spacing w:before="80" w:after="80"/>
              <w:rPr>
                <w:sz w:val="18"/>
                <w:szCs w:val="20"/>
              </w:rPr>
            </w:pPr>
            <w:r>
              <w:rPr>
                <w:sz w:val="18"/>
                <w:szCs w:val="20"/>
              </w:rPr>
              <w:t>12.</w:t>
            </w:r>
            <w:r>
              <w:rPr>
                <w:sz w:val="18"/>
                <w:szCs w:val="20"/>
              </w:rPr>
              <w:tab/>
              <w:t>Pyoderma</w:t>
            </w:r>
          </w:p>
        </w:tc>
        <w:tc>
          <w:tcPr>
            <w:tcW w:w="667" w:type="dxa"/>
            <w:noWrap/>
            <w:vAlign w:val="bottom"/>
          </w:tcPr>
          <w:p w:rsidR="00000000" w:rsidRDefault="00000000">
            <w:pPr>
              <w:spacing w:before="80" w:after="80"/>
              <w:jc w:val="right"/>
              <w:rPr>
                <w:sz w:val="18"/>
                <w:szCs w:val="20"/>
              </w:rPr>
            </w:pPr>
            <w:r>
              <w:rPr>
                <w:sz w:val="18"/>
                <w:szCs w:val="20"/>
              </w:rPr>
              <w:t>9 976</w:t>
            </w:r>
          </w:p>
        </w:tc>
        <w:tc>
          <w:tcPr>
            <w:tcW w:w="666" w:type="dxa"/>
            <w:noWrap/>
            <w:vAlign w:val="bottom"/>
          </w:tcPr>
          <w:p w:rsidR="00000000" w:rsidRDefault="00000000">
            <w:pPr>
              <w:spacing w:before="80" w:after="80"/>
              <w:jc w:val="right"/>
              <w:rPr>
                <w:sz w:val="18"/>
                <w:szCs w:val="16"/>
              </w:rPr>
            </w:pPr>
            <w:r>
              <w:rPr>
                <w:sz w:val="18"/>
                <w:szCs w:val="16"/>
              </w:rPr>
              <w:t>6 921</w:t>
            </w:r>
          </w:p>
        </w:tc>
        <w:tc>
          <w:tcPr>
            <w:tcW w:w="666" w:type="dxa"/>
            <w:noWrap/>
            <w:vAlign w:val="bottom"/>
          </w:tcPr>
          <w:p w:rsidR="00000000" w:rsidRDefault="00000000">
            <w:pPr>
              <w:spacing w:before="80" w:after="80"/>
              <w:jc w:val="right"/>
              <w:rPr>
                <w:sz w:val="18"/>
                <w:szCs w:val="16"/>
              </w:rPr>
            </w:pPr>
            <w:r>
              <w:rPr>
                <w:sz w:val="18"/>
                <w:szCs w:val="16"/>
              </w:rPr>
              <w:t>8 405</w:t>
            </w:r>
          </w:p>
        </w:tc>
        <w:tc>
          <w:tcPr>
            <w:tcW w:w="666" w:type="dxa"/>
            <w:noWrap/>
            <w:vAlign w:val="bottom"/>
          </w:tcPr>
          <w:p w:rsidR="00000000" w:rsidRDefault="00000000">
            <w:pPr>
              <w:spacing w:before="80" w:after="80"/>
              <w:jc w:val="right"/>
              <w:rPr>
                <w:sz w:val="18"/>
                <w:szCs w:val="16"/>
              </w:rPr>
            </w:pPr>
            <w:r>
              <w:rPr>
                <w:sz w:val="18"/>
                <w:szCs w:val="16"/>
              </w:rPr>
              <w:t>8 582</w:t>
            </w:r>
          </w:p>
        </w:tc>
        <w:tc>
          <w:tcPr>
            <w:tcW w:w="666" w:type="dxa"/>
            <w:noWrap/>
            <w:vAlign w:val="bottom"/>
          </w:tcPr>
          <w:p w:rsidR="00000000" w:rsidRDefault="00000000">
            <w:pPr>
              <w:spacing w:before="80" w:after="80"/>
              <w:jc w:val="right"/>
              <w:rPr>
                <w:sz w:val="18"/>
                <w:szCs w:val="16"/>
              </w:rPr>
            </w:pPr>
            <w:r>
              <w:rPr>
                <w:sz w:val="18"/>
                <w:szCs w:val="16"/>
              </w:rPr>
              <w:t>9 004</w:t>
            </w:r>
          </w:p>
        </w:tc>
        <w:tc>
          <w:tcPr>
            <w:tcW w:w="666" w:type="dxa"/>
            <w:noWrap/>
            <w:vAlign w:val="bottom"/>
          </w:tcPr>
          <w:p w:rsidR="00000000" w:rsidRDefault="00000000">
            <w:pPr>
              <w:spacing w:before="80" w:after="80"/>
              <w:jc w:val="right"/>
              <w:rPr>
                <w:sz w:val="18"/>
                <w:szCs w:val="16"/>
              </w:rPr>
            </w:pPr>
            <w:r>
              <w:rPr>
                <w:sz w:val="18"/>
                <w:szCs w:val="16"/>
              </w:rPr>
              <w:t>6 190</w:t>
            </w:r>
          </w:p>
        </w:tc>
        <w:tc>
          <w:tcPr>
            <w:tcW w:w="666" w:type="dxa"/>
            <w:noWrap/>
            <w:vAlign w:val="bottom"/>
          </w:tcPr>
          <w:p w:rsidR="00000000" w:rsidRDefault="00000000">
            <w:pPr>
              <w:spacing w:before="80" w:after="80"/>
              <w:jc w:val="right"/>
              <w:rPr>
                <w:sz w:val="18"/>
                <w:szCs w:val="16"/>
              </w:rPr>
            </w:pPr>
            <w:r>
              <w:rPr>
                <w:sz w:val="18"/>
                <w:szCs w:val="16"/>
              </w:rPr>
              <w:t>8 453</w:t>
            </w:r>
          </w:p>
        </w:tc>
        <w:tc>
          <w:tcPr>
            <w:tcW w:w="666" w:type="dxa"/>
            <w:noWrap/>
            <w:vAlign w:val="bottom"/>
          </w:tcPr>
          <w:p w:rsidR="00000000" w:rsidRDefault="00000000">
            <w:pPr>
              <w:spacing w:before="80" w:after="80"/>
              <w:jc w:val="right"/>
              <w:rPr>
                <w:sz w:val="18"/>
                <w:szCs w:val="16"/>
              </w:rPr>
            </w:pPr>
            <w:r>
              <w:rPr>
                <w:sz w:val="18"/>
                <w:szCs w:val="16"/>
              </w:rPr>
              <w:t>9 589</w:t>
            </w:r>
          </w:p>
        </w:tc>
        <w:tc>
          <w:tcPr>
            <w:tcW w:w="666" w:type="dxa"/>
            <w:noWrap/>
            <w:vAlign w:val="bottom"/>
          </w:tcPr>
          <w:p w:rsidR="00000000" w:rsidRDefault="00000000">
            <w:pPr>
              <w:spacing w:before="80" w:after="80"/>
              <w:jc w:val="right"/>
              <w:rPr>
                <w:sz w:val="18"/>
                <w:szCs w:val="16"/>
              </w:rPr>
            </w:pPr>
            <w:r>
              <w:rPr>
                <w:sz w:val="18"/>
                <w:szCs w:val="16"/>
              </w:rPr>
              <w:t>9 323</w:t>
            </w:r>
          </w:p>
        </w:tc>
        <w:tc>
          <w:tcPr>
            <w:tcW w:w="666" w:type="dxa"/>
            <w:noWrap/>
            <w:vAlign w:val="bottom"/>
          </w:tcPr>
          <w:p w:rsidR="00000000" w:rsidRDefault="00000000">
            <w:pPr>
              <w:spacing w:before="80" w:after="80"/>
              <w:jc w:val="right"/>
              <w:rPr>
                <w:sz w:val="18"/>
                <w:szCs w:val="16"/>
              </w:rPr>
            </w:pPr>
            <w:r>
              <w:rPr>
                <w:sz w:val="18"/>
                <w:szCs w:val="16"/>
              </w:rPr>
              <w:t>9 059</w:t>
            </w:r>
          </w:p>
        </w:tc>
        <w:tc>
          <w:tcPr>
            <w:tcW w:w="856" w:type="dxa"/>
            <w:noWrap/>
            <w:vAlign w:val="bottom"/>
          </w:tcPr>
          <w:p w:rsidR="00000000" w:rsidRDefault="00000000">
            <w:pPr>
              <w:spacing w:before="80" w:after="80"/>
              <w:jc w:val="right"/>
              <w:rPr>
                <w:sz w:val="18"/>
                <w:szCs w:val="16"/>
              </w:rPr>
            </w:pPr>
            <w:r>
              <w:rPr>
                <w:sz w:val="18"/>
                <w:szCs w:val="16"/>
              </w:rPr>
              <w:t>1 074</w:t>
            </w:r>
          </w:p>
        </w:tc>
      </w:tr>
      <w:tr w:rsidR="00000000">
        <w:tc>
          <w:tcPr>
            <w:tcW w:w="1912" w:type="dxa"/>
            <w:noWrap/>
            <w:vAlign w:val="bottom"/>
          </w:tcPr>
          <w:p w:rsidR="00000000" w:rsidRDefault="00000000">
            <w:pPr>
              <w:tabs>
                <w:tab w:val="left" w:pos="284"/>
              </w:tabs>
              <w:spacing w:before="80" w:after="80"/>
              <w:rPr>
                <w:sz w:val="18"/>
                <w:szCs w:val="20"/>
              </w:rPr>
            </w:pPr>
            <w:r>
              <w:rPr>
                <w:sz w:val="18"/>
                <w:szCs w:val="20"/>
              </w:rPr>
              <w:t>13.</w:t>
            </w:r>
            <w:r>
              <w:rPr>
                <w:sz w:val="18"/>
                <w:szCs w:val="20"/>
              </w:rPr>
              <w:tab/>
              <w:t>Dog bites</w:t>
            </w:r>
          </w:p>
        </w:tc>
        <w:tc>
          <w:tcPr>
            <w:tcW w:w="667" w:type="dxa"/>
            <w:noWrap/>
            <w:vAlign w:val="bottom"/>
          </w:tcPr>
          <w:p w:rsidR="00000000" w:rsidRDefault="00000000">
            <w:pPr>
              <w:spacing w:before="80" w:after="80"/>
              <w:jc w:val="right"/>
              <w:rPr>
                <w:sz w:val="18"/>
                <w:szCs w:val="20"/>
                <w:lang w:val="fr-FR"/>
              </w:rPr>
            </w:pPr>
            <w:r>
              <w:rPr>
                <w:sz w:val="18"/>
                <w:szCs w:val="20"/>
                <w:lang w:val="fr-FR"/>
              </w:rPr>
              <w:t>7 215</w:t>
            </w:r>
          </w:p>
        </w:tc>
        <w:tc>
          <w:tcPr>
            <w:tcW w:w="666" w:type="dxa"/>
            <w:noWrap/>
            <w:vAlign w:val="bottom"/>
          </w:tcPr>
          <w:p w:rsidR="00000000" w:rsidRDefault="00000000">
            <w:pPr>
              <w:spacing w:before="80" w:after="80"/>
              <w:jc w:val="right"/>
              <w:rPr>
                <w:sz w:val="18"/>
                <w:szCs w:val="16"/>
                <w:lang w:val="fr-FR"/>
              </w:rPr>
            </w:pPr>
            <w:r>
              <w:rPr>
                <w:sz w:val="18"/>
                <w:szCs w:val="16"/>
                <w:lang w:val="fr-FR"/>
              </w:rPr>
              <w:t>5 679</w:t>
            </w:r>
          </w:p>
        </w:tc>
        <w:tc>
          <w:tcPr>
            <w:tcW w:w="666" w:type="dxa"/>
            <w:noWrap/>
            <w:vAlign w:val="bottom"/>
          </w:tcPr>
          <w:p w:rsidR="00000000" w:rsidRDefault="00000000">
            <w:pPr>
              <w:spacing w:before="80" w:after="80"/>
              <w:jc w:val="right"/>
              <w:rPr>
                <w:sz w:val="18"/>
                <w:szCs w:val="16"/>
                <w:lang w:val="fr-FR"/>
              </w:rPr>
            </w:pPr>
            <w:r>
              <w:rPr>
                <w:sz w:val="18"/>
                <w:szCs w:val="16"/>
                <w:lang w:val="fr-FR"/>
              </w:rPr>
              <w:t>6 100</w:t>
            </w:r>
          </w:p>
        </w:tc>
        <w:tc>
          <w:tcPr>
            <w:tcW w:w="666" w:type="dxa"/>
            <w:noWrap/>
            <w:vAlign w:val="bottom"/>
          </w:tcPr>
          <w:p w:rsidR="00000000" w:rsidRDefault="00000000">
            <w:pPr>
              <w:spacing w:before="80" w:after="80"/>
              <w:jc w:val="right"/>
              <w:rPr>
                <w:sz w:val="18"/>
                <w:szCs w:val="16"/>
                <w:lang w:val="fr-FR"/>
              </w:rPr>
            </w:pPr>
            <w:r>
              <w:rPr>
                <w:sz w:val="18"/>
                <w:szCs w:val="16"/>
                <w:lang w:val="fr-FR"/>
              </w:rPr>
              <w:t>8 369</w:t>
            </w:r>
          </w:p>
        </w:tc>
        <w:tc>
          <w:tcPr>
            <w:tcW w:w="666" w:type="dxa"/>
            <w:noWrap/>
            <w:vAlign w:val="bottom"/>
          </w:tcPr>
          <w:p w:rsidR="00000000" w:rsidRDefault="00000000">
            <w:pPr>
              <w:spacing w:before="80" w:after="80"/>
              <w:jc w:val="right"/>
              <w:rPr>
                <w:sz w:val="18"/>
                <w:szCs w:val="16"/>
                <w:lang w:val="fr-FR"/>
              </w:rPr>
            </w:pPr>
            <w:r>
              <w:rPr>
                <w:sz w:val="18"/>
                <w:szCs w:val="16"/>
                <w:lang w:val="fr-FR"/>
              </w:rPr>
              <w:t>7 126</w:t>
            </w:r>
          </w:p>
        </w:tc>
        <w:tc>
          <w:tcPr>
            <w:tcW w:w="666" w:type="dxa"/>
            <w:noWrap/>
            <w:vAlign w:val="bottom"/>
          </w:tcPr>
          <w:p w:rsidR="00000000" w:rsidRDefault="00000000">
            <w:pPr>
              <w:spacing w:before="80" w:after="80"/>
              <w:jc w:val="right"/>
              <w:rPr>
                <w:sz w:val="18"/>
                <w:szCs w:val="16"/>
                <w:lang w:val="fr-FR"/>
              </w:rPr>
            </w:pPr>
            <w:r>
              <w:rPr>
                <w:sz w:val="18"/>
                <w:szCs w:val="16"/>
                <w:lang w:val="fr-FR"/>
              </w:rPr>
              <w:t>5 210</w:t>
            </w:r>
          </w:p>
        </w:tc>
        <w:tc>
          <w:tcPr>
            <w:tcW w:w="666" w:type="dxa"/>
            <w:noWrap/>
            <w:vAlign w:val="bottom"/>
          </w:tcPr>
          <w:p w:rsidR="00000000" w:rsidRDefault="00000000">
            <w:pPr>
              <w:spacing w:before="80" w:after="80"/>
              <w:jc w:val="right"/>
              <w:rPr>
                <w:sz w:val="18"/>
                <w:szCs w:val="16"/>
                <w:lang w:val="fr-FR"/>
              </w:rPr>
            </w:pPr>
            <w:r>
              <w:rPr>
                <w:sz w:val="18"/>
                <w:szCs w:val="16"/>
                <w:lang w:val="fr-FR"/>
              </w:rPr>
              <w:t>4 297</w:t>
            </w:r>
          </w:p>
        </w:tc>
        <w:tc>
          <w:tcPr>
            <w:tcW w:w="666" w:type="dxa"/>
            <w:noWrap/>
            <w:vAlign w:val="bottom"/>
          </w:tcPr>
          <w:p w:rsidR="00000000" w:rsidRDefault="00000000">
            <w:pPr>
              <w:spacing w:before="80" w:after="80"/>
              <w:jc w:val="right"/>
              <w:rPr>
                <w:sz w:val="18"/>
                <w:szCs w:val="16"/>
                <w:lang w:val="fr-FR"/>
              </w:rPr>
            </w:pPr>
            <w:r>
              <w:rPr>
                <w:sz w:val="18"/>
                <w:szCs w:val="16"/>
                <w:lang w:val="fr-FR"/>
              </w:rPr>
              <w:t>5 102</w:t>
            </w:r>
          </w:p>
        </w:tc>
        <w:tc>
          <w:tcPr>
            <w:tcW w:w="666" w:type="dxa"/>
            <w:noWrap/>
            <w:vAlign w:val="bottom"/>
          </w:tcPr>
          <w:p w:rsidR="00000000" w:rsidRDefault="00000000">
            <w:pPr>
              <w:spacing w:before="80" w:after="80"/>
              <w:jc w:val="right"/>
              <w:rPr>
                <w:sz w:val="18"/>
                <w:szCs w:val="16"/>
                <w:lang w:val="fr-FR"/>
              </w:rPr>
            </w:pPr>
            <w:r>
              <w:rPr>
                <w:sz w:val="18"/>
                <w:szCs w:val="16"/>
                <w:lang w:val="fr-FR"/>
              </w:rPr>
              <w:t>4 772</w:t>
            </w:r>
          </w:p>
        </w:tc>
        <w:tc>
          <w:tcPr>
            <w:tcW w:w="666" w:type="dxa"/>
            <w:noWrap/>
            <w:vAlign w:val="bottom"/>
          </w:tcPr>
          <w:p w:rsidR="00000000" w:rsidRDefault="00000000">
            <w:pPr>
              <w:spacing w:before="80" w:after="80"/>
              <w:jc w:val="right"/>
              <w:rPr>
                <w:sz w:val="18"/>
                <w:szCs w:val="16"/>
                <w:lang w:val="fr-FR"/>
              </w:rPr>
            </w:pPr>
            <w:r>
              <w:rPr>
                <w:sz w:val="18"/>
                <w:szCs w:val="16"/>
                <w:lang w:val="fr-FR"/>
              </w:rPr>
              <w:t>4 810</w:t>
            </w:r>
          </w:p>
        </w:tc>
        <w:tc>
          <w:tcPr>
            <w:tcW w:w="856" w:type="dxa"/>
            <w:noWrap/>
            <w:vAlign w:val="bottom"/>
          </w:tcPr>
          <w:p w:rsidR="00000000" w:rsidRDefault="00000000">
            <w:pPr>
              <w:spacing w:before="80" w:after="80"/>
              <w:jc w:val="right"/>
              <w:rPr>
                <w:sz w:val="18"/>
                <w:szCs w:val="16"/>
                <w:lang w:val="fr-FR"/>
              </w:rPr>
            </w:pPr>
            <w:r>
              <w:rPr>
                <w:sz w:val="18"/>
                <w:szCs w:val="16"/>
                <w:lang w:val="fr-FR"/>
              </w:rPr>
              <w:t>4 510</w:t>
            </w:r>
          </w:p>
        </w:tc>
      </w:tr>
      <w:tr w:rsidR="00000000">
        <w:tc>
          <w:tcPr>
            <w:tcW w:w="1912" w:type="dxa"/>
            <w:noWrap/>
            <w:vAlign w:val="bottom"/>
          </w:tcPr>
          <w:p w:rsidR="00000000" w:rsidRDefault="00000000">
            <w:pPr>
              <w:tabs>
                <w:tab w:val="left" w:pos="284"/>
              </w:tabs>
              <w:spacing w:before="80" w:after="80"/>
              <w:ind w:left="284" w:hanging="284"/>
              <w:rPr>
                <w:sz w:val="18"/>
                <w:szCs w:val="20"/>
                <w:lang w:val="fr-FR"/>
              </w:rPr>
            </w:pPr>
            <w:r>
              <w:rPr>
                <w:sz w:val="18"/>
                <w:szCs w:val="20"/>
                <w:lang w:val="fr-FR"/>
              </w:rPr>
              <w:t>14.</w:t>
            </w:r>
            <w:r>
              <w:rPr>
                <w:sz w:val="18"/>
                <w:szCs w:val="20"/>
                <w:lang w:val="fr-FR"/>
              </w:rPr>
              <w:tab/>
              <w:t>Nutritional deficiencies (1,2,3)</w:t>
            </w:r>
          </w:p>
        </w:tc>
        <w:tc>
          <w:tcPr>
            <w:tcW w:w="667" w:type="dxa"/>
            <w:noWrap/>
            <w:vAlign w:val="bottom"/>
          </w:tcPr>
          <w:p w:rsidR="00000000" w:rsidRDefault="00000000">
            <w:pPr>
              <w:spacing w:before="80" w:after="80"/>
              <w:jc w:val="right"/>
              <w:rPr>
                <w:sz w:val="18"/>
                <w:szCs w:val="20"/>
                <w:lang w:val="fr-FR"/>
              </w:rPr>
            </w:pPr>
            <w:r>
              <w:rPr>
                <w:sz w:val="18"/>
                <w:szCs w:val="20"/>
                <w:lang w:val="fr-FR"/>
              </w:rPr>
              <w:t>6 222</w:t>
            </w:r>
          </w:p>
        </w:tc>
        <w:tc>
          <w:tcPr>
            <w:tcW w:w="666" w:type="dxa"/>
            <w:noWrap/>
            <w:vAlign w:val="bottom"/>
          </w:tcPr>
          <w:p w:rsidR="00000000" w:rsidRDefault="00000000">
            <w:pPr>
              <w:spacing w:before="80" w:after="80"/>
              <w:jc w:val="right"/>
              <w:rPr>
                <w:sz w:val="18"/>
                <w:szCs w:val="16"/>
                <w:lang w:val="fr-FR"/>
              </w:rPr>
            </w:pPr>
            <w:r>
              <w:rPr>
                <w:sz w:val="18"/>
                <w:szCs w:val="16"/>
                <w:lang w:val="fr-FR"/>
              </w:rPr>
              <w:t>4 275</w:t>
            </w:r>
          </w:p>
        </w:tc>
        <w:tc>
          <w:tcPr>
            <w:tcW w:w="666" w:type="dxa"/>
            <w:noWrap/>
            <w:vAlign w:val="bottom"/>
          </w:tcPr>
          <w:p w:rsidR="00000000" w:rsidRDefault="00000000">
            <w:pPr>
              <w:spacing w:before="80" w:after="80"/>
              <w:jc w:val="right"/>
              <w:rPr>
                <w:sz w:val="18"/>
                <w:szCs w:val="16"/>
                <w:lang w:val="fr-FR"/>
              </w:rPr>
            </w:pPr>
            <w:r>
              <w:rPr>
                <w:sz w:val="18"/>
                <w:szCs w:val="16"/>
                <w:lang w:val="fr-FR"/>
              </w:rPr>
              <w:t>4 676</w:t>
            </w:r>
          </w:p>
        </w:tc>
        <w:tc>
          <w:tcPr>
            <w:tcW w:w="666" w:type="dxa"/>
            <w:noWrap/>
            <w:vAlign w:val="bottom"/>
          </w:tcPr>
          <w:p w:rsidR="00000000" w:rsidRDefault="00000000">
            <w:pPr>
              <w:spacing w:before="80" w:after="80"/>
              <w:jc w:val="right"/>
              <w:rPr>
                <w:sz w:val="18"/>
                <w:szCs w:val="16"/>
                <w:lang w:val="fr-FR"/>
              </w:rPr>
            </w:pPr>
            <w:r>
              <w:rPr>
                <w:sz w:val="18"/>
                <w:szCs w:val="16"/>
                <w:lang w:val="fr-FR"/>
              </w:rPr>
              <w:t>4 000</w:t>
            </w:r>
          </w:p>
        </w:tc>
        <w:tc>
          <w:tcPr>
            <w:tcW w:w="666" w:type="dxa"/>
            <w:noWrap/>
            <w:vAlign w:val="bottom"/>
          </w:tcPr>
          <w:p w:rsidR="00000000" w:rsidRDefault="00000000">
            <w:pPr>
              <w:spacing w:before="80" w:after="80"/>
              <w:jc w:val="right"/>
              <w:rPr>
                <w:sz w:val="18"/>
                <w:szCs w:val="16"/>
                <w:lang w:val="fr-FR"/>
              </w:rPr>
            </w:pPr>
            <w:r>
              <w:rPr>
                <w:sz w:val="18"/>
                <w:szCs w:val="16"/>
                <w:lang w:val="fr-FR"/>
              </w:rPr>
              <w:t>4 101</w:t>
            </w:r>
          </w:p>
        </w:tc>
        <w:tc>
          <w:tcPr>
            <w:tcW w:w="666" w:type="dxa"/>
            <w:noWrap/>
            <w:vAlign w:val="bottom"/>
          </w:tcPr>
          <w:p w:rsidR="00000000" w:rsidRDefault="00000000">
            <w:pPr>
              <w:spacing w:before="80" w:after="80"/>
              <w:jc w:val="right"/>
              <w:rPr>
                <w:sz w:val="18"/>
                <w:szCs w:val="16"/>
                <w:lang w:val="fr-FR"/>
              </w:rPr>
            </w:pPr>
            <w:r>
              <w:rPr>
                <w:sz w:val="18"/>
                <w:szCs w:val="16"/>
                <w:lang w:val="fr-FR"/>
              </w:rPr>
              <w:t>4 510</w:t>
            </w:r>
          </w:p>
        </w:tc>
        <w:tc>
          <w:tcPr>
            <w:tcW w:w="666" w:type="dxa"/>
            <w:noWrap/>
            <w:vAlign w:val="bottom"/>
          </w:tcPr>
          <w:p w:rsidR="00000000" w:rsidRDefault="00000000">
            <w:pPr>
              <w:spacing w:before="80" w:after="80"/>
              <w:jc w:val="right"/>
              <w:rPr>
                <w:sz w:val="18"/>
                <w:szCs w:val="16"/>
                <w:lang w:val="fr-FR"/>
              </w:rPr>
            </w:pPr>
            <w:r>
              <w:rPr>
                <w:sz w:val="18"/>
                <w:szCs w:val="16"/>
                <w:lang w:val="fr-FR"/>
              </w:rPr>
              <w:t>5 244</w:t>
            </w:r>
          </w:p>
        </w:tc>
        <w:tc>
          <w:tcPr>
            <w:tcW w:w="666" w:type="dxa"/>
            <w:noWrap/>
            <w:vAlign w:val="bottom"/>
          </w:tcPr>
          <w:p w:rsidR="00000000" w:rsidRDefault="00000000">
            <w:pPr>
              <w:spacing w:before="80" w:after="80"/>
              <w:jc w:val="right"/>
              <w:rPr>
                <w:sz w:val="18"/>
                <w:szCs w:val="16"/>
                <w:lang w:val="fr-FR"/>
              </w:rPr>
            </w:pPr>
            <w:r>
              <w:rPr>
                <w:sz w:val="18"/>
                <w:szCs w:val="16"/>
                <w:lang w:val="fr-FR"/>
              </w:rPr>
              <w:t>5 091</w:t>
            </w:r>
          </w:p>
        </w:tc>
        <w:tc>
          <w:tcPr>
            <w:tcW w:w="666" w:type="dxa"/>
            <w:noWrap/>
            <w:vAlign w:val="bottom"/>
          </w:tcPr>
          <w:p w:rsidR="00000000" w:rsidRDefault="00000000">
            <w:pPr>
              <w:spacing w:before="80" w:after="80"/>
              <w:jc w:val="right"/>
              <w:rPr>
                <w:sz w:val="18"/>
                <w:szCs w:val="16"/>
                <w:lang w:val="fr-FR"/>
              </w:rPr>
            </w:pPr>
            <w:r>
              <w:rPr>
                <w:sz w:val="18"/>
                <w:szCs w:val="16"/>
                <w:lang w:val="fr-FR"/>
              </w:rPr>
              <w:t>5 005</w:t>
            </w:r>
          </w:p>
        </w:tc>
        <w:tc>
          <w:tcPr>
            <w:tcW w:w="666" w:type="dxa"/>
            <w:noWrap/>
            <w:vAlign w:val="bottom"/>
          </w:tcPr>
          <w:p w:rsidR="00000000" w:rsidRDefault="00000000">
            <w:pPr>
              <w:spacing w:before="80" w:after="80"/>
              <w:jc w:val="right"/>
              <w:rPr>
                <w:sz w:val="18"/>
                <w:szCs w:val="16"/>
                <w:lang w:val="fr-FR"/>
              </w:rPr>
            </w:pPr>
            <w:r>
              <w:rPr>
                <w:sz w:val="18"/>
                <w:szCs w:val="16"/>
                <w:lang w:val="fr-FR"/>
              </w:rPr>
              <w:t>6 649</w:t>
            </w:r>
          </w:p>
        </w:tc>
        <w:tc>
          <w:tcPr>
            <w:tcW w:w="856" w:type="dxa"/>
            <w:noWrap/>
            <w:vAlign w:val="bottom"/>
          </w:tcPr>
          <w:p w:rsidR="00000000" w:rsidRDefault="00000000">
            <w:pPr>
              <w:spacing w:before="80" w:after="80"/>
              <w:jc w:val="right"/>
              <w:rPr>
                <w:sz w:val="18"/>
                <w:szCs w:val="16"/>
                <w:lang w:val="fr-FR"/>
              </w:rPr>
            </w:pPr>
            <w:r>
              <w:rPr>
                <w:sz w:val="18"/>
                <w:szCs w:val="16"/>
                <w:lang w:val="fr-FR"/>
              </w:rPr>
              <w:t>14 036</w:t>
            </w:r>
          </w:p>
        </w:tc>
      </w:tr>
      <w:tr w:rsidR="00000000">
        <w:tc>
          <w:tcPr>
            <w:tcW w:w="1912" w:type="dxa"/>
            <w:tcBorders>
              <w:bottom w:val="single" w:sz="4" w:space="0" w:color="auto"/>
            </w:tcBorders>
            <w:noWrap/>
            <w:vAlign w:val="bottom"/>
          </w:tcPr>
          <w:p w:rsidR="00000000" w:rsidRDefault="00000000">
            <w:pPr>
              <w:tabs>
                <w:tab w:val="left" w:pos="284"/>
              </w:tabs>
              <w:spacing w:before="80" w:after="80"/>
              <w:rPr>
                <w:sz w:val="18"/>
                <w:szCs w:val="20"/>
                <w:lang w:val="fr-FR"/>
              </w:rPr>
            </w:pPr>
            <w:r>
              <w:rPr>
                <w:sz w:val="18"/>
                <w:szCs w:val="20"/>
                <w:lang w:val="fr-FR"/>
              </w:rPr>
              <w:t>15.</w:t>
            </w:r>
            <w:r>
              <w:rPr>
                <w:sz w:val="18"/>
                <w:szCs w:val="20"/>
                <w:lang w:val="fr-FR"/>
              </w:rPr>
              <w:tab/>
              <w:t>Diabetes Mellitus</w:t>
            </w:r>
          </w:p>
        </w:tc>
        <w:tc>
          <w:tcPr>
            <w:tcW w:w="667" w:type="dxa"/>
            <w:tcBorders>
              <w:bottom w:val="single" w:sz="4" w:space="0" w:color="auto"/>
            </w:tcBorders>
            <w:noWrap/>
            <w:vAlign w:val="bottom"/>
          </w:tcPr>
          <w:p w:rsidR="00000000" w:rsidRDefault="00000000">
            <w:pPr>
              <w:spacing w:before="80" w:after="80"/>
              <w:jc w:val="right"/>
              <w:rPr>
                <w:sz w:val="18"/>
                <w:szCs w:val="20"/>
                <w:lang w:val="en-US"/>
              </w:rPr>
            </w:pPr>
            <w:r>
              <w:rPr>
                <w:sz w:val="18"/>
                <w:szCs w:val="20"/>
                <w:lang w:val="en-US"/>
              </w:rPr>
              <w:t>2 570</w:t>
            </w:r>
          </w:p>
        </w:tc>
        <w:tc>
          <w:tcPr>
            <w:tcW w:w="666" w:type="dxa"/>
            <w:tcBorders>
              <w:bottom w:val="single" w:sz="4" w:space="0" w:color="auto"/>
            </w:tcBorders>
            <w:noWrap/>
            <w:vAlign w:val="bottom"/>
          </w:tcPr>
          <w:p w:rsidR="00000000" w:rsidRDefault="00000000">
            <w:pPr>
              <w:spacing w:before="80" w:after="80"/>
              <w:jc w:val="right"/>
              <w:rPr>
                <w:sz w:val="18"/>
                <w:szCs w:val="16"/>
                <w:lang w:val="en-US"/>
              </w:rPr>
            </w:pPr>
            <w:r>
              <w:rPr>
                <w:sz w:val="18"/>
                <w:szCs w:val="16"/>
                <w:lang w:val="en-US"/>
              </w:rPr>
              <w:t>2 250</w:t>
            </w:r>
          </w:p>
        </w:tc>
        <w:tc>
          <w:tcPr>
            <w:tcW w:w="666" w:type="dxa"/>
            <w:tcBorders>
              <w:bottom w:val="single" w:sz="4" w:space="0" w:color="auto"/>
            </w:tcBorders>
            <w:noWrap/>
            <w:vAlign w:val="bottom"/>
          </w:tcPr>
          <w:p w:rsidR="00000000" w:rsidRDefault="00000000">
            <w:pPr>
              <w:spacing w:before="80" w:after="80"/>
              <w:jc w:val="right"/>
              <w:rPr>
                <w:sz w:val="18"/>
                <w:szCs w:val="16"/>
                <w:lang w:val="en-US"/>
              </w:rPr>
            </w:pPr>
            <w:r>
              <w:rPr>
                <w:sz w:val="18"/>
                <w:szCs w:val="16"/>
                <w:lang w:val="en-US"/>
              </w:rPr>
              <w:t>2 988</w:t>
            </w:r>
          </w:p>
        </w:tc>
        <w:tc>
          <w:tcPr>
            <w:tcW w:w="666" w:type="dxa"/>
            <w:tcBorders>
              <w:bottom w:val="single" w:sz="4" w:space="0" w:color="auto"/>
            </w:tcBorders>
            <w:noWrap/>
            <w:vAlign w:val="bottom"/>
          </w:tcPr>
          <w:p w:rsidR="00000000" w:rsidRDefault="00000000">
            <w:pPr>
              <w:spacing w:before="80" w:after="80"/>
              <w:jc w:val="right"/>
              <w:rPr>
                <w:sz w:val="18"/>
                <w:szCs w:val="16"/>
                <w:lang w:val="en-US"/>
              </w:rPr>
            </w:pPr>
            <w:r>
              <w:rPr>
                <w:sz w:val="18"/>
                <w:szCs w:val="16"/>
                <w:lang w:val="en-US"/>
              </w:rPr>
              <w:t>3 096</w:t>
            </w:r>
          </w:p>
        </w:tc>
        <w:tc>
          <w:tcPr>
            <w:tcW w:w="666" w:type="dxa"/>
            <w:tcBorders>
              <w:bottom w:val="single" w:sz="4" w:space="0" w:color="auto"/>
            </w:tcBorders>
            <w:noWrap/>
            <w:vAlign w:val="bottom"/>
          </w:tcPr>
          <w:p w:rsidR="00000000" w:rsidRDefault="00000000">
            <w:pPr>
              <w:spacing w:before="80" w:after="80"/>
              <w:jc w:val="right"/>
              <w:rPr>
                <w:sz w:val="18"/>
                <w:szCs w:val="16"/>
                <w:lang w:val="en-US"/>
              </w:rPr>
            </w:pPr>
            <w:r>
              <w:rPr>
                <w:sz w:val="18"/>
                <w:szCs w:val="16"/>
                <w:lang w:val="en-US"/>
              </w:rPr>
              <w:t>3 902</w:t>
            </w:r>
          </w:p>
        </w:tc>
        <w:tc>
          <w:tcPr>
            <w:tcW w:w="666" w:type="dxa"/>
            <w:tcBorders>
              <w:bottom w:val="single" w:sz="4" w:space="0" w:color="auto"/>
            </w:tcBorders>
            <w:noWrap/>
            <w:vAlign w:val="bottom"/>
          </w:tcPr>
          <w:p w:rsidR="00000000" w:rsidRDefault="00000000">
            <w:pPr>
              <w:spacing w:before="80" w:after="80"/>
              <w:jc w:val="right"/>
              <w:rPr>
                <w:sz w:val="18"/>
                <w:szCs w:val="16"/>
                <w:lang w:val="en-US"/>
              </w:rPr>
            </w:pPr>
            <w:r>
              <w:rPr>
                <w:sz w:val="18"/>
                <w:szCs w:val="16"/>
                <w:lang w:val="en-US"/>
              </w:rPr>
              <w:t>3 730</w:t>
            </w:r>
          </w:p>
        </w:tc>
        <w:tc>
          <w:tcPr>
            <w:tcW w:w="666" w:type="dxa"/>
            <w:tcBorders>
              <w:bottom w:val="single" w:sz="4" w:space="0" w:color="auto"/>
            </w:tcBorders>
            <w:noWrap/>
            <w:vAlign w:val="bottom"/>
          </w:tcPr>
          <w:p w:rsidR="00000000" w:rsidRDefault="00000000">
            <w:pPr>
              <w:spacing w:before="80" w:after="80"/>
              <w:jc w:val="right"/>
              <w:rPr>
                <w:sz w:val="18"/>
                <w:szCs w:val="16"/>
                <w:lang w:val="en-US"/>
              </w:rPr>
            </w:pPr>
            <w:r>
              <w:rPr>
                <w:sz w:val="18"/>
                <w:szCs w:val="16"/>
                <w:lang w:val="en-US"/>
              </w:rPr>
              <w:t>4 917</w:t>
            </w:r>
          </w:p>
        </w:tc>
        <w:tc>
          <w:tcPr>
            <w:tcW w:w="666" w:type="dxa"/>
            <w:tcBorders>
              <w:bottom w:val="single" w:sz="4" w:space="0" w:color="auto"/>
            </w:tcBorders>
            <w:noWrap/>
            <w:vAlign w:val="bottom"/>
          </w:tcPr>
          <w:p w:rsidR="00000000" w:rsidRDefault="00000000">
            <w:pPr>
              <w:spacing w:before="80" w:after="80"/>
              <w:jc w:val="right"/>
              <w:rPr>
                <w:sz w:val="18"/>
                <w:szCs w:val="16"/>
                <w:lang w:val="en-US"/>
              </w:rPr>
            </w:pPr>
            <w:r>
              <w:rPr>
                <w:sz w:val="18"/>
                <w:szCs w:val="16"/>
                <w:lang w:val="en-US"/>
              </w:rPr>
              <w:t>5 616</w:t>
            </w:r>
          </w:p>
        </w:tc>
        <w:tc>
          <w:tcPr>
            <w:tcW w:w="666" w:type="dxa"/>
            <w:tcBorders>
              <w:bottom w:val="single" w:sz="4" w:space="0" w:color="auto"/>
            </w:tcBorders>
            <w:noWrap/>
            <w:vAlign w:val="bottom"/>
          </w:tcPr>
          <w:p w:rsidR="00000000" w:rsidRDefault="00000000">
            <w:pPr>
              <w:spacing w:before="80" w:after="80"/>
              <w:jc w:val="right"/>
              <w:rPr>
                <w:sz w:val="18"/>
                <w:szCs w:val="16"/>
                <w:lang w:val="en-US"/>
              </w:rPr>
            </w:pPr>
            <w:r>
              <w:rPr>
                <w:sz w:val="18"/>
                <w:szCs w:val="16"/>
                <w:lang w:val="en-US"/>
              </w:rPr>
              <w:t>5 829</w:t>
            </w:r>
          </w:p>
        </w:tc>
        <w:tc>
          <w:tcPr>
            <w:tcW w:w="666" w:type="dxa"/>
            <w:tcBorders>
              <w:bottom w:val="single" w:sz="4" w:space="0" w:color="auto"/>
            </w:tcBorders>
            <w:noWrap/>
            <w:vAlign w:val="bottom"/>
          </w:tcPr>
          <w:p w:rsidR="00000000" w:rsidRDefault="00000000">
            <w:pPr>
              <w:spacing w:before="80" w:after="80"/>
              <w:jc w:val="right"/>
              <w:rPr>
                <w:sz w:val="18"/>
                <w:szCs w:val="16"/>
                <w:lang w:val="en-US"/>
              </w:rPr>
            </w:pPr>
            <w:r>
              <w:rPr>
                <w:sz w:val="18"/>
                <w:szCs w:val="16"/>
                <w:lang w:val="en-US"/>
              </w:rPr>
              <w:t>4 955</w:t>
            </w:r>
          </w:p>
        </w:tc>
        <w:tc>
          <w:tcPr>
            <w:tcW w:w="856" w:type="dxa"/>
            <w:tcBorders>
              <w:bottom w:val="single" w:sz="4" w:space="0" w:color="auto"/>
            </w:tcBorders>
            <w:noWrap/>
            <w:vAlign w:val="bottom"/>
          </w:tcPr>
          <w:p w:rsidR="00000000" w:rsidRDefault="00000000">
            <w:pPr>
              <w:spacing w:before="80" w:after="80"/>
              <w:jc w:val="right"/>
              <w:rPr>
                <w:sz w:val="18"/>
                <w:szCs w:val="16"/>
                <w:lang w:val="en-US"/>
              </w:rPr>
            </w:pPr>
            <w:r>
              <w:rPr>
                <w:sz w:val="18"/>
                <w:szCs w:val="16"/>
                <w:lang w:val="en-US"/>
              </w:rPr>
              <w:t>5 310</w:t>
            </w:r>
          </w:p>
        </w:tc>
      </w:tr>
    </w:tbl>
    <w:p w:rsidR="00000000" w:rsidRDefault="00000000">
      <w:pPr>
        <w:widowControl w:val="0"/>
        <w:spacing w:before="80" w:after="80"/>
        <w:ind w:left="567"/>
        <w:rPr>
          <w:sz w:val="20"/>
          <w:szCs w:val="20"/>
        </w:rPr>
      </w:pPr>
      <w:r>
        <w:rPr>
          <w:i/>
          <w:iCs/>
          <w:sz w:val="20"/>
          <w:szCs w:val="20"/>
          <w:lang w:val="en-US"/>
        </w:rPr>
        <w:t>Source:</w:t>
      </w:r>
      <w:r>
        <w:rPr>
          <w:b/>
          <w:bCs/>
          <w:sz w:val="20"/>
          <w:szCs w:val="20"/>
          <w:lang w:val="en-US"/>
        </w:rPr>
        <w:t xml:space="preserve"> </w:t>
      </w:r>
      <w:r>
        <w:rPr>
          <w:sz w:val="20"/>
          <w:szCs w:val="20"/>
          <w:lang w:val="en-US"/>
        </w:rPr>
        <w:t>Biotatistics Dept</w:t>
      </w:r>
      <w:r>
        <w:rPr>
          <w:b/>
          <w:bCs/>
          <w:sz w:val="20"/>
          <w:szCs w:val="20"/>
          <w:lang w:val="en-US"/>
        </w:rPr>
        <w:t>.</w:t>
      </w:r>
      <w:r>
        <w:rPr>
          <w:sz w:val="20"/>
          <w:szCs w:val="20"/>
          <w:lang w:val="en-US"/>
        </w:rPr>
        <w:t xml:space="preserve"> </w:t>
      </w:r>
      <w:r>
        <w:rPr>
          <w:sz w:val="20"/>
          <w:szCs w:val="20"/>
        </w:rPr>
        <w:t>Morbidity Report.M.S.P. Y.B.S..</w:t>
      </w:r>
    </w:p>
    <w:p w:rsidR="00000000" w:rsidRDefault="00000000">
      <w:pPr>
        <w:spacing w:after="240"/>
        <w:ind w:firstLine="567"/>
        <w:rPr>
          <w:sz w:val="28"/>
        </w:rPr>
      </w:pPr>
      <w:r>
        <w:rPr>
          <w:sz w:val="20"/>
          <w:szCs w:val="20"/>
        </w:rPr>
        <w:t>(*)  Information not available.</w:t>
      </w:r>
    </w:p>
    <w:p w:rsidR="00000000" w:rsidRDefault="00000000">
      <w:pPr>
        <w:spacing w:after="240"/>
      </w:pPr>
      <w:r>
        <w:rPr>
          <w:lang w:val="en-US"/>
        </w:rPr>
        <w:t>456</w:t>
      </w:r>
      <w:r>
        <w:t>.</w:t>
      </w:r>
      <w:r>
        <w:tab/>
        <w:t xml:space="preserve">Recent epidemiological studies show that some 20 per cent of children under age 2, and 45 per cent of children under age 5, in low socio-economic strata show some degree of psychomotor retardation. The typology of child maltreatment consists of four categories: physical maltreatment, emotional or psychological maltreatment, neglect or abandonment and sexual abuse.  </w:t>
      </w:r>
    </w:p>
    <w:p w:rsidR="00000000" w:rsidRDefault="00000000">
      <w:pPr>
        <w:spacing w:after="240"/>
      </w:pPr>
      <w:r>
        <w:rPr>
          <w:lang w:val="en-US"/>
        </w:rPr>
        <w:t>457</w:t>
      </w:r>
      <w:r>
        <w:t>.</w:t>
      </w:r>
      <w:r>
        <w:tab/>
        <w:t xml:space="preserve">In the country as a whole, 495 cases of sexual violence were reported, 94 per cent  of them against women. The majority of the cases recorded concerned girls between ages 10 and 18 (50 per cent  in 1997, 63 per cent  in 1998), while in 1998 girls under age 10 made up 15 per cent  of cases. Reports of cases concerning boys under age 10 were received. Of the total population, 3 per cent consists of upper-class families with high purchasing power, 14 per cent consists of small entrepreneurs and self-employed professionals with relative financial independence, 18 per cent are wage and salary earners, among whom there is a high percentage of de facto unions and disorganized nuclear families with women as heads of households, and 65 per cent belong to the marginal sectors (manual workers, unemployed and underemployed persons) with serious economic and social problems. </w:t>
      </w:r>
    </w:p>
    <w:p w:rsidR="00000000" w:rsidRDefault="00000000">
      <w:pPr>
        <w:spacing w:after="240"/>
      </w:pPr>
      <w:r>
        <w:rPr>
          <w:lang w:val="en-US"/>
        </w:rPr>
        <w:t>458</w:t>
      </w:r>
      <w:r>
        <w:t>.</w:t>
      </w:r>
      <w:r>
        <w:tab/>
        <w:t xml:space="preserve">There is a relatively high prevalence of severe psychiatric disorders (0.4 per cent for each disorder); one may thus estimate that 44,000 persons are suffering from one or more such disorders in Paraguay. </w:t>
      </w:r>
    </w:p>
    <w:p w:rsidR="00000000" w:rsidRDefault="00000000">
      <w:pPr>
        <w:spacing w:after="240"/>
      </w:pPr>
      <w:r>
        <w:rPr>
          <w:lang w:val="en-US"/>
        </w:rPr>
        <w:t>459</w:t>
      </w:r>
      <w:r>
        <w:t>.</w:t>
      </w:r>
      <w:r>
        <w:tab/>
        <w:t xml:space="preserve">Regarding drug consumption, the drug most frequently consumed is alcohol, with a prevalence of 79.5 per cent among the population between ages 18 and 45. The second most frequently consumed drug is tobacco, with a prevalence of 32.4 per cent. In the field of illegal drugs, inhalants have a prevalence of 1.9 per cent, followed by marijuana (1.4 per cent). </w:t>
      </w:r>
    </w:p>
    <w:p w:rsidR="00000000" w:rsidRDefault="00000000">
      <w:pPr>
        <w:spacing w:after="240"/>
      </w:pPr>
      <w:r>
        <w:rPr>
          <w:lang w:val="en-US"/>
        </w:rPr>
        <w:t>460</w:t>
      </w:r>
      <w:r>
        <w:t>.</w:t>
      </w:r>
      <w:r>
        <w:tab/>
        <w:t xml:space="preserve">Regarding violence and its physical and psychological consequences, in Paraguay over 18 per cent of women reported having seen or heard, during their childhood or adolescence, their parents ill-treating one another in the household. </w:t>
      </w:r>
    </w:p>
    <w:p w:rsidR="00000000" w:rsidRDefault="00000000">
      <w:pPr>
        <w:spacing w:after="240"/>
        <w:rPr>
          <w:spacing w:val="-2"/>
        </w:rPr>
      </w:pPr>
      <w:r>
        <w:rPr>
          <w:spacing w:val="-2"/>
          <w:lang w:val="en-US"/>
        </w:rPr>
        <w:t>461</w:t>
      </w:r>
      <w:r>
        <w:rPr>
          <w:spacing w:val="-2"/>
        </w:rPr>
        <w:t>.</w:t>
      </w:r>
      <w:r>
        <w:rPr>
          <w:spacing w:val="-2"/>
        </w:rPr>
        <w:tab/>
        <w:t xml:space="preserve">The gradual implementation of the mental health component and the prevention of addiction is a strategy of primary care, made possible through the incorporation of specialist professionals into the general health service centres and the decentralization of mental health care. </w:t>
      </w:r>
    </w:p>
    <w:p w:rsidR="00000000" w:rsidRDefault="00000000">
      <w:pPr>
        <w:spacing w:after="240"/>
      </w:pPr>
      <w:r>
        <w:rPr>
          <w:b/>
          <w:bCs/>
        </w:rPr>
        <w:t>1.</w:t>
      </w:r>
      <w:r>
        <w:rPr>
          <w:b/>
          <w:bCs/>
        </w:rPr>
        <w:tab/>
        <w:t>National health policy</w:t>
      </w:r>
    </w:p>
    <w:p w:rsidR="00000000" w:rsidRDefault="00000000">
      <w:pPr>
        <w:spacing w:after="240"/>
      </w:pPr>
      <w:r>
        <w:rPr>
          <w:lang w:val="en-US"/>
        </w:rPr>
        <w:t>462</w:t>
      </w:r>
      <w:r>
        <w:t>.</w:t>
      </w:r>
      <w:r>
        <w:tab/>
        <w:t>The Ministry of Public Health and Social Welfare (M.S.P. y B.S.) has defined a policy designed to increase social protection with equity, revitalizing the continuity of the National Health System, which involves the institutional strengthening of the directing, organizational, financing and insurance functions with the resources available in the sector and the mobilization of resources in other sectors and actors in society with a view to improving the quality of life and the years of useful life in order to contribute effectively to the nation’s development. This policy has been fully endorsed by civil society, and efforts are being made to convert it into a State policy.</w:t>
      </w:r>
    </w:p>
    <w:p w:rsidR="00000000" w:rsidRDefault="00000000">
      <w:pPr>
        <w:spacing w:after="240"/>
      </w:pPr>
      <w:r>
        <w:rPr>
          <w:lang w:val="en-US"/>
        </w:rPr>
        <w:t>463</w:t>
      </w:r>
      <w:r>
        <w:t>.</w:t>
      </w:r>
      <w:r>
        <w:tab/>
        <w:t xml:space="preserve">This policy, with a strategic vision, sets out to develop opportunities, mechanisms and fora for the strengthening of institutional and citizen capacities which will progressively, and in an incremental and sustained manner, achieve better health for all the inhabitants of the country with social, ethnic, cultural, generational and gender equality and free from discrimination of all kinds. </w:t>
      </w:r>
    </w:p>
    <w:p w:rsidR="00000000" w:rsidRDefault="00000000">
      <w:pPr>
        <w:spacing w:after="240"/>
      </w:pPr>
      <w:r>
        <w:rPr>
          <w:lang w:val="en-US"/>
        </w:rPr>
        <w:t>464</w:t>
      </w:r>
      <w:r>
        <w:t>.</w:t>
      </w:r>
      <w:r>
        <w:tab/>
        <w:t xml:space="preserve">The main lines of this policy rest on a reform of health; promotion; social protection in the health field with solidarity-based financing and safeguards, with measures focussed on the satisfaction of needs and access to services for excluded persons and groups of people with greater poverty and subject to higher biological and social risks; basic environmental health and sanitation with combined strategies aimed at individuals, institutions and society as a whole; the development of human resources and continuing education as central strategic elements in the change in the health field towards quality and efficiency, with technical and human excellence, at all levels in the system. </w:t>
      </w:r>
    </w:p>
    <w:p w:rsidR="00000000" w:rsidRDefault="00000000">
      <w:pPr>
        <w:spacing w:after="240"/>
      </w:pPr>
      <w:r>
        <w:rPr>
          <w:lang w:val="en-US"/>
        </w:rPr>
        <w:t>465</w:t>
      </w:r>
      <w:r>
        <w:t>.</w:t>
      </w:r>
      <w:r>
        <w:tab/>
        <w:t xml:space="preserve">Paraguay, as a member of the World Health Organization, has signed a number of international treaties and agreements, and one of its primary guidelines for action is that of ensuring compliance with them. Paraguay’s basic health strategy is that of primary care,  defined by the Alma Ata Conference as essential health care based on practical, scientifically sound and socially acceptable methods and technology made universally acceptable to individuals and families in the community through their full participation. </w:t>
      </w:r>
    </w:p>
    <w:p w:rsidR="00000000" w:rsidRDefault="00000000">
      <w:pPr>
        <w:spacing w:after="240"/>
      </w:pPr>
      <w:r>
        <w:rPr>
          <w:lang w:val="en-US"/>
        </w:rPr>
        <w:t>466</w:t>
      </w:r>
      <w:r>
        <w:t>.</w:t>
      </w:r>
      <w:r>
        <w:tab/>
        <w:t xml:space="preserve">The model of care, management and financing is the organization, integration, management and financing of the resources available in the National Health System for promotion, prevention, recovery and rehabilitation in the field of health so as to optimize the implementation of public health programmes at every level of care and complexity to respond to the priority health problems of the population. </w:t>
      </w:r>
    </w:p>
    <w:p w:rsidR="00000000" w:rsidRDefault="00000000">
      <w:pPr>
        <w:spacing w:after="240"/>
      </w:pPr>
      <w:r>
        <w:rPr>
          <w:lang w:val="en-US"/>
        </w:rPr>
        <w:t>467</w:t>
      </w:r>
      <w:r>
        <w:t>.</w:t>
      </w:r>
      <w:r>
        <w:tab/>
        <w:t xml:space="preserve">The model states that for the provision of care the health services must be functionally coordinated, forming regional care networks made up of establishments providing first-, second- and third-level care and up to the fourth level of complexity as they exist in each district. These networks provide comprehensive care, since the component establishments provide promotion, prevention, recovery and rehabilitation services at their respective levels. In addition, as health is envisaged as a fundamental element in economic and social development, care must be focussed on the individual and his or her family, community and environment in a process which takes into account the factors determining health and the prejudicial effects of ill-health. </w:t>
      </w:r>
    </w:p>
    <w:p w:rsidR="00000000" w:rsidRDefault="00000000">
      <w:pPr>
        <w:spacing w:after="240"/>
      </w:pPr>
      <w:r>
        <w:rPr>
          <w:b/>
          <w:bCs/>
        </w:rPr>
        <w:t>2.</w:t>
      </w:r>
      <w:r>
        <w:rPr>
          <w:b/>
          <w:bCs/>
        </w:rPr>
        <w:tab/>
        <w:t>Trends in health budget</w:t>
      </w:r>
    </w:p>
    <w:p w:rsidR="00000000" w:rsidRDefault="00000000">
      <w:pPr>
        <w:rPr>
          <w:b/>
          <w:bCs/>
          <w:i/>
          <w:iCs/>
          <w:sz w:val="20"/>
        </w:rPr>
      </w:pPr>
    </w:p>
    <w:tbl>
      <w:tblPr>
        <w:tblW w:w="5000" w:type="pct"/>
        <w:jc w:val="center"/>
        <w:tblLayout w:type="fixed"/>
        <w:tblCellMar>
          <w:left w:w="0" w:type="dxa"/>
          <w:right w:w="0" w:type="dxa"/>
        </w:tblCellMar>
        <w:tblLook w:val="0000" w:firstRow="0" w:lastRow="0" w:firstColumn="0" w:lastColumn="0" w:noHBand="0" w:noVBand="0"/>
      </w:tblPr>
      <w:tblGrid>
        <w:gridCol w:w="806"/>
        <w:gridCol w:w="1177"/>
        <w:gridCol w:w="1009"/>
        <w:gridCol w:w="967"/>
        <w:gridCol w:w="1009"/>
        <w:gridCol w:w="979"/>
        <w:gridCol w:w="1218"/>
        <w:gridCol w:w="1148"/>
        <w:gridCol w:w="1116"/>
      </w:tblGrid>
      <w:tr w:rsidR="00000000">
        <w:tblPrEx>
          <w:tblCellMar>
            <w:top w:w="0" w:type="dxa"/>
            <w:bottom w:w="0" w:type="dxa"/>
          </w:tblCellMar>
        </w:tblPrEx>
        <w:trPr>
          <w:cantSplit/>
          <w:tblHeader/>
          <w:jc w:val="center"/>
        </w:trPr>
        <w:tc>
          <w:tcPr>
            <w:tcW w:w="427" w:type="pct"/>
            <w:tcBorders>
              <w:top w:val="single" w:sz="4" w:space="0" w:color="auto"/>
              <w:bottom w:val="single" w:sz="4" w:space="0" w:color="auto"/>
            </w:tcBorders>
            <w:vAlign w:val="center"/>
          </w:tcPr>
          <w:p w:rsidR="00000000" w:rsidRDefault="00000000">
            <w:pPr>
              <w:spacing w:before="80" w:after="80"/>
              <w:jc w:val="center"/>
              <w:rPr>
                <w:b/>
                <w:bCs/>
                <w:i/>
                <w:iCs/>
                <w:sz w:val="18"/>
                <w:lang w:val="es-MX"/>
              </w:rPr>
            </w:pPr>
            <w:r>
              <w:rPr>
                <w:b/>
                <w:bCs/>
                <w:i/>
                <w:iCs/>
                <w:sz w:val="20"/>
              </w:rPr>
              <w:t>Year</w:t>
            </w:r>
          </w:p>
        </w:tc>
        <w:tc>
          <w:tcPr>
            <w:tcW w:w="624" w:type="pct"/>
            <w:tcBorders>
              <w:top w:val="single" w:sz="4" w:space="0" w:color="auto"/>
              <w:bottom w:val="single" w:sz="4" w:space="0" w:color="auto"/>
            </w:tcBorders>
            <w:vAlign w:val="center"/>
          </w:tcPr>
          <w:p w:rsidR="00000000" w:rsidRDefault="00000000">
            <w:pPr>
              <w:spacing w:before="80" w:after="80"/>
              <w:jc w:val="center"/>
              <w:rPr>
                <w:b/>
                <w:bCs/>
                <w:i/>
                <w:iCs/>
                <w:sz w:val="18"/>
                <w:lang w:val="es-MX"/>
              </w:rPr>
            </w:pPr>
            <w:r>
              <w:rPr>
                <w:b/>
                <w:bCs/>
                <w:i/>
                <w:iCs/>
                <w:sz w:val="20"/>
              </w:rPr>
              <w:t>Total GDP (million Gs. at current prices)</w:t>
            </w:r>
          </w:p>
        </w:tc>
        <w:tc>
          <w:tcPr>
            <w:tcW w:w="535" w:type="pct"/>
            <w:tcBorders>
              <w:top w:val="single" w:sz="4" w:space="0" w:color="auto"/>
              <w:bottom w:val="single" w:sz="4" w:space="0" w:color="auto"/>
            </w:tcBorders>
            <w:vAlign w:val="center"/>
          </w:tcPr>
          <w:p w:rsidR="00000000" w:rsidRDefault="00000000">
            <w:pPr>
              <w:spacing w:before="80" w:after="80"/>
              <w:jc w:val="center"/>
              <w:rPr>
                <w:b/>
                <w:bCs/>
                <w:i/>
                <w:iCs/>
                <w:sz w:val="18"/>
                <w:lang w:val="es-MX"/>
              </w:rPr>
            </w:pPr>
            <w:r>
              <w:rPr>
                <w:b/>
                <w:bCs/>
                <w:i/>
                <w:iCs/>
                <w:sz w:val="20"/>
              </w:rPr>
              <w:t>National budget</w:t>
            </w:r>
            <w:r>
              <w:rPr>
                <w:b/>
                <w:bCs/>
                <w:sz w:val="22"/>
                <w:vertAlign w:val="superscript"/>
                <w:lang w:val="es-MX"/>
              </w:rPr>
              <w:t xml:space="preserve"> 1</w:t>
            </w:r>
          </w:p>
        </w:tc>
        <w:tc>
          <w:tcPr>
            <w:tcW w:w="513" w:type="pct"/>
            <w:tcBorders>
              <w:top w:val="single" w:sz="4" w:space="0" w:color="auto"/>
              <w:bottom w:val="single" w:sz="4" w:space="0" w:color="auto"/>
            </w:tcBorders>
            <w:vAlign w:val="center"/>
          </w:tcPr>
          <w:p w:rsidR="00000000" w:rsidRDefault="00000000">
            <w:pPr>
              <w:spacing w:before="80" w:after="80"/>
              <w:jc w:val="center"/>
              <w:rPr>
                <w:b/>
                <w:bCs/>
                <w:i/>
                <w:iCs/>
                <w:sz w:val="18"/>
                <w:lang w:val="es-MX"/>
              </w:rPr>
            </w:pPr>
            <w:r>
              <w:rPr>
                <w:b/>
                <w:bCs/>
                <w:i/>
                <w:iCs/>
                <w:sz w:val="20"/>
              </w:rPr>
              <w:t>Health expendi-ture</w:t>
            </w:r>
            <w:r>
              <w:rPr>
                <w:b/>
                <w:bCs/>
                <w:sz w:val="22"/>
                <w:vertAlign w:val="superscript"/>
                <w:lang w:val="es-MX"/>
              </w:rPr>
              <w:t xml:space="preserve"> 2</w:t>
            </w:r>
          </w:p>
        </w:tc>
        <w:tc>
          <w:tcPr>
            <w:tcW w:w="535" w:type="pct"/>
            <w:tcBorders>
              <w:top w:val="single" w:sz="4" w:space="0" w:color="auto"/>
              <w:bottom w:val="single" w:sz="4" w:space="0" w:color="auto"/>
            </w:tcBorders>
            <w:vAlign w:val="center"/>
          </w:tcPr>
          <w:p w:rsidR="00000000" w:rsidRDefault="00000000">
            <w:pPr>
              <w:spacing w:before="80" w:after="80"/>
              <w:jc w:val="center"/>
              <w:rPr>
                <w:b/>
                <w:bCs/>
                <w:i/>
                <w:iCs/>
                <w:sz w:val="18"/>
                <w:lang w:val="es-MX"/>
              </w:rPr>
            </w:pPr>
            <w:r>
              <w:rPr>
                <w:b/>
                <w:bCs/>
                <w:i/>
                <w:iCs/>
                <w:sz w:val="20"/>
              </w:rPr>
              <w:t>% health exp./GDP</w:t>
            </w:r>
          </w:p>
        </w:tc>
        <w:tc>
          <w:tcPr>
            <w:tcW w:w="519" w:type="pct"/>
            <w:tcBorders>
              <w:top w:val="single" w:sz="4" w:space="0" w:color="auto"/>
              <w:bottom w:val="single" w:sz="4" w:space="0" w:color="auto"/>
            </w:tcBorders>
            <w:vAlign w:val="center"/>
          </w:tcPr>
          <w:p w:rsidR="00000000" w:rsidRDefault="00000000">
            <w:pPr>
              <w:spacing w:before="80" w:after="80"/>
              <w:jc w:val="center"/>
              <w:rPr>
                <w:b/>
                <w:bCs/>
                <w:i/>
                <w:iCs/>
                <w:sz w:val="18"/>
                <w:lang w:val="es-MX"/>
              </w:rPr>
            </w:pPr>
            <w:r>
              <w:rPr>
                <w:b/>
                <w:bCs/>
                <w:i/>
                <w:iCs/>
                <w:sz w:val="20"/>
              </w:rPr>
              <w:t>% health exp./budget</w:t>
            </w:r>
          </w:p>
        </w:tc>
        <w:tc>
          <w:tcPr>
            <w:tcW w:w="646" w:type="pct"/>
            <w:tcBorders>
              <w:top w:val="single" w:sz="4" w:space="0" w:color="auto"/>
              <w:bottom w:val="single" w:sz="4" w:space="0" w:color="auto"/>
            </w:tcBorders>
            <w:vAlign w:val="center"/>
          </w:tcPr>
          <w:p w:rsidR="00000000" w:rsidRDefault="00000000">
            <w:pPr>
              <w:spacing w:before="80" w:after="80"/>
              <w:jc w:val="center"/>
              <w:rPr>
                <w:b/>
                <w:bCs/>
                <w:i/>
                <w:iCs/>
                <w:sz w:val="18"/>
                <w:lang w:val="es-MX"/>
              </w:rPr>
            </w:pPr>
            <w:r>
              <w:rPr>
                <w:b/>
                <w:bCs/>
                <w:i/>
                <w:iCs/>
                <w:sz w:val="20"/>
              </w:rPr>
              <w:t>Basic health care</w:t>
            </w:r>
            <w:r>
              <w:rPr>
                <w:b/>
                <w:bCs/>
                <w:sz w:val="22"/>
                <w:vertAlign w:val="superscript"/>
                <w:lang w:val="es-MX"/>
              </w:rPr>
              <w:t xml:space="preserve"> 3</w:t>
            </w:r>
          </w:p>
        </w:tc>
        <w:tc>
          <w:tcPr>
            <w:tcW w:w="609" w:type="pct"/>
            <w:tcBorders>
              <w:top w:val="single" w:sz="4" w:space="0" w:color="auto"/>
              <w:bottom w:val="single" w:sz="4" w:space="0" w:color="auto"/>
            </w:tcBorders>
            <w:vAlign w:val="center"/>
          </w:tcPr>
          <w:p w:rsidR="00000000" w:rsidRDefault="00000000">
            <w:pPr>
              <w:spacing w:before="80" w:after="80"/>
              <w:jc w:val="center"/>
              <w:rPr>
                <w:b/>
                <w:bCs/>
                <w:i/>
                <w:iCs/>
                <w:sz w:val="18"/>
                <w:lang w:val="es-MX"/>
              </w:rPr>
            </w:pPr>
            <w:r>
              <w:rPr>
                <w:b/>
                <w:bCs/>
                <w:i/>
                <w:iCs/>
                <w:sz w:val="20"/>
              </w:rPr>
              <w:t>% basic health care/GDP</w:t>
            </w:r>
          </w:p>
        </w:tc>
        <w:tc>
          <w:tcPr>
            <w:tcW w:w="592" w:type="pct"/>
            <w:tcBorders>
              <w:top w:val="single" w:sz="4" w:space="0" w:color="auto"/>
              <w:bottom w:val="single" w:sz="4" w:space="0" w:color="auto"/>
            </w:tcBorders>
            <w:vAlign w:val="center"/>
          </w:tcPr>
          <w:p w:rsidR="00000000" w:rsidRDefault="00000000">
            <w:pPr>
              <w:spacing w:before="80" w:after="80"/>
              <w:jc w:val="center"/>
              <w:rPr>
                <w:b/>
                <w:bCs/>
                <w:i/>
                <w:iCs/>
                <w:sz w:val="18"/>
                <w:lang w:val="es-MX"/>
              </w:rPr>
            </w:pPr>
            <w:r>
              <w:rPr>
                <w:b/>
                <w:bCs/>
                <w:i/>
                <w:iCs/>
                <w:sz w:val="20"/>
              </w:rPr>
              <w:t>% basic health care/budget</w:t>
            </w:r>
          </w:p>
        </w:tc>
      </w:tr>
      <w:tr w:rsidR="00000000">
        <w:tblPrEx>
          <w:tblCellMar>
            <w:top w:w="0" w:type="dxa"/>
            <w:bottom w:w="0" w:type="dxa"/>
          </w:tblCellMar>
        </w:tblPrEx>
        <w:trPr>
          <w:jc w:val="center"/>
        </w:trPr>
        <w:tc>
          <w:tcPr>
            <w:tcW w:w="427" w:type="pct"/>
            <w:tcBorders>
              <w:top w:val="single" w:sz="4" w:space="0" w:color="auto"/>
            </w:tcBorders>
          </w:tcPr>
          <w:p w:rsidR="00000000" w:rsidRDefault="00000000">
            <w:pPr>
              <w:spacing w:before="60" w:after="60"/>
              <w:rPr>
                <w:sz w:val="20"/>
                <w:lang w:val="es-MX"/>
              </w:rPr>
            </w:pPr>
            <w:r>
              <w:rPr>
                <w:sz w:val="20"/>
                <w:lang w:val="es-MX"/>
              </w:rPr>
              <w:t>1994</w:t>
            </w:r>
          </w:p>
        </w:tc>
        <w:tc>
          <w:tcPr>
            <w:tcW w:w="624" w:type="pct"/>
            <w:tcBorders>
              <w:top w:val="single" w:sz="4" w:space="0" w:color="auto"/>
            </w:tcBorders>
          </w:tcPr>
          <w:p w:rsidR="00000000" w:rsidRDefault="00000000">
            <w:pPr>
              <w:tabs>
                <w:tab w:val="decimal" w:pos="826"/>
              </w:tabs>
              <w:spacing w:before="60" w:after="60"/>
              <w:jc w:val="center"/>
              <w:rPr>
                <w:sz w:val="20"/>
                <w:lang w:val="es-MX"/>
              </w:rPr>
            </w:pPr>
            <w:r>
              <w:rPr>
                <w:sz w:val="20"/>
                <w:lang w:val="es-MX"/>
              </w:rPr>
              <w:t>13 220 624</w:t>
            </w:r>
          </w:p>
        </w:tc>
        <w:tc>
          <w:tcPr>
            <w:tcW w:w="535" w:type="pct"/>
            <w:tcBorders>
              <w:top w:val="single" w:sz="4" w:space="0" w:color="auto"/>
            </w:tcBorders>
          </w:tcPr>
          <w:p w:rsidR="00000000" w:rsidRDefault="00000000">
            <w:pPr>
              <w:tabs>
                <w:tab w:val="decimal" w:pos="825"/>
              </w:tabs>
              <w:spacing w:before="60" w:after="60"/>
              <w:jc w:val="center"/>
              <w:rPr>
                <w:sz w:val="20"/>
                <w:lang w:val="es-MX"/>
              </w:rPr>
            </w:pPr>
            <w:r>
              <w:rPr>
                <w:sz w:val="20"/>
                <w:lang w:val="es-MX"/>
              </w:rPr>
              <w:t>2 253 329</w:t>
            </w:r>
          </w:p>
        </w:tc>
        <w:tc>
          <w:tcPr>
            <w:tcW w:w="513" w:type="pct"/>
            <w:tcBorders>
              <w:top w:val="single" w:sz="4" w:space="0" w:color="auto"/>
            </w:tcBorders>
          </w:tcPr>
          <w:p w:rsidR="00000000" w:rsidRDefault="00000000">
            <w:pPr>
              <w:tabs>
                <w:tab w:val="decimal" w:pos="735"/>
              </w:tabs>
              <w:spacing w:before="60" w:after="60"/>
              <w:jc w:val="center"/>
              <w:rPr>
                <w:sz w:val="20"/>
                <w:lang w:val="es-MX"/>
              </w:rPr>
            </w:pPr>
            <w:r>
              <w:rPr>
                <w:sz w:val="20"/>
                <w:lang w:val="es-MX"/>
              </w:rPr>
              <w:t>160 089</w:t>
            </w:r>
          </w:p>
        </w:tc>
        <w:tc>
          <w:tcPr>
            <w:tcW w:w="535" w:type="pct"/>
            <w:tcBorders>
              <w:top w:val="single" w:sz="4" w:space="0" w:color="auto"/>
            </w:tcBorders>
          </w:tcPr>
          <w:p w:rsidR="00000000" w:rsidRDefault="00000000">
            <w:pPr>
              <w:spacing w:before="60" w:after="60"/>
              <w:jc w:val="center"/>
              <w:rPr>
                <w:sz w:val="20"/>
                <w:lang w:val="es-MX"/>
              </w:rPr>
            </w:pPr>
            <w:r>
              <w:rPr>
                <w:sz w:val="20"/>
                <w:lang w:val="es-MX"/>
              </w:rPr>
              <w:t>1.21</w:t>
            </w:r>
          </w:p>
        </w:tc>
        <w:tc>
          <w:tcPr>
            <w:tcW w:w="519" w:type="pct"/>
            <w:tcBorders>
              <w:top w:val="single" w:sz="4" w:space="0" w:color="auto"/>
            </w:tcBorders>
          </w:tcPr>
          <w:p w:rsidR="00000000" w:rsidRDefault="00000000">
            <w:pPr>
              <w:spacing w:before="60" w:after="60"/>
              <w:jc w:val="center"/>
              <w:rPr>
                <w:sz w:val="20"/>
                <w:lang w:val="es-MX"/>
              </w:rPr>
            </w:pPr>
            <w:r>
              <w:rPr>
                <w:sz w:val="20"/>
                <w:lang w:val="es-MX"/>
              </w:rPr>
              <w:t>7.10</w:t>
            </w:r>
          </w:p>
        </w:tc>
        <w:tc>
          <w:tcPr>
            <w:tcW w:w="646" w:type="pct"/>
            <w:tcBorders>
              <w:top w:val="single" w:sz="4" w:space="0" w:color="auto"/>
            </w:tcBorders>
          </w:tcPr>
          <w:p w:rsidR="00000000" w:rsidRDefault="00000000">
            <w:pPr>
              <w:tabs>
                <w:tab w:val="decimal" w:pos="693"/>
              </w:tabs>
              <w:spacing w:before="60" w:after="60"/>
              <w:jc w:val="center"/>
              <w:rPr>
                <w:sz w:val="20"/>
                <w:lang w:val="es-MX"/>
              </w:rPr>
            </w:pPr>
            <w:r>
              <w:rPr>
                <w:sz w:val="20"/>
                <w:lang w:val="es-MX"/>
              </w:rPr>
              <w:t>117 812</w:t>
            </w:r>
          </w:p>
        </w:tc>
        <w:tc>
          <w:tcPr>
            <w:tcW w:w="609" w:type="pct"/>
            <w:tcBorders>
              <w:top w:val="single" w:sz="4" w:space="0" w:color="auto"/>
            </w:tcBorders>
          </w:tcPr>
          <w:p w:rsidR="00000000" w:rsidRDefault="00000000">
            <w:pPr>
              <w:spacing w:before="60" w:after="60"/>
              <w:jc w:val="center"/>
              <w:rPr>
                <w:sz w:val="20"/>
                <w:lang w:val="es-MX"/>
              </w:rPr>
            </w:pPr>
            <w:r>
              <w:rPr>
                <w:sz w:val="20"/>
                <w:lang w:val="es-MX"/>
              </w:rPr>
              <w:t>0.89</w:t>
            </w:r>
          </w:p>
        </w:tc>
        <w:tc>
          <w:tcPr>
            <w:tcW w:w="592" w:type="pct"/>
            <w:tcBorders>
              <w:top w:val="single" w:sz="4" w:space="0" w:color="auto"/>
            </w:tcBorders>
          </w:tcPr>
          <w:p w:rsidR="00000000" w:rsidRDefault="00000000">
            <w:pPr>
              <w:spacing w:before="60" w:after="60"/>
              <w:jc w:val="center"/>
              <w:rPr>
                <w:sz w:val="20"/>
                <w:lang w:val="es-MX"/>
              </w:rPr>
            </w:pPr>
            <w:r>
              <w:rPr>
                <w:sz w:val="20"/>
                <w:lang w:val="es-MX"/>
              </w:rPr>
              <w:t>5.23</w:t>
            </w:r>
          </w:p>
        </w:tc>
      </w:tr>
      <w:tr w:rsidR="00000000">
        <w:tblPrEx>
          <w:tblCellMar>
            <w:top w:w="0" w:type="dxa"/>
            <w:bottom w:w="0" w:type="dxa"/>
          </w:tblCellMar>
        </w:tblPrEx>
        <w:trPr>
          <w:jc w:val="center"/>
        </w:trPr>
        <w:tc>
          <w:tcPr>
            <w:tcW w:w="427" w:type="pct"/>
          </w:tcPr>
          <w:p w:rsidR="00000000" w:rsidRDefault="00000000">
            <w:pPr>
              <w:spacing w:before="60" w:after="60"/>
              <w:rPr>
                <w:sz w:val="20"/>
                <w:lang w:val="es-MX"/>
              </w:rPr>
            </w:pPr>
            <w:r>
              <w:rPr>
                <w:sz w:val="20"/>
                <w:lang w:val="es-MX"/>
              </w:rPr>
              <w:t>1995</w:t>
            </w:r>
          </w:p>
        </w:tc>
        <w:tc>
          <w:tcPr>
            <w:tcW w:w="624" w:type="pct"/>
          </w:tcPr>
          <w:p w:rsidR="00000000" w:rsidRDefault="00000000">
            <w:pPr>
              <w:tabs>
                <w:tab w:val="decimal" w:pos="826"/>
              </w:tabs>
              <w:spacing w:before="60" w:after="60"/>
              <w:jc w:val="center"/>
              <w:rPr>
                <w:sz w:val="20"/>
                <w:lang w:val="es-MX"/>
              </w:rPr>
            </w:pPr>
            <w:r>
              <w:rPr>
                <w:sz w:val="20"/>
                <w:lang w:val="es-MX"/>
              </w:rPr>
              <w:t>15 833 186</w:t>
            </w:r>
          </w:p>
        </w:tc>
        <w:tc>
          <w:tcPr>
            <w:tcW w:w="535" w:type="pct"/>
          </w:tcPr>
          <w:p w:rsidR="00000000" w:rsidRDefault="00000000">
            <w:pPr>
              <w:tabs>
                <w:tab w:val="decimal" w:pos="825"/>
              </w:tabs>
              <w:spacing w:before="60" w:after="60"/>
              <w:jc w:val="center"/>
              <w:rPr>
                <w:sz w:val="20"/>
                <w:lang w:val="es-MX"/>
              </w:rPr>
            </w:pPr>
            <w:r>
              <w:rPr>
                <w:sz w:val="20"/>
                <w:lang w:val="es-MX"/>
              </w:rPr>
              <w:t>3 042 601</w:t>
            </w:r>
          </w:p>
        </w:tc>
        <w:tc>
          <w:tcPr>
            <w:tcW w:w="513" w:type="pct"/>
          </w:tcPr>
          <w:p w:rsidR="00000000" w:rsidRDefault="00000000">
            <w:pPr>
              <w:tabs>
                <w:tab w:val="decimal" w:pos="735"/>
              </w:tabs>
              <w:spacing w:before="60" w:after="60"/>
              <w:jc w:val="center"/>
              <w:rPr>
                <w:sz w:val="20"/>
                <w:lang w:val="es-MX"/>
              </w:rPr>
            </w:pPr>
            <w:r>
              <w:rPr>
                <w:sz w:val="20"/>
                <w:lang w:val="es-MX"/>
              </w:rPr>
              <w:t>190 299</w:t>
            </w:r>
          </w:p>
        </w:tc>
        <w:tc>
          <w:tcPr>
            <w:tcW w:w="535" w:type="pct"/>
          </w:tcPr>
          <w:p w:rsidR="00000000" w:rsidRDefault="00000000">
            <w:pPr>
              <w:spacing w:before="60" w:after="60"/>
              <w:jc w:val="center"/>
              <w:rPr>
                <w:sz w:val="20"/>
                <w:lang w:val="es-MX"/>
              </w:rPr>
            </w:pPr>
            <w:r>
              <w:rPr>
                <w:sz w:val="20"/>
                <w:lang w:val="es-MX"/>
              </w:rPr>
              <w:t>1.20</w:t>
            </w:r>
          </w:p>
        </w:tc>
        <w:tc>
          <w:tcPr>
            <w:tcW w:w="519" w:type="pct"/>
          </w:tcPr>
          <w:p w:rsidR="00000000" w:rsidRDefault="00000000">
            <w:pPr>
              <w:spacing w:before="60" w:after="60"/>
              <w:jc w:val="center"/>
              <w:rPr>
                <w:sz w:val="20"/>
                <w:lang w:val="es-MX"/>
              </w:rPr>
            </w:pPr>
            <w:r>
              <w:rPr>
                <w:sz w:val="20"/>
                <w:lang w:val="es-MX"/>
              </w:rPr>
              <w:t>6.25</w:t>
            </w:r>
          </w:p>
        </w:tc>
        <w:tc>
          <w:tcPr>
            <w:tcW w:w="646" w:type="pct"/>
          </w:tcPr>
          <w:p w:rsidR="00000000" w:rsidRDefault="00000000">
            <w:pPr>
              <w:tabs>
                <w:tab w:val="decimal" w:pos="693"/>
              </w:tabs>
              <w:spacing w:before="60" w:after="60"/>
              <w:jc w:val="center"/>
              <w:rPr>
                <w:sz w:val="20"/>
                <w:lang w:val="es-MX"/>
              </w:rPr>
            </w:pPr>
            <w:r>
              <w:rPr>
                <w:sz w:val="20"/>
                <w:lang w:val="es-MX"/>
              </w:rPr>
              <w:t>152 744</w:t>
            </w:r>
          </w:p>
        </w:tc>
        <w:tc>
          <w:tcPr>
            <w:tcW w:w="609" w:type="pct"/>
          </w:tcPr>
          <w:p w:rsidR="00000000" w:rsidRDefault="00000000">
            <w:pPr>
              <w:spacing w:before="60" w:after="60"/>
              <w:jc w:val="center"/>
              <w:rPr>
                <w:sz w:val="20"/>
                <w:lang w:val="es-MX"/>
              </w:rPr>
            </w:pPr>
            <w:r>
              <w:rPr>
                <w:sz w:val="20"/>
                <w:lang w:val="es-MX"/>
              </w:rPr>
              <w:t>0.96</w:t>
            </w:r>
          </w:p>
        </w:tc>
        <w:tc>
          <w:tcPr>
            <w:tcW w:w="592" w:type="pct"/>
          </w:tcPr>
          <w:p w:rsidR="00000000" w:rsidRDefault="00000000">
            <w:pPr>
              <w:spacing w:before="60" w:after="60"/>
              <w:jc w:val="center"/>
              <w:rPr>
                <w:sz w:val="20"/>
                <w:lang w:val="es-MX"/>
              </w:rPr>
            </w:pPr>
            <w:r>
              <w:rPr>
                <w:sz w:val="20"/>
                <w:lang w:val="es-MX"/>
              </w:rPr>
              <w:t>5.02</w:t>
            </w:r>
          </w:p>
        </w:tc>
      </w:tr>
      <w:tr w:rsidR="00000000">
        <w:tblPrEx>
          <w:tblCellMar>
            <w:top w:w="0" w:type="dxa"/>
            <w:bottom w:w="0" w:type="dxa"/>
          </w:tblCellMar>
        </w:tblPrEx>
        <w:trPr>
          <w:jc w:val="center"/>
        </w:trPr>
        <w:tc>
          <w:tcPr>
            <w:tcW w:w="427" w:type="pct"/>
          </w:tcPr>
          <w:p w:rsidR="00000000" w:rsidRDefault="00000000">
            <w:pPr>
              <w:spacing w:before="60" w:after="60"/>
              <w:rPr>
                <w:sz w:val="20"/>
                <w:lang w:val="es-MX"/>
              </w:rPr>
            </w:pPr>
            <w:r>
              <w:rPr>
                <w:sz w:val="20"/>
                <w:lang w:val="es-MX"/>
              </w:rPr>
              <w:t>1996</w:t>
            </w:r>
          </w:p>
        </w:tc>
        <w:tc>
          <w:tcPr>
            <w:tcW w:w="624" w:type="pct"/>
          </w:tcPr>
          <w:p w:rsidR="00000000" w:rsidRDefault="00000000">
            <w:pPr>
              <w:tabs>
                <w:tab w:val="decimal" w:pos="826"/>
              </w:tabs>
              <w:spacing w:before="60" w:after="60"/>
              <w:jc w:val="center"/>
              <w:rPr>
                <w:sz w:val="20"/>
                <w:lang w:val="es-MX"/>
              </w:rPr>
            </w:pPr>
            <w:r>
              <w:rPr>
                <w:sz w:val="20"/>
                <w:lang w:val="es-MX"/>
              </w:rPr>
              <w:t>18 004 374</w:t>
            </w:r>
          </w:p>
        </w:tc>
        <w:tc>
          <w:tcPr>
            <w:tcW w:w="535" w:type="pct"/>
          </w:tcPr>
          <w:p w:rsidR="00000000" w:rsidRDefault="00000000">
            <w:pPr>
              <w:tabs>
                <w:tab w:val="decimal" w:pos="825"/>
              </w:tabs>
              <w:spacing w:before="60" w:after="60"/>
              <w:jc w:val="center"/>
              <w:rPr>
                <w:sz w:val="20"/>
                <w:lang w:val="es-MX"/>
              </w:rPr>
            </w:pPr>
            <w:r>
              <w:rPr>
                <w:sz w:val="20"/>
                <w:lang w:val="es-MX"/>
              </w:rPr>
              <w:t>3 416 260</w:t>
            </w:r>
          </w:p>
        </w:tc>
        <w:tc>
          <w:tcPr>
            <w:tcW w:w="513" w:type="pct"/>
          </w:tcPr>
          <w:p w:rsidR="00000000" w:rsidRDefault="00000000">
            <w:pPr>
              <w:tabs>
                <w:tab w:val="decimal" w:pos="735"/>
              </w:tabs>
              <w:spacing w:before="60" w:after="60"/>
              <w:jc w:val="center"/>
              <w:rPr>
                <w:sz w:val="20"/>
                <w:lang w:val="es-MX"/>
              </w:rPr>
            </w:pPr>
            <w:r>
              <w:rPr>
                <w:sz w:val="20"/>
                <w:lang w:val="es-MX"/>
              </w:rPr>
              <w:t>241 215</w:t>
            </w:r>
          </w:p>
        </w:tc>
        <w:tc>
          <w:tcPr>
            <w:tcW w:w="535" w:type="pct"/>
          </w:tcPr>
          <w:p w:rsidR="00000000" w:rsidRDefault="00000000">
            <w:pPr>
              <w:spacing w:before="60" w:after="60"/>
              <w:jc w:val="center"/>
              <w:rPr>
                <w:sz w:val="20"/>
                <w:lang w:val="es-MX"/>
              </w:rPr>
            </w:pPr>
            <w:r>
              <w:rPr>
                <w:sz w:val="20"/>
                <w:lang w:val="es-MX"/>
              </w:rPr>
              <w:t>1.34</w:t>
            </w:r>
          </w:p>
        </w:tc>
        <w:tc>
          <w:tcPr>
            <w:tcW w:w="519" w:type="pct"/>
          </w:tcPr>
          <w:p w:rsidR="00000000" w:rsidRDefault="00000000">
            <w:pPr>
              <w:spacing w:before="60" w:after="60"/>
              <w:jc w:val="center"/>
              <w:rPr>
                <w:sz w:val="20"/>
                <w:lang w:val="es-MX"/>
              </w:rPr>
            </w:pPr>
            <w:r>
              <w:rPr>
                <w:sz w:val="20"/>
                <w:lang w:val="es-MX"/>
              </w:rPr>
              <w:t>7.06</w:t>
            </w:r>
          </w:p>
        </w:tc>
        <w:tc>
          <w:tcPr>
            <w:tcW w:w="646" w:type="pct"/>
          </w:tcPr>
          <w:p w:rsidR="00000000" w:rsidRDefault="00000000">
            <w:pPr>
              <w:tabs>
                <w:tab w:val="decimal" w:pos="693"/>
              </w:tabs>
              <w:spacing w:before="60" w:after="60"/>
              <w:jc w:val="center"/>
              <w:rPr>
                <w:sz w:val="20"/>
                <w:lang w:val="es-MX"/>
              </w:rPr>
            </w:pPr>
            <w:r>
              <w:rPr>
                <w:sz w:val="20"/>
                <w:lang w:val="es-MX"/>
              </w:rPr>
              <w:t>207 548</w:t>
            </w:r>
          </w:p>
        </w:tc>
        <w:tc>
          <w:tcPr>
            <w:tcW w:w="609" w:type="pct"/>
          </w:tcPr>
          <w:p w:rsidR="00000000" w:rsidRDefault="00000000">
            <w:pPr>
              <w:spacing w:before="60" w:after="60"/>
              <w:jc w:val="center"/>
              <w:rPr>
                <w:sz w:val="20"/>
                <w:lang w:val="es-MX"/>
              </w:rPr>
            </w:pPr>
            <w:r>
              <w:rPr>
                <w:sz w:val="20"/>
                <w:lang w:val="es-MX"/>
              </w:rPr>
              <w:t>1.15</w:t>
            </w:r>
          </w:p>
        </w:tc>
        <w:tc>
          <w:tcPr>
            <w:tcW w:w="592" w:type="pct"/>
          </w:tcPr>
          <w:p w:rsidR="00000000" w:rsidRDefault="00000000">
            <w:pPr>
              <w:spacing w:before="60" w:after="60"/>
              <w:jc w:val="center"/>
              <w:rPr>
                <w:sz w:val="20"/>
                <w:lang w:val="es-MX"/>
              </w:rPr>
            </w:pPr>
            <w:r>
              <w:rPr>
                <w:sz w:val="20"/>
                <w:lang w:val="es-MX"/>
              </w:rPr>
              <w:t>6.08</w:t>
            </w:r>
          </w:p>
        </w:tc>
      </w:tr>
      <w:tr w:rsidR="00000000">
        <w:tblPrEx>
          <w:tblCellMar>
            <w:top w:w="0" w:type="dxa"/>
            <w:bottom w:w="0" w:type="dxa"/>
          </w:tblCellMar>
        </w:tblPrEx>
        <w:trPr>
          <w:jc w:val="center"/>
        </w:trPr>
        <w:tc>
          <w:tcPr>
            <w:tcW w:w="427" w:type="pct"/>
          </w:tcPr>
          <w:p w:rsidR="00000000" w:rsidRDefault="00000000">
            <w:pPr>
              <w:spacing w:before="60" w:after="60"/>
              <w:rPr>
                <w:sz w:val="20"/>
                <w:lang w:val="es-MX"/>
              </w:rPr>
            </w:pPr>
            <w:r>
              <w:rPr>
                <w:sz w:val="20"/>
                <w:lang w:val="es-MX"/>
              </w:rPr>
              <w:t>1997</w:t>
            </w:r>
          </w:p>
        </w:tc>
        <w:tc>
          <w:tcPr>
            <w:tcW w:w="624" w:type="pct"/>
          </w:tcPr>
          <w:p w:rsidR="00000000" w:rsidRDefault="00000000">
            <w:pPr>
              <w:tabs>
                <w:tab w:val="decimal" w:pos="826"/>
              </w:tabs>
              <w:spacing w:before="60" w:after="60"/>
              <w:jc w:val="center"/>
              <w:rPr>
                <w:sz w:val="20"/>
                <w:lang w:val="es-MX"/>
              </w:rPr>
            </w:pPr>
            <w:r>
              <w:rPr>
                <w:sz w:val="20"/>
                <w:lang w:val="es-MX"/>
              </w:rPr>
              <w:t>19 322 537</w:t>
            </w:r>
          </w:p>
        </w:tc>
        <w:tc>
          <w:tcPr>
            <w:tcW w:w="535" w:type="pct"/>
          </w:tcPr>
          <w:p w:rsidR="00000000" w:rsidRDefault="00000000">
            <w:pPr>
              <w:tabs>
                <w:tab w:val="decimal" w:pos="825"/>
              </w:tabs>
              <w:spacing w:before="60" w:after="60"/>
              <w:jc w:val="center"/>
              <w:rPr>
                <w:sz w:val="20"/>
                <w:lang w:val="es-MX"/>
              </w:rPr>
            </w:pPr>
            <w:r>
              <w:rPr>
                <w:sz w:val="20"/>
                <w:lang w:val="es-MX"/>
              </w:rPr>
              <w:t>9 896 024</w:t>
            </w:r>
          </w:p>
        </w:tc>
        <w:tc>
          <w:tcPr>
            <w:tcW w:w="513" w:type="pct"/>
          </w:tcPr>
          <w:p w:rsidR="00000000" w:rsidRDefault="00000000">
            <w:pPr>
              <w:tabs>
                <w:tab w:val="decimal" w:pos="735"/>
              </w:tabs>
              <w:spacing w:before="60" w:after="60"/>
              <w:jc w:val="center"/>
              <w:rPr>
                <w:sz w:val="20"/>
                <w:lang w:val="es-MX"/>
              </w:rPr>
            </w:pPr>
            <w:r>
              <w:rPr>
                <w:sz w:val="20"/>
                <w:lang w:val="es-MX"/>
              </w:rPr>
              <w:t>382 194</w:t>
            </w:r>
          </w:p>
        </w:tc>
        <w:tc>
          <w:tcPr>
            <w:tcW w:w="535" w:type="pct"/>
          </w:tcPr>
          <w:p w:rsidR="00000000" w:rsidRDefault="00000000">
            <w:pPr>
              <w:spacing w:before="60" w:after="60"/>
              <w:jc w:val="center"/>
              <w:rPr>
                <w:sz w:val="20"/>
                <w:lang w:val="es-MX"/>
              </w:rPr>
            </w:pPr>
            <w:r>
              <w:rPr>
                <w:sz w:val="20"/>
                <w:lang w:val="es-MX"/>
              </w:rPr>
              <w:t>1.98</w:t>
            </w:r>
          </w:p>
        </w:tc>
        <w:tc>
          <w:tcPr>
            <w:tcW w:w="519" w:type="pct"/>
          </w:tcPr>
          <w:p w:rsidR="00000000" w:rsidRDefault="00000000">
            <w:pPr>
              <w:spacing w:before="60" w:after="60"/>
              <w:jc w:val="center"/>
              <w:rPr>
                <w:sz w:val="20"/>
                <w:lang w:val="es-MX"/>
              </w:rPr>
            </w:pPr>
            <w:r>
              <w:rPr>
                <w:sz w:val="20"/>
                <w:lang w:val="es-MX"/>
              </w:rPr>
              <w:t>3.86</w:t>
            </w:r>
          </w:p>
        </w:tc>
        <w:tc>
          <w:tcPr>
            <w:tcW w:w="646" w:type="pct"/>
          </w:tcPr>
          <w:p w:rsidR="00000000" w:rsidRDefault="00000000">
            <w:pPr>
              <w:tabs>
                <w:tab w:val="decimal" w:pos="693"/>
              </w:tabs>
              <w:spacing w:before="60" w:after="60"/>
              <w:jc w:val="center"/>
              <w:rPr>
                <w:sz w:val="20"/>
                <w:lang w:val="es-MX"/>
              </w:rPr>
            </w:pPr>
            <w:r>
              <w:rPr>
                <w:sz w:val="20"/>
                <w:lang w:val="es-MX"/>
              </w:rPr>
              <w:t>307 110</w:t>
            </w:r>
          </w:p>
        </w:tc>
        <w:tc>
          <w:tcPr>
            <w:tcW w:w="609" w:type="pct"/>
          </w:tcPr>
          <w:p w:rsidR="00000000" w:rsidRDefault="00000000">
            <w:pPr>
              <w:spacing w:before="60" w:after="60"/>
              <w:jc w:val="center"/>
              <w:rPr>
                <w:sz w:val="20"/>
                <w:lang w:val="es-MX"/>
              </w:rPr>
            </w:pPr>
            <w:r>
              <w:rPr>
                <w:sz w:val="20"/>
                <w:lang w:val="es-MX"/>
              </w:rPr>
              <w:t>1.59</w:t>
            </w:r>
          </w:p>
        </w:tc>
        <w:tc>
          <w:tcPr>
            <w:tcW w:w="592" w:type="pct"/>
          </w:tcPr>
          <w:p w:rsidR="00000000" w:rsidRDefault="00000000">
            <w:pPr>
              <w:spacing w:before="60" w:after="60"/>
              <w:jc w:val="center"/>
              <w:rPr>
                <w:sz w:val="20"/>
                <w:lang w:val="es-MX"/>
              </w:rPr>
            </w:pPr>
            <w:r>
              <w:rPr>
                <w:sz w:val="20"/>
                <w:lang w:val="es-MX"/>
              </w:rPr>
              <w:t>3.10</w:t>
            </w:r>
          </w:p>
        </w:tc>
      </w:tr>
      <w:tr w:rsidR="00000000">
        <w:tblPrEx>
          <w:tblCellMar>
            <w:top w:w="0" w:type="dxa"/>
            <w:bottom w:w="0" w:type="dxa"/>
          </w:tblCellMar>
        </w:tblPrEx>
        <w:trPr>
          <w:jc w:val="center"/>
        </w:trPr>
        <w:tc>
          <w:tcPr>
            <w:tcW w:w="427" w:type="pct"/>
          </w:tcPr>
          <w:p w:rsidR="00000000" w:rsidRDefault="00000000">
            <w:pPr>
              <w:spacing w:before="60" w:after="60"/>
              <w:rPr>
                <w:sz w:val="20"/>
                <w:lang w:val="es-MX"/>
              </w:rPr>
            </w:pPr>
            <w:r>
              <w:rPr>
                <w:sz w:val="20"/>
                <w:lang w:val="es-MX"/>
              </w:rPr>
              <w:t>1998</w:t>
            </w:r>
          </w:p>
        </w:tc>
        <w:tc>
          <w:tcPr>
            <w:tcW w:w="624" w:type="pct"/>
          </w:tcPr>
          <w:p w:rsidR="00000000" w:rsidRDefault="00000000">
            <w:pPr>
              <w:tabs>
                <w:tab w:val="decimal" w:pos="826"/>
              </w:tabs>
              <w:spacing w:before="60" w:after="60"/>
              <w:jc w:val="center"/>
              <w:rPr>
                <w:sz w:val="20"/>
                <w:lang w:val="es-MX"/>
              </w:rPr>
            </w:pPr>
            <w:r>
              <w:rPr>
                <w:sz w:val="20"/>
                <w:lang w:val="es-MX"/>
              </w:rPr>
              <w:t>21 580 611</w:t>
            </w:r>
          </w:p>
        </w:tc>
        <w:tc>
          <w:tcPr>
            <w:tcW w:w="535" w:type="pct"/>
          </w:tcPr>
          <w:p w:rsidR="00000000" w:rsidRDefault="00000000">
            <w:pPr>
              <w:tabs>
                <w:tab w:val="decimal" w:pos="825"/>
              </w:tabs>
              <w:spacing w:before="60" w:after="60"/>
              <w:jc w:val="center"/>
              <w:rPr>
                <w:sz w:val="20"/>
                <w:lang w:val="es-MX"/>
              </w:rPr>
            </w:pPr>
            <w:r>
              <w:rPr>
                <w:sz w:val="20"/>
                <w:lang w:val="es-MX"/>
              </w:rPr>
              <w:t>11 077 222</w:t>
            </w:r>
          </w:p>
        </w:tc>
        <w:tc>
          <w:tcPr>
            <w:tcW w:w="513" w:type="pct"/>
          </w:tcPr>
          <w:p w:rsidR="00000000" w:rsidRDefault="00000000">
            <w:pPr>
              <w:tabs>
                <w:tab w:val="decimal" w:pos="735"/>
              </w:tabs>
              <w:spacing w:before="60" w:after="60"/>
              <w:jc w:val="center"/>
              <w:rPr>
                <w:sz w:val="20"/>
                <w:lang w:val="es-MX"/>
              </w:rPr>
            </w:pPr>
            <w:r>
              <w:rPr>
                <w:sz w:val="20"/>
                <w:lang w:val="es-MX"/>
              </w:rPr>
              <w:t>439 704</w:t>
            </w:r>
          </w:p>
        </w:tc>
        <w:tc>
          <w:tcPr>
            <w:tcW w:w="535" w:type="pct"/>
          </w:tcPr>
          <w:p w:rsidR="00000000" w:rsidRDefault="00000000">
            <w:pPr>
              <w:spacing w:before="60" w:after="60"/>
              <w:jc w:val="center"/>
              <w:rPr>
                <w:sz w:val="20"/>
                <w:lang w:val="es-MX"/>
              </w:rPr>
            </w:pPr>
            <w:r>
              <w:rPr>
                <w:sz w:val="20"/>
                <w:lang w:val="es-MX"/>
              </w:rPr>
              <w:t>2.04</w:t>
            </w:r>
          </w:p>
        </w:tc>
        <w:tc>
          <w:tcPr>
            <w:tcW w:w="519" w:type="pct"/>
          </w:tcPr>
          <w:p w:rsidR="00000000" w:rsidRDefault="00000000">
            <w:pPr>
              <w:spacing w:before="60" w:after="60"/>
              <w:jc w:val="center"/>
              <w:rPr>
                <w:sz w:val="20"/>
                <w:lang w:val="es-MX"/>
              </w:rPr>
            </w:pPr>
            <w:r>
              <w:rPr>
                <w:sz w:val="20"/>
                <w:lang w:val="es-MX"/>
              </w:rPr>
              <w:t>3.97</w:t>
            </w:r>
          </w:p>
        </w:tc>
        <w:tc>
          <w:tcPr>
            <w:tcW w:w="646" w:type="pct"/>
          </w:tcPr>
          <w:p w:rsidR="00000000" w:rsidRDefault="00000000">
            <w:pPr>
              <w:tabs>
                <w:tab w:val="decimal" w:pos="693"/>
              </w:tabs>
              <w:spacing w:before="60" w:after="60"/>
              <w:jc w:val="center"/>
              <w:rPr>
                <w:sz w:val="20"/>
                <w:lang w:val="es-MX"/>
              </w:rPr>
            </w:pPr>
            <w:r>
              <w:rPr>
                <w:sz w:val="20"/>
                <w:lang w:val="es-MX"/>
              </w:rPr>
              <w:t>392 650</w:t>
            </w:r>
          </w:p>
        </w:tc>
        <w:tc>
          <w:tcPr>
            <w:tcW w:w="609" w:type="pct"/>
          </w:tcPr>
          <w:p w:rsidR="00000000" w:rsidRDefault="00000000">
            <w:pPr>
              <w:spacing w:before="60" w:after="60"/>
              <w:jc w:val="center"/>
              <w:rPr>
                <w:sz w:val="20"/>
                <w:lang w:val="es-MX"/>
              </w:rPr>
            </w:pPr>
            <w:r>
              <w:rPr>
                <w:sz w:val="20"/>
                <w:lang w:val="es-MX"/>
              </w:rPr>
              <w:t>1.82</w:t>
            </w:r>
          </w:p>
        </w:tc>
        <w:tc>
          <w:tcPr>
            <w:tcW w:w="592" w:type="pct"/>
          </w:tcPr>
          <w:p w:rsidR="00000000" w:rsidRDefault="00000000">
            <w:pPr>
              <w:spacing w:before="60" w:after="60"/>
              <w:jc w:val="center"/>
              <w:rPr>
                <w:sz w:val="20"/>
                <w:lang w:val="es-MX"/>
              </w:rPr>
            </w:pPr>
            <w:r>
              <w:rPr>
                <w:sz w:val="20"/>
                <w:lang w:val="es-MX"/>
              </w:rPr>
              <w:t>3.54</w:t>
            </w:r>
          </w:p>
        </w:tc>
      </w:tr>
      <w:tr w:rsidR="00000000">
        <w:tblPrEx>
          <w:tblCellMar>
            <w:top w:w="0" w:type="dxa"/>
            <w:bottom w:w="0" w:type="dxa"/>
          </w:tblCellMar>
        </w:tblPrEx>
        <w:trPr>
          <w:jc w:val="center"/>
        </w:trPr>
        <w:tc>
          <w:tcPr>
            <w:tcW w:w="427" w:type="pct"/>
          </w:tcPr>
          <w:p w:rsidR="00000000" w:rsidRDefault="00000000">
            <w:pPr>
              <w:spacing w:before="60" w:after="60"/>
              <w:rPr>
                <w:sz w:val="20"/>
                <w:lang w:val="es-MX"/>
              </w:rPr>
            </w:pPr>
            <w:r>
              <w:rPr>
                <w:sz w:val="20"/>
                <w:lang w:val="es-MX"/>
              </w:rPr>
              <w:t>1999</w:t>
            </w:r>
          </w:p>
        </w:tc>
        <w:tc>
          <w:tcPr>
            <w:tcW w:w="624" w:type="pct"/>
          </w:tcPr>
          <w:p w:rsidR="00000000" w:rsidRDefault="00000000">
            <w:pPr>
              <w:tabs>
                <w:tab w:val="decimal" w:pos="826"/>
              </w:tabs>
              <w:spacing w:before="60" w:after="60"/>
              <w:jc w:val="center"/>
              <w:rPr>
                <w:sz w:val="20"/>
                <w:lang w:val="es-MX"/>
              </w:rPr>
            </w:pPr>
            <w:r>
              <w:rPr>
                <w:sz w:val="20"/>
                <w:lang w:val="es-MX"/>
              </w:rPr>
              <w:t>22 771 596</w:t>
            </w:r>
          </w:p>
        </w:tc>
        <w:tc>
          <w:tcPr>
            <w:tcW w:w="535" w:type="pct"/>
          </w:tcPr>
          <w:p w:rsidR="00000000" w:rsidRDefault="00000000">
            <w:pPr>
              <w:tabs>
                <w:tab w:val="decimal" w:pos="825"/>
              </w:tabs>
              <w:spacing w:before="60" w:after="60"/>
              <w:jc w:val="center"/>
              <w:rPr>
                <w:sz w:val="20"/>
                <w:lang w:val="es-MX"/>
              </w:rPr>
            </w:pPr>
            <w:r>
              <w:rPr>
                <w:sz w:val="20"/>
                <w:lang w:val="es-MX"/>
              </w:rPr>
              <w:t>12 255 602</w:t>
            </w:r>
          </w:p>
        </w:tc>
        <w:tc>
          <w:tcPr>
            <w:tcW w:w="513" w:type="pct"/>
          </w:tcPr>
          <w:p w:rsidR="00000000" w:rsidRDefault="00000000">
            <w:pPr>
              <w:tabs>
                <w:tab w:val="decimal" w:pos="735"/>
              </w:tabs>
              <w:spacing w:before="60" w:after="60"/>
              <w:jc w:val="center"/>
              <w:rPr>
                <w:sz w:val="20"/>
                <w:lang w:val="es-MX"/>
              </w:rPr>
            </w:pPr>
            <w:r>
              <w:rPr>
                <w:sz w:val="20"/>
                <w:lang w:val="es-MX"/>
              </w:rPr>
              <w:t>577 641</w:t>
            </w:r>
          </w:p>
        </w:tc>
        <w:tc>
          <w:tcPr>
            <w:tcW w:w="535" w:type="pct"/>
          </w:tcPr>
          <w:p w:rsidR="00000000" w:rsidRDefault="00000000">
            <w:pPr>
              <w:spacing w:before="60" w:after="60"/>
              <w:jc w:val="center"/>
              <w:rPr>
                <w:sz w:val="20"/>
                <w:lang w:val="es-MX"/>
              </w:rPr>
            </w:pPr>
            <w:r>
              <w:rPr>
                <w:sz w:val="20"/>
                <w:lang w:val="es-MX"/>
              </w:rPr>
              <w:t>2.54</w:t>
            </w:r>
          </w:p>
        </w:tc>
        <w:tc>
          <w:tcPr>
            <w:tcW w:w="519" w:type="pct"/>
          </w:tcPr>
          <w:p w:rsidR="00000000" w:rsidRDefault="00000000">
            <w:pPr>
              <w:spacing w:before="60" w:after="60"/>
              <w:jc w:val="center"/>
              <w:rPr>
                <w:sz w:val="20"/>
                <w:lang w:val="es-MX"/>
              </w:rPr>
            </w:pPr>
            <w:r>
              <w:rPr>
                <w:sz w:val="20"/>
                <w:lang w:val="es-MX"/>
              </w:rPr>
              <w:t>4.71</w:t>
            </w:r>
          </w:p>
        </w:tc>
        <w:tc>
          <w:tcPr>
            <w:tcW w:w="646" w:type="pct"/>
          </w:tcPr>
          <w:p w:rsidR="00000000" w:rsidRDefault="00000000">
            <w:pPr>
              <w:tabs>
                <w:tab w:val="decimal" w:pos="693"/>
              </w:tabs>
              <w:spacing w:before="60" w:after="60"/>
              <w:jc w:val="center"/>
              <w:rPr>
                <w:sz w:val="20"/>
                <w:lang w:val="es-MX"/>
              </w:rPr>
            </w:pPr>
            <w:r>
              <w:rPr>
                <w:sz w:val="20"/>
                <w:lang w:val="es-MX"/>
              </w:rPr>
              <w:t>492 152</w:t>
            </w:r>
          </w:p>
        </w:tc>
        <w:tc>
          <w:tcPr>
            <w:tcW w:w="609" w:type="pct"/>
          </w:tcPr>
          <w:p w:rsidR="00000000" w:rsidRDefault="00000000">
            <w:pPr>
              <w:spacing w:before="60" w:after="60"/>
              <w:jc w:val="center"/>
              <w:rPr>
                <w:sz w:val="20"/>
                <w:lang w:val="es-MX"/>
              </w:rPr>
            </w:pPr>
            <w:r>
              <w:rPr>
                <w:sz w:val="20"/>
                <w:lang w:val="es-MX"/>
              </w:rPr>
              <w:t>2.16</w:t>
            </w:r>
          </w:p>
        </w:tc>
        <w:tc>
          <w:tcPr>
            <w:tcW w:w="592" w:type="pct"/>
          </w:tcPr>
          <w:p w:rsidR="00000000" w:rsidRDefault="00000000">
            <w:pPr>
              <w:spacing w:before="60" w:after="60"/>
              <w:jc w:val="center"/>
              <w:rPr>
                <w:sz w:val="20"/>
                <w:lang w:val="es-MX"/>
              </w:rPr>
            </w:pPr>
            <w:r>
              <w:rPr>
                <w:sz w:val="20"/>
                <w:lang w:val="es-MX"/>
              </w:rPr>
              <w:t>4.02</w:t>
            </w:r>
          </w:p>
        </w:tc>
      </w:tr>
      <w:tr w:rsidR="00000000">
        <w:tblPrEx>
          <w:tblCellMar>
            <w:top w:w="0" w:type="dxa"/>
            <w:bottom w:w="0" w:type="dxa"/>
          </w:tblCellMar>
        </w:tblPrEx>
        <w:trPr>
          <w:jc w:val="center"/>
        </w:trPr>
        <w:tc>
          <w:tcPr>
            <w:tcW w:w="427" w:type="pct"/>
          </w:tcPr>
          <w:p w:rsidR="00000000" w:rsidRDefault="00000000">
            <w:pPr>
              <w:spacing w:before="60" w:after="60"/>
              <w:rPr>
                <w:sz w:val="20"/>
                <w:lang w:val="es-MX"/>
              </w:rPr>
            </w:pPr>
            <w:r>
              <w:rPr>
                <w:sz w:val="20"/>
                <w:lang w:val="es-MX"/>
              </w:rPr>
              <w:t>2000</w:t>
            </w:r>
          </w:p>
        </w:tc>
        <w:tc>
          <w:tcPr>
            <w:tcW w:w="624" w:type="pct"/>
          </w:tcPr>
          <w:p w:rsidR="00000000" w:rsidRDefault="00000000">
            <w:pPr>
              <w:tabs>
                <w:tab w:val="decimal" w:pos="826"/>
              </w:tabs>
              <w:spacing w:before="60" w:after="60"/>
              <w:jc w:val="center"/>
              <w:rPr>
                <w:sz w:val="20"/>
                <w:lang w:val="es-MX"/>
              </w:rPr>
            </w:pPr>
            <w:r>
              <w:rPr>
                <w:sz w:val="20"/>
                <w:lang w:val="es-MX"/>
              </w:rPr>
              <w:t>24 736 536</w:t>
            </w:r>
          </w:p>
        </w:tc>
        <w:tc>
          <w:tcPr>
            <w:tcW w:w="535" w:type="pct"/>
          </w:tcPr>
          <w:p w:rsidR="00000000" w:rsidRDefault="00000000">
            <w:pPr>
              <w:tabs>
                <w:tab w:val="decimal" w:pos="825"/>
              </w:tabs>
              <w:spacing w:before="60" w:after="60"/>
              <w:jc w:val="center"/>
              <w:rPr>
                <w:sz w:val="20"/>
                <w:lang w:val="es-MX"/>
              </w:rPr>
            </w:pPr>
            <w:r>
              <w:rPr>
                <w:sz w:val="20"/>
                <w:lang w:val="es-MX"/>
              </w:rPr>
              <w:t>13 128 124</w:t>
            </w:r>
          </w:p>
        </w:tc>
        <w:tc>
          <w:tcPr>
            <w:tcW w:w="513" w:type="pct"/>
          </w:tcPr>
          <w:p w:rsidR="00000000" w:rsidRDefault="00000000">
            <w:pPr>
              <w:tabs>
                <w:tab w:val="decimal" w:pos="735"/>
              </w:tabs>
              <w:spacing w:before="60" w:after="60"/>
              <w:jc w:val="center"/>
              <w:rPr>
                <w:sz w:val="20"/>
                <w:lang w:val="es-MX"/>
              </w:rPr>
            </w:pPr>
            <w:r>
              <w:rPr>
                <w:sz w:val="20"/>
                <w:lang w:val="es-MX"/>
              </w:rPr>
              <w:t>620 619</w:t>
            </w:r>
          </w:p>
        </w:tc>
        <w:tc>
          <w:tcPr>
            <w:tcW w:w="535" w:type="pct"/>
          </w:tcPr>
          <w:p w:rsidR="00000000" w:rsidRDefault="00000000">
            <w:pPr>
              <w:spacing w:before="60" w:after="60"/>
              <w:jc w:val="center"/>
              <w:rPr>
                <w:sz w:val="20"/>
                <w:lang w:val="es-MX"/>
              </w:rPr>
            </w:pPr>
            <w:r>
              <w:rPr>
                <w:sz w:val="20"/>
                <w:lang w:val="es-MX"/>
              </w:rPr>
              <w:t>2.51</w:t>
            </w:r>
          </w:p>
        </w:tc>
        <w:tc>
          <w:tcPr>
            <w:tcW w:w="519" w:type="pct"/>
          </w:tcPr>
          <w:p w:rsidR="00000000" w:rsidRDefault="00000000">
            <w:pPr>
              <w:spacing w:before="60" w:after="60"/>
              <w:jc w:val="center"/>
              <w:rPr>
                <w:sz w:val="20"/>
                <w:lang w:val="es-MX"/>
              </w:rPr>
            </w:pPr>
            <w:r>
              <w:rPr>
                <w:sz w:val="20"/>
                <w:lang w:val="es-MX"/>
              </w:rPr>
              <w:t>4.73</w:t>
            </w:r>
          </w:p>
        </w:tc>
        <w:tc>
          <w:tcPr>
            <w:tcW w:w="646" w:type="pct"/>
          </w:tcPr>
          <w:p w:rsidR="00000000" w:rsidRDefault="00000000">
            <w:pPr>
              <w:tabs>
                <w:tab w:val="decimal" w:pos="693"/>
              </w:tabs>
              <w:spacing w:before="60" w:after="60"/>
              <w:jc w:val="center"/>
              <w:rPr>
                <w:sz w:val="20"/>
                <w:lang w:val="es-MX"/>
              </w:rPr>
            </w:pPr>
            <w:r>
              <w:rPr>
                <w:sz w:val="20"/>
                <w:lang w:val="es-MX"/>
              </w:rPr>
              <w:t>335 896</w:t>
            </w:r>
          </w:p>
        </w:tc>
        <w:tc>
          <w:tcPr>
            <w:tcW w:w="609" w:type="pct"/>
          </w:tcPr>
          <w:p w:rsidR="00000000" w:rsidRDefault="00000000">
            <w:pPr>
              <w:spacing w:before="60" w:after="60"/>
              <w:jc w:val="center"/>
              <w:rPr>
                <w:sz w:val="20"/>
                <w:lang w:val="es-MX"/>
              </w:rPr>
            </w:pPr>
            <w:r>
              <w:rPr>
                <w:sz w:val="20"/>
                <w:lang w:val="es-MX"/>
              </w:rPr>
              <w:t>1.36</w:t>
            </w:r>
          </w:p>
        </w:tc>
        <w:tc>
          <w:tcPr>
            <w:tcW w:w="592" w:type="pct"/>
          </w:tcPr>
          <w:p w:rsidR="00000000" w:rsidRDefault="00000000">
            <w:pPr>
              <w:spacing w:before="60" w:after="60"/>
              <w:jc w:val="center"/>
              <w:rPr>
                <w:sz w:val="20"/>
                <w:lang w:val="es-MX"/>
              </w:rPr>
            </w:pPr>
            <w:r>
              <w:rPr>
                <w:sz w:val="20"/>
                <w:lang w:val="es-MX"/>
              </w:rPr>
              <w:t>2.56</w:t>
            </w:r>
          </w:p>
        </w:tc>
      </w:tr>
      <w:tr w:rsidR="00000000">
        <w:tblPrEx>
          <w:tblCellMar>
            <w:top w:w="0" w:type="dxa"/>
            <w:bottom w:w="0" w:type="dxa"/>
          </w:tblCellMar>
        </w:tblPrEx>
        <w:trPr>
          <w:jc w:val="center"/>
        </w:trPr>
        <w:tc>
          <w:tcPr>
            <w:tcW w:w="427" w:type="pct"/>
          </w:tcPr>
          <w:p w:rsidR="00000000" w:rsidRDefault="00000000">
            <w:pPr>
              <w:spacing w:before="60" w:after="60"/>
              <w:rPr>
                <w:sz w:val="20"/>
                <w:lang w:val="es-MX"/>
              </w:rPr>
            </w:pPr>
            <w:r>
              <w:rPr>
                <w:sz w:val="20"/>
                <w:lang w:val="es-MX"/>
              </w:rPr>
              <w:t>2001</w:t>
            </w:r>
          </w:p>
        </w:tc>
        <w:tc>
          <w:tcPr>
            <w:tcW w:w="624" w:type="pct"/>
          </w:tcPr>
          <w:p w:rsidR="00000000" w:rsidRDefault="00000000">
            <w:pPr>
              <w:tabs>
                <w:tab w:val="decimal" w:pos="826"/>
              </w:tabs>
              <w:spacing w:before="60" w:after="60"/>
              <w:jc w:val="center"/>
              <w:rPr>
                <w:sz w:val="20"/>
                <w:lang w:val="es-MX"/>
              </w:rPr>
            </w:pPr>
            <w:r>
              <w:rPr>
                <w:sz w:val="20"/>
                <w:lang w:val="es-MX"/>
              </w:rPr>
              <w:t>26 465 663</w:t>
            </w:r>
          </w:p>
        </w:tc>
        <w:tc>
          <w:tcPr>
            <w:tcW w:w="535" w:type="pct"/>
          </w:tcPr>
          <w:p w:rsidR="00000000" w:rsidRDefault="00000000">
            <w:pPr>
              <w:tabs>
                <w:tab w:val="decimal" w:pos="825"/>
              </w:tabs>
              <w:spacing w:before="60" w:after="60"/>
              <w:jc w:val="center"/>
              <w:rPr>
                <w:sz w:val="20"/>
                <w:lang w:val="es-MX"/>
              </w:rPr>
            </w:pPr>
            <w:r>
              <w:rPr>
                <w:sz w:val="20"/>
                <w:lang w:val="es-MX"/>
              </w:rPr>
              <w:t>15 357 915</w:t>
            </w:r>
          </w:p>
        </w:tc>
        <w:tc>
          <w:tcPr>
            <w:tcW w:w="513" w:type="pct"/>
          </w:tcPr>
          <w:p w:rsidR="00000000" w:rsidRDefault="00000000">
            <w:pPr>
              <w:tabs>
                <w:tab w:val="decimal" w:pos="735"/>
              </w:tabs>
              <w:spacing w:before="60" w:after="60"/>
              <w:jc w:val="center"/>
              <w:rPr>
                <w:sz w:val="20"/>
                <w:lang w:val="es-MX"/>
              </w:rPr>
            </w:pPr>
            <w:r>
              <w:rPr>
                <w:sz w:val="20"/>
                <w:lang w:val="es-MX"/>
              </w:rPr>
              <w:t>636 141</w:t>
            </w:r>
          </w:p>
        </w:tc>
        <w:tc>
          <w:tcPr>
            <w:tcW w:w="535" w:type="pct"/>
          </w:tcPr>
          <w:p w:rsidR="00000000" w:rsidRDefault="00000000">
            <w:pPr>
              <w:spacing w:before="60" w:after="60"/>
              <w:jc w:val="center"/>
              <w:rPr>
                <w:sz w:val="20"/>
                <w:lang w:val="es-MX"/>
              </w:rPr>
            </w:pPr>
            <w:r>
              <w:rPr>
                <w:sz w:val="20"/>
                <w:lang w:val="es-MX"/>
              </w:rPr>
              <w:t>2.40</w:t>
            </w:r>
          </w:p>
        </w:tc>
        <w:tc>
          <w:tcPr>
            <w:tcW w:w="519" w:type="pct"/>
          </w:tcPr>
          <w:p w:rsidR="00000000" w:rsidRDefault="00000000">
            <w:pPr>
              <w:spacing w:before="60" w:after="60"/>
              <w:jc w:val="center"/>
              <w:rPr>
                <w:sz w:val="20"/>
                <w:lang w:val="es-MX"/>
              </w:rPr>
            </w:pPr>
            <w:r>
              <w:rPr>
                <w:sz w:val="20"/>
                <w:lang w:val="es-MX"/>
              </w:rPr>
              <w:t>4.14</w:t>
            </w:r>
          </w:p>
        </w:tc>
        <w:tc>
          <w:tcPr>
            <w:tcW w:w="646" w:type="pct"/>
          </w:tcPr>
          <w:p w:rsidR="00000000" w:rsidRDefault="00000000">
            <w:pPr>
              <w:tabs>
                <w:tab w:val="decimal" w:pos="693"/>
              </w:tabs>
              <w:spacing w:before="60" w:after="60"/>
              <w:jc w:val="center"/>
              <w:rPr>
                <w:sz w:val="20"/>
                <w:lang w:val="es-MX"/>
              </w:rPr>
            </w:pPr>
            <w:r>
              <w:rPr>
                <w:sz w:val="20"/>
                <w:lang w:val="es-MX"/>
              </w:rPr>
              <w:t>349 103</w:t>
            </w:r>
          </w:p>
        </w:tc>
        <w:tc>
          <w:tcPr>
            <w:tcW w:w="609" w:type="pct"/>
          </w:tcPr>
          <w:p w:rsidR="00000000" w:rsidRDefault="00000000">
            <w:pPr>
              <w:spacing w:before="60" w:after="60"/>
              <w:jc w:val="center"/>
              <w:rPr>
                <w:sz w:val="20"/>
                <w:lang w:val="es-MX"/>
              </w:rPr>
            </w:pPr>
            <w:r>
              <w:rPr>
                <w:sz w:val="20"/>
                <w:lang w:val="es-MX"/>
              </w:rPr>
              <w:t>1.32</w:t>
            </w:r>
          </w:p>
        </w:tc>
        <w:tc>
          <w:tcPr>
            <w:tcW w:w="592" w:type="pct"/>
          </w:tcPr>
          <w:p w:rsidR="00000000" w:rsidRDefault="00000000">
            <w:pPr>
              <w:spacing w:before="60" w:after="60"/>
              <w:jc w:val="center"/>
              <w:rPr>
                <w:sz w:val="20"/>
                <w:lang w:val="es-MX"/>
              </w:rPr>
            </w:pPr>
            <w:r>
              <w:rPr>
                <w:sz w:val="20"/>
                <w:lang w:val="es-MX"/>
              </w:rPr>
              <w:t>2.27</w:t>
            </w:r>
          </w:p>
        </w:tc>
      </w:tr>
      <w:tr w:rsidR="00000000">
        <w:tblPrEx>
          <w:tblCellMar>
            <w:top w:w="0" w:type="dxa"/>
            <w:bottom w:w="0" w:type="dxa"/>
          </w:tblCellMar>
        </w:tblPrEx>
        <w:trPr>
          <w:jc w:val="center"/>
        </w:trPr>
        <w:tc>
          <w:tcPr>
            <w:tcW w:w="427" w:type="pct"/>
          </w:tcPr>
          <w:p w:rsidR="00000000" w:rsidRDefault="00000000">
            <w:pPr>
              <w:spacing w:before="60" w:after="60"/>
              <w:rPr>
                <w:sz w:val="20"/>
                <w:lang w:val="es-MX"/>
              </w:rPr>
            </w:pPr>
            <w:r>
              <w:rPr>
                <w:sz w:val="20"/>
                <w:lang w:val="es-MX"/>
              </w:rPr>
              <w:t>2002</w:t>
            </w:r>
          </w:p>
        </w:tc>
        <w:tc>
          <w:tcPr>
            <w:tcW w:w="624" w:type="pct"/>
          </w:tcPr>
          <w:p w:rsidR="00000000" w:rsidRDefault="00000000">
            <w:pPr>
              <w:tabs>
                <w:tab w:val="decimal" w:pos="826"/>
              </w:tabs>
              <w:spacing w:before="60" w:after="60"/>
              <w:jc w:val="center"/>
              <w:rPr>
                <w:sz w:val="20"/>
                <w:lang w:val="es-MX"/>
              </w:rPr>
            </w:pPr>
            <w:r>
              <w:rPr>
                <w:sz w:val="20"/>
                <w:lang w:val="es-MX"/>
              </w:rPr>
              <w:t>29 104 530</w:t>
            </w:r>
          </w:p>
        </w:tc>
        <w:tc>
          <w:tcPr>
            <w:tcW w:w="535" w:type="pct"/>
          </w:tcPr>
          <w:p w:rsidR="00000000" w:rsidRDefault="00000000">
            <w:pPr>
              <w:tabs>
                <w:tab w:val="decimal" w:pos="825"/>
              </w:tabs>
              <w:spacing w:before="60" w:after="60"/>
              <w:jc w:val="center"/>
              <w:rPr>
                <w:sz w:val="20"/>
                <w:lang w:val="es-MX"/>
              </w:rPr>
            </w:pPr>
            <w:r>
              <w:rPr>
                <w:sz w:val="20"/>
                <w:lang w:val="es-MX"/>
              </w:rPr>
              <w:t>15 306 971</w:t>
            </w:r>
          </w:p>
        </w:tc>
        <w:tc>
          <w:tcPr>
            <w:tcW w:w="513" w:type="pct"/>
          </w:tcPr>
          <w:p w:rsidR="00000000" w:rsidRDefault="00000000">
            <w:pPr>
              <w:tabs>
                <w:tab w:val="decimal" w:pos="735"/>
              </w:tabs>
              <w:spacing w:before="60" w:after="60"/>
              <w:jc w:val="center"/>
              <w:rPr>
                <w:sz w:val="20"/>
                <w:lang w:val="es-MX"/>
              </w:rPr>
            </w:pPr>
            <w:r>
              <w:rPr>
                <w:sz w:val="20"/>
                <w:lang w:val="es-MX"/>
              </w:rPr>
              <w:t>1 084 155</w:t>
            </w:r>
          </w:p>
        </w:tc>
        <w:tc>
          <w:tcPr>
            <w:tcW w:w="535" w:type="pct"/>
          </w:tcPr>
          <w:p w:rsidR="00000000" w:rsidRDefault="00000000">
            <w:pPr>
              <w:spacing w:before="60" w:after="60"/>
              <w:jc w:val="center"/>
              <w:rPr>
                <w:sz w:val="20"/>
                <w:lang w:val="es-MX"/>
              </w:rPr>
            </w:pPr>
            <w:r>
              <w:rPr>
                <w:sz w:val="20"/>
                <w:lang w:val="es-MX"/>
              </w:rPr>
              <w:t>3.73</w:t>
            </w:r>
          </w:p>
        </w:tc>
        <w:tc>
          <w:tcPr>
            <w:tcW w:w="519" w:type="pct"/>
          </w:tcPr>
          <w:p w:rsidR="00000000" w:rsidRDefault="00000000">
            <w:pPr>
              <w:spacing w:before="60" w:after="60"/>
              <w:jc w:val="center"/>
              <w:rPr>
                <w:sz w:val="20"/>
                <w:lang w:val="es-MX"/>
              </w:rPr>
            </w:pPr>
            <w:r>
              <w:rPr>
                <w:sz w:val="20"/>
                <w:lang w:val="es-MX"/>
              </w:rPr>
              <w:t>7.08</w:t>
            </w:r>
          </w:p>
        </w:tc>
        <w:tc>
          <w:tcPr>
            <w:tcW w:w="646" w:type="pct"/>
          </w:tcPr>
          <w:p w:rsidR="00000000" w:rsidRDefault="00000000">
            <w:pPr>
              <w:tabs>
                <w:tab w:val="decimal" w:pos="693"/>
              </w:tabs>
              <w:spacing w:before="60" w:after="60"/>
              <w:jc w:val="center"/>
              <w:rPr>
                <w:sz w:val="20"/>
                <w:lang w:val="es-MX"/>
              </w:rPr>
            </w:pPr>
            <w:r>
              <w:rPr>
                <w:sz w:val="20"/>
                <w:lang w:val="es-MX"/>
              </w:rPr>
              <w:t>329 887</w:t>
            </w:r>
          </w:p>
        </w:tc>
        <w:tc>
          <w:tcPr>
            <w:tcW w:w="609" w:type="pct"/>
          </w:tcPr>
          <w:p w:rsidR="00000000" w:rsidRDefault="00000000">
            <w:pPr>
              <w:spacing w:before="60" w:after="60"/>
              <w:jc w:val="center"/>
              <w:rPr>
                <w:sz w:val="20"/>
                <w:lang w:val="es-MX"/>
              </w:rPr>
            </w:pPr>
            <w:r>
              <w:rPr>
                <w:sz w:val="20"/>
                <w:lang w:val="es-MX"/>
              </w:rPr>
              <w:t>1.13</w:t>
            </w:r>
          </w:p>
        </w:tc>
        <w:tc>
          <w:tcPr>
            <w:tcW w:w="592" w:type="pct"/>
          </w:tcPr>
          <w:p w:rsidR="00000000" w:rsidRDefault="00000000">
            <w:pPr>
              <w:spacing w:before="60" w:after="60"/>
              <w:jc w:val="center"/>
              <w:rPr>
                <w:sz w:val="20"/>
                <w:lang w:val="es-MX"/>
              </w:rPr>
            </w:pPr>
            <w:r>
              <w:rPr>
                <w:sz w:val="20"/>
                <w:lang w:val="es-MX"/>
              </w:rPr>
              <w:t>2.16</w:t>
            </w:r>
          </w:p>
        </w:tc>
      </w:tr>
      <w:tr w:rsidR="00000000">
        <w:tblPrEx>
          <w:tblCellMar>
            <w:top w:w="0" w:type="dxa"/>
            <w:bottom w:w="0" w:type="dxa"/>
          </w:tblCellMar>
        </w:tblPrEx>
        <w:trPr>
          <w:jc w:val="center"/>
        </w:trPr>
        <w:tc>
          <w:tcPr>
            <w:tcW w:w="427" w:type="pct"/>
          </w:tcPr>
          <w:p w:rsidR="00000000" w:rsidRDefault="00000000">
            <w:pPr>
              <w:spacing w:before="60" w:after="60"/>
              <w:rPr>
                <w:sz w:val="20"/>
                <w:lang w:val="es-MX"/>
              </w:rPr>
            </w:pPr>
            <w:r>
              <w:rPr>
                <w:sz w:val="20"/>
                <w:lang w:val="es-MX"/>
              </w:rPr>
              <w:t>2003</w:t>
            </w:r>
          </w:p>
        </w:tc>
        <w:tc>
          <w:tcPr>
            <w:tcW w:w="624" w:type="pct"/>
          </w:tcPr>
          <w:p w:rsidR="00000000" w:rsidRDefault="00000000">
            <w:pPr>
              <w:tabs>
                <w:tab w:val="decimal" w:pos="826"/>
              </w:tabs>
              <w:spacing w:before="60" w:after="60"/>
              <w:jc w:val="center"/>
              <w:rPr>
                <w:sz w:val="20"/>
                <w:lang w:val="es-MX"/>
              </w:rPr>
            </w:pPr>
            <w:r>
              <w:rPr>
                <w:sz w:val="20"/>
                <w:lang w:val="es-MX"/>
              </w:rPr>
              <w:t>35 713 137</w:t>
            </w:r>
          </w:p>
        </w:tc>
        <w:tc>
          <w:tcPr>
            <w:tcW w:w="535" w:type="pct"/>
          </w:tcPr>
          <w:p w:rsidR="00000000" w:rsidRDefault="00000000">
            <w:pPr>
              <w:tabs>
                <w:tab w:val="decimal" w:pos="825"/>
              </w:tabs>
              <w:spacing w:before="60" w:after="60"/>
              <w:jc w:val="center"/>
              <w:rPr>
                <w:sz w:val="20"/>
                <w:lang w:val="es-MX"/>
              </w:rPr>
            </w:pPr>
            <w:r>
              <w:rPr>
                <w:sz w:val="20"/>
                <w:lang w:val="es-MX"/>
              </w:rPr>
              <w:t>18 246 180</w:t>
            </w:r>
          </w:p>
        </w:tc>
        <w:tc>
          <w:tcPr>
            <w:tcW w:w="513" w:type="pct"/>
          </w:tcPr>
          <w:p w:rsidR="00000000" w:rsidRDefault="00000000">
            <w:pPr>
              <w:tabs>
                <w:tab w:val="decimal" w:pos="735"/>
              </w:tabs>
              <w:spacing w:before="60" w:after="60"/>
              <w:jc w:val="center"/>
              <w:rPr>
                <w:sz w:val="20"/>
                <w:lang w:val="es-MX"/>
              </w:rPr>
            </w:pPr>
            <w:r>
              <w:rPr>
                <w:sz w:val="20"/>
                <w:lang w:val="es-MX"/>
              </w:rPr>
              <w:t>842 417</w:t>
            </w:r>
          </w:p>
        </w:tc>
        <w:tc>
          <w:tcPr>
            <w:tcW w:w="535" w:type="pct"/>
          </w:tcPr>
          <w:p w:rsidR="00000000" w:rsidRDefault="00000000">
            <w:pPr>
              <w:spacing w:before="60" w:after="60"/>
              <w:jc w:val="center"/>
              <w:rPr>
                <w:sz w:val="20"/>
                <w:lang w:val="es-MX"/>
              </w:rPr>
            </w:pPr>
            <w:r>
              <w:rPr>
                <w:sz w:val="20"/>
                <w:lang w:val="es-MX"/>
              </w:rPr>
              <w:t>2.36</w:t>
            </w:r>
          </w:p>
        </w:tc>
        <w:tc>
          <w:tcPr>
            <w:tcW w:w="519" w:type="pct"/>
          </w:tcPr>
          <w:p w:rsidR="00000000" w:rsidRDefault="00000000">
            <w:pPr>
              <w:spacing w:before="60" w:after="60"/>
              <w:jc w:val="center"/>
              <w:rPr>
                <w:sz w:val="20"/>
                <w:lang w:val="es-MX"/>
              </w:rPr>
            </w:pPr>
            <w:r>
              <w:rPr>
                <w:sz w:val="20"/>
                <w:lang w:val="es-MX"/>
              </w:rPr>
              <w:t>4.62</w:t>
            </w:r>
          </w:p>
        </w:tc>
        <w:tc>
          <w:tcPr>
            <w:tcW w:w="646" w:type="pct"/>
          </w:tcPr>
          <w:p w:rsidR="00000000" w:rsidRDefault="00000000">
            <w:pPr>
              <w:tabs>
                <w:tab w:val="decimal" w:pos="693"/>
              </w:tabs>
              <w:spacing w:before="60" w:after="60"/>
              <w:jc w:val="center"/>
              <w:rPr>
                <w:sz w:val="20"/>
                <w:lang w:val="es-MX"/>
              </w:rPr>
            </w:pPr>
            <w:r>
              <w:rPr>
                <w:sz w:val="20"/>
                <w:lang w:val="es-MX"/>
              </w:rPr>
              <w:t>724 360</w:t>
            </w:r>
          </w:p>
        </w:tc>
        <w:tc>
          <w:tcPr>
            <w:tcW w:w="609" w:type="pct"/>
          </w:tcPr>
          <w:p w:rsidR="00000000" w:rsidRDefault="00000000">
            <w:pPr>
              <w:spacing w:before="60" w:after="60"/>
              <w:jc w:val="center"/>
              <w:rPr>
                <w:sz w:val="20"/>
                <w:lang w:val="es-MX"/>
              </w:rPr>
            </w:pPr>
            <w:r>
              <w:rPr>
                <w:sz w:val="20"/>
                <w:lang w:val="es-MX"/>
              </w:rPr>
              <w:t>2.03</w:t>
            </w:r>
          </w:p>
        </w:tc>
        <w:tc>
          <w:tcPr>
            <w:tcW w:w="592" w:type="pct"/>
          </w:tcPr>
          <w:p w:rsidR="00000000" w:rsidRDefault="00000000">
            <w:pPr>
              <w:spacing w:before="60" w:after="60"/>
              <w:jc w:val="center"/>
              <w:rPr>
                <w:sz w:val="20"/>
                <w:lang w:val="es-MX"/>
              </w:rPr>
            </w:pPr>
            <w:r>
              <w:rPr>
                <w:sz w:val="20"/>
                <w:lang w:val="es-MX"/>
              </w:rPr>
              <w:t>3.97</w:t>
            </w:r>
          </w:p>
        </w:tc>
      </w:tr>
      <w:tr w:rsidR="00000000">
        <w:tblPrEx>
          <w:tblCellMar>
            <w:top w:w="0" w:type="dxa"/>
            <w:bottom w:w="0" w:type="dxa"/>
          </w:tblCellMar>
        </w:tblPrEx>
        <w:trPr>
          <w:jc w:val="center"/>
        </w:trPr>
        <w:tc>
          <w:tcPr>
            <w:tcW w:w="427" w:type="pct"/>
          </w:tcPr>
          <w:p w:rsidR="00000000" w:rsidRDefault="00000000">
            <w:pPr>
              <w:spacing w:before="60" w:after="60"/>
              <w:rPr>
                <w:sz w:val="20"/>
                <w:lang w:val="es-MX"/>
              </w:rPr>
            </w:pPr>
            <w:r>
              <w:rPr>
                <w:sz w:val="20"/>
                <w:lang w:val="es-MX"/>
              </w:rPr>
              <w:t>2004</w:t>
            </w:r>
          </w:p>
        </w:tc>
        <w:tc>
          <w:tcPr>
            <w:tcW w:w="624" w:type="pct"/>
          </w:tcPr>
          <w:p w:rsidR="00000000" w:rsidRDefault="00000000">
            <w:pPr>
              <w:tabs>
                <w:tab w:val="decimal" w:pos="826"/>
              </w:tabs>
              <w:spacing w:before="60" w:after="60"/>
              <w:jc w:val="center"/>
              <w:rPr>
                <w:sz w:val="20"/>
                <w:lang w:val="es-MX"/>
              </w:rPr>
            </w:pPr>
            <w:r>
              <w:rPr>
                <w:sz w:val="20"/>
                <w:lang w:val="es-MX"/>
              </w:rPr>
              <w:t>41 400 770</w:t>
            </w:r>
          </w:p>
        </w:tc>
        <w:tc>
          <w:tcPr>
            <w:tcW w:w="535" w:type="pct"/>
          </w:tcPr>
          <w:p w:rsidR="00000000" w:rsidRDefault="00000000">
            <w:pPr>
              <w:tabs>
                <w:tab w:val="decimal" w:pos="825"/>
              </w:tabs>
              <w:spacing w:before="60" w:after="60"/>
              <w:jc w:val="center"/>
              <w:rPr>
                <w:sz w:val="20"/>
                <w:lang w:val="es-MX"/>
              </w:rPr>
            </w:pPr>
            <w:r>
              <w:rPr>
                <w:sz w:val="20"/>
                <w:lang w:val="es-MX"/>
              </w:rPr>
              <w:t>18915 114</w:t>
            </w:r>
          </w:p>
        </w:tc>
        <w:tc>
          <w:tcPr>
            <w:tcW w:w="513" w:type="pct"/>
          </w:tcPr>
          <w:p w:rsidR="00000000" w:rsidRDefault="00000000">
            <w:pPr>
              <w:tabs>
                <w:tab w:val="decimal" w:pos="735"/>
              </w:tabs>
              <w:spacing w:before="60" w:after="60"/>
              <w:jc w:val="center"/>
              <w:rPr>
                <w:sz w:val="20"/>
                <w:lang w:val="es-MX"/>
              </w:rPr>
            </w:pPr>
            <w:r>
              <w:rPr>
                <w:sz w:val="20"/>
                <w:lang w:val="es-MX"/>
              </w:rPr>
              <w:t>977 132</w:t>
            </w:r>
          </w:p>
        </w:tc>
        <w:tc>
          <w:tcPr>
            <w:tcW w:w="535" w:type="pct"/>
          </w:tcPr>
          <w:p w:rsidR="00000000" w:rsidRDefault="00000000">
            <w:pPr>
              <w:spacing w:before="60" w:after="60"/>
              <w:jc w:val="center"/>
              <w:rPr>
                <w:sz w:val="20"/>
                <w:lang w:val="es-MX"/>
              </w:rPr>
            </w:pPr>
            <w:r>
              <w:rPr>
                <w:sz w:val="20"/>
                <w:lang w:val="es-MX"/>
              </w:rPr>
              <w:t>2.36</w:t>
            </w:r>
          </w:p>
        </w:tc>
        <w:tc>
          <w:tcPr>
            <w:tcW w:w="519" w:type="pct"/>
          </w:tcPr>
          <w:p w:rsidR="00000000" w:rsidRDefault="00000000">
            <w:pPr>
              <w:spacing w:before="60" w:after="60"/>
              <w:jc w:val="center"/>
              <w:rPr>
                <w:sz w:val="20"/>
                <w:lang w:val="es-MX"/>
              </w:rPr>
            </w:pPr>
            <w:r>
              <w:rPr>
                <w:sz w:val="20"/>
                <w:lang w:val="es-MX"/>
              </w:rPr>
              <w:t>5.17</w:t>
            </w:r>
          </w:p>
        </w:tc>
        <w:tc>
          <w:tcPr>
            <w:tcW w:w="646" w:type="pct"/>
          </w:tcPr>
          <w:p w:rsidR="00000000" w:rsidRDefault="00000000">
            <w:pPr>
              <w:tabs>
                <w:tab w:val="decimal" w:pos="693"/>
              </w:tabs>
              <w:spacing w:before="60" w:after="60"/>
              <w:jc w:val="center"/>
              <w:rPr>
                <w:sz w:val="20"/>
                <w:lang w:val="es-MX"/>
              </w:rPr>
            </w:pPr>
            <w:r>
              <w:rPr>
                <w:sz w:val="20"/>
                <w:lang w:val="es-MX"/>
              </w:rPr>
              <w:t>850 782</w:t>
            </w:r>
          </w:p>
        </w:tc>
        <w:tc>
          <w:tcPr>
            <w:tcW w:w="609" w:type="pct"/>
          </w:tcPr>
          <w:p w:rsidR="00000000" w:rsidRDefault="00000000">
            <w:pPr>
              <w:spacing w:before="60" w:after="60"/>
              <w:jc w:val="center"/>
              <w:rPr>
                <w:sz w:val="20"/>
                <w:lang w:val="es-MX"/>
              </w:rPr>
            </w:pPr>
            <w:r>
              <w:rPr>
                <w:sz w:val="20"/>
                <w:lang w:val="es-MX"/>
              </w:rPr>
              <w:t>2.05</w:t>
            </w:r>
          </w:p>
        </w:tc>
        <w:tc>
          <w:tcPr>
            <w:tcW w:w="592" w:type="pct"/>
          </w:tcPr>
          <w:p w:rsidR="00000000" w:rsidRDefault="00000000">
            <w:pPr>
              <w:spacing w:before="60" w:after="60"/>
              <w:jc w:val="center"/>
              <w:rPr>
                <w:sz w:val="20"/>
                <w:lang w:val="es-MX"/>
              </w:rPr>
            </w:pPr>
            <w:r>
              <w:rPr>
                <w:sz w:val="20"/>
                <w:lang w:val="es-MX"/>
              </w:rPr>
              <w:t>4.50</w:t>
            </w:r>
          </w:p>
        </w:tc>
      </w:tr>
      <w:tr w:rsidR="00000000">
        <w:tblPrEx>
          <w:tblCellMar>
            <w:top w:w="0" w:type="dxa"/>
            <w:bottom w:w="0" w:type="dxa"/>
          </w:tblCellMar>
        </w:tblPrEx>
        <w:trPr>
          <w:jc w:val="center"/>
        </w:trPr>
        <w:tc>
          <w:tcPr>
            <w:tcW w:w="427" w:type="pct"/>
          </w:tcPr>
          <w:p w:rsidR="00000000" w:rsidRDefault="00000000">
            <w:pPr>
              <w:spacing w:before="60" w:after="60"/>
              <w:rPr>
                <w:sz w:val="20"/>
                <w:lang w:val="es-MX"/>
              </w:rPr>
            </w:pPr>
            <w:r>
              <w:rPr>
                <w:sz w:val="20"/>
                <w:lang w:val="es-MX"/>
              </w:rPr>
              <w:t>2005</w:t>
            </w:r>
          </w:p>
        </w:tc>
        <w:tc>
          <w:tcPr>
            <w:tcW w:w="624" w:type="pct"/>
          </w:tcPr>
          <w:p w:rsidR="00000000" w:rsidRDefault="00000000">
            <w:pPr>
              <w:tabs>
                <w:tab w:val="decimal" w:pos="826"/>
              </w:tabs>
              <w:spacing w:before="60" w:after="60"/>
              <w:jc w:val="center"/>
              <w:rPr>
                <w:sz w:val="20"/>
                <w:lang w:val="es-MX"/>
              </w:rPr>
            </w:pPr>
            <w:r>
              <w:rPr>
                <w:sz w:val="20"/>
                <w:lang w:val="es-MX"/>
              </w:rPr>
              <w:t>45 737 176</w:t>
            </w:r>
          </w:p>
        </w:tc>
        <w:tc>
          <w:tcPr>
            <w:tcW w:w="535" w:type="pct"/>
          </w:tcPr>
          <w:p w:rsidR="00000000" w:rsidRDefault="00000000">
            <w:pPr>
              <w:tabs>
                <w:tab w:val="decimal" w:pos="825"/>
              </w:tabs>
              <w:spacing w:before="60" w:after="60"/>
              <w:jc w:val="center"/>
              <w:rPr>
                <w:sz w:val="20"/>
                <w:lang w:val="es-MX"/>
              </w:rPr>
            </w:pPr>
            <w:r>
              <w:rPr>
                <w:sz w:val="20"/>
                <w:lang w:val="es-MX"/>
              </w:rPr>
              <w:t>21 809 827</w:t>
            </w:r>
          </w:p>
        </w:tc>
        <w:tc>
          <w:tcPr>
            <w:tcW w:w="513" w:type="pct"/>
          </w:tcPr>
          <w:p w:rsidR="00000000" w:rsidRDefault="00000000">
            <w:pPr>
              <w:tabs>
                <w:tab w:val="decimal" w:pos="735"/>
              </w:tabs>
              <w:spacing w:before="60" w:after="60"/>
              <w:jc w:val="center"/>
              <w:rPr>
                <w:sz w:val="20"/>
                <w:lang w:val="es-MX"/>
              </w:rPr>
            </w:pPr>
            <w:r>
              <w:rPr>
                <w:sz w:val="20"/>
                <w:lang w:val="es-MX"/>
              </w:rPr>
              <w:t>1 473 932</w:t>
            </w:r>
          </w:p>
        </w:tc>
        <w:tc>
          <w:tcPr>
            <w:tcW w:w="535" w:type="pct"/>
          </w:tcPr>
          <w:p w:rsidR="00000000" w:rsidRDefault="00000000">
            <w:pPr>
              <w:spacing w:before="60" w:after="60"/>
              <w:jc w:val="center"/>
              <w:rPr>
                <w:sz w:val="20"/>
                <w:lang w:val="es-MX"/>
              </w:rPr>
            </w:pPr>
            <w:r>
              <w:rPr>
                <w:sz w:val="20"/>
                <w:lang w:val="es-MX"/>
              </w:rPr>
              <w:t>3.22</w:t>
            </w:r>
          </w:p>
        </w:tc>
        <w:tc>
          <w:tcPr>
            <w:tcW w:w="519" w:type="pct"/>
          </w:tcPr>
          <w:p w:rsidR="00000000" w:rsidRDefault="00000000">
            <w:pPr>
              <w:spacing w:before="60" w:after="60"/>
              <w:jc w:val="center"/>
              <w:rPr>
                <w:sz w:val="20"/>
                <w:lang w:val="es-MX"/>
              </w:rPr>
            </w:pPr>
            <w:r>
              <w:rPr>
                <w:sz w:val="20"/>
                <w:lang w:val="es-MX"/>
              </w:rPr>
              <w:t>6.76</w:t>
            </w:r>
          </w:p>
        </w:tc>
        <w:tc>
          <w:tcPr>
            <w:tcW w:w="646" w:type="pct"/>
          </w:tcPr>
          <w:p w:rsidR="00000000" w:rsidRDefault="00000000">
            <w:pPr>
              <w:tabs>
                <w:tab w:val="decimal" w:pos="693"/>
              </w:tabs>
              <w:spacing w:before="60" w:after="60"/>
              <w:jc w:val="center"/>
              <w:rPr>
                <w:sz w:val="20"/>
                <w:lang w:val="es-MX"/>
              </w:rPr>
            </w:pPr>
            <w:r>
              <w:rPr>
                <w:sz w:val="20"/>
                <w:lang w:val="es-MX"/>
              </w:rPr>
              <w:t>1 068 165</w:t>
            </w:r>
          </w:p>
        </w:tc>
        <w:tc>
          <w:tcPr>
            <w:tcW w:w="609" w:type="pct"/>
          </w:tcPr>
          <w:p w:rsidR="00000000" w:rsidRDefault="00000000">
            <w:pPr>
              <w:spacing w:before="60" w:after="60"/>
              <w:jc w:val="center"/>
              <w:rPr>
                <w:sz w:val="20"/>
                <w:lang w:val="es-MX"/>
              </w:rPr>
            </w:pPr>
            <w:r>
              <w:rPr>
                <w:sz w:val="20"/>
                <w:lang w:val="es-MX"/>
              </w:rPr>
              <w:t>2.34</w:t>
            </w:r>
          </w:p>
        </w:tc>
        <w:tc>
          <w:tcPr>
            <w:tcW w:w="592" w:type="pct"/>
          </w:tcPr>
          <w:p w:rsidR="00000000" w:rsidRDefault="00000000">
            <w:pPr>
              <w:spacing w:before="60" w:after="60"/>
              <w:jc w:val="center"/>
              <w:rPr>
                <w:sz w:val="20"/>
                <w:lang w:val="es-MX"/>
              </w:rPr>
            </w:pPr>
            <w:r>
              <w:rPr>
                <w:sz w:val="20"/>
                <w:lang w:val="es-MX"/>
              </w:rPr>
              <w:t>4.90</w:t>
            </w:r>
          </w:p>
        </w:tc>
      </w:tr>
      <w:tr w:rsidR="00000000">
        <w:tblPrEx>
          <w:tblCellMar>
            <w:top w:w="0" w:type="dxa"/>
            <w:bottom w:w="0" w:type="dxa"/>
          </w:tblCellMar>
        </w:tblPrEx>
        <w:trPr>
          <w:jc w:val="center"/>
        </w:trPr>
        <w:tc>
          <w:tcPr>
            <w:tcW w:w="427" w:type="pct"/>
            <w:tcBorders>
              <w:bottom w:val="single" w:sz="4" w:space="0" w:color="auto"/>
            </w:tcBorders>
          </w:tcPr>
          <w:p w:rsidR="00000000" w:rsidRDefault="00000000">
            <w:pPr>
              <w:spacing w:before="60" w:after="60"/>
              <w:rPr>
                <w:sz w:val="20"/>
                <w:lang w:val="es-MX"/>
              </w:rPr>
            </w:pPr>
            <w:r>
              <w:rPr>
                <w:sz w:val="20"/>
                <w:lang w:val="es-MX"/>
              </w:rPr>
              <w:t>2006*</w:t>
            </w:r>
          </w:p>
        </w:tc>
        <w:tc>
          <w:tcPr>
            <w:tcW w:w="624" w:type="pct"/>
            <w:tcBorders>
              <w:bottom w:val="single" w:sz="4" w:space="0" w:color="auto"/>
            </w:tcBorders>
          </w:tcPr>
          <w:p w:rsidR="00000000" w:rsidRDefault="00000000">
            <w:pPr>
              <w:tabs>
                <w:tab w:val="decimal" w:pos="826"/>
              </w:tabs>
              <w:spacing w:before="60" w:after="60"/>
              <w:jc w:val="center"/>
              <w:rPr>
                <w:sz w:val="20"/>
                <w:lang w:val="es-MX"/>
              </w:rPr>
            </w:pPr>
            <w:r>
              <w:rPr>
                <w:sz w:val="20"/>
                <w:lang w:val="es-MX"/>
              </w:rPr>
              <w:t>50 585 316</w:t>
            </w:r>
          </w:p>
        </w:tc>
        <w:tc>
          <w:tcPr>
            <w:tcW w:w="535" w:type="pct"/>
            <w:tcBorders>
              <w:bottom w:val="single" w:sz="4" w:space="0" w:color="auto"/>
            </w:tcBorders>
          </w:tcPr>
          <w:p w:rsidR="00000000" w:rsidRDefault="00000000">
            <w:pPr>
              <w:tabs>
                <w:tab w:val="decimal" w:pos="825"/>
              </w:tabs>
              <w:spacing w:before="60" w:after="60"/>
              <w:jc w:val="center"/>
              <w:rPr>
                <w:sz w:val="20"/>
                <w:lang w:val="es-MX"/>
              </w:rPr>
            </w:pPr>
            <w:r>
              <w:rPr>
                <w:sz w:val="20"/>
                <w:lang w:val="es-MX"/>
              </w:rPr>
              <w:t>21 255 118</w:t>
            </w:r>
          </w:p>
        </w:tc>
        <w:tc>
          <w:tcPr>
            <w:tcW w:w="513" w:type="pct"/>
            <w:tcBorders>
              <w:bottom w:val="single" w:sz="4" w:space="0" w:color="auto"/>
            </w:tcBorders>
          </w:tcPr>
          <w:p w:rsidR="00000000" w:rsidRDefault="00000000">
            <w:pPr>
              <w:tabs>
                <w:tab w:val="decimal" w:pos="735"/>
              </w:tabs>
              <w:spacing w:before="60" w:after="60"/>
              <w:jc w:val="center"/>
              <w:rPr>
                <w:sz w:val="20"/>
                <w:lang w:val="es-MX"/>
              </w:rPr>
            </w:pPr>
            <w:r>
              <w:rPr>
                <w:sz w:val="20"/>
                <w:lang w:val="es-MX"/>
              </w:rPr>
              <w:t>1 553 273</w:t>
            </w:r>
          </w:p>
        </w:tc>
        <w:tc>
          <w:tcPr>
            <w:tcW w:w="535" w:type="pct"/>
            <w:tcBorders>
              <w:bottom w:val="single" w:sz="4" w:space="0" w:color="auto"/>
            </w:tcBorders>
          </w:tcPr>
          <w:p w:rsidR="00000000" w:rsidRDefault="00000000">
            <w:pPr>
              <w:spacing w:before="60" w:after="60"/>
              <w:jc w:val="center"/>
              <w:rPr>
                <w:sz w:val="20"/>
                <w:lang w:val="es-MX"/>
              </w:rPr>
            </w:pPr>
            <w:r>
              <w:rPr>
                <w:sz w:val="20"/>
                <w:lang w:val="es-MX"/>
              </w:rPr>
              <w:t>3.07</w:t>
            </w:r>
          </w:p>
        </w:tc>
        <w:tc>
          <w:tcPr>
            <w:tcW w:w="519" w:type="pct"/>
            <w:tcBorders>
              <w:bottom w:val="single" w:sz="4" w:space="0" w:color="auto"/>
            </w:tcBorders>
          </w:tcPr>
          <w:p w:rsidR="00000000" w:rsidRDefault="00000000">
            <w:pPr>
              <w:spacing w:before="60" w:after="60"/>
              <w:jc w:val="center"/>
              <w:rPr>
                <w:sz w:val="20"/>
                <w:lang w:val="es-MX"/>
              </w:rPr>
            </w:pPr>
            <w:r>
              <w:rPr>
                <w:sz w:val="20"/>
                <w:lang w:val="es-MX"/>
              </w:rPr>
              <w:t>7.31</w:t>
            </w:r>
          </w:p>
        </w:tc>
        <w:tc>
          <w:tcPr>
            <w:tcW w:w="646" w:type="pct"/>
            <w:tcBorders>
              <w:bottom w:val="single" w:sz="4" w:space="0" w:color="auto"/>
            </w:tcBorders>
          </w:tcPr>
          <w:p w:rsidR="00000000" w:rsidRDefault="00000000">
            <w:pPr>
              <w:tabs>
                <w:tab w:val="decimal" w:pos="693"/>
              </w:tabs>
              <w:spacing w:before="60" w:after="60"/>
              <w:jc w:val="center"/>
              <w:rPr>
                <w:sz w:val="20"/>
                <w:lang w:val="es-MX"/>
              </w:rPr>
            </w:pPr>
            <w:r>
              <w:rPr>
                <w:sz w:val="20"/>
                <w:lang w:val="es-MX"/>
              </w:rPr>
              <w:t>1 207 965</w:t>
            </w:r>
          </w:p>
        </w:tc>
        <w:tc>
          <w:tcPr>
            <w:tcW w:w="609" w:type="pct"/>
            <w:tcBorders>
              <w:bottom w:val="single" w:sz="4" w:space="0" w:color="auto"/>
            </w:tcBorders>
          </w:tcPr>
          <w:p w:rsidR="00000000" w:rsidRDefault="00000000">
            <w:pPr>
              <w:spacing w:before="60" w:after="60"/>
              <w:jc w:val="center"/>
              <w:rPr>
                <w:sz w:val="20"/>
                <w:lang w:val="es-MX"/>
              </w:rPr>
            </w:pPr>
            <w:r>
              <w:rPr>
                <w:sz w:val="20"/>
                <w:lang w:val="es-MX"/>
              </w:rPr>
              <w:t>2.39</w:t>
            </w:r>
          </w:p>
        </w:tc>
        <w:tc>
          <w:tcPr>
            <w:tcW w:w="592" w:type="pct"/>
            <w:tcBorders>
              <w:bottom w:val="single" w:sz="4" w:space="0" w:color="auto"/>
            </w:tcBorders>
          </w:tcPr>
          <w:p w:rsidR="00000000" w:rsidRDefault="00000000">
            <w:pPr>
              <w:spacing w:before="60" w:after="60"/>
              <w:jc w:val="center"/>
              <w:rPr>
                <w:sz w:val="20"/>
                <w:lang w:val="es-MX"/>
              </w:rPr>
            </w:pPr>
            <w:r>
              <w:rPr>
                <w:sz w:val="20"/>
                <w:lang w:val="es-MX"/>
              </w:rPr>
              <w:t>5.68</w:t>
            </w:r>
          </w:p>
        </w:tc>
      </w:tr>
    </w:tbl>
    <w:p w:rsidR="00000000" w:rsidRDefault="00000000">
      <w:pPr>
        <w:spacing w:before="80" w:after="80"/>
        <w:ind w:left="567"/>
        <w:rPr>
          <w:sz w:val="20"/>
        </w:rPr>
      </w:pPr>
      <w:r>
        <w:rPr>
          <w:i/>
          <w:iCs/>
          <w:sz w:val="20"/>
        </w:rPr>
        <w:t xml:space="preserve">Source: </w:t>
      </w:r>
      <w:r>
        <w:rPr>
          <w:sz w:val="20"/>
        </w:rPr>
        <w:t xml:space="preserve">Accounting System (SICO). Figures in million guaranies. </w:t>
      </w:r>
    </w:p>
    <w:p w:rsidR="00000000" w:rsidRDefault="00000000">
      <w:pPr>
        <w:tabs>
          <w:tab w:val="left" w:pos="794"/>
        </w:tabs>
        <w:spacing w:after="80"/>
        <w:ind w:left="794" w:hanging="227"/>
        <w:rPr>
          <w:sz w:val="20"/>
        </w:rPr>
      </w:pPr>
      <w:r>
        <w:rPr>
          <w:b/>
          <w:bCs/>
          <w:sz w:val="22"/>
          <w:vertAlign w:val="superscript"/>
        </w:rPr>
        <w:t>1</w:t>
      </w:r>
      <w:r>
        <w:rPr>
          <w:sz w:val="20"/>
          <w:vertAlign w:val="superscript"/>
        </w:rPr>
        <w:tab/>
      </w:r>
      <w:r>
        <w:rPr>
          <w:sz w:val="20"/>
        </w:rPr>
        <w:t xml:space="preserve">Up to 1996: adjusted budget of central administration. From 1997 onwards: budget of central administration and decentralized entities. </w:t>
      </w:r>
    </w:p>
    <w:p w:rsidR="00000000" w:rsidRDefault="00000000">
      <w:pPr>
        <w:tabs>
          <w:tab w:val="left" w:pos="567"/>
          <w:tab w:val="left" w:pos="794"/>
        </w:tabs>
        <w:spacing w:after="80"/>
        <w:rPr>
          <w:sz w:val="20"/>
        </w:rPr>
      </w:pPr>
      <w:r>
        <w:rPr>
          <w:sz w:val="20"/>
          <w:vertAlign w:val="superscript"/>
        </w:rPr>
        <w:tab/>
      </w:r>
      <w:r>
        <w:rPr>
          <w:b/>
          <w:bCs/>
          <w:sz w:val="22"/>
          <w:vertAlign w:val="superscript"/>
        </w:rPr>
        <w:t>2</w:t>
      </w:r>
      <w:r>
        <w:rPr>
          <w:sz w:val="20"/>
        </w:rPr>
        <w:tab/>
        <w:t>Corresponds to functional classification of budget.</w:t>
      </w:r>
    </w:p>
    <w:p w:rsidR="00000000" w:rsidRDefault="00000000">
      <w:pPr>
        <w:tabs>
          <w:tab w:val="left" w:pos="567"/>
          <w:tab w:val="left" w:pos="794"/>
        </w:tabs>
        <w:spacing w:after="80"/>
        <w:rPr>
          <w:sz w:val="20"/>
        </w:rPr>
      </w:pPr>
      <w:r>
        <w:rPr>
          <w:sz w:val="20"/>
          <w:vertAlign w:val="superscript"/>
        </w:rPr>
        <w:tab/>
      </w:r>
      <w:r>
        <w:rPr>
          <w:b/>
          <w:bCs/>
          <w:sz w:val="22"/>
          <w:vertAlign w:val="superscript"/>
        </w:rPr>
        <w:t>3</w:t>
      </w:r>
      <w:r>
        <w:rPr>
          <w:sz w:val="20"/>
        </w:rPr>
        <w:tab/>
        <w:t>Appears under heading “Medical care” in functional classification of budget.</w:t>
      </w:r>
    </w:p>
    <w:p w:rsidR="00000000" w:rsidRDefault="00000000">
      <w:pPr>
        <w:tabs>
          <w:tab w:val="left" w:pos="567"/>
          <w:tab w:val="left" w:pos="794"/>
        </w:tabs>
        <w:rPr>
          <w:sz w:val="20"/>
        </w:rPr>
      </w:pPr>
      <w:r>
        <w:rPr>
          <w:sz w:val="20"/>
          <w:vertAlign w:val="superscript"/>
        </w:rPr>
        <w:tab/>
      </w:r>
      <w:r>
        <w:rPr>
          <w:sz w:val="22"/>
          <w:vertAlign w:val="superscript"/>
        </w:rPr>
        <w:t>*</w:t>
      </w:r>
      <w:r>
        <w:rPr>
          <w:sz w:val="20"/>
          <w:vertAlign w:val="superscript"/>
        </w:rPr>
        <w:tab/>
      </w:r>
      <w:r>
        <w:rPr>
          <w:sz w:val="20"/>
        </w:rPr>
        <w:t>The GDP figure for 2006 is an estimate. Source: Central Bank of Paraguay.</w:t>
      </w:r>
    </w:p>
    <w:p w:rsidR="00000000" w:rsidRDefault="00000000">
      <w:pPr>
        <w:spacing w:after="240"/>
      </w:pPr>
    </w:p>
    <w:tbl>
      <w:tblPr>
        <w:tblpPr w:leftFromText="141" w:rightFromText="141" w:vertAnchor="text" w:horzAnchor="margin" w:tblpY="99"/>
        <w:tblOverlap w:val="never"/>
        <w:tblW w:w="5000" w:type="pct"/>
        <w:tblCellMar>
          <w:left w:w="0" w:type="dxa"/>
          <w:right w:w="0" w:type="dxa"/>
        </w:tblCellMar>
        <w:tblLook w:val="01E0" w:firstRow="1" w:lastRow="1" w:firstColumn="1" w:lastColumn="1" w:noHBand="0" w:noVBand="0"/>
      </w:tblPr>
      <w:tblGrid>
        <w:gridCol w:w="3853"/>
        <w:gridCol w:w="678"/>
        <w:gridCol w:w="678"/>
        <w:gridCol w:w="678"/>
        <w:gridCol w:w="678"/>
        <w:gridCol w:w="678"/>
        <w:gridCol w:w="678"/>
        <w:gridCol w:w="678"/>
        <w:gridCol w:w="830"/>
      </w:tblGrid>
      <w:tr w:rsidR="00000000">
        <w:tc>
          <w:tcPr>
            <w:tcW w:w="0" w:type="auto"/>
            <w:tcBorders>
              <w:top w:val="single" w:sz="4" w:space="0" w:color="auto"/>
              <w:bottom w:val="single" w:sz="4" w:space="0" w:color="auto"/>
            </w:tcBorders>
            <w:vAlign w:val="center"/>
          </w:tcPr>
          <w:p w:rsidR="00000000" w:rsidRDefault="00000000">
            <w:pPr>
              <w:spacing w:before="80" w:after="80"/>
              <w:jc w:val="center"/>
              <w:rPr>
                <w:b/>
                <w:i/>
                <w:iCs/>
                <w:sz w:val="18"/>
                <w:szCs w:val="22"/>
                <w:lang w:val="sv-SE"/>
              </w:rPr>
            </w:pPr>
            <w:r>
              <w:rPr>
                <w:b/>
                <w:i/>
                <w:iCs/>
                <w:sz w:val="18"/>
                <w:szCs w:val="22"/>
                <w:lang w:val="sv-SE"/>
              </w:rPr>
              <w:t>Health expenditure per  head</w:t>
            </w:r>
          </w:p>
        </w:tc>
        <w:tc>
          <w:tcPr>
            <w:tcW w:w="0" w:type="auto"/>
            <w:tcBorders>
              <w:top w:val="single" w:sz="4" w:space="0" w:color="auto"/>
              <w:bottom w:val="single" w:sz="4" w:space="0" w:color="auto"/>
            </w:tcBorders>
            <w:vAlign w:val="center"/>
          </w:tcPr>
          <w:p w:rsidR="00000000" w:rsidRDefault="00000000">
            <w:pPr>
              <w:spacing w:before="80" w:after="80"/>
              <w:jc w:val="center"/>
              <w:rPr>
                <w:b/>
                <w:i/>
                <w:iCs/>
                <w:sz w:val="18"/>
                <w:szCs w:val="22"/>
              </w:rPr>
            </w:pPr>
            <w:r>
              <w:rPr>
                <w:b/>
                <w:i/>
                <w:iCs/>
                <w:sz w:val="18"/>
                <w:szCs w:val="22"/>
              </w:rPr>
              <w:t>1997</w:t>
            </w:r>
          </w:p>
        </w:tc>
        <w:tc>
          <w:tcPr>
            <w:tcW w:w="0" w:type="auto"/>
            <w:tcBorders>
              <w:top w:val="single" w:sz="4" w:space="0" w:color="auto"/>
              <w:bottom w:val="single" w:sz="4" w:space="0" w:color="auto"/>
            </w:tcBorders>
            <w:vAlign w:val="center"/>
          </w:tcPr>
          <w:p w:rsidR="00000000" w:rsidRDefault="00000000">
            <w:pPr>
              <w:spacing w:before="80" w:after="80"/>
              <w:jc w:val="center"/>
              <w:rPr>
                <w:b/>
                <w:i/>
                <w:iCs/>
                <w:sz w:val="18"/>
                <w:szCs w:val="22"/>
              </w:rPr>
            </w:pPr>
            <w:r>
              <w:rPr>
                <w:b/>
                <w:i/>
                <w:iCs/>
                <w:sz w:val="18"/>
                <w:szCs w:val="22"/>
              </w:rPr>
              <w:t>1998</w:t>
            </w:r>
          </w:p>
        </w:tc>
        <w:tc>
          <w:tcPr>
            <w:tcW w:w="0" w:type="auto"/>
            <w:tcBorders>
              <w:top w:val="single" w:sz="4" w:space="0" w:color="auto"/>
              <w:bottom w:val="single" w:sz="4" w:space="0" w:color="auto"/>
            </w:tcBorders>
            <w:vAlign w:val="center"/>
          </w:tcPr>
          <w:p w:rsidR="00000000" w:rsidRDefault="00000000">
            <w:pPr>
              <w:spacing w:before="80" w:after="80"/>
              <w:jc w:val="center"/>
              <w:rPr>
                <w:b/>
                <w:i/>
                <w:iCs/>
                <w:sz w:val="18"/>
                <w:szCs w:val="22"/>
              </w:rPr>
            </w:pPr>
            <w:r>
              <w:rPr>
                <w:b/>
                <w:i/>
                <w:iCs/>
                <w:sz w:val="18"/>
                <w:szCs w:val="22"/>
              </w:rPr>
              <w:t>1999</w:t>
            </w:r>
          </w:p>
        </w:tc>
        <w:tc>
          <w:tcPr>
            <w:tcW w:w="0" w:type="auto"/>
            <w:tcBorders>
              <w:top w:val="single" w:sz="4" w:space="0" w:color="auto"/>
              <w:bottom w:val="single" w:sz="4" w:space="0" w:color="auto"/>
            </w:tcBorders>
            <w:vAlign w:val="center"/>
          </w:tcPr>
          <w:p w:rsidR="00000000" w:rsidRDefault="00000000">
            <w:pPr>
              <w:spacing w:before="80" w:after="80"/>
              <w:jc w:val="center"/>
              <w:rPr>
                <w:b/>
                <w:i/>
                <w:iCs/>
                <w:sz w:val="18"/>
                <w:szCs w:val="22"/>
              </w:rPr>
            </w:pPr>
            <w:r>
              <w:rPr>
                <w:b/>
                <w:i/>
                <w:iCs/>
                <w:sz w:val="18"/>
                <w:szCs w:val="22"/>
              </w:rPr>
              <w:t>2000</w:t>
            </w:r>
          </w:p>
        </w:tc>
        <w:tc>
          <w:tcPr>
            <w:tcW w:w="0" w:type="auto"/>
            <w:tcBorders>
              <w:top w:val="single" w:sz="4" w:space="0" w:color="auto"/>
              <w:bottom w:val="single" w:sz="4" w:space="0" w:color="auto"/>
            </w:tcBorders>
            <w:vAlign w:val="center"/>
          </w:tcPr>
          <w:p w:rsidR="00000000" w:rsidRDefault="00000000">
            <w:pPr>
              <w:spacing w:before="80" w:after="80"/>
              <w:jc w:val="center"/>
              <w:rPr>
                <w:b/>
                <w:i/>
                <w:iCs/>
                <w:sz w:val="18"/>
                <w:szCs w:val="22"/>
              </w:rPr>
            </w:pPr>
            <w:r>
              <w:rPr>
                <w:b/>
                <w:i/>
                <w:iCs/>
                <w:sz w:val="18"/>
                <w:szCs w:val="22"/>
              </w:rPr>
              <w:t>2001</w:t>
            </w:r>
          </w:p>
        </w:tc>
        <w:tc>
          <w:tcPr>
            <w:tcW w:w="0" w:type="auto"/>
            <w:tcBorders>
              <w:top w:val="single" w:sz="4" w:space="0" w:color="auto"/>
              <w:bottom w:val="single" w:sz="4" w:space="0" w:color="auto"/>
            </w:tcBorders>
            <w:vAlign w:val="center"/>
          </w:tcPr>
          <w:p w:rsidR="00000000" w:rsidRDefault="00000000">
            <w:pPr>
              <w:spacing w:before="80" w:after="80"/>
              <w:jc w:val="center"/>
              <w:rPr>
                <w:b/>
                <w:i/>
                <w:iCs/>
                <w:sz w:val="18"/>
                <w:szCs w:val="22"/>
              </w:rPr>
            </w:pPr>
            <w:r>
              <w:rPr>
                <w:b/>
                <w:i/>
                <w:iCs/>
                <w:sz w:val="18"/>
                <w:szCs w:val="22"/>
              </w:rPr>
              <w:t>2002</w:t>
            </w:r>
          </w:p>
        </w:tc>
        <w:tc>
          <w:tcPr>
            <w:tcW w:w="0" w:type="auto"/>
            <w:tcBorders>
              <w:top w:val="single" w:sz="4" w:space="0" w:color="auto"/>
              <w:bottom w:val="single" w:sz="4" w:space="0" w:color="auto"/>
            </w:tcBorders>
            <w:vAlign w:val="center"/>
          </w:tcPr>
          <w:p w:rsidR="00000000" w:rsidRDefault="00000000">
            <w:pPr>
              <w:spacing w:before="80" w:after="80"/>
              <w:jc w:val="center"/>
              <w:rPr>
                <w:b/>
                <w:i/>
                <w:iCs/>
                <w:sz w:val="18"/>
                <w:szCs w:val="22"/>
              </w:rPr>
            </w:pPr>
            <w:r>
              <w:rPr>
                <w:b/>
                <w:i/>
                <w:iCs/>
                <w:sz w:val="18"/>
                <w:szCs w:val="22"/>
              </w:rPr>
              <w:t>2003</w:t>
            </w:r>
          </w:p>
        </w:tc>
        <w:tc>
          <w:tcPr>
            <w:tcW w:w="0" w:type="auto"/>
            <w:tcBorders>
              <w:top w:val="single" w:sz="4" w:space="0" w:color="auto"/>
              <w:bottom w:val="single" w:sz="4" w:space="0" w:color="auto"/>
            </w:tcBorders>
            <w:vAlign w:val="center"/>
          </w:tcPr>
          <w:p w:rsidR="00000000" w:rsidRDefault="00000000">
            <w:pPr>
              <w:spacing w:before="80" w:after="80"/>
              <w:jc w:val="center"/>
              <w:rPr>
                <w:b/>
                <w:i/>
                <w:iCs/>
                <w:sz w:val="18"/>
                <w:szCs w:val="22"/>
              </w:rPr>
            </w:pPr>
            <w:r>
              <w:rPr>
                <w:b/>
                <w:i/>
                <w:iCs/>
                <w:sz w:val="18"/>
                <w:szCs w:val="22"/>
              </w:rPr>
              <w:t>2004</w:t>
            </w:r>
          </w:p>
        </w:tc>
      </w:tr>
      <w:tr w:rsidR="00000000">
        <w:tc>
          <w:tcPr>
            <w:tcW w:w="0" w:type="auto"/>
            <w:tcBorders>
              <w:top w:val="single" w:sz="4" w:space="0" w:color="auto"/>
            </w:tcBorders>
            <w:vAlign w:val="center"/>
          </w:tcPr>
          <w:p w:rsidR="00000000" w:rsidRDefault="00000000">
            <w:pPr>
              <w:spacing w:before="80" w:after="80"/>
              <w:rPr>
                <w:sz w:val="18"/>
                <w:szCs w:val="22"/>
              </w:rPr>
            </w:pPr>
            <w:r>
              <w:rPr>
                <w:sz w:val="18"/>
                <w:szCs w:val="22"/>
              </w:rPr>
              <w:t>Public expenditure on health (million Gs)</w:t>
            </w:r>
          </w:p>
        </w:tc>
        <w:tc>
          <w:tcPr>
            <w:tcW w:w="0" w:type="auto"/>
            <w:tcBorders>
              <w:top w:val="single" w:sz="4" w:space="0" w:color="auto"/>
            </w:tcBorders>
            <w:vAlign w:val="center"/>
          </w:tcPr>
          <w:p w:rsidR="00000000" w:rsidRDefault="00000000">
            <w:pPr>
              <w:spacing w:before="80" w:after="80"/>
              <w:jc w:val="right"/>
              <w:rPr>
                <w:sz w:val="18"/>
                <w:szCs w:val="22"/>
              </w:rPr>
            </w:pPr>
            <w:r>
              <w:rPr>
                <w:sz w:val="18"/>
                <w:szCs w:val="22"/>
              </w:rPr>
              <w:t>526 963</w:t>
            </w:r>
          </w:p>
        </w:tc>
        <w:tc>
          <w:tcPr>
            <w:tcW w:w="0" w:type="auto"/>
            <w:tcBorders>
              <w:top w:val="single" w:sz="4" w:space="0" w:color="auto"/>
            </w:tcBorders>
            <w:vAlign w:val="center"/>
          </w:tcPr>
          <w:p w:rsidR="00000000" w:rsidRDefault="00000000">
            <w:pPr>
              <w:spacing w:before="80" w:after="80"/>
              <w:jc w:val="right"/>
              <w:rPr>
                <w:sz w:val="18"/>
                <w:szCs w:val="22"/>
              </w:rPr>
            </w:pPr>
            <w:r>
              <w:rPr>
                <w:sz w:val="18"/>
                <w:szCs w:val="22"/>
              </w:rPr>
              <w:t>694 129</w:t>
            </w:r>
          </w:p>
        </w:tc>
        <w:tc>
          <w:tcPr>
            <w:tcW w:w="0" w:type="auto"/>
            <w:tcBorders>
              <w:top w:val="single" w:sz="4" w:space="0" w:color="auto"/>
            </w:tcBorders>
            <w:vAlign w:val="center"/>
          </w:tcPr>
          <w:p w:rsidR="00000000" w:rsidRDefault="00000000">
            <w:pPr>
              <w:spacing w:before="80" w:after="80"/>
              <w:jc w:val="right"/>
              <w:rPr>
                <w:sz w:val="18"/>
                <w:szCs w:val="22"/>
              </w:rPr>
            </w:pPr>
            <w:r>
              <w:rPr>
                <w:sz w:val="18"/>
                <w:szCs w:val="22"/>
              </w:rPr>
              <w:t>784 316</w:t>
            </w:r>
          </w:p>
        </w:tc>
        <w:tc>
          <w:tcPr>
            <w:tcW w:w="0" w:type="auto"/>
            <w:tcBorders>
              <w:top w:val="single" w:sz="4" w:space="0" w:color="auto"/>
            </w:tcBorders>
            <w:vAlign w:val="center"/>
          </w:tcPr>
          <w:p w:rsidR="00000000" w:rsidRDefault="00000000">
            <w:pPr>
              <w:spacing w:before="80" w:after="80"/>
              <w:jc w:val="right"/>
              <w:rPr>
                <w:sz w:val="18"/>
                <w:szCs w:val="22"/>
              </w:rPr>
            </w:pPr>
            <w:r>
              <w:rPr>
                <w:sz w:val="18"/>
                <w:szCs w:val="22"/>
              </w:rPr>
              <w:t>913 121</w:t>
            </w:r>
          </w:p>
        </w:tc>
        <w:tc>
          <w:tcPr>
            <w:tcW w:w="0" w:type="auto"/>
            <w:tcBorders>
              <w:top w:val="single" w:sz="4" w:space="0" w:color="auto"/>
            </w:tcBorders>
            <w:vAlign w:val="center"/>
          </w:tcPr>
          <w:p w:rsidR="00000000" w:rsidRDefault="00000000">
            <w:pPr>
              <w:spacing w:before="80" w:after="80"/>
              <w:jc w:val="right"/>
              <w:rPr>
                <w:sz w:val="18"/>
                <w:szCs w:val="22"/>
              </w:rPr>
            </w:pPr>
            <w:r>
              <w:rPr>
                <w:sz w:val="18"/>
                <w:szCs w:val="22"/>
              </w:rPr>
              <w:t>828 019</w:t>
            </w:r>
          </w:p>
        </w:tc>
        <w:tc>
          <w:tcPr>
            <w:tcW w:w="0" w:type="auto"/>
            <w:tcBorders>
              <w:top w:val="single" w:sz="4" w:space="0" w:color="auto"/>
            </w:tcBorders>
            <w:vAlign w:val="center"/>
          </w:tcPr>
          <w:p w:rsidR="00000000" w:rsidRDefault="00000000">
            <w:pPr>
              <w:spacing w:before="80" w:after="80"/>
              <w:jc w:val="right"/>
              <w:rPr>
                <w:sz w:val="18"/>
                <w:szCs w:val="22"/>
              </w:rPr>
            </w:pPr>
            <w:r>
              <w:rPr>
                <w:sz w:val="18"/>
                <w:szCs w:val="22"/>
              </w:rPr>
              <w:t>879 870</w:t>
            </w:r>
          </w:p>
        </w:tc>
        <w:tc>
          <w:tcPr>
            <w:tcW w:w="0" w:type="auto"/>
            <w:tcBorders>
              <w:top w:val="single" w:sz="4" w:space="0" w:color="auto"/>
            </w:tcBorders>
            <w:vAlign w:val="center"/>
          </w:tcPr>
          <w:p w:rsidR="00000000" w:rsidRDefault="00000000">
            <w:pPr>
              <w:spacing w:before="80" w:after="80"/>
              <w:jc w:val="right"/>
              <w:rPr>
                <w:sz w:val="18"/>
                <w:szCs w:val="22"/>
              </w:rPr>
            </w:pPr>
            <w:r>
              <w:rPr>
                <w:sz w:val="18"/>
                <w:szCs w:val="22"/>
              </w:rPr>
              <w:t>887 419</w:t>
            </w:r>
          </w:p>
        </w:tc>
        <w:tc>
          <w:tcPr>
            <w:tcW w:w="0" w:type="auto"/>
            <w:tcBorders>
              <w:top w:val="single" w:sz="4" w:space="0" w:color="auto"/>
            </w:tcBorders>
            <w:vAlign w:val="center"/>
          </w:tcPr>
          <w:p w:rsidR="00000000" w:rsidRDefault="00000000">
            <w:pPr>
              <w:spacing w:before="80" w:after="80"/>
              <w:jc w:val="right"/>
              <w:rPr>
                <w:sz w:val="18"/>
                <w:szCs w:val="22"/>
              </w:rPr>
            </w:pPr>
            <w:r>
              <w:rPr>
                <w:sz w:val="18"/>
                <w:szCs w:val="22"/>
              </w:rPr>
              <w:t>1 072 297</w:t>
            </w:r>
          </w:p>
        </w:tc>
      </w:tr>
      <w:tr w:rsidR="00000000">
        <w:tc>
          <w:tcPr>
            <w:tcW w:w="0" w:type="auto"/>
            <w:vAlign w:val="center"/>
          </w:tcPr>
          <w:p w:rsidR="00000000" w:rsidRDefault="00000000">
            <w:pPr>
              <w:spacing w:before="80" w:after="80"/>
              <w:rPr>
                <w:sz w:val="18"/>
                <w:szCs w:val="22"/>
              </w:rPr>
            </w:pPr>
            <w:r>
              <w:rPr>
                <w:sz w:val="18"/>
                <w:szCs w:val="22"/>
              </w:rPr>
              <w:t xml:space="preserve">Public expenditure on health per head </w:t>
            </w:r>
          </w:p>
        </w:tc>
        <w:tc>
          <w:tcPr>
            <w:tcW w:w="0" w:type="auto"/>
            <w:vAlign w:val="center"/>
          </w:tcPr>
          <w:p w:rsidR="00000000" w:rsidRDefault="00000000">
            <w:pPr>
              <w:spacing w:before="80" w:after="80"/>
              <w:jc w:val="right"/>
              <w:rPr>
                <w:sz w:val="18"/>
                <w:szCs w:val="22"/>
              </w:rPr>
            </w:pPr>
            <w:r>
              <w:rPr>
                <w:sz w:val="18"/>
                <w:szCs w:val="22"/>
              </w:rPr>
              <w:t>99 113</w:t>
            </w:r>
          </w:p>
        </w:tc>
        <w:tc>
          <w:tcPr>
            <w:tcW w:w="0" w:type="auto"/>
            <w:vAlign w:val="center"/>
          </w:tcPr>
          <w:p w:rsidR="00000000" w:rsidRDefault="00000000">
            <w:pPr>
              <w:spacing w:before="80" w:after="80"/>
              <w:jc w:val="right"/>
              <w:rPr>
                <w:sz w:val="18"/>
                <w:szCs w:val="22"/>
              </w:rPr>
            </w:pPr>
            <w:r>
              <w:rPr>
                <w:sz w:val="18"/>
                <w:szCs w:val="22"/>
              </w:rPr>
              <w:t>127 372</w:t>
            </w:r>
          </w:p>
        </w:tc>
        <w:tc>
          <w:tcPr>
            <w:tcW w:w="0" w:type="auto"/>
            <w:vAlign w:val="center"/>
          </w:tcPr>
          <w:p w:rsidR="00000000" w:rsidRDefault="00000000">
            <w:pPr>
              <w:spacing w:before="80" w:after="80"/>
              <w:jc w:val="right"/>
              <w:rPr>
                <w:sz w:val="18"/>
                <w:szCs w:val="22"/>
              </w:rPr>
            </w:pPr>
            <w:r>
              <w:rPr>
                <w:sz w:val="18"/>
                <w:szCs w:val="22"/>
              </w:rPr>
              <w:t>139 203</w:t>
            </w:r>
          </w:p>
        </w:tc>
        <w:tc>
          <w:tcPr>
            <w:tcW w:w="0" w:type="auto"/>
            <w:vAlign w:val="center"/>
          </w:tcPr>
          <w:p w:rsidR="00000000" w:rsidRDefault="00000000">
            <w:pPr>
              <w:spacing w:before="80" w:after="80"/>
              <w:jc w:val="right"/>
              <w:rPr>
                <w:sz w:val="18"/>
                <w:szCs w:val="22"/>
              </w:rPr>
            </w:pPr>
            <w:r>
              <w:rPr>
                <w:sz w:val="18"/>
                <w:szCs w:val="22"/>
              </w:rPr>
              <w:t>157 907</w:t>
            </w:r>
          </w:p>
        </w:tc>
        <w:tc>
          <w:tcPr>
            <w:tcW w:w="0" w:type="auto"/>
            <w:vAlign w:val="center"/>
          </w:tcPr>
          <w:p w:rsidR="00000000" w:rsidRDefault="00000000">
            <w:pPr>
              <w:spacing w:before="80" w:after="80"/>
              <w:jc w:val="right"/>
              <w:rPr>
                <w:sz w:val="18"/>
                <w:szCs w:val="22"/>
              </w:rPr>
            </w:pPr>
            <w:r>
              <w:rPr>
                <w:sz w:val="18"/>
                <w:szCs w:val="22"/>
              </w:rPr>
              <w:t>141 430</w:t>
            </w:r>
          </w:p>
        </w:tc>
        <w:tc>
          <w:tcPr>
            <w:tcW w:w="0" w:type="auto"/>
            <w:vAlign w:val="center"/>
          </w:tcPr>
          <w:p w:rsidR="00000000" w:rsidRDefault="00000000">
            <w:pPr>
              <w:spacing w:before="80" w:after="80"/>
              <w:jc w:val="right"/>
              <w:rPr>
                <w:sz w:val="18"/>
                <w:szCs w:val="22"/>
              </w:rPr>
            </w:pPr>
            <w:r>
              <w:rPr>
                <w:sz w:val="18"/>
                <w:szCs w:val="22"/>
              </w:rPr>
              <w:t>146 645</w:t>
            </w:r>
          </w:p>
        </w:tc>
        <w:tc>
          <w:tcPr>
            <w:tcW w:w="0" w:type="auto"/>
            <w:vAlign w:val="center"/>
          </w:tcPr>
          <w:p w:rsidR="00000000" w:rsidRDefault="00000000">
            <w:pPr>
              <w:spacing w:before="80" w:after="80"/>
              <w:jc w:val="right"/>
              <w:rPr>
                <w:sz w:val="18"/>
                <w:szCs w:val="22"/>
              </w:rPr>
            </w:pPr>
            <w:r>
              <w:rPr>
                <w:sz w:val="18"/>
                <w:szCs w:val="22"/>
              </w:rPr>
              <w:t>147 903</w:t>
            </w:r>
          </w:p>
        </w:tc>
        <w:tc>
          <w:tcPr>
            <w:tcW w:w="0" w:type="auto"/>
            <w:vAlign w:val="center"/>
          </w:tcPr>
          <w:p w:rsidR="00000000" w:rsidRDefault="00000000">
            <w:pPr>
              <w:spacing w:before="80" w:after="80"/>
              <w:jc w:val="right"/>
              <w:rPr>
                <w:sz w:val="18"/>
                <w:szCs w:val="22"/>
              </w:rPr>
            </w:pPr>
            <w:r>
              <w:rPr>
                <w:sz w:val="18"/>
                <w:szCs w:val="22"/>
              </w:rPr>
              <w:t>178 716</w:t>
            </w:r>
          </w:p>
        </w:tc>
      </w:tr>
      <w:tr w:rsidR="00000000">
        <w:tc>
          <w:tcPr>
            <w:tcW w:w="0" w:type="auto"/>
            <w:tcBorders>
              <w:bottom w:val="single" w:sz="4" w:space="0" w:color="auto"/>
            </w:tcBorders>
            <w:vAlign w:val="center"/>
          </w:tcPr>
          <w:p w:rsidR="00000000" w:rsidRDefault="00000000">
            <w:pPr>
              <w:spacing w:before="80" w:after="80"/>
              <w:rPr>
                <w:sz w:val="18"/>
                <w:szCs w:val="22"/>
              </w:rPr>
            </w:pPr>
            <w:r>
              <w:rPr>
                <w:sz w:val="18"/>
                <w:szCs w:val="22"/>
              </w:rPr>
              <w:t xml:space="preserve">Public expenditure on health per head (in US$) </w:t>
            </w:r>
          </w:p>
        </w:tc>
        <w:tc>
          <w:tcPr>
            <w:tcW w:w="0" w:type="auto"/>
            <w:tcBorders>
              <w:bottom w:val="single" w:sz="4" w:space="0" w:color="auto"/>
            </w:tcBorders>
            <w:vAlign w:val="center"/>
          </w:tcPr>
          <w:p w:rsidR="00000000" w:rsidRDefault="00000000">
            <w:pPr>
              <w:spacing w:before="80" w:after="80"/>
              <w:jc w:val="right"/>
              <w:rPr>
                <w:sz w:val="18"/>
                <w:szCs w:val="22"/>
              </w:rPr>
            </w:pPr>
            <w:r>
              <w:rPr>
                <w:sz w:val="18"/>
                <w:szCs w:val="22"/>
              </w:rPr>
              <w:t>45 22</w:t>
            </w:r>
          </w:p>
        </w:tc>
        <w:tc>
          <w:tcPr>
            <w:tcW w:w="0" w:type="auto"/>
            <w:tcBorders>
              <w:bottom w:val="single" w:sz="4" w:space="0" w:color="auto"/>
            </w:tcBorders>
            <w:vAlign w:val="center"/>
          </w:tcPr>
          <w:p w:rsidR="00000000" w:rsidRDefault="00000000">
            <w:pPr>
              <w:spacing w:before="80" w:after="80"/>
              <w:jc w:val="right"/>
              <w:rPr>
                <w:sz w:val="18"/>
                <w:szCs w:val="22"/>
              </w:rPr>
            </w:pPr>
            <w:r>
              <w:rPr>
                <w:sz w:val="18"/>
                <w:szCs w:val="22"/>
              </w:rPr>
              <w:t>46 23</w:t>
            </w:r>
          </w:p>
        </w:tc>
        <w:tc>
          <w:tcPr>
            <w:tcW w:w="0" w:type="auto"/>
            <w:tcBorders>
              <w:bottom w:val="single" w:sz="4" w:space="0" w:color="auto"/>
            </w:tcBorders>
            <w:vAlign w:val="center"/>
          </w:tcPr>
          <w:p w:rsidR="00000000" w:rsidRDefault="00000000">
            <w:pPr>
              <w:spacing w:before="80" w:after="80"/>
              <w:jc w:val="right"/>
              <w:rPr>
                <w:sz w:val="18"/>
                <w:szCs w:val="22"/>
              </w:rPr>
            </w:pPr>
            <w:r>
              <w:rPr>
                <w:sz w:val="18"/>
                <w:szCs w:val="22"/>
              </w:rPr>
              <w:t>44 40</w:t>
            </w:r>
          </w:p>
        </w:tc>
        <w:tc>
          <w:tcPr>
            <w:tcW w:w="0" w:type="auto"/>
            <w:tcBorders>
              <w:bottom w:val="single" w:sz="4" w:space="0" w:color="auto"/>
            </w:tcBorders>
            <w:vAlign w:val="center"/>
          </w:tcPr>
          <w:p w:rsidR="00000000" w:rsidRDefault="00000000">
            <w:pPr>
              <w:spacing w:before="80" w:after="80"/>
              <w:jc w:val="right"/>
              <w:rPr>
                <w:sz w:val="18"/>
                <w:szCs w:val="22"/>
              </w:rPr>
            </w:pPr>
            <w:r>
              <w:rPr>
                <w:sz w:val="18"/>
                <w:szCs w:val="22"/>
              </w:rPr>
              <w:t>45 09</w:t>
            </w:r>
          </w:p>
        </w:tc>
        <w:tc>
          <w:tcPr>
            <w:tcW w:w="0" w:type="auto"/>
            <w:tcBorders>
              <w:bottom w:val="single" w:sz="4" w:space="0" w:color="auto"/>
            </w:tcBorders>
            <w:vAlign w:val="center"/>
          </w:tcPr>
          <w:p w:rsidR="00000000" w:rsidRDefault="00000000">
            <w:pPr>
              <w:spacing w:before="80" w:after="80"/>
              <w:jc w:val="right"/>
              <w:rPr>
                <w:sz w:val="18"/>
                <w:szCs w:val="22"/>
              </w:rPr>
            </w:pPr>
            <w:r>
              <w:rPr>
                <w:sz w:val="18"/>
                <w:szCs w:val="22"/>
              </w:rPr>
              <w:t>34 26</w:t>
            </w:r>
          </w:p>
        </w:tc>
        <w:tc>
          <w:tcPr>
            <w:tcW w:w="0" w:type="auto"/>
            <w:tcBorders>
              <w:bottom w:val="single" w:sz="4" w:space="0" w:color="auto"/>
            </w:tcBorders>
            <w:vAlign w:val="center"/>
          </w:tcPr>
          <w:p w:rsidR="00000000" w:rsidRDefault="00000000">
            <w:pPr>
              <w:spacing w:before="80" w:after="80"/>
              <w:jc w:val="right"/>
              <w:rPr>
                <w:sz w:val="18"/>
                <w:szCs w:val="22"/>
              </w:rPr>
            </w:pPr>
            <w:r>
              <w:rPr>
                <w:sz w:val="18"/>
                <w:szCs w:val="22"/>
              </w:rPr>
              <w:t>25 4</w:t>
            </w:r>
          </w:p>
        </w:tc>
        <w:tc>
          <w:tcPr>
            <w:tcW w:w="0" w:type="auto"/>
            <w:tcBorders>
              <w:bottom w:val="single" w:sz="4" w:space="0" w:color="auto"/>
            </w:tcBorders>
            <w:vAlign w:val="center"/>
          </w:tcPr>
          <w:p w:rsidR="00000000" w:rsidRDefault="00000000">
            <w:pPr>
              <w:spacing w:before="80" w:after="80"/>
              <w:jc w:val="right"/>
              <w:rPr>
                <w:sz w:val="18"/>
                <w:szCs w:val="22"/>
              </w:rPr>
            </w:pPr>
            <w:r>
              <w:rPr>
                <w:sz w:val="18"/>
                <w:szCs w:val="22"/>
              </w:rPr>
              <w:t>23 1</w:t>
            </w:r>
          </w:p>
        </w:tc>
        <w:tc>
          <w:tcPr>
            <w:tcW w:w="0" w:type="auto"/>
            <w:tcBorders>
              <w:bottom w:val="single" w:sz="4" w:space="0" w:color="auto"/>
            </w:tcBorders>
            <w:vAlign w:val="center"/>
          </w:tcPr>
          <w:p w:rsidR="00000000" w:rsidRDefault="00000000">
            <w:pPr>
              <w:spacing w:before="80" w:after="80"/>
              <w:jc w:val="right"/>
              <w:rPr>
                <w:sz w:val="18"/>
                <w:szCs w:val="22"/>
              </w:rPr>
            </w:pPr>
            <w:r>
              <w:rPr>
                <w:sz w:val="18"/>
                <w:szCs w:val="22"/>
              </w:rPr>
              <w:t>28 6</w:t>
            </w:r>
          </w:p>
        </w:tc>
      </w:tr>
    </w:tbl>
    <w:p w:rsidR="00000000" w:rsidRDefault="00000000">
      <w:pPr>
        <w:spacing w:before="120" w:after="240"/>
        <w:ind w:left="567"/>
        <w:rPr>
          <w:sz w:val="20"/>
          <w:szCs w:val="16"/>
        </w:rPr>
      </w:pPr>
      <w:r>
        <w:rPr>
          <w:i/>
          <w:iCs/>
          <w:sz w:val="20"/>
          <w:szCs w:val="16"/>
        </w:rPr>
        <w:t>Source </w:t>
      </w:r>
      <w:r>
        <w:rPr>
          <w:sz w:val="20"/>
          <w:szCs w:val="16"/>
        </w:rPr>
        <w:t>:Public sector: MSPyBS, SICO, MH, National Health Accounts..</w:t>
      </w:r>
    </w:p>
    <w:p w:rsidR="00000000" w:rsidRDefault="00000000">
      <w:pPr>
        <w:pStyle w:val="xl23"/>
        <w:spacing w:before="0" w:beforeAutospacing="0" w:after="240" w:afterAutospacing="0"/>
        <w:rPr>
          <w:rFonts w:ascii="Times New Roman" w:hAnsi="Times New Roman" w:cs="Times New Roman"/>
          <w:lang w:val="en-GB" w:eastAsia="en-US"/>
        </w:rPr>
      </w:pPr>
      <w:r>
        <w:rPr>
          <w:rFonts w:ascii="Times New Roman" w:hAnsi="Times New Roman" w:cs="Times New Roman"/>
          <w:lang w:val="en-GB" w:eastAsia="en-US"/>
        </w:rPr>
        <w:t>3.</w:t>
      </w:r>
      <w:r>
        <w:rPr>
          <w:rFonts w:ascii="Times New Roman" w:hAnsi="Times New Roman" w:cs="Times New Roman"/>
          <w:lang w:val="en-GB" w:eastAsia="en-US"/>
        </w:rPr>
        <w:tab/>
        <w:t>Child mortality rate</w:t>
      </w:r>
    </w:p>
    <w:p w:rsidR="00000000" w:rsidRDefault="00000000">
      <w:pPr>
        <w:spacing w:after="240"/>
      </w:pPr>
      <w:r>
        <w:rPr>
          <w:lang w:val="en-US"/>
        </w:rPr>
        <w:t>468</w:t>
      </w:r>
      <w:r>
        <w:t>.</w:t>
      </w:r>
      <w:r>
        <w:tab/>
        <w:t xml:space="preserve">This section complements the information provided in the first part of this report, which furnished general information. The statistical data below reflect data on child mortality disaggregated by sex, zone of residence of the deceased and health region. It will be observed that 1,683 children died at less than one year of age, 1,025 ( 61 per cent) before reaching the age of one month and, of these, 768 (75 per cent) lived for less than one week. </w:t>
      </w:r>
    </w:p>
    <w:p w:rsidR="00000000" w:rsidRDefault="00000000">
      <w:pPr>
        <w:spacing w:after="240"/>
      </w:pPr>
      <w:r>
        <w:rPr>
          <w:lang w:val="en-US"/>
        </w:rPr>
        <w:t>469</w:t>
      </w:r>
      <w:r>
        <w:t>.</w:t>
      </w:r>
      <w:r>
        <w:tab/>
        <w:t xml:space="preserve">According to the declarations of residence made by the parents, 1,257 children who died before reaching one year of age (74 per cent) ) were from urban areas. Disaggregation by sex gives subtotals of 923 boys (55 per cent) and 758 girls (45 per cent). The five principal causes of child mortality are injuries sustained at birth, neonatal infections, congenital malformations, premature birth and pneumonia and influenza. </w:t>
      </w:r>
    </w:p>
    <w:p w:rsidR="00000000" w:rsidRDefault="00000000">
      <w:pPr>
        <w:spacing w:after="240"/>
      </w:pPr>
      <w:r>
        <w:t>470.</w:t>
      </w:r>
      <w:r>
        <w:tab/>
        <w:t xml:space="preserve">The principal cause of maternal mortality is still abortion, followed by toxaemia and haemorrhage. However, disaggregation by health region reveals that during the last three years the largest numbers of maternal deaths occurred in the Central department and the departments of San Pedro, Alta Paraná and Caaguazú. More detailed information on the situation regarding access to health in Paraguay is given below. </w:t>
      </w:r>
    </w:p>
    <w:p w:rsidR="00000000" w:rsidRDefault="00000000">
      <w:pPr>
        <w:pStyle w:val="xl46"/>
        <w:spacing w:before="0" w:beforeAutospacing="0" w:after="240" w:afterAutospacing="0"/>
        <w:rPr>
          <w:rFonts w:ascii="Times New Roman" w:eastAsia="Times New Roman" w:hAnsi="Times New Roman" w:cs="Times New Roman"/>
          <w:szCs w:val="24"/>
          <w:lang w:val="en-GB" w:eastAsia="en-US"/>
        </w:rPr>
      </w:pPr>
      <w:r>
        <w:rPr>
          <w:rFonts w:ascii="Times New Roman" w:eastAsia="Times New Roman" w:hAnsi="Times New Roman" w:cs="Times New Roman"/>
          <w:szCs w:val="24"/>
          <w:lang w:val="en-GB" w:eastAsia="en-US"/>
        </w:rPr>
        <w:t>Deaths of children under age 1 where medical attendance present/not present,</w:t>
      </w:r>
      <w:r>
        <w:rPr>
          <w:rFonts w:ascii="Times New Roman" w:eastAsia="Times New Roman" w:hAnsi="Times New Roman" w:cs="Times New Roman"/>
          <w:szCs w:val="24"/>
          <w:lang w:val="en-GB" w:eastAsia="en-US"/>
        </w:rPr>
        <w:br/>
        <w:t>by health region (Paraguay, 2003)</w:t>
      </w:r>
    </w:p>
    <w:tbl>
      <w:tblPr>
        <w:tblW w:w="5015" w:type="pct"/>
        <w:tblInd w:w="-27" w:type="dxa"/>
        <w:tblLayout w:type="fixed"/>
        <w:tblCellMar>
          <w:left w:w="0" w:type="dxa"/>
          <w:right w:w="0" w:type="dxa"/>
        </w:tblCellMar>
        <w:tblLook w:val="0000" w:firstRow="0" w:lastRow="0" w:firstColumn="0" w:lastColumn="0" w:noHBand="0" w:noVBand="0"/>
      </w:tblPr>
      <w:tblGrid>
        <w:gridCol w:w="2026"/>
        <w:gridCol w:w="775"/>
        <w:gridCol w:w="855"/>
        <w:gridCol w:w="659"/>
        <w:gridCol w:w="757"/>
        <w:gridCol w:w="589"/>
        <w:gridCol w:w="756"/>
        <w:gridCol w:w="616"/>
        <w:gridCol w:w="1180"/>
        <w:gridCol w:w="1244"/>
      </w:tblGrid>
      <w:tr w:rsidR="00000000">
        <w:trPr>
          <w:cantSplit/>
          <w:tblHeader/>
        </w:trPr>
        <w:tc>
          <w:tcPr>
            <w:tcW w:w="2025" w:type="dxa"/>
            <w:vMerge w:val="restart"/>
            <w:tcBorders>
              <w:top w:val="single" w:sz="4" w:space="0" w:color="auto"/>
              <w:bottom w:val="single" w:sz="4" w:space="0" w:color="auto"/>
              <w:right w:val="single" w:sz="4" w:space="0" w:color="auto"/>
            </w:tcBorders>
            <w:vAlign w:val="center"/>
          </w:tcPr>
          <w:p w:rsidR="00000000" w:rsidRDefault="00000000">
            <w:pPr>
              <w:spacing w:before="60" w:after="60"/>
              <w:jc w:val="center"/>
              <w:rPr>
                <w:b/>
                <w:bCs/>
                <w:i/>
                <w:iCs/>
                <w:sz w:val="20"/>
                <w:szCs w:val="16"/>
              </w:rPr>
            </w:pPr>
            <w:r>
              <w:rPr>
                <w:b/>
                <w:bCs/>
                <w:i/>
                <w:iCs/>
                <w:sz w:val="20"/>
                <w:szCs w:val="16"/>
              </w:rPr>
              <w:t>Halth region</w:t>
            </w:r>
          </w:p>
        </w:tc>
        <w:tc>
          <w:tcPr>
            <w:tcW w:w="1629" w:type="dxa"/>
            <w:gridSpan w:val="2"/>
            <w:tcBorders>
              <w:top w:val="single" w:sz="4" w:space="0" w:color="auto"/>
              <w:left w:val="nil"/>
              <w:bottom w:val="single" w:sz="4" w:space="0" w:color="auto"/>
              <w:right w:val="single" w:sz="4" w:space="0" w:color="000000"/>
            </w:tcBorders>
            <w:noWrap/>
            <w:vAlign w:val="center"/>
          </w:tcPr>
          <w:p w:rsidR="00000000" w:rsidRDefault="00000000">
            <w:pPr>
              <w:spacing w:before="60" w:after="60"/>
              <w:jc w:val="center"/>
              <w:rPr>
                <w:b/>
                <w:bCs/>
                <w:i/>
                <w:iCs/>
                <w:sz w:val="20"/>
                <w:szCs w:val="16"/>
              </w:rPr>
            </w:pPr>
            <w:r>
              <w:rPr>
                <w:b/>
                <w:bCs/>
                <w:i/>
                <w:iCs/>
                <w:sz w:val="20"/>
                <w:szCs w:val="16"/>
              </w:rPr>
              <w:t>&lt; 1 day</w:t>
            </w:r>
          </w:p>
        </w:tc>
        <w:tc>
          <w:tcPr>
            <w:tcW w:w="1416" w:type="dxa"/>
            <w:gridSpan w:val="2"/>
            <w:tcBorders>
              <w:top w:val="single" w:sz="4" w:space="0" w:color="auto"/>
              <w:left w:val="nil"/>
              <w:bottom w:val="single" w:sz="4" w:space="0" w:color="auto"/>
              <w:right w:val="nil"/>
            </w:tcBorders>
            <w:noWrap/>
            <w:vAlign w:val="center"/>
          </w:tcPr>
          <w:p w:rsidR="00000000" w:rsidRDefault="00000000">
            <w:pPr>
              <w:spacing w:before="60" w:after="60"/>
              <w:jc w:val="center"/>
              <w:rPr>
                <w:b/>
                <w:bCs/>
                <w:i/>
                <w:iCs/>
                <w:sz w:val="20"/>
                <w:szCs w:val="16"/>
              </w:rPr>
            </w:pPr>
            <w:r>
              <w:rPr>
                <w:b/>
                <w:bCs/>
                <w:i/>
                <w:iCs/>
                <w:sz w:val="20"/>
                <w:szCs w:val="16"/>
              </w:rPr>
              <w:t>1 - 6 days</w:t>
            </w:r>
          </w:p>
        </w:tc>
        <w:tc>
          <w:tcPr>
            <w:tcW w:w="1345" w:type="dxa"/>
            <w:gridSpan w:val="2"/>
            <w:tcBorders>
              <w:top w:val="single" w:sz="4" w:space="0" w:color="auto"/>
              <w:left w:val="single" w:sz="4" w:space="0" w:color="auto"/>
              <w:bottom w:val="single" w:sz="4" w:space="0" w:color="auto"/>
              <w:right w:val="nil"/>
            </w:tcBorders>
            <w:noWrap/>
            <w:vAlign w:val="center"/>
          </w:tcPr>
          <w:p w:rsidR="00000000" w:rsidRDefault="00000000">
            <w:pPr>
              <w:spacing w:before="60" w:after="60"/>
              <w:jc w:val="center"/>
              <w:rPr>
                <w:b/>
                <w:bCs/>
                <w:i/>
                <w:iCs/>
                <w:sz w:val="20"/>
                <w:szCs w:val="16"/>
              </w:rPr>
            </w:pPr>
            <w:r>
              <w:rPr>
                <w:b/>
                <w:bCs/>
                <w:i/>
                <w:iCs/>
                <w:sz w:val="20"/>
                <w:szCs w:val="16"/>
              </w:rPr>
              <w:t>7 - 27 days</w:t>
            </w:r>
          </w:p>
        </w:tc>
        <w:tc>
          <w:tcPr>
            <w:tcW w:w="1796" w:type="dxa"/>
            <w:gridSpan w:val="2"/>
            <w:tcBorders>
              <w:top w:val="single" w:sz="4" w:space="0" w:color="auto"/>
              <w:left w:val="single" w:sz="4" w:space="0" w:color="auto"/>
              <w:bottom w:val="single" w:sz="4" w:space="0" w:color="auto"/>
              <w:right w:val="single" w:sz="4" w:space="0" w:color="000000"/>
            </w:tcBorders>
            <w:noWrap/>
            <w:vAlign w:val="center"/>
          </w:tcPr>
          <w:p w:rsidR="00000000" w:rsidRDefault="00000000">
            <w:pPr>
              <w:spacing w:before="60" w:after="60"/>
              <w:jc w:val="center"/>
              <w:rPr>
                <w:b/>
                <w:bCs/>
                <w:i/>
                <w:iCs/>
                <w:sz w:val="20"/>
                <w:szCs w:val="16"/>
              </w:rPr>
            </w:pPr>
            <w:r>
              <w:rPr>
                <w:b/>
                <w:bCs/>
                <w:i/>
                <w:iCs/>
                <w:sz w:val="20"/>
                <w:szCs w:val="16"/>
              </w:rPr>
              <w:t>28 days and over</w:t>
            </w:r>
          </w:p>
        </w:tc>
        <w:tc>
          <w:tcPr>
            <w:tcW w:w="1244" w:type="dxa"/>
            <w:vMerge w:val="restart"/>
            <w:tcBorders>
              <w:top w:val="single" w:sz="4" w:space="0" w:color="auto"/>
              <w:left w:val="single" w:sz="4" w:space="0" w:color="auto"/>
              <w:bottom w:val="single" w:sz="4" w:space="0" w:color="auto"/>
            </w:tcBorders>
            <w:noWrap/>
            <w:vAlign w:val="center"/>
          </w:tcPr>
          <w:p w:rsidR="00000000" w:rsidRDefault="00000000">
            <w:pPr>
              <w:spacing w:before="60" w:after="60"/>
              <w:jc w:val="center"/>
              <w:rPr>
                <w:b/>
                <w:bCs/>
                <w:i/>
                <w:iCs/>
                <w:sz w:val="20"/>
                <w:szCs w:val="16"/>
                <w:lang w:val="fr-FR"/>
              </w:rPr>
            </w:pPr>
            <w:r>
              <w:rPr>
                <w:b/>
                <w:bCs/>
                <w:i/>
                <w:iCs/>
                <w:sz w:val="20"/>
                <w:szCs w:val="16"/>
                <w:lang w:val="fr-FR"/>
              </w:rPr>
              <w:t>Total</w:t>
            </w:r>
          </w:p>
        </w:tc>
      </w:tr>
      <w:tr w:rsidR="00000000">
        <w:trPr>
          <w:cantSplit/>
          <w:tblHeader/>
        </w:trPr>
        <w:tc>
          <w:tcPr>
            <w:tcW w:w="2025" w:type="dxa"/>
            <w:vMerge/>
            <w:tcBorders>
              <w:top w:val="single" w:sz="4" w:space="0" w:color="auto"/>
              <w:bottom w:val="single" w:sz="4" w:space="0" w:color="auto"/>
              <w:right w:val="single" w:sz="4" w:space="0" w:color="auto"/>
            </w:tcBorders>
            <w:vAlign w:val="center"/>
          </w:tcPr>
          <w:p w:rsidR="00000000" w:rsidRDefault="00000000">
            <w:pPr>
              <w:spacing w:before="60" w:after="60"/>
              <w:jc w:val="center"/>
              <w:rPr>
                <w:b/>
                <w:bCs/>
                <w:i/>
                <w:iCs/>
                <w:sz w:val="20"/>
                <w:szCs w:val="16"/>
                <w:lang w:val="fr-FR"/>
              </w:rPr>
            </w:pPr>
          </w:p>
        </w:tc>
        <w:tc>
          <w:tcPr>
            <w:tcW w:w="774" w:type="dxa"/>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b/>
                <w:bCs/>
                <w:i/>
                <w:iCs/>
                <w:sz w:val="20"/>
                <w:szCs w:val="16"/>
                <w:lang w:val="fr-FR"/>
              </w:rPr>
            </w:pPr>
            <w:r>
              <w:rPr>
                <w:b/>
                <w:bCs/>
                <w:i/>
                <w:iCs/>
                <w:sz w:val="20"/>
                <w:szCs w:val="16"/>
                <w:lang w:val="fr-FR"/>
              </w:rPr>
              <w:t>MA</w:t>
            </w:r>
          </w:p>
        </w:tc>
        <w:tc>
          <w:tcPr>
            <w:tcW w:w="855" w:type="dxa"/>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b/>
                <w:bCs/>
                <w:i/>
                <w:iCs/>
                <w:sz w:val="20"/>
                <w:szCs w:val="16"/>
                <w:lang w:val="fr-FR"/>
              </w:rPr>
            </w:pPr>
            <w:r>
              <w:rPr>
                <w:b/>
                <w:bCs/>
                <w:i/>
                <w:iCs/>
                <w:sz w:val="20"/>
                <w:szCs w:val="16"/>
                <w:lang w:val="fr-FR"/>
              </w:rPr>
              <w:t>No MA</w:t>
            </w:r>
          </w:p>
        </w:tc>
        <w:tc>
          <w:tcPr>
            <w:tcW w:w="659" w:type="dxa"/>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b/>
                <w:bCs/>
                <w:i/>
                <w:iCs/>
                <w:sz w:val="20"/>
                <w:szCs w:val="16"/>
                <w:lang w:val="fr-FR"/>
              </w:rPr>
            </w:pPr>
            <w:r>
              <w:rPr>
                <w:b/>
                <w:bCs/>
                <w:i/>
                <w:iCs/>
                <w:sz w:val="20"/>
                <w:szCs w:val="16"/>
                <w:lang w:val="fr-FR"/>
              </w:rPr>
              <w:t>MA</w:t>
            </w:r>
          </w:p>
        </w:tc>
        <w:tc>
          <w:tcPr>
            <w:tcW w:w="757" w:type="dxa"/>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b/>
                <w:bCs/>
                <w:i/>
                <w:iCs/>
                <w:sz w:val="20"/>
                <w:szCs w:val="16"/>
                <w:lang w:val="pt-BR"/>
              </w:rPr>
            </w:pPr>
            <w:r>
              <w:rPr>
                <w:b/>
                <w:bCs/>
                <w:i/>
                <w:iCs/>
                <w:sz w:val="20"/>
                <w:szCs w:val="16"/>
                <w:lang w:val="pt-BR"/>
              </w:rPr>
              <w:t>No MA</w:t>
            </w:r>
          </w:p>
        </w:tc>
        <w:tc>
          <w:tcPr>
            <w:tcW w:w="589" w:type="dxa"/>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b/>
                <w:bCs/>
                <w:i/>
                <w:iCs/>
                <w:sz w:val="20"/>
                <w:szCs w:val="16"/>
                <w:lang w:val="pt-BR"/>
              </w:rPr>
            </w:pPr>
            <w:r>
              <w:rPr>
                <w:b/>
                <w:bCs/>
                <w:i/>
                <w:iCs/>
                <w:sz w:val="20"/>
                <w:szCs w:val="16"/>
                <w:lang w:val="pt-BR"/>
              </w:rPr>
              <w:t>MA</w:t>
            </w:r>
          </w:p>
        </w:tc>
        <w:tc>
          <w:tcPr>
            <w:tcW w:w="756" w:type="dxa"/>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b/>
                <w:bCs/>
                <w:i/>
                <w:iCs/>
                <w:sz w:val="20"/>
                <w:szCs w:val="16"/>
                <w:lang w:val="pt-BR"/>
              </w:rPr>
            </w:pPr>
            <w:r>
              <w:rPr>
                <w:b/>
                <w:bCs/>
                <w:i/>
                <w:iCs/>
                <w:sz w:val="20"/>
                <w:szCs w:val="16"/>
                <w:lang w:val="pt-BR"/>
              </w:rPr>
              <w:t>No MA</w:t>
            </w:r>
          </w:p>
        </w:tc>
        <w:tc>
          <w:tcPr>
            <w:tcW w:w="616" w:type="dxa"/>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b/>
                <w:bCs/>
                <w:i/>
                <w:iCs/>
                <w:sz w:val="20"/>
                <w:szCs w:val="16"/>
                <w:lang w:val="pt-BR"/>
              </w:rPr>
            </w:pPr>
            <w:r>
              <w:rPr>
                <w:b/>
                <w:bCs/>
                <w:i/>
                <w:iCs/>
                <w:sz w:val="20"/>
                <w:szCs w:val="16"/>
                <w:lang w:val="pt-BR"/>
              </w:rPr>
              <w:t>MA</w:t>
            </w:r>
          </w:p>
        </w:tc>
        <w:tc>
          <w:tcPr>
            <w:tcW w:w="1180" w:type="dxa"/>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b/>
                <w:bCs/>
                <w:i/>
                <w:iCs/>
                <w:sz w:val="20"/>
                <w:szCs w:val="16"/>
                <w:lang w:val="pt-BR"/>
              </w:rPr>
            </w:pPr>
            <w:r>
              <w:rPr>
                <w:b/>
                <w:bCs/>
                <w:i/>
                <w:iCs/>
                <w:sz w:val="20"/>
                <w:szCs w:val="16"/>
                <w:lang w:val="pt-BR"/>
              </w:rPr>
              <w:t>No MA</w:t>
            </w:r>
          </w:p>
        </w:tc>
        <w:tc>
          <w:tcPr>
            <w:tcW w:w="1244" w:type="dxa"/>
            <w:vMerge/>
            <w:tcBorders>
              <w:top w:val="single" w:sz="4" w:space="0" w:color="auto"/>
              <w:left w:val="single" w:sz="4" w:space="0" w:color="auto"/>
              <w:bottom w:val="single" w:sz="4" w:space="0" w:color="auto"/>
            </w:tcBorders>
            <w:vAlign w:val="center"/>
          </w:tcPr>
          <w:p w:rsidR="00000000" w:rsidRDefault="00000000">
            <w:pPr>
              <w:spacing w:before="60" w:after="60"/>
              <w:jc w:val="center"/>
              <w:rPr>
                <w:b/>
                <w:bCs/>
                <w:i/>
                <w:iCs/>
                <w:sz w:val="20"/>
                <w:szCs w:val="16"/>
                <w:lang w:val="pt-BR"/>
              </w:rPr>
            </w:pPr>
          </w:p>
        </w:tc>
      </w:tr>
      <w:tr w:rsidR="00000000">
        <w:tc>
          <w:tcPr>
            <w:tcW w:w="2025" w:type="dxa"/>
            <w:tcBorders>
              <w:top w:val="single" w:sz="4" w:space="0" w:color="auto"/>
              <w:right w:val="single" w:sz="4" w:space="0" w:color="auto"/>
            </w:tcBorders>
            <w:noWrap/>
            <w:vAlign w:val="bottom"/>
          </w:tcPr>
          <w:p w:rsidR="00000000" w:rsidRDefault="00000000">
            <w:pPr>
              <w:spacing w:before="60" w:after="60"/>
              <w:rPr>
                <w:sz w:val="20"/>
                <w:szCs w:val="16"/>
                <w:lang w:val="pt-BR"/>
              </w:rPr>
            </w:pPr>
            <w:r>
              <w:rPr>
                <w:sz w:val="20"/>
                <w:szCs w:val="16"/>
                <w:lang w:val="pt-BR"/>
              </w:rPr>
              <w:t>Concepcion</w:t>
            </w:r>
          </w:p>
        </w:tc>
        <w:tc>
          <w:tcPr>
            <w:tcW w:w="774" w:type="dxa"/>
            <w:tcBorders>
              <w:top w:val="single" w:sz="4" w:space="0" w:color="auto"/>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14</w:t>
            </w:r>
          </w:p>
        </w:tc>
        <w:tc>
          <w:tcPr>
            <w:tcW w:w="855" w:type="dxa"/>
            <w:tcBorders>
              <w:top w:val="single" w:sz="4" w:space="0" w:color="auto"/>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w:t>
            </w:r>
          </w:p>
        </w:tc>
        <w:tc>
          <w:tcPr>
            <w:tcW w:w="659" w:type="dxa"/>
            <w:tcBorders>
              <w:top w:val="single" w:sz="4" w:space="0" w:color="auto"/>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39</w:t>
            </w:r>
          </w:p>
        </w:tc>
        <w:tc>
          <w:tcPr>
            <w:tcW w:w="757" w:type="dxa"/>
            <w:tcBorders>
              <w:top w:val="single" w:sz="4" w:space="0" w:color="auto"/>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0</w:t>
            </w:r>
          </w:p>
        </w:tc>
        <w:tc>
          <w:tcPr>
            <w:tcW w:w="589" w:type="dxa"/>
            <w:tcBorders>
              <w:top w:val="single" w:sz="4" w:space="0" w:color="auto"/>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15</w:t>
            </w:r>
          </w:p>
        </w:tc>
        <w:tc>
          <w:tcPr>
            <w:tcW w:w="756" w:type="dxa"/>
            <w:tcBorders>
              <w:top w:val="single" w:sz="4" w:space="0" w:color="auto"/>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w:t>
            </w:r>
          </w:p>
        </w:tc>
        <w:tc>
          <w:tcPr>
            <w:tcW w:w="616" w:type="dxa"/>
            <w:tcBorders>
              <w:top w:val="single" w:sz="4" w:space="0" w:color="auto"/>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28</w:t>
            </w:r>
          </w:p>
        </w:tc>
        <w:tc>
          <w:tcPr>
            <w:tcW w:w="1180" w:type="dxa"/>
            <w:tcBorders>
              <w:top w:val="single" w:sz="4" w:space="0" w:color="auto"/>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8</w:t>
            </w:r>
          </w:p>
        </w:tc>
        <w:tc>
          <w:tcPr>
            <w:tcW w:w="1244" w:type="dxa"/>
            <w:tcBorders>
              <w:top w:val="single" w:sz="4" w:space="0" w:color="auto"/>
              <w:left w:val="nil"/>
            </w:tcBorders>
            <w:noWrap/>
            <w:vAlign w:val="bottom"/>
          </w:tcPr>
          <w:p w:rsidR="00000000" w:rsidRDefault="00000000">
            <w:pPr>
              <w:spacing w:before="60" w:after="60"/>
              <w:jc w:val="center"/>
              <w:rPr>
                <w:sz w:val="20"/>
                <w:szCs w:val="16"/>
                <w:lang w:val="pt-BR"/>
              </w:rPr>
            </w:pPr>
            <w:r>
              <w:rPr>
                <w:sz w:val="20"/>
                <w:szCs w:val="16"/>
                <w:lang w:val="pt-BR"/>
              </w:rPr>
              <w:t>108</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lang w:val="pt-BR"/>
              </w:rPr>
            </w:pPr>
            <w:r>
              <w:rPr>
                <w:sz w:val="20"/>
                <w:szCs w:val="16"/>
                <w:lang w:val="pt-BR"/>
              </w:rPr>
              <w:t>San Pedro</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13</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0</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18</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0</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13</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0</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42</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4</w:t>
            </w:r>
          </w:p>
        </w:tc>
        <w:tc>
          <w:tcPr>
            <w:tcW w:w="1244" w:type="dxa"/>
            <w:tcBorders>
              <w:top w:val="nil"/>
              <w:left w:val="nil"/>
            </w:tcBorders>
            <w:noWrap/>
            <w:vAlign w:val="bottom"/>
          </w:tcPr>
          <w:p w:rsidR="00000000" w:rsidRDefault="00000000">
            <w:pPr>
              <w:spacing w:before="60" w:after="60"/>
              <w:jc w:val="center"/>
              <w:rPr>
                <w:sz w:val="20"/>
                <w:szCs w:val="16"/>
                <w:lang w:val="pt-BR"/>
              </w:rPr>
            </w:pPr>
            <w:r>
              <w:rPr>
                <w:sz w:val="20"/>
                <w:szCs w:val="16"/>
                <w:lang w:val="pt-BR"/>
              </w:rPr>
              <w:t>90</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lang w:val="pt-BR"/>
              </w:rPr>
            </w:pPr>
            <w:r>
              <w:rPr>
                <w:sz w:val="20"/>
                <w:szCs w:val="16"/>
                <w:lang w:val="pt-BR"/>
              </w:rPr>
              <w:t>Cordillera</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26</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18</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8</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3</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28</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8</w:t>
            </w:r>
          </w:p>
        </w:tc>
        <w:tc>
          <w:tcPr>
            <w:tcW w:w="1244" w:type="dxa"/>
            <w:tcBorders>
              <w:top w:val="nil"/>
              <w:left w:val="nil"/>
            </w:tcBorders>
            <w:noWrap/>
            <w:vAlign w:val="bottom"/>
          </w:tcPr>
          <w:p w:rsidR="00000000" w:rsidRDefault="00000000">
            <w:pPr>
              <w:spacing w:before="60" w:after="60"/>
              <w:jc w:val="center"/>
              <w:rPr>
                <w:sz w:val="20"/>
                <w:szCs w:val="16"/>
                <w:lang w:val="pt-BR"/>
              </w:rPr>
            </w:pPr>
            <w:r>
              <w:rPr>
                <w:sz w:val="20"/>
                <w:szCs w:val="16"/>
                <w:lang w:val="pt-BR"/>
              </w:rPr>
              <w:t>93</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lang w:val="pt-BR"/>
              </w:rPr>
            </w:pPr>
            <w:r>
              <w:rPr>
                <w:sz w:val="20"/>
                <w:szCs w:val="16"/>
                <w:lang w:val="pt-BR"/>
              </w:rPr>
              <w:t>Guaira</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15</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27</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3</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17</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25</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5</w:t>
            </w:r>
          </w:p>
        </w:tc>
        <w:tc>
          <w:tcPr>
            <w:tcW w:w="1244" w:type="dxa"/>
            <w:tcBorders>
              <w:top w:val="nil"/>
              <w:left w:val="nil"/>
            </w:tcBorders>
            <w:noWrap/>
            <w:vAlign w:val="bottom"/>
          </w:tcPr>
          <w:p w:rsidR="00000000" w:rsidRDefault="00000000">
            <w:pPr>
              <w:spacing w:before="60" w:after="60"/>
              <w:jc w:val="center"/>
              <w:rPr>
                <w:sz w:val="20"/>
                <w:szCs w:val="16"/>
                <w:lang w:val="pt-BR"/>
              </w:rPr>
            </w:pPr>
            <w:r>
              <w:rPr>
                <w:sz w:val="20"/>
                <w:szCs w:val="16"/>
                <w:lang w:val="pt-BR"/>
              </w:rPr>
              <w:t>95</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lang w:val="pt-BR"/>
              </w:rPr>
            </w:pPr>
            <w:r>
              <w:rPr>
                <w:sz w:val="20"/>
                <w:szCs w:val="16"/>
                <w:lang w:val="pt-BR"/>
              </w:rPr>
              <w:t>Caaguazu</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21</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16</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3</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7</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25</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13</w:t>
            </w:r>
          </w:p>
        </w:tc>
        <w:tc>
          <w:tcPr>
            <w:tcW w:w="1244" w:type="dxa"/>
            <w:tcBorders>
              <w:top w:val="nil"/>
              <w:left w:val="nil"/>
            </w:tcBorders>
            <w:noWrap/>
            <w:vAlign w:val="bottom"/>
          </w:tcPr>
          <w:p w:rsidR="00000000" w:rsidRDefault="00000000">
            <w:pPr>
              <w:spacing w:before="60" w:after="60"/>
              <w:jc w:val="center"/>
              <w:rPr>
                <w:sz w:val="20"/>
                <w:szCs w:val="16"/>
                <w:lang w:val="pt-BR"/>
              </w:rPr>
            </w:pPr>
            <w:r>
              <w:rPr>
                <w:sz w:val="20"/>
                <w:szCs w:val="16"/>
                <w:lang w:val="pt-BR"/>
              </w:rPr>
              <w:t>87</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lang w:val="pt-BR"/>
              </w:rPr>
            </w:pPr>
            <w:r>
              <w:rPr>
                <w:sz w:val="20"/>
                <w:szCs w:val="16"/>
                <w:lang w:val="pt-BR"/>
              </w:rPr>
              <w:t>Caazapa</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8</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14</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3</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8</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7</w:t>
            </w:r>
          </w:p>
        </w:tc>
        <w:tc>
          <w:tcPr>
            <w:tcW w:w="1244" w:type="dxa"/>
            <w:tcBorders>
              <w:top w:val="nil"/>
              <w:left w:val="nil"/>
            </w:tcBorders>
            <w:noWrap/>
            <w:vAlign w:val="bottom"/>
          </w:tcPr>
          <w:p w:rsidR="00000000" w:rsidRDefault="00000000">
            <w:pPr>
              <w:spacing w:before="60" w:after="60"/>
              <w:jc w:val="center"/>
              <w:rPr>
                <w:sz w:val="20"/>
                <w:szCs w:val="16"/>
                <w:lang w:val="pt-BR"/>
              </w:rPr>
            </w:pPr>
            <w:r>
              <w:rPr>
                <w:sz w:val="20"/>
                <w:szCs w:val="16"/>
                <w:lang w:val="pt-BR"/>
              </w:rPr>
              <w:t>43</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lang w:val="pt-BR"/>
              </w:rPr>
            </w:pPr>
            <w:r>
              <w:rPr>
                <w:sz w:val="20"/>
                <w:szCs w:val="16"/>
                <w:lang w:val="pt-BR"/>
              </w:rPr>
              <w:t>Itapua</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14</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3</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50</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18</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0</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40</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8</w:t>
            </w:r>
          </w:p>
        </w:tc>
        <w:tc>
          <w:tcPr>
            <w:tcW w:w="1244" w:type="dxa"/>
            <w:tcBorders>
              <w:top w:val="nil"/>
              <w:left w:val="nil"/>
            </w:tcBorders>
            <w:noWrap/>
            <w:vAlign w:val="bottom"/>
          </w:tcPr>
          <w:p w:rsidR="00000000" w:rsidRDefault="00000000">
            <w:pPr>
              <w:spacing w:before="60" w:after="60"/>
              <w:jc w:val="center"/>
              <w:rPr>
                <w:sz w:val="20"/>
                <w:szCs w:val="16"/>
                <w:lang w:val="pt-BR"/>
              </w:rPr>
            </w:pPr>
            <w:r>
              <w:rPr>
                <w:sz w:val="20"/>
                <w:szCs w:val="16"/>
                <w:lang w:val="pt-BR"/>
              </w:rPr>
              <w:t>135</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lang w:val="pt-BR"/>
              </w:rPr>
            </w:pPr>
            <w:r>
              <w:rPr>
                <w:sz w:val="20"/>
                <w:szCs w:val="16"/>
                <w:lang w:val="pt-BR"/>
              </w:rPr>
              <w:t>Misiones</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9</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0</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21</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0</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9</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0</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14</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0</w:t>
            </w:r>
          </w:p>
        </w:tc>
        <w:tc>
          <w:tcPr>
            <w:tcW w:w="1244" w:type="dxa"/>
            <w:tcBorders>
              <w:top w:val="nil"/>
              <w:left w:val="nil"/>
            </w:tcBorders>
            <w:noWrap/>
            <w:vAlign w:val="bottom"/>
          </w:tcPr>
          <w:p w:rsidR="00000000" w:rsidRDefault="00000000">
            <w:pPr>
              <w:spacing w:before="60" w:after="60"/>
              <w:jc w:val="center"/>
              <w:rPr>
                <w:sz w:val="20"/>
                <w:szCs w:val="16"/>
                <w:lang w:val="pt-BR"/>
              </w:rPr>
            </w:pPr>
            <w:r>
              <w:rPr>
                <w:sz w:val="20"/>
                <w:szCs w:val="16"/>
                <w:lang w:val="pt-BR"/>
              </w:rPr>
              <w:t>53</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lang w:val="pt-BR"/>
              </w:rPr>
            </w:pPr>
            <w:r>
              <w:rPr>
                <w:sz w:val="20"/>
                <w:szCs w:val="16"/>
                <w:lang w:val="pt-BR"/>
              </w:rPr>
              <w:t>Paraguari</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15</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10</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22</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6</w:t>
            </w:r>
          </w:p>
        </w:tc>
        <w:tc>
          <w:tcPr>
            <w:tcW w:w="1244" w:type="dxa"/>
            <w:tcBorders>
              <w:top w:val="nil"/>
              <w:left w:val="nil"/>
            </w:tcBorders>
            <w:noWrap/>
            <w:vAlign w:val="bottom"/>
          </w:tcPr>
          <w:p w:rsidR="00000000" w:rsidRDefault="00000000">
            <w:pPr>
              <w:spacing w:before="60" w:after="60"/>
              <w:jc w:val="center"/>
              <w:rPr>
                <w:sz w:val="20"/>
                <w:szCs w:val="16"/>
                <w:lang w:val="pt-BR"/>
              </w:rPr>
            </w:pPr>
            <w:r>
              <w:rPr>
                <w:sz w:val="20"/>
                <w:szCs w:val="16"/>
                <w:lang w:val="pt-BR"/>
              </w:rPr>
              <w:t>57</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lang w:val="pt-BR"/>
              </w:rPr>
            </w:pPr>
            <w:r>
              <w:rPr>
                <w:sz w:val="20"/>
                <w:szCs w:val="16"/>
                <w:lang w:val="pt-BR"/>
              </w:rPr>
              <w:t>Alto Parana</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29</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56</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4</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39</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95</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21</w:t>
            </w:r>
          </w:p>
        </w:tc>
        <w:tc>
          <w:tcPr>
            <w:tcW w:w="1244" w:type="dxa"/>
            <w:tcBorders>
              <w:top w:val="nil"/>
              <w:left w:val="nil"/>
            </w:tcBorders>
            <w:noWrap/>
            <w:vAlign w:val="bottom"/>
          </w:tcPr>
          <w:p w:rsidR="00000000" w:rsidRDefault="00000000">
            <w:pPr>
              <w:spacing w:before="60" w:after="60"/>
              <w:jc w:val="center"/>
              <w:rPr>
                <w:sz w:val="20"/>
                <w:szCs w:val="16"/>
                <w:lang w:val="pt-BR"/>
              </w:rPr>
            </w:pPr>
            <w:r>
              <w:rPr>
                <w:sz w:val="20"/>
                <w:szCs w:val="16"/>
                <w:lang w:val="pt-BR"/>
              </w:rPr>
              <w:t>246</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lang w:val="pt-BR"/>
              </w:rPr>
            </w:pPr>
            <w:r>
              <w:rPr>
                <w:sz w:val="20"/>
                <w:szCs w:val="16"/>
                <w:lang w:val="pt-BR"/>
              </w:rPr>
              <w:t>Central</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87</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3</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78</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3</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69</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137</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19</w:t>
            </w:r>
          </w:p>
        </w:tc>
        <w:tc>
          <w:tcPr>
            <w:tcW w:w="1244" w:type="dxa"/>
            <w:tcBorders>
              <w:top w:val="nil"/>
              <w:left w:val="nil"/>
            </w:tcBorders>
            <w:noWrap/>
            <w:vAlign w:val="bottom"/>
          </w:tcPr>
          <w:p w:rsidR="00000000" w:rsidRDefault="00000000">
            <w:pPr>
              <w:spacing w:before="60" w:after="60"/>
              <w:jc w:val="center"/>
              <w:rPr>
                <w:sz w:val="20"/>
                <w:szCs w:val="16"/>
                <w:lang w:val="pt-BR"/>
              </w:rPr>
            </w:pPr>
            <w:r>
              <w:rPr>
                <w:sz w:val="20"/>
                <w:szCs w:val="16"/>
                <w:lang w:val="pt-BR"/>
              </w:rPr>
              <w:t>398</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lang w:val="pt-BR"/>
              </w:rPr>
            </w:pPr>
            <w:r>
              <w:rPr>
                <w:sz w:val="20"/>
                <w:szCs w:val="16"/>
                <w:lang w:val="pt-BR"/>
              </w:rPr>
              <w:t>Neembucu</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3</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0</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7</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0</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0</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7</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1244" w:type="dxa"/>
            <w:tcBorders>
              <w:top w:val="nil"/>
              <w:left w:val="nil"/>
            </w:tcBorders>
            <w:noWrap/>
            <w:vAlign w:val="bottom"/>
          </w:tcPr>
          <w:p w:rsidR="00000000" w:rsidRDefault="00000000">
            <w:pPr>
              <w:spacing w:before="60" w:after="60"/>
              <w:jc w:val="center"/>
              <w:rPr>
                <w:sz w:val="20"/>
                <w:szCs w:val="16"/>
                <w:lang w:val="pt-BR"/>
              </w:rPr>
            </w:pPr>
            <w:r>
              <w:rPr>
                <w:sz w:val="20"/>
                <w:szCs w:val="16"/>
                <w:lang w:val="pt-BR"/>
              </w:rPr>
              <w:t>20</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lang w:val="pt-BR"/>
              </w:rPr>
            </w:pPr>
            <w:r>
              <w:rPr>
                <w:sz w:val="20"/>
                <w:szCs w:val="16"/>
                <w:lang w:val="pt-BR"/>
              </w:rPr>
              <w:t>Amambay</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7</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0</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16</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6</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7</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1244" w:type="dxa"/>
            <w:tcBorders>
              <w:top w:val="nil"/>
              <w:left w:val="nil"/>
            </w:tcBorders>
            <w:noWrap/>
            <w:vAlign w:val="bottom"/>
          </w:tcPr>
          <w:p w:rsidR="00000000" w:rsidRDefault="00000000">
            <w:pPr>
              <w:spacing w:before="60" w:after="60"/>
              <w:jc w:val="center"/>
              <w:rPr>
                <w:sz w:val="20"/>
                <w:szCs w:val="16"/>
                <w:lang w:val="pt-BR"/>
              </w:rPr>
            </w:pPr>
            <w:r>
              <w:rPr>
                <w:sz w:val="20"/>
                <w:szCs w:val="16"/>
                <w:lang w:val="pt-BR"/>
              </w:rPr>
              <w:t>39</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lang w:val="pt-BR"/>
              </w:rPr>
            </w:pPr>
            <w:r>
              <w:rPr>
                <w:sz w:val="20"/>
                <w:szCs w:val="16"/>
                <w:lang w:val="pt-BR"/>
              </w:rPr>
              <w:t>Canindeyu</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11</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0</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8</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0</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8</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2</w:t>
            </w:r>
          </w:p>
        </w:tc>
        <w:tc>
          <w:tcPr>
            <w:tcW w:w="1244" w:type="dxa"/>
            <w:tcBorders>
              <w:top w:val="nil"/>
              <w:left w:val="nil"/>
            </w:tcBorders>
            <w:noWrap/>
            <w:vAlign w:val="bottom"/>
          </w:tcPr>
          <w:p w:rsidR="00000000" w:rsidRDefault="00000000">
            <w:pPr>
              <w:spacing w:before="60" w:after="60"/>
              <w:jc w:val="center"/>
              <w:rPr>
                <w:sz w:val="20"/>
                <w:szCs w:val="16"/>
                <w:lang w:val="pt-BR"/>
              </w:rPr>
            </w:pPr>
            <w:r>
              <w:rPr>
                <w:sz w:val="20"/>
                <w:szCs w:val="16"/>
                <w:lang w:val="pt-BR"/>
              </w:rPr>
              <w:t>31</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lang w:val="pt-BR"/>
              </w:rPr>
            </w:pPr>
            <w:r>
              <w:rPr>
                <w:sz w:val="20"/>
                <w:szCs w:val="16"/>
                <w:lang w:val="pt-BR"/>
              </w:rPr>
              <w:t>Pte. Hayes</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8</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0</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5</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0</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11</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lang w:val="pt-BR"/>
              </w:rPr>
            </w:pPr>
            <w:r>
              <w:rPr>
                <w:sz w:val="20"/>
                <w:szCs w:val="16"/>
                <w:lang w:val="pt-BR"/>
              </w:rPr>
              <w:t>3</w:t>
            </w:r>
          </w:p>
        </w:tc>
        <w:tc>
          <w:tcPr>
            <w:tcW w:w="1244" w:type="dxa"/>
            <w:tcBorders>
              <w:top w:val="nil"/>
              <w:left w:val="nil"/>
            </w:tcBorders>
            <w:noWrap/>
            <w:vAlign w:val="bottom"/>
          </w:tcPr>
          <w:p w:rsidR="00000000" w:rsidRDefault="00000000">
            <w:pPr>
              <w:spacing w:before="60" w:after="60"/>
              <w:jc w:val="center"/>
              <w:rPr>
                <w:sz w:val="20"/>
                <w:szCs w:val="16"/>
                <w:lang w:val="pt-BR"/>
              </w:rPr>
            </w:pPr>
            <w:r>
              <w:rPr>
                <w:sz w:val="20"/>
                <w:szCs w:val="16"/>
                <w:lang w:val="pt-BR"/>
              </w:rPr>
              <w:t>29</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lang w:val="pt-BR"/>
              </w:rPr>
            </w:pPr>
            <w:r>
              <w:rPr>
                <w:sz w:val="20"/>
                <w:szCs w:val="16"/>
                <w:lang w:val="pt-BR"/>
              </w:rPr>
              <w:t>Alto Paraguay</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0</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0</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1</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0</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0</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0</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2</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0</w:t>
            </w:r>
          </w:p>
        </w:tc>
        <w:tc>
          <w:tcPr>
            <w:tcW w:w="1244" w:type="dxa"/>
            <w:tcBorders>
              <w:top w:val="nil"/>
              <w:left w:val="nil"/>
            </w:tcBorders>
            <w:noWrap/>
            <w:vAlign w:val="bottom"/>
          </w:tcPr>
          <w:p w:rsidR="00000000" w:rsidRDefault="00000000">
            <w:pPr>
              <w:spacing w:before="60" w:after="60"/>
              <w:jc w:val="center"/>
              <w:rPr>
                <w:sz w:val="20"/>
                <w:szCs w:val="16"/>
              </w:rPr>
            </w:pPr>
            <w:r>
              <w:rPr>
                <w:sz w:val="20"/>
                <w:szCs w:val="16"/>
              </w:rPr>
              <w:t>3</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rPr>
            </w:pPr>
            <w:r>
              <w:rPr>
                <w:sz w:val="20"/>
                <w:szCs w:val="16"/>
              </w:rPr>
              <w:t>Boqueron</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1</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0</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2</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0</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0</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1</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8</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1</w:t>
            </w:r>
          </w:p>
        </w:tc>
        <w:tc>
          <w:tcPr>
            <w:tcW w:w="1244" w:type="dxa"/>
            <w:tcBorders>
              <w:top w:val="nil"/>
              <w:left w:val="nil"/>
            </w:tcBorders>
            <w:noWrap/>
            <w:vAlign w:val="bottom"/>
          </w:tcPr>
          <w:p w:rsidR="00000000" w:rsidRDefault="00000000">
            <w:pPr>
              <w:spacing w:before="60" w:after="60"/>
              <w:jc w:val="center"/>
              <w:rPr>
                <w:sz w:val="20"/>
                <w:szCs w:val="16"/>
              </w:rPr>
            </w:pPr>
            <w:r>
              <w:rPr>
                <w:sz w:val="20"/>
                <w:szCs w:val="16"/>
              </w:rPr>
              <w:t>13</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rPr>
            </w:pPr>
            <w:r>
              <w:rPr>
                <w:sz w:val="20"/>
                <w:szCs w:val="16"/>
              </w:rPr>
              <w:t>Asuncion</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31</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0</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35</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0</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29</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1</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41</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3</w:t>
            </w:r>
          </w:p>
        </w:tc>
        <w:tc>
          <w:tcPr>
            <w:tcW w:w="1244" w:type="dxa"/>
            <w:tcBorders>
              <w:top w:val="nil"/>
              <w:left w:val="nil"/>
            </w:tcBorders>
            <w:noWrap/>
            <w:vAlign w:val="bottom"/>
          </w:tcPr>
          <w:p w:rsidR="00000000" w:rsidRDefault="00000000">
            <w:pPr>
              <w:spacing w:before="60" w:after="60"/>
              <w:jc w:val="center"/>
              <w:rPr>
                <w:sz w:val="20"/>
                <w:szCs w:val="16"/>
              </w:rPr>
            </w:pPr>
            <w:r>
              <w:rPr>
                <w:sz w:val="20"/>
                <w:szCs w:val="16"/>
              </w:rPr>
              <w:t>140</w:t>
            </w:r>
          </w:p>
        </w:tc>
      </w:tr>
      <w:tr w:rsidR="00000000">
        <w:tc>
          <w:tcPr>
            <w:tcW w:w="2025" w:type="dxa"/>
            <w:tcBorders>
              <w:top w:val="nil"/>
              <w:right w:val="single" w:sz="4" w:space="0" w:color="auto"/>
            </w:tcBorders>
            <w:noWrap/>
            <w:vAlign w:val="bottom"/>
          </w:tcPr>
          <w:p w:rsidR="00000000" w:rsidRDefault="00000000">
            <w:pPr>
              <w:spacing w:before="60" w:after="60"/>
              <w:rPr>
                <w:sz w:val="20"/>
                <w:szCs w:val="16"/>
              </w:rPr>
            </w:pPr>
            <w:r>
              <w:rPr>
                <w:sz w:val="20"/>
                <w:szCs w:val="16"/>
              </w:rPr>
              <w:t>Other countries</w:t>
            </w:r>
          </w:p>
        </w:tc>
        <w:tc>
          <w:tcPr>
            <w:tcW w:w="774"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1</w:t>
            </w:r>
          </w:p>
        </w:tc>
        <w:tc>
          <w:tcPr>
            <w:tcW w:w="855"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0</w:t>
            </w:r>
          </w:p>
        </w:tc>
        <w:tc>
          <w:tcPr>
            <w:tcW w:w="659"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2</w:t>
            </w:r>
          </w:p>
        </w:tc>
        <w:tc>
          <w:tcPr>
            <w:tcW w:w="757"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0</w:t>
            </w:r>
          </w:p>
        </w:tc>
        <w:tc>
          <w:tcPr>
            <w:tcW w:w="589"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0</w:t>
            </w:r>
          </w:p>
        </w:tc>
        <w:tc>
          <w:tcPr>
            <w:tcW w:w="756"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0</w:t>
            </w:r>
          </w:p>
        </w:tc>
        <w:tc>
          <w:tcPr>
            <w:tcW w:w="616"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0</w:t>
            </w:r>
          </w:p>
        </w:tc>
        <w:tc>
          <w:tcPr>
            <w:tcW w:w="1180" w:type="dxa"/>
            <w:tcBorders>
              <w:top w:val="nil"/>
              <w:left w:val="nil"/>
              <w:right w:val="single" w:sz="4" w:space="0" w:color="auto"/>
            </w:tcBorders>
            <w:noWrap/>
            <w:vAlign w:val="bottom"/>
          </w:tcPr>
          <w:p w:rsidR="00000000" w:rsidRDefault="00000000">
            <w:pPr>
              <w:spacing w:before="60" w:after="60"/>
              <w:jc w:val="center"/>
              <w:rPr>
                <w:sz w:val="20"/>
                <w:szCs w:val="16"/>
              </w:rPr>
            </w:pPr>
            <w:r>
              <w:rPr>
                <w:sz w:val="20"/>
                <w:szCs w:val="16"/>
              </w:rPr>
              <w:t>0</w:t>
            </w:r>
          </w:p>
        </w:tc>
        <w:tc>
          <w:tcPr>
            <w:tcW w:w="1244" w:type="dxa"/>
            <w:tcBorders>
              <w:top w:val="nil"/>
              <w:left w:val="nil"/>
            </w:tcBorders>
            <w:noWrap/>
            <w:vAlign w:val="bottom"/>
          </w:tcPr>
          <w:p w:rsidR="00000000" w:rsidRDefault="00000000">
            <w:pPr>
              <w:spacing w:before="60" w:after="60"/>
              <w:jc w:val="center"/>
              <w:rPr>
                <w:sz w:val="20"/>
                <w:szCs w:val="16"/>
              </w:rPr>
            </w:pPr>
            <w:r>
              <w:rPr>
                <w:sz w:val="20"/>
                <w:szCs w:val="16"/>
              </w:rPr>
              <w:t>3</w:t>
            </w:r>
          </w:p>
        </w:tc>
      </w:tr>
      <w:tr w:rsidR="00000000">
        <w:tc>
          <w:tcPr>
            <w:tcW w:w="2025" w:type="dxa"/>
            <w:tcBorders>
              <w:top w:val="nil"/>
              <w:bottom w:val="single" w:sz="4" w:space="0" w:color="auto"/>
              <w:right w:val="single" w:sz="4" w:space="0" w:color="auto"/>
            </w:tcBorders>
            <w:noWrap/>
            <w:vAlign w:val="bottom"/>
          </w:tcPr>
          <w:p w:rsidR="00000000" w:rsidRDefault="00000000">
            <w:pPr>
              <w:pStyle w:val="Heading5"/>
              <w:spacing w:before="60" w:after="60"/>
              <w:rPr>
                <w:szCs w:val="16"/>
              </w:rPr>
            </w:pPr>
            <w:r>
              <w:rPr>
                <w:szCs w:val="16"/>
              </w:rPr>
              <w:t xml:space="preserve">Total </w:t>
            </w:r>
          </w:p>
        </w:tc>
        <w:tc>
          <w:tcPr>
            <w:tcW w:w="774" w:type="dxa"/>
            <w:tcBorders>
              <w:top w:val="nil"/>
              <w:left w:val="nil"/>
              <w:bottom w:val="single" w:sz="4" w:space="0" w:color="auto"/>
              <w:right w:val="single" w:sz="4" w:space="0" w:color="auto"/>
            </w:tcBorders>
            <w:noWrap/>
            <w:vAlign w:val="bottom"/>
          </w:tcPr>
          <w:p w:rsidR="00000000" w:rsidRDefault="00000000">
            <w:pPr>
              <w:spacing w:before="60" w:after="60"/>
              <w:jc w:val="center"/>
              <w:rPr>
                <w:b/>
                <w:bCs/>
                <w:sz w:val="20"/>
                <w:szCs w:val="16"/>
              </w:rPr>
            </w:pPr>
            <w:r>
              <w:rPr>
                <w:b/>
                <w:bCs/>
                <w:sz w:val="20"/>
                <w:szCs w:val="16"/>
              </w:rPr>
              <w:t>306</w:t>
            </w:r>
          </w:p>
        </w:tc>
        <w:tc>
          <w:tcPr>
            <w:tcW w:w="855" w:type="dxa"/>
            <w:tcBorders>
              <w:top w:val="nil"/>
              <w:left w:val="nil"/>
              <w:bottom w:val="single" w:sz="4" w:space="0" w:color="auto"/>
              <w:right w:val="single" w:sz="4" w:space="0" w:color="auto"/>
            </w:tcBorders>
            <w:noWrap/>
            <w:vAlign w:val="bottom"/>
          </w:tcPr>
          <w:p w:rsidR="00000000" w:rsidRDefault="00000000">
            <w:pPr>
              <w:spacing w:before="60" w:after="60"/>
              <w:jc w:val="center"/>
              <w:rPr>
                <w:b/>
                <w:bCs/>
                <w:sz w:val="20"/>
                <w:szCs w:val="16"/>
              </w:rPr>
            </w:pPr>
            <w:r>
              <w:rPr>
                <w:b/>
                <w:bCs/>
                <w:sz w:val="20"/>
                <w:szCs w:val="16"/>
              </w:rPr>
              <w:t>16</w:t>
            </w:r>
          </w:p>
        </w:tc>
        <w:tc>
          <w:tcPr>
            <w:tcW w:w="659" w:type="dxa"/>
            <w:tcBorders>
              <w:top w:val="nil"/>
              <w:left w:val="nil"/>
              <w:bottom w:val="single" w:sz="4" w:space="0" w:color="auto"/>
              <w:right w:val="single" w:sz="4" w:space="0" w:color="auto"/>
            </w:tcBorders>
            <w:noWrap/>
            <w:vAlign w:val="bottom"/>
          </w:tcPr>
          <w:p w:rsidR="00000000" w:rsidRDefault="00000000">
            <w:pPr>
              <w:spacing w:before="60" w:after="60"/>
              <w:jc w:val="center"/>
              <w:rPr>
                <w:b/>
                <w:bCs/>
                <w:sz w:val="20"/>
                <w:szCs w:val="16"/>
              </w:rPr>
            </w:pPr>
            <w:r>
              <w:rPr>
                <w:b/>
                <w:bCs/>
                <w:sz w:val="20"/>
                <w:szCs w:val="16"/>
              </w:rPr>
              <w:t>426</w:t>
            </w:r>
          </w:p>
        </w:tc>
        <w:tc>
          <w:tcPr>
            <w:tcW w:w="757" w:type="dxa"/>
            <w:tcBorders>
              <w:top w:val="nil"/>
              <w:left w:val="nil"/>
              <w:bottom w:val="single" w:sz="4" w:space="0" w:color="auto"/>
              <w:right w:val="single" w:sz="4" w:space="0" w:color="auto"/>
            </w:tcBorders>
            <w:noWrap/>
            <w:vAlign w:val="bottom"/>
          </w:tcPr>
          <w:p w:rsidR="00000000" w:rsidRDefault="00000000">
            <w:pPr>
              <w:spacing w:before="60" w:after="60"/>
              <w:jc w:val="center"/>
              <w:rPr>
                <w:b/>
                <w:bCs/>
                <w:sz w:val="20"/>
                <w:szCs w:val="16"/>
              </w:rPr>
            </w:pPr>
            <w:r>
              <w:rPr>
                <w:b/>
                <w:bCs/>
                <w:sz w:val="20"/>
                <w:szCs w:val="16"/>
              </w:rPr>
              <w:t>20</w:t>
            </w:r>
          </w:p>
        </w:tc>
        <w:tc>
          <w:tcPr>
            <w:tcW w:w="589" w:type="dxa"/>
            <w:tcBorders>
              <w:top w:val="nil"/>
              <w:left w:val="nil"/>
              <w:bottom w:val="single" w:sz="4" w:space="0" w:color="auto"/>
              <w:right w:val="single" w:sz="4" w:space="0" w:color="auto"/>
            </w:tcBorders>
            <w:noWrap/>
            <w:vAlign w:val="bottom"/>
          </w:tcPr>
          <w:p w:rsidR="00000000" w:rsidRDefault="00000000">
            <w:pPr>
              <w:spacing w:before="60" w:after="60"/>
              <w:jc w:val="center"/>
              <w:rPr>
                <w:b/>
                <w:bCs/>
                <w:sz w:val="20"/>
                <w:szCs w:val="16"/>
              </w:rPr>
            </w:pPr>
            <w:r>
              <w:rPr>
                <w:b/>
                <w:bCs/>
                <w:sz w:val="20"/>
                <w:szCs w:val="16"/>
              </w:rPr>
              <w:t>241</w:t>
            </w:r>
          </w:p>
        </w:tc>
        <w:tc>
          <w:tcPr>
            <w:tcW w:w="756" w:type="dxa"/>
            <w:tcBorders>
              <w:top w:val="nil"/>
              <w:left w:val="nil"/>
              <w:bottom w:val="single" w:sz="4" w:space="0" w:color="auto"/>
              <w:right w:val="single" w:sz="4" w:space="0" w:color="auto"/>
            </w:tcBorders>
            <w:noWrap/>
            <w:vAlign w:val="bottom"/>
          </w:tcPr>
          <w:p w:rsidR="00000000" w:rsidRDefault="00000000">
            <w:pPr>
              <w:spacing w:before="60" w:after="60"/>
              <w:jc w:val="center"/>
              <w:rPr>
                <w:b/>
                <w:bCs/>
                <w:sz w:val="20"/>
                <w:szCs w:val="16"/>
              </w:rPr>
            </w:pPr>
            <w:r>
              <w:rPr>
                <w:b/>
                <w:bCs/>
                <w:sz w:val="20"/>
                <w:szCs w:val="16"/>
              </w:rPr>
              <w:t>16</w:t>
            </w:r>
          </w:p>
        </w:tc>
        <w:tc>
          <w:tcPr>
            <w:tcW w:w="616" w:type="dxa"/>
            <w:tcBorders>
              <w:top w:val="nil"/>
              <w:left w:val="nil"/>
              <w:bottom w:val="single" w:sz="4" w:space="0" w:color="auto"/>
              <w:right w:val="single" w:sz="4" w:space="0" w:color="auto"/>
            </w:tcBorders>
            <w:noWrap/>
            <w:vAlign w:val="bottom"/>
          </w:tcPr>
          <w:p w:rsidR="00000000" w:rsidRDefault="00000000">
            <w:pPr>
              <w:spacing w:before="60" w:after="60"/>
              <w:jc w:val="center"/>
              <w:rPr>
                <w:b/>
                <w:bCs/>
                <w:sz w:val="20"/>
                <w:szCs w:val="16"/>
              </w:rPr>
            </w:pPr>
            <w:r>
              <w:rPr>
                <w:b/>
                <w:bCs/>
                <w:sz w:val="20"/>
                <w:szCs w:val="16"/>
              </w:rPr>
              <w:t>548</w:t>
            </w:r>
          </w:p>
        </w:tc>
        <w:tc>
          <w:tcPr>
            <w:tcW w:w="1180" w:type="dxa"/>
            <w:tcBorders>
              <w:top w:val="nil"/>
              <w:left w:val="nil"/>
              <w:bottom w:val="single" w:sz="4" w:space="0" w:color="auto"/>
              <w:right w:val="single" w:sz="4" w:space="0" w:color="auto"/>
            </w:tcBorders>
            <w:noWrap/>
            <w:vAlign w:val="bottom"/>
          </w:tcPr>
          <w:p w:rsidR="00000000" w:rsidRDefault="00000000">
            <w:pPr>
              <w:spacing w:before="60" w:after="60"/>
              <w:jc w:val="center"/>
              <w:rPr>
                <w:b/>
                <w:bCs/>
                <w:sz w:val="20"/>
                <w:szCs w:val="16"/>
              </w:rPr>
            </w:pPr>
            <w:r>
              <w:rPr>
                <w:b/>
                <w:bCs/>
                <w:sz w:val="20"/>
                <w:szCs w:val="16"/>
              </w:rPr>
              <w:t>110</w:t>
            </w:r>
          </w:p>
        </w:tc>
        <w:tc>
          <w:tcPr>
            <w:tcW w:w="1244" w:type="dxa"/>
            <w:tcBorders>
              <w:top w:val="nil"/>
              <w:left w:val="nil"/>
              <w:bottom w:val="single" w:sz="4" w:space="0" w:color="auto"/>
            </w:tcBorders>
            <w:noWrap/>
            <w:vAlign w:val="bottom"/>
          </w:tcPr>
          <w:p w:rsidR="00000000" w:rsidRDefault="00000000">
            <w:pPr>
              <w:spacing w:before="60" w:after="60"/>
              <w:jc w:val="center"/>
              <w:rPr>
                <w:b/>
                <w:bCs/>
                <w:sz w:val="20"/>
                <w:szCs w:val="16"/>
              </w:rPr>
            </w:pPr>
            <w:r>
              <w:rPr>
                <w:b/>
                <w:bCs/>
                <w:sz w:val="20"/>
                <w:szCs w:val="16"/>
              </w:rPr>
              <w:t>1 683</w:t>
            </w:r>
          </w:p>
        </w:tc>
      </w:tr>
    </w:tbl>
    <w:p w:rsidR="00000000" w:rsidRDefault="00000000">
      <w:pPr>
        <w:pStyle w:val="BodyText"/>
        <w:spacing w:before="120" w:after="80"/>
        <w:ind w:firstLine="567"/>
        <w:jc w:val="left"/>
        <w:rPr>
          <w:sz w:val="20"/>
          <w:szCs w:val="16"/>
          <w:lang w:val="es-ES"/>
        </w:rPr>
      </w:pPr>
      <w:r>
        <w:rPr>
          <w:sz w:val="20"/>
          <w:szCs w:val="16"/>
        </w:rPr>
        <w:t xml:space="preserve">MA = Medical attendance present </w:t>
      </w:r>
    </w:p>
    <w:p w:rsidR="00000000" w:rsidRDefault="00000000">
      <w:pPr>
        <w:pStyle w:val="BodyText"/>
        <w:ind w:firstLine="567"/>
        <w:jc w:val="left"/>
        <w:rPr>
          <w:sz w:val="20"/>
          <w:szCs w:val="16"/>
        </w:rPr>
      </w:pPr>
      <w:r>
        <w:rPr>
          <w:sz w:val="20"/>
          <w:szCs w:val="16"/>
        </w:rPr>
        <w:t xml:space="preserve">No MA = No medical attendance present </w:t>
      </w:r>
    </w:p>
    <w:p w:rsidR="00000000" w:rsidRDefault="00000000">
      <w:pPr>
        <w:pStyle w:val="BodyText"/>
        <w:spacing w:after="180"/>
        <w:jc w:val="center"/>
        <w:rPr>
          <w:b/>
          <w:sz w:val="22"/>
          <w:szCs w:val="16"/>
        </w:rPr>
      </w:pPr>
      <w:r>
        <w:rPr>
          <w:b/>
          <w:sz w:val="22"/>
          <w:szCs w:val="16"/>
        </w:rPr>
        <w:t>Paraguay: Child mortality by health region and by zone of residence, 2003</w:t>
      </w:r>
    </w:p>
    <w:p w:rsidR="00000000" w:rsidRDefault="00000000">
      <w:pPr>
        <w:pStyle w:val="BodyText"/>
        <w:spacing w:after="180"/>
        <w:jc w:val="center"/>
        <w:rPr>
          <w:b/>
          <w:i/>
          <w:iCs/>
          <w:sz w:val="22"/>
          <w:szCs w:val="16"/>
          <w:lang w:val="es-ES"/>
        </w:rPr>
      </w:pPr>
      <w:r>
        <w:rPr>
          <w:i/>
          <w:iCs/>
          <w:sz w:val="20"/>
          <w:szCs w:val="20"/>
        </w:rPr>
        <w:t>LBR = Live births registered    CDR = Child deaths registered</w:t>
      </w:r>
    </w:p>
    <w:tbl>
      <w:tblPr>
        <w:tblW w:w="5010" w:type="pct"/>
        <w:tblInd w:w="-18" w:type="dxa"/>
        <w:tblLayout w:type="fixed"/>
        <w:tblCellMar>
          <w:left w:w="0" w:type="dxa"/>
          <w:right w:w="0" w:type="dxa"/>
        </w:tblCellMar>
        <w:tblLook w:val="0000" w:firstRow="0" w:lastRow="0" w:firstColumn="0" w:lastColumn="0" w:noHBand="0" w:noVBand="0"/>
      </w:tblPr>
      <w:tblGrid>
        <w:gridCol w:w="1660"/>
        <w:gridCol w:w="767"/>
        <w:gridCol w:w="622"/>
        <w:gridCol w:w="690"/>
        <w:gridCol w:w="762"/>
        <w:gridCol w:w="521"/>
        <w:gridCol w:w="620"/>
        <w:gridCol w:w="592"/>
        <w:gridCol w:w="521"/>
        <w:gridCol w:w="620"/>
        <w:gridCol w:w="762"/>
        <w:gridCol w:w="620"/>
        <w:gridCol w:w="691"/>
      </w:tblGrid>
      <w:tr w:rsidR="00000000">
        <w:trPr>
          <w:cantSplit/>
        </w:trPr>
        <w:tc>
          <w:tcPr>
            <w:tcW w:w="1660" w:type="dxa"/>
            <w:vMerge w:val="restart"/>
            <w:tcBorders>
              <w:top w:val="single" w:sz="4" w:space="0" w:color="auto"/>
            </w:tcBorders>
            <w:noWrap/>
            <w:vAlign w:val="center"/>
          </w:tcPr>
          <w:p w:rsidR="00000000" w:rsidRDefault="00000000">
            <w:pPr>
              <w:spacing w:before="60" w:after="60"/>
              <w:jc w:val="center"/>
              <w:rPr>
                <w:b/>
                <w:bCs/>
                <w:i/>
                <w:iCs/>
                <w:sz w:val="20"/>
                <w:szCs w:val="16"/>
              </w:rPr>
            </w:pPr>
            <w:r>
              <w:rPr>
                <w:b/>
                <w:bCs/>
                <w:i/>
                <w:iCs/>
                <w:sz w:val="20"/>
                <w:szCs w:val="16"/>
              </w:rPr>
              <w:t>Health region</w:t>
            </w:r>
          </w:p>
        </w:tc>
        <w:tc>
          <w:tcPr>
            <w:tcW w:w="5715" w:type="dxa"/>
            <w:gridSpan w:val="9"/>
            <w:tcBorders>
              <w:top w:val="single" w:sz="4" w:space="0" w:color="auto"/>
              <w:bottom w:val="single" w:sz="4" w:space="0" w:color="auto"/>
            </w:tcBorders>
            <w:noWrap/>
            <w:vAlign w:val="center"/>
          </w:tcPr>
          <w:p w:rsidR="00000000" w:rsidRDefault="00000000">
            <w:pPr>
              <w:spacing w:before="60" w:after="60"/>
              <w:jc w:val="center"/>
              <w:rPr>
                <w:b/>
                <w:bCs/>
                <w:i/>
                <w:iCs/>
                <w:sz w:val="20"/>
                <w:szCs w:val="16"/>
              </w:rPr>
            </w:pPr>
            <w:r>
              <w:rPr>
                <w:b/>
                <w:bCs/>
                <w:i/>
                <w:iCs/>
                <w:sz w:val="20"/>
                <w:szCs w:val="16"/>
              </w:rPr>
              <w:t>Zone</w:t>
            </w:r>
          </w:p>
        </w:tc>
        <w:tc>
          <w:tcPr>
            <w:tcW w:w="2073" w:type="dxa"/>
            <w:gridSpan w:val="3"/>
            <w:vMerge w:val="restart"/>
            <w:tcBorders>
              <w:top w:val="single" w:sz="4" w:space="0" w:color="auto"/>
            </w:tcBorders>
            <w:noWrap/>
            <w:vAlign w:val="center"/>
          </w:tcPr>
          <w:p w:rsidR="00000000" w:rsidRDefault="00000000">
            <w:pPr>
              <w:spacing w:before="60" w:after="60"/>
              <w:jc w:val="center"/>
              <w:rPr>
                <w:b/>
                <w:bCs/>
                <w:i/>
                <w:iCs/>
                <w:sz w:val="20"/>
                <w:szCs w:val="16"/>
              </w:rPr>
            </w:pPr>
            <w:r>
              <w:rPr>
                <w:b/>
                <w:bCs/>
                <w:i/>
                <w:iCs/>
                <w:sz w:val="20"/>
                <w:szCs w:val="16"/>
              </w:rPr>
              <w:t>Total</w:t>
            </w:r>
          </w:p>
        </w:tc>
      </w:tr>
      <w:tr w:rsidR="00000000">
        <w:trPr>
          <w:cantSplit/>
        </w:trPr>
        <w:tc>
          <w:tcPr>
            <w:tcW w:w="1660" w:type="dxa"/>
            <w:vMerge/>
            <w:vAlign w:val="center"/>
          </w:tcPr>
          <w:p w:rsidR="00000000" w:rsidRDefault="00000000">
            <w:pPr>
              <w:spacing w:before="60" w:after="60"/>
              <w:jc w:val="center"/>
              <w:rPr>
                <w:b/>
                <w:bCs/>
                <w:i/>
                <w:iCs/>
                <w:sz w:val="20"/>
                <w:szCs w:val="16"/>
              </w:rPr>
            </w:pPr>
          </w:p>
        </w:tc>
        <w:tc>
          <w:tcPr>
            <w:tcW w:w="2079" w:type="dxa"/>
            <w:gridSpan w:val="3"/>
            <w:tcBorders>
              <w:top w:val="single" w:sz="4" w:space="0" w:color="auto"/>
              <w:bottom w:val="single" w:sz="4" w:space="0" w:color="auto"/>
            </w:tcBorders>
            <w:noWrap/>
            <w:vAlign w:val="center"/>
          </w:tcPr>
          <w:p w:rsidR="00000000" w:rsidRDefault="00000000">
            <w:pPr>
              <w:spacing w:before="60" w:after="60"/>
              <w:jc w:val="center"/>
              <w:rPr>
                <w:b/>
                <w:bCs/>
                <w:i/>
                <w:iCs/>
                <w:sz w:val="20"/>
                <w:szCs w:val="16"/>
              </w:rPr>
            </w:pPr>
            <w:r>
              <w:rPr>
                <w:b/>
                <w:bCs/>
                <w:i/>
                <w:iCs/>
                <w:sz w:val="20"/>
                <w:szCs w:val="16"/>
              </w:rPr>
              <w:t>Urban</w:t>
            </w:r>
          </w:p>
        </w:tc>
        <w:tc>
          <w:tcPr>
            <w:tcW w:w="1903" w:type="dxa"/>
            <w:gridSpan w:val="3"/>
            <w:tcBorders>
              <w:top w:val="single" w:sz="4" w:space="0" w:color="auto"/>
              <w:bottom w:val="single" w:sz="4" w:space="0" w:color="auto"/>
            </w:tcBorders>
            <w:noWrap/>
            <w:vAlign w:val="center"/>
          </w:tcPr>
          <w:p w:rsidR="00000000" w:rsidRDefault="00000000">
            <w:pPr>
              <w:spacing w:before="60" w:after="60"/>
              <w:jc w:val="center"/>
              <w:rPr>
                <w:b/>
                <w:bCs/>
                <w:i/>
                <w:iCs/>
                <w:sz w:val="20"/>
                <w:szCs w:val="16"/>
              </w:rPr>
            </w:pPr>
            <w:r>
              <w:rPr>
                <w:b/>
                <w:bCs/>
                <w:i/>
                <w:iCs/>
                <w:sz w:val="20"/>
                <w:szCs w:val="16"/>
              </w:rPr>
              <w:t>Rural</w:t>
            </w:r>
          </w:p>
        </w:tc>
        <w:tc>
          <w:tcPr>
            <w:tcW w:w="1733" w:type="dxa"/>
            <w:gridSpan w:val="3"/>
            <w:tcBorders>
              <w:top w:val="single" w:sz="4" w:space="0" w:color="auto"/>
              <w:bottom w:val="single" w:sz="4" w:space="0" w:color="auto"/>
            </w:tcBorders>
            <w:noWrap/>
            <w:vAlign w:val="center"/>
          </w:tcPr>
          <w:p w:rsidR="00000000" w:rsidRDefault="00000000">
            <w:pPr>
              <w:spacing w:before="60" w:after="60"/>
              <w:jc w:val="center"/>
              <w:rPr>
                <w:b/>
                <w:bCs/>
                <w:i/>
                <w:iCs/>
                <w:sz w:val="20"/>
                <w:szCs w:val="16"/>
              </w:rPr>
            </w:pPr>
            <w:r>
              <w:rPr>
                <w:b/>
                <w:bCs/>
                <w:i/>
                <w:iCs/>
                <w:sz w:val="20"/>
                <w:szCs w:val="16"/>
              </w:rPr>
              <w:t>Not known</w:t>
            </w:r>
          </w:p>
        </w:tc>
        <w:tc>
          <w:tcPr>
            <w:tcW w:w="2073" w:type="dxa"/>
            <w:gridSpan w:val="3"/>
            <w:vMerge/>
            <w:tcBorders>
              <w:bottom w:val="single" w:sz="4" w:space="0" w:color="auto"/>
            </w:tcBorders>
            <w:vAlign w:val="center"/>
          </w:tcPr>
          <w:p w:rsidR="00000000" w:rsidRDefault="00000000">
            <w:pPr>
              <w:spacing w:before="60" w:after="60"/>
              <w:jc w:val="center"/>
              <w:rPr>
                <w:b/>
                <w:bCs/>
                <w:i/>
                <w:iCs/>
                <w:sz w:val="20"/>
                <w:szCs w:val="16"/>
              </w:rPr>
            </w:pPr>
          </w:p>
        </w:tc>
      </w:tr>
      <w:tr w:rsidR="00000000">
        <w:trPr>
          <w:cantSplit/>
        </w:trPr>
        <w:tc>
          <w:tcPr>
            <w:tcW w:w="1660" w:type="dxa"/>
            <w:vMerge/>
            <w:tcBorders>
              <w:bottom w:val="single" w:sz="4" w:space="0" w:color="auto"/>
            </w:tcBorders>
            <w:noWrap/>
            <w:vAlign w:val="center"/>
          </w:tcPr>
          <w:p w:rsidR="00000000" w:rsidRDefault="00000000">
            <w:pPr>
              <w:spacing w:before="60" w:after="60"/>
              <w:jc w:val="center"/>
              <w:rPr>
                <w:b/>
                <w:bCs/>
                <w:i/>
                <w:iCs/>
                <w:sz w:val="20"/>
                <w:szCs w:val="16"/>
              </w:rPr>
            </w:pPr>
          </w:p>
        </w:tc>
        <w:tc>
          <w:tcPr>
            <w:tcW w:w="767" w:type="dxa"/>
            <w:tcBorders>
              <w:top w:val="single" w:sz="4" w:space="0" w:color="auto"/>
              <w:bottom w:val="single" w:sz="4" w:space="0" w:color="auto"/>
            </w:tcBorders>
            <w:noWrap/>
            <w:vAlign w:val="center"/>
          </w:tcPr>
          <w:p w:rsidR="00000000" w:rsidRDefault="00000000">
            <w:pPr>
              <w:pStyle w:val="Heading4"/>
              <w:spacing w:before="60" w:after="60"/>
              <w:rPr>
                <w:szCs w:val="16"/>
              </w:rPr>
            </w:pPr>
            <w:r>
              <w:rPr>
                <w:szCs w:val="16"/>
              </w:rPr>
              <w:t>LBR</w:t>
            </w:r>
          </w:p>
        </w:tc>
        <w:tc>
          <w:tcPr>
            <w:tcW w:w="622" w:type="dxa"/>
            <w:tcBorders>
              <w:top w:val="single" w:sz="4" w:space="0" w:color="auto"/>
              <w:bottom w:val="single" w:sz="4" w:space="0" w:color="auto"/>
            </w:tcBorders>
            <w:noWrap/>
            <w:vAlign w:val="center"/>
          </w:tcPr>
          <w:p w:rsidR="00000000" w:rsidRDefault="00000000">
            <w:pPr>
              <w:spacing w:before="60" w:after="60"/>
              <w:jc w:val="center"/>
              <w:rPr>
                <w:b/>
                <w:bCs/>
                <w:i/>
                <w:iCs/>
                <w:sz w:val="20"/>
                <w:szCs w:val="16"/>
              </w:rPr>
            </w:pPr>
            <w:r>
              <w:rPr>
                <w:b/>
                <w:bCs/>
                <w:i/>
                <w:iCs/>
                <w:sz w:val="20"/>
                <w:szCs w:val="16"/>
              </w:rPr>
              <w:t>CDR</w:t>
            </w:r>
          </w:p>
        </w:tc>
        <w:tc>
          <w:tcPr>
            <w:tcW w:w="690" w:type="dxa"/>
            <w:tcBorders>
              <w:top w:val="single" w:sz="4" w:space="0" w:color="auto"/>
              <w:bottom w:val="single" w:sz="4" w:space="0" w:color="auto"/>
            </w:tcBorders>
            <w:noWrap/>
            <w:vAlign w:val="center"/>
          </w:tcPr>
          <w:p w:rsidR="00000000" w:rsidRDefault="00000000">
            <w:pPr>
              <w:spacing w:before="60" w:after="60"/>
              <w:jc w:val="center"/>
              <w:rPr>
                <w:b/>
                <w:bCs/>
                <w:i/>
                <w:iCs/>
                <w:sz w:val="20"/>
                <w:szCs w:val="16"/>
              </w:rPr>
            </w:pPr>
            <w:r>
              <w:rPr>
                <w:b/>
                <w:bCs/>
                <w:i/>
                <w:iCs/>
                <w:sz w:val="20"/>
                <w:szCs w:val="16"/>
              </w:rPr>
              <w:t>Rate</w:t>
            </w:r>
          </w:p>
        </w:tc>
        <w:tc>
          <w:tcPr>
            <w:tcW w:w="762" w:type="dxa"/>
            <w:tcBorders>
              <w:top w:val="single" w:sz="4" w:space="0" w:color="auto"/>
              <w:bottom w:val="single" w:sz="4" w:space="0" w:color="auto"/>
            </w:tcBorders>
            <w:noWrap/>
            <w:vAlign w:val="center"/>
          </w:tcPr>
          <w:p w:rsidR="00000000" w:rsidRDefault="00000000">
            <w:pPr>
              <w:spacing w:before="60" w:after="60"/>
              <w:jc w:val="center"/>
              <w:rPr>
                <w:b/>
                <w:bCs/>
                <w:i/>
                <w:iCs/>
                <w:sz w:val="20"/>
                <w:szCs w:val="16"/>
              </w:rPr>
            </w:pPr>
            <w:r>
              <w:rPr>
                <w:b/>
                <w:bCs/>
                <w:i/>
                <w:iCs/>
                <w:sz w:val="20"/>
                <w:szCs w:val="16"/>
              </w:rPr>
              <w:t>LBR</w:t>
            </w:r>
          </w:p>
        </w:tc>
        <w:tc>
          <w:tcPr>
            <w:tcW w:w="521" w:type="dxa"/>
            <w:tcBorders>
              <w:top w:val="single" w:sz="4" w:space="0" w:color="auto"/>
              <w:bottom w:val="single" w:sz="4" w:space="0" w:color="auto"/>
            </w:tcBorders>
            <w:noWrap/>
            <w:vAlign w:val="center"/>
          </w:tcPr>
          <w:p w:rsidR="00000000" w:rsidRDefault="00000000">
            <w:pPr>
              <w:spacing w:before="60" w:after="60"/>
              <w:jc w:val="center"/>
              <w:rPr>
                <w:b/>
                <w:bCs/>
                <w:i/>
                <w:iCs/>
                <w:sz w:val="20"/>
                <w:szCs w:val="16"/>
              </w:rPr>
            </w:pPr>
            <w:r>
              <w:rPr>
                <w:b/>
                <w:bCs/>
                <w:i/>
                <w:iCs/>
                <w:sz w:val="20"/>
                <w:szCs w:val="16"/>
              </w:rPr>
              <w:t>CDR</w:t>
            </w:r>
          </w:p>
        </w:tc>
        <w:tc>
          <w:tcPr>
            <w:tcW w:w="620" w:type="dxa"/>
            <w:tcBorders>
              <w:top w:val="single" w:sz="4" w:space="0" w:color="auto"/>
              <w:bottom w:val="single" w:sz="4" w:space="0" w:color="auto"/>
            </w:tcBorders>
            <w:noWrap/>
            <w:vAlign w:val="center"/>
          </w:tcPr>
          <w:p w:rsidR="00000000" w:rsidRDefault="00000000">
            <w:pPr>
              <w:spacing w:before="60" w:after="60"/>
              <w:jc w:val="center"/>
              <w:rPr>
                <w:b/>
                <w:bCs/>
                <w:i/>
                <w:iCs/>
                <w:sz w:val="20"/>
                <w:szCs w:val="16"/>
              </w:rPr>
            </w:pPr>
            <w:r>
              <w:rPr>
                <w:b/>
                <w:bCs/>
                <w:i/>
                <w:iCs/>
                <w:sz w:val="20"/>
                <w:szCs w:val="16"/>
              </w:rPr>
              <w:t>Rate</w:t>
            </w:r>
          </w:p>
        </w:tc>
        <w:tc>
          <w:tcPr>
            <w:tcW w:w="592" w:type="dxa"/>
            <w:tcBorders>
              <w:top w:val="single" w:sz="4" w:space="0" w:color="auto"/>
              <w:bottom w:val="single" w:sz="4" w:space="0" w:color="auto"/>
            </w:tcBorders>
            <w:noWrap/>
            <w:vAlign w:val="center"/>
          </w:tcPr>
          <w:p w:rsidR="00000000" w:rsidRDefault="00000000">
            <w:pPr>
              <w:spacing w:before="60" w:after="60"/>
              <w:jc w:val="center"/>
              <w:rPr>
                <w:b/>
                <w:bCs/>
                <w:i/>
                <w:iCs/>
                <w:sz w:val="20"/>
                <w:szCs w:val="16"/>
              </w:rPr>
            </w:pPr>
            <w:r>
              <w:rPr>
                <w:b/>
                <w:bCs/>
                <w:i/>
                <w:iCs/>
                <w:sz w:val="20"/>
                <w:szCs w:val="16"/>
              </w:rPr>
              <w:t>LBR</w:t>
            </w:r>
          </w:p>
        </w:tc>
        <w:tc>
          <w:tcPr>
            <w:tcW w:w="521" w:type="dxa"/>
            <w:tcBorders>
              <w:top w:val="single" w:sz="4" w:space="0" w:color="auto"/>
              <w:bottom w:val="single" w:sz="4" w:space="0" w:color="auto"/>
            </w:tcBorders>
            <w:noWrap/>
            <w:vAlign w:val="center"/>
          </w:tcPr>
          <w:p w:rsidR="00000000" w:rsidRDefault="00000000">
            <w:pPr>
              <w:spacing w:before="60" w:after="60"/>
              <w:jc w:val="center"/>
              <w:rPr>
                <w:b/>
                <w:bCs/>
                <w:i/>
                <w:iCs/>
                <w:sz w:val="20"/>
                <w:szCs w:val="16"/>
              </w:rPr>
            </w:pPr>
            <w:r>
              <w:rPr>
                <w:b/>
                <w:bCs/>
                <w:i/>
                <w:iCs/>
                <w:sz w:val="20"/>
                <w:szCs w:val="16"/>
              </w:rPr>
              <w:t>CDR</w:t>
            </w:r>
          </w:p>
        </w:tc>
        <w:tc>
          <w:tcPr>
            <w:tcW w:w="620" w:type="dxa"/>
            <w:tcBorders>
              <w:top w:val="single" w:sz="4" w:space="0" w:color="auto"/>
              <w:bottom w:val="single" w:sz="4" w:space="0" w:color="auto"/>
            </w:tcBorders>
            <w:noWrap/>
            <w:vAlign w:val="center"/>
          </w:tcPr>
          <w:p w:rsidR="00000000" w:rsidRDefault="00000000">
            <w:pPr>
              <w:spacing w:before="60" w:after="60"/>
              <w:jc w:val="center"/>
              <w:rPr>
                <w:b/>
                <w:bCs/>
                <w:i/>
                <w:iCs/>
                <w:sz w:val="20"/>
                <w:szCs w:val="16"/>
              </w:rPr>
            </w:pPr>
            <w:r>
              <w:rPr>
                <w:b/>
                <w:bCs/>
                <w:i/>
                <w:iCs/>
                <w:sz w:val="20"/>
                <w:szCs w:val="16"/>
              </w:rPr>
              <w:t>Rate</w:t>
            </w:r>
          </w:p>
        </w:tc>
        <w:tc>
          <w:tcPr>
            <w:tcW w:w="762" w:type="dxa"/>
            <w:tcBorders>
              <w:top w:val="single" w:sz="4" w:space="0" w:color="auto"/>
              <w:bottom w:val="single" w:sz="4" w:space="0" w:color="auto"/>
            </w:tcBorders>
            <w:noWrap/>
            <w:vAlign w:val="center"/>
          </w:tcPr>
          <w:p w:rsidR="00000000" w:rsidRDefault="00000000">
            <w:pPr>
              <w:spacing w:before="60" w:after="60"/>
              <w:jc w:val="center"/>
              <w:rPr>
                <w:b/>
                <w:bCs/>
                <w:i/>
                <w:iCs/>
                <w:sz w:val="20"/>
                <w:szCs w:val="16"/>
              </w:rPr>
            </w:pPr>
            <w:r>
              <w:rPr>
                <w:b/>
                <w:bCs/>
                <w:i/>
                <w:iCs/>
                <w:sz w:val="20"/>
                <w:szCs w:val="16"/>
              </w:rPr>
              <w:t>LBR</w:t>
            </w:r>
          </w:p>
        </w:tc>
        <w:tc>
          <w:tcPr>
            <w:tcW w:w="620" w:type="dxa"/>
            <w:tcBorders>
              <w:top w:val="single" w:sz="4" w:space="0" w:color="auto"/>
              <w:bottom w:val="single" w:sz="4" w:space="0" w:color="auto"/>
            </w:tcBorders>
            <w:noWrap/>
            <w:vAlign w:val="center"/>
          </w:tcPr>
          <w:p w:rsidR="00000000" w:rsidRDefault="00000000">
            <w:pPr>
              <w:spacing w:before="60" w:after="60"/>
              <w:jc w:val="center"/>
              <w:rPr>
                <w:b/>
                <w:bCs/>
                <w:i/>
                <w:iCs/>
                <w:sz w:val="20"/>
                <w:szCs w:val="16"/>
                <w:lang w:val="pt-BR"/>
              </w:rPr>
            </w:pPr>
            <w:r>
              <w:rPr>
                <w:b/>
                <w:bCs/>
                <w:i/>
                <w:iCs/>
                <w:sz w:val="20"/>
                <w:szCs w:val="16"/>
                <w:lang w:val="pt-BR"/>
              </w:rPr>
              <w:t>CDR</w:t>
            </w:r>
          </w:p>
        </w:tc>
        <w:tc>
          <w:tcPr>
            <w:tcW w:w="691" w:type="dxa"/>
            <w:tcBorders>
              <w:top w:val="single" w:sz="4" w:space="0" w:color="auto"/>
              <w:bottom w:val="single" w:sz="4" w:space="0" w:color="auto"/>
            </w:tcBorders>
            <w:noWrap/>
            <w:vAlign w:val="center"/>
          </w:tcPr>
          <w:p w:rsidR="00000000" w:rsidRDefault="00000000">
            <w:pPr>
              <w:spacing w:before="60" w:after="60"/>
              <w:jc w:val="center"/>
              <w:rPr>
                <w:b/>
                <w:bCs/>
                <w:i/>
                <w:iCs/>
                <w:sz w:val="20"/>
                <w:szCs w:val="16"/>
                <w:lang w:val="pt-BR"/>
              </w:rPr>
            </w:pPr>
            <w:r>
              <w:rPr>
                <w:b/>
                <w:bCs/>
                <w:i/>
                <w:iCs/>
                <w:sz w:val="20"/>
                <w:szCs w:val="16"/>
                <w:lang w:val="pt-BR"/>
              </w:rPr>
              <w:t>Rate</w:t>
            </w:r>
          </w:p>
        </w:tc>
      </w:tr>
      <w:tr w:rsidR="00000000">
        <w:tc>
          <w:tcPr>
            <w:tcW w:w="1660" w:type="dxa"/>
            <w:tcBorders>
              <w:top w:val="single" w:sz="4" w:space="0" w:color="auto"/>
            </w:tcBorders>
            <w:noWrap/>
            <w:vAlign w:val="bottom"/>
          </w:tcPr>
          <w:p w:rsidR="00000000" w:rsidRDefault="00000000">
            <w:pPr>
              <w:spacing w:before="60" w:after="60"/>
              <w:rPr>
                <w:sz w:val="20"/>
                <w:szCs w:val="16"/>
                <w:lang w:val="pt-BR"/>
              </w:rPr>
            </w:pPr>
            <w:r>
              <w:rPr>
                <w:sz w:val="20"/>
                <w:szCs w:val="16"/>
                <w:lang w:val="pt-BR"/>
              </w:rPr>
              <w:t xml:space="preserve">Concepción </w:t>
            </w:r>
          </w:p>
        </w:tc>
        <w:tc>
          <w:tcPr>
            <w:tcW w:w="767" w:type="dxa"/>
            <w:tcBorders>
              <w:top w:val="single" w:sz="4" w:space="0" w:color="auto"/>
            </w:tcBorders>
            <w:noWrap/>
            <w:vAlign w:val="bottom"/>
          </w:tcPr>
          <w:p w:rsidR="00000000" w:rsidRDefault="00000000">
            <w:pPr>
              <w:spacing w:before="60" w:after="60"/>
              <w:ind w:right="113"/>
              <w:jc w:val="right"/>
              <w:rPr>
                <w:sz w:val="20"/>
                <w:szCs w:val="16"/>
                <w:lang w:val="pt-BR"/>
              </w:rPr>
            </w:pPr>
            <w:r>
              <w:rPr>
                <w:sz w:val="20"/>
                <w:szCs w:val="16"/>
                <w:lang w:val="pt-BR"/>
              </w:rPr>
              <w:t>1 612</w:t>
            </w:r>
          </w:p>
        </w:tc>
        <w:tc>
          <w:tcPr>
            <w:tcW w:w="622" w:type="dxa"/>
            <w:tcBorders>
              <w:top w:val="single" w:sz="4" w:space="0" w:color="auto"/>
            </w:tcBorders>
            <w:noWrap/>
            <w:vAlign w:val="bottom"/>
          </w:tcPr>
          <w:p w:rsidR="00000000" w:rsidRDefault="00000000">
            <w:pPr>
              <w:spacing w:before="60" w:after="60"/>
              <w:ind w:right="113"/>
              <w:jc w:val="right"/>
              <w:rPr>
                <w:sz w:val="20"/>
                <w:szCs w:val="16"/>
                <w:lang w:val="pt-BR"/>
              </w:rPr>
            </w:pPr>
            <w:r>
              <w:rPr>
                <w:sz w:val="20"/>
                <w:szCs w:val="16"/>
                <w:lang w:val="pt-BR"/>
              </w:rPr>
              <w:t>73</w:t>
            </w:r>
          </w:p>
        </w:tc>
        <w:tc>
          <w:tcPr>
            <w:tcW w:w="690" w:type="dxa"/>
            <w:tcBorders>
              <w:top w:val="single" w:sz="4" w:space="0" w:color="auto"/>
            </w:tcBorders>
            <w:noWrap/>
            <w:vAlign w:val="bottom"/>
          </w:tcPr>
          <w:p w:rsidR="00000000" w:rsidRDefault="00000000">
            <w:pPr>
              <w:spacing w:before="60" w:after="60"/>
              <w:ind w:right="113"/>
              <w:jc w:val="right"/>
              <w:rPr>
                <w:sz w:val="20"/>
                <w:szCs w:val="16"/>
                <w:lang w:val="pt-BR"/>
              </w:rPr>
            </w:pPr>
            <w:r>
              <w:rPr>
                <w:sz w:val="20"/>
                <w:szCs w:val="16"/>
                <w:lang w:val="pt-BR"/>
              </w:rPr>
              <w:t>45.3</w:t>
            </w:r>
          </w:p>
        </w:tc>
        <w:tc>
          <w:tcPr>
            <w:tcW w:w="762" w:type="dxa"/>
            <w:tcBorders>
              <w:top w:val="single" w:sz="4" w:space="0" w:color="auto"/>
            </w:tcBorders>
            <w:noWrap/>
            <w:vAlign w:val="bottom"/>
          </w:tcPr>
          <w:p w:rsidR="00000000" w:rsidRDefault="00000000">
            <w:pPr>
              <w:spacing w:before="60" w:after="60"/>
              <w:ind w:right="113"/>
              <w:jc w:val="right"/>
              <w:rPr>
                <w:sz w:val="20"/>
                <w:szCs w:val="16"/>
                <w:lang w:val="pt-BR"/>
              </w:rPr>
            </w:pPr>
            <w:r>
              <w:rPr>
                <w:sz w:val="20"/>
                <w:szCs w:val="16"/>
                <w:lang w:val="pt-BR"/>
              </w:rPr>
              <w:t>2 065</w:t>
            </w:r>
          </w:p>
        </w:tc>
        <w:tc>
          <w:tcPr>
            <w:tcW w:w="521" w:type="dxa"/>
            <w:tcBorders>
              <w:top w:val="single" w:sz="4" w:space="0" w:color="auto"/>
            </w:tcBorders>
            <w:noWrap/>
            <w:vAlign w:val="bottom"/>
          </w:tcPr>
          <w:p w:rsidR="00000000" w:rsidRDefault="00000000">
            <w:pPr>
              <w:spacing w:before="60" w:after="60"/>
              <w:ind w:right="113"/>
              <w:jc w:val="right"/>
              <w:rPr>
                <w:sz w:val="20"/>
                <w:szCs w:val="16"/>
                <w:lang w:val="pt-BR"/>
              </w:rPr>
            </w:pPr>
            <w:r>
              <w:rPr>
                <w:sz w:val="20"/>
                <w:szCs w:val="16"/>
                <w:lang w:val="pt-BR"/>
              </w:rPr>
              <w:t>35</w:t>
            </w:r>
          </w:p>
        </w:tc>
        <w:tc>
          <w:tcPr>
            <w:tcW w:w="620" w:type="dxa"/>
            <w:tcBorders>
              <w:top w:val="single" w:sz="4" w:space="0" w:color="auto"/>
            </w:tcBorders>
            <w:noWrap/>
            <w:vAlign w:val="bottom"/>
          </w:tcPr>
          <w:p w:rsidR="00000000" w:rsidRDefault="00000000">
            <w:pPr>
              <w:spacing w:before="60" w:after="60"/>
              <w:ind w:right="113"/>
              <w:jc w:val="right"/>
              <w:rPr>
                <w:sz w:val="20"/>
                <w:szCs w:val="16"/>
                <w:lang w:val="pt-BR"/>
              </w:rPr>
            </w:pPr>
            <w:r>
              <w:rPr>
                <w:sz w:val="20"/>
                <w:szCs w:val="16"/>
                <w:lang w:val="pt-BR"/>
              </w:rPr>
              <w:t>16.9</w:t>
            </w:r>
          </w:p>
        </w:tc>
        <w:tc>
          <w:tcPr>
            <w:tcW w:w="592" w:type="dxa"/>
            <w:tcBorders>
              <w:top w:val="single" w:sz="4" w:space="0" w:color="auto"/>
            </w:tcBorders>
            <w:noWrap/>
            <w:vAlign w:val="bottom"/>
          </w:tcPr>
          <w:p w:rsidR="00000000" w:rsidRDefault="00000000">
            <w:pPr>
              <w:spacing w:before="60" w:after="60"/>
              <w:ind w:right="113"/>
              <w:jc w:val="right"/>
              <w:rPr>
                <w:sz w:val="20"/>
                <w:szCs w:val="16"/>
                <w:lang w:val="pt-BR"/>
              </w:rPr>
            </w:pPr>
            <w:r>
              <w:rPr>
                <w:sz w:val="20"/>
                <w:szCs w:val="16"/>
                <w:lang w:val="pt-BR"/>
              </w:rPr>
              <w:t>0</w:t>
            </w:r>
          </w:p>
        </w:tc>
        <w:tc>
          <w:tcPr>
            <w:tcW w:w="521" w:type="dxa"/>
            <w:tcBorders>
              <w:top w:val="single" w:sz="4" w:space="0" w:color="auto"/>
            </w:tcBorders>
            <w:noWrap/>
            <w:vAlign w:val="bottom"/>
          </w:tcPr>
          <w:p w:rsidR="00000000" w:rsidRDefault="00000000">
            <w:pPr>
              <w:spacing w:before="60" w:after="60"/>
              <w:ind w:right="113"/>
              <w:jc w:val="right"/>
              <w:rPr>
                <w:sz w:val="20"/>
                <w:szCs w:val="16"/>
                <w:lang w:val="pt-BR"/>
              </w:rPr>
            </w:pPr>
            <w:r>
              <w:rPr>
                <w:sz w:val="20"/>
                <w:szCs w:val="16"/>
                <w:lang w:val="pt-BR"/>
              </w:rPr>
              <w:t>0</w:t>
            </w:r>
          </w:p>
        </w:tc>
        <w:tc>
          <w:tcPr>
            <w:tcW w:w="620" w:type="dxa"/>
            <w:tcBorders>
              <w:top w:val="single" w:sz="4" w:space="0" w:color="auto"/>
            </w:tcBorders>
            <w:noWrap/>
            <w:vAlign w:val="bottom"/>
          </w:tcPr>
          <w:p w:rsidR="00000000" w:rsidRDefault="00000000">
            <w:pPr>
              <w:spacing w:before="60" w:after="60"/>
              <w:ind w:right="113"/>
              <w:jc w:val="right"/>
              <w:rPr>
                <w:sz w:val="20"/>
                <w:szCs w:val="16"/>
                <w:lang w:val="pt-BR"/>
              </w:rPr>
            </w:pPr>
            <w:r>
              <w:rPr>
                <w:sz w:val="20"/>
                <w:szCs w:val="16"/>
                <w:lang w:val="pt-BR"/>
              </w:rPr>
              <w:t>*</w:t>
            </w:r>
          </w:p>
        </w:tc>
        <w:tc>
          <w:tcPr>
            <w:tcW w:w="762" w:type="dxa"/>
            <w:tcBorders>
              <w:top w:val="single" w:sz="4" w:space="0" w:color="auto"/>
            </w:tcBorders>
            <w:noWrap/>
            <w:vAlign w:val="bottom"/>
          </w:tcPr>
          <w:p w:rsidR="00000000" w:rsidRDefault="00000000">
            <w:pPr>
              <w:spacing w:before="60" w:after="60"/>
              <w:ind w:right="113"/>
              <w:jc w:val="right"/>
              <w:rPr>
                <w:sz w:val="20"/>
                <w:szCs w:val="16"/>
                <w:lang w:val="pt-BR"/>
              </w:rPr>
            </w:pPr>
            <w:r>
              <w:rPr>
                <w:sz w:val="20"/>
                <w:szCs w:val="16"/>
                <w:lang w:val="pt-BR"/>
              </w:rPr>
              <w:t>3 677</w:t>
            </w:r>
          </w:p>
        </w:tc>
        <w:tc>
          <w:tcPr>
            <w:tcW w:w="620" w:type="dxa"/>
            <w:tcBorders>
              <w:top w:val="single" w:sz="4" w:space="0" w:color="auto"/>
            </w:tcBorders>
            <w:noWrap/>
            <w:vAlign w:val="bottom"/>
          </w:tcPr>
          <w:p w:rsidR="00000000" w:rsidRDefault="00000000">
            <w:pPr>
              <w:spacing w:before="60" w:after="60"/>
              <w:ind w:right="113"/>
              <w:jc w:val="right"/>
              <w:rPr>
                <w:sz w:val="20"/>
                <w:szCs w:val="16"/>
                <w:lang w:val="pt-BR"/>
              </w:rPr>
            </w:pPr>
            <w:r>
              <w:rPr>
                <w:sz w:val="20"/>
                <w:szCs w:val="16"/>
                <w:lang w:val="pt-BR"/>
              </w:rPr>
              <w:t>108</w:t>
            </w:r>
          </w:p>
        </w:tc>
        <w:tc>
          <w:tcPr>
            <w:tcW w:w="691" w:type="dxa"/>
            <w:tcBorders>
              <w:top w:val="single" w:sz="4" w:space="0" w:color="auto"/>
            </w:tcBorders>
            <w:noWrap/>
            <w:vAlign w:val="bottom"/>
          </w:tcPr>
          <w:p w:rsidR="00000000" w:rsidRDefault="00000000">
            <w:pPr>
              <w:spacing w:before="60" w:after="60"/>
              <w:ind w:right="113"/>
              <w:jc w:val="right"/>
              <w:rPr>
                <w:sz w:val="20"/>
                <w:szCs w:val="16"/>
                <w:lang w:val="pt-BR"/>
              </w:rPr>
            </w:pPr>
            <w:r>
              <w:rPr>
                <w:sz w:val="20"/>
                <w:szCs w:val="16"/>
                <w:lang w:val="pt-BR"/>
              </w:rPr>
              <w:t>29.4</w:t>
            </w:r>
          </w:p>
        </w:tc>
      </w:tr>
      <w:tr w:rsidR="00000000">
        <w:tc>
          <w:tcPr>
            <w:tcW w:w="1660" w:type="dxa"/>
            <w:noWrap/>
            <w:vAlign w:val="bottom"/>
          </w:tcPr>
          <w:p w:rsidR="00000000" w:rsidRDefault="00000000">
            <w:pPr>
              <w:spacing w:before="60" w:after="60"/>
              <w:rPr>
                <w:sz w:val="20"/>
                <w:szCs w:val="16"/>
                <w:lang w:val="pt-BR"/>
              </w:rPr>
            </w:pPr>
            <w:r>
              <w:rPr>
                <w:sz w:val="20"/>
                <w:szCs w:val="16"/>
                <w:lang w:val="pt-BR"/>
              </w:rPr>
              <w:t xml:space="preserve">San Pedro </w:t>
            </w:r>
          </w:p>
        </w:tc>
        <w:tc>
          <w:tcPr>
            <w:tcW w:w="767" w:type="dxa"/>
            <w:noWrap/>
            <w:vAlign w:val="bottom"/>
          </w:tcPr>
          <w:p w:rsidR="00000000" w:rsidRDefault="00000000">
            <w:pPr>
              <w:spacing w:before="60" w:after="60"/>
              <w:ind w:right="113"/>
              <w:jc w:val="right"/>
              <w:rPr>
                <w:sz w:val="20"/>
                <w:szCs w:val="16"/>
                <w:lang w:val="pt-BR"/>
              </w:rPr>
            </w:pPr>
            <w:r>
              <w:rPr>
                <w:sz w:val="20"/>
                <w:szCs w:val="16"/>
                <w:lang w:val="pt-BR"/>
              </w:rPr>
              <w:t>1 191</w:t>
            </w:r>
          </w:p>
        </w:tc>
        <w:tc>
          <w:tcPr>
            <w:tcW w:w="622" w:type="dxa"/>
            <w:noWrap/>
            <w:vAlign w:val="bottom"/>
          </w:tcPr>
          <w:p w:rsidR="00000000" w:rsidRDefault="00000000">
            <w:pPr>
              <w:spacing w:before="60" w:after="60"/>
              <w:ind w:right="113"/>
              <w:jc w:val="right"/>
              <w:rPr>
                <w:sz w:val="20"/>
                <w:szCs w:val="16"/>
                <w:lang w:val="pt-BR"/>
              </w:rPr>
            </w:pPr>
            <w:r>
              <w:rPr>
                <w:sz w:val="20"/>
                <w:szCs w:val="16"/>
                <w:lang w:val="pt-BR"/>
              </w:rPr>
              <w:t>28</w:t>
            </w:r>
          </w:p>
        </w:tc>
        <w:tc>
          <w:tcPr>
            <w:tcW w:w="690" w:type="dxa"/>
            <w:noWrap/>
            <w:vAlign w:val="bottom"/>
          </w:tcPr>
          <w:p w:rsidR="00000000" w:rsidRDefault="00000000">
            <w:pPr>
              <w:spacing w:before="60" w:after="60"/>
              <w:ind w:right="113"/>
              <w:jc w:val="right"/>
              <w:rPr>
                <w:sz w:val="20"/>
                <w:szCs w:val="16"/>
                <w:lang w:val="pt-BR"/>
              </w:rPr>
            </w:pPr>
            <w:r>
              <w:rPr>
                <w:sz w:val="20"/>
                <w:szCs w:val="16"/>
                <w:lang w:val="pt-BR"/>
              </w:rPr>
              <w:t>23.5</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3 359</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62</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18.5</w:t>
            </w:r>
          </w:p>
        </w:tc>
        <w:tc>
          <w:tcPr>
            <w:tcW w:w="592" w:type="dxa"/>
            <w:noWrap/>
            <w:vAlign w:val="bottom"/>
          </w:tcPr>
          <w:p w:rsidR="00000000" w:rsidRDefault="00000000">
            <w:pPr>
              <w:spacing w:before="60" w:after="60"/>
              <w:ind w:right="113"/>
              <w:jc w:val="right"/>
              <w:rPr>
                <w:sz w:val="20"/>
                <w:szCs w:val="16"/>
                <w:lang w:val="pt-BR"/>
              </w:rPr>
            </w:pPr>
            <w:r>
              <w:rPr>
                <w:sz w:val="20"/>
                <w:szCs w:val="16"/>
                <w:lang w:val="pt-BR"/>
              </w:rPr>
              <w:t>2</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N</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4 552</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90</w:t>
            </w:r>
          </w:p>
        </w:tc>
        <w:tc>
          <w:tcPr>
            <w:tcW w:w="691" w:type="dxa"/>
            <w:noWrap/>
            <w:vAlign w:val="bottom"/>
          </w:tcPr>
          <w:p w:rsidR="00000000" w:rsidRDefault="00000000">
            <w:pPr>
              <w:spacing w:before="60" w:after="60"/>
              <w:ind w:right="113"/>
              <w:jc w:val="right"/>
              <w:rPr>
                <w:sz w:val="20"/>
                <w:szCs w:val="16"/>
                <w:lang w:val="pt-BR"/>
              </w:rPr>
            </w:pPr>
            <w:r>
              <w:rPr>
                <w:sz w:val="20"/>
                <w:szCs w:val="16"/>
                <w:lang w:val="pt-BR"/>
              </w:rPr>
              <w:t>19.8</w:t>
            </w:r>
          </w:p>
        </w:tc>
      </w:tr>
      <w:tr w:rsidR="00000000">
        <w:tc>
          <w:tcPr>
            <w:tcW w:w="1660" w:type="dxa"/>
            <w:noWrap/>
            <w:vAlign w:val="bottom"/>
          </w:tcPr>
          <w:p w:rsidR="00000000" w:rsidRDefault="00000000">
            <w:pPr>
              <w:spacing w:before="60" w:after="60"/>
              <w:rPr>
                <w:sz w:val="20"/>
                <w:szCs w:val="16"/>
                <w:lang w:val="pt-BR"/>
              </w:rPr>
            </w:pPr>
            <w:r>
              <w:rPr>
                <w:sz w:val="20"/>
                <w:szCs w:val="16"/>
                <w:lang w:val="pt-BR"/>
              </w:rPr>
              <w:t xml:space="preserve">Cordillera </w:t>
            </w:r>
          </w:p>
        </w:tc>
        <w:tc>
          <w:tcPr>
            <w:tcW w:w="767" w:type="dxa"/>
            <w:noWrap/>
            <w:vAlign w:val="bottom"/>
          </w:tcPr>
          <w:p w:rsidR="00000000" w:rsidRDefault="00000000">
            <w:pPr>
              <w:spacing w:before="60" w:after="60"/>
              <w:ind w:right="113"/>
              <w:jc w:val="right"/>
              <w:rPr>
                <w:sz w:val="20"/>
                <w:szCs w:val="16"/>
                <w:lang w:val="pt-BR"/>
              </w:rPr>
            </w:pPr>
            <w:r>
              <w:rPr>
                <w:sz w:val="20"/>
                <w:szCs w:val="16"/>
                <w:lang w:val="pt-BR"/>
              </w:rPr>
              <w:t>1 844</w:t>
            </w:r>
          </w:p>
        </w:tc>
        <w:tc>
          <w:tcPr>
            <w:tcW w:w="622" w:type="dxa"/>
            <w:noWrap/>
            <w:vAlign w:val="bottom"/>
          </w:tcPr>
          <w:p w:rsidR="00000000" w:rsidRDefault="00000000">
            <w:pPr>
              <w:spacing w:before="60" w:after="60"/>
              <w:ind w:right="113"/>
              <w:jc w:val="right"/>
              <w:rPr>
                <w:sz w:val="20"/>
                <w:szCs w:val="16"/>
                <w:lang w:val="pt-BR"/>
              </w:rPr>
            </w:pPr>
            <w:r>
              <w:rPr>
                <w:sz w:val="20"/>
                <w:szCs w:val="16"/>
                <w:lang w:val="pt-BR"/>
              </w:rPr>
              <w:t>61</w:t>
            </w:r>
          </w:p>
        </w:tc>
        <w:tc>
          <w:tcPr>
            <w:tcW w:w="690" w:type="dxa"/>
            <w:noWrap/>
            <w:vAlign w:val="bottom"/>
          </w:tcPr>
          <w:p w:rsidR="00000000" w:rsidRDefault="00000000">
            <w:pPr>
              <w:spacing w:before="60" w:after="60"/>
              <w:ind w:right="113"/>
              <w:jc w:val="right"/>
              <w:rPr>
                <w:sz w:val="20"/>
                <w:szCs w:val="16"/>
                <w:lang w:val="pt-BR"/>
              </w:rPr>
            </w:pPr>
            <w:r>
              <w:rPr>
                <w:sz w:val="20"/>
                <w:szCs w:val="16"/>
                <w:lang w:val="pt-BR"/>
              </w:rPr>
              <w:t>33.1</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2 634</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32</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12.1</w:t>
            </w:r>
          </w:p>
        </w:tc>
        <w:tc>
          <w:tcPr>
            <w:tcW w:w="592"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O</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4 478</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93</w:t>
            </w:r>
          </w:p>
        </w:tc>
        <w:tc>
          <w:tcPr>
            <w:tcW w:w="691" w:type="dxa"/>
            <w:noWrap/>
            <w:vAlign w:val="bottom"/>
          </w:tcPr>
          <w:p w:rsidR="00000000" w:rsidRDefault="00000000">
            <w:pPr>
              <w:spacing w:before="60" w:after="60"/>
              <w:ind w:right="113"/>
              <w:jc w:val="right"/>
              <w:rPr>
                <w:sz w:val="20"/>
                <w:szCs w:val="16"/>
                <w:lang w:val="pt-BR"/>
              </w:rPr>
            </w:pPr>
            <w:r>
              <w:rPr>
                <w:sz w:val="20"/>
                <w:szCs w:val="16"/>
                <w:lang w:val="pt-BR"/>
              </w:rPr>
              <w:t>20.8</w:t>
            </w:r>
          </w:p>
        </w:tc>
      </w:tr>
      <w:tr w:rsidR="00000000">
        <w:tc>
          <w:tcPr>
            <w:tcW w:w="1660" w:type="dxa"/>
            <w:noWrap/>
            <w:vAlign w:val="bottom"/>
          </w:tcPr>
          <w:p w:rsidR="00000000" w:rsidRDefault="00000000">
            <w:pPr>
              <w:spacing w:before="60" w:after="60"/>
              <w:rPr>
                <w:sz w:val="20"/>
                <w:szCs w:val="16"/>
                <w:lang w:val="pt-BR"/>
              </w:rPr>
            </w:pPr>
            <w:r>
              <w:rPr>
                <w:sz w:val="20"/>
                <w:szCs w:val="16"/>
                <w:lang w:val="pt-BR"/>
              </w:rPr>
              <w:t>Guairá</w:t>
            </w:r>
          </w:p>
        </w:tc>
        <w:tc>
          <w:tcPr>
            <w:tcW w:w="767" w:type="dxa"/>
            <w:noWrap/>
            <w:vAlign w:val="bottom"/>
          </w:tcPr>
          <w:p w:rsidR="00000000" w:rsidRDefault="00000000">
            <w:pPr>
              <w:spacing w:before="60" w:after="60"/>
              <w:ind w:right="113"/>
              <w:jc w:val="right"/>
              <w:rPr>
                <w:sz w:val="20"/>
                <w:szCs w:val="16"/>
                <w:lang w:val="pt-BR"/>
              </w:rPr>
            </w:pPr>
            <w:r>
              <w:rPr>
                <w:sz w:val="20"/>
                <w:szCs w:val="16"/>
                <w:lang w:val="pt-BR"/>
              </w:rPr>
              <w:t>1 642</w:t>
            </w:r>
          </w:p>
        </w:tc>
        <w:tc>
          <w:tcPr>
            <w:tcW w:w="622" w:type="dxa"/>
            <w:noWrap/>
            <w:vAlign w:val="bottom"/>
          </w:tcPr>
          <w:p w:rsidR="00000000" w:rsidRDefault="00000000">
            <w:pPr>
              <w:spacing w:before="60" w:after="60"/>
              <w:ind w:right="113"/>
              <w:jc w:val="right"/>
              <w:rPr>
                <w:sz w:val="20"/>
                <w:szCs w:val="16"/>
                <w:lang w:val="pt-BR"/>
              </w:rPr>
            </w:pPr>
            <w:r>
              <w:rPr>
                <w:sz w:val="20"/>
                <w:szCs w:val="16"/>
                <w:lang w:val="pt-BR"/>
              </w:rPr>
              <w:t>64</w:t>
            </w:r>
          </w:p>
        </w:tc>
        <w:tc>
          <w:tcPr>
            <w:tcW w:w="690" w:type="dxa"/>
            <w:noWrap/>
            <w:vAlign w:val="bottom"/>
          </w:tcPr>
          <w:p w:rsidR="00000000" w:rsidRDefault="00000000">
            <w:pPr>
              <w:spacing w:before="60" w:after="60"/>
              <w:ind w:right="113"/>
              <w:jc w:val="right"/>
              <w:rPr>
                <w:sz w:val="20"/>
                <w:szCs w:val="16"/>
                <w:lang w:val="pt-BR"/>
              </w:rPr>
            </w:pPr>
            <w:r>
              <w:rPr>
                <w:sz w:val="20"/>
                <w:szCs w:val="16"/>
                <w:lang w:val="pt-BR"/>
              </w:rPr>
              <w:t>39.0</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1 569</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31</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19.8</w:t>
            </w:r>
          </w:p>
        </w:tc>
        <w:tc>
          <w:tcPr>
            <w:tcW w:w="592"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3 211</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95</w:t>
            </w:r>
          </w:p>
        </w:tc>
        <w:tc>
          <w:tcPr>
            <w:tcW w:w="691" w:type="dxa"/>
            <w:noWrap/>
            <w:vAlign w:val="bottom"/>
          </w:tcPr>
          <w:p w:rsidR="00000000" w:rsidRDefault="00000000">
            <w:pPr>
              <w:spacing w:before="60" w:after="60"/>
              <w:ind w:right="113"/>
              <w:jc w:val="right"/>
              <w:rPr>
                <w:sz w:val="20"/>
                <w:szCs w:val="16"/>
                <w:lang w:val="pt-BR"/>
              </w:rPr>
            </w:pPr>
            <w:r>
              <w:rPr>
                <w:sz w:val="20"/>
                <w:szCs w:val="16"/>
                <w:lang w:val="pt-BR"/>
              </w:rPr>
              <w:t>29.6</w:t>
            </w:r>
          </w:p>
        </w:tc>
      </w:tr>
      <w:tr w:rsidR="00000000">
        <w:tc>
          <w:tcPr>
            <w:tcW w:w="1660" w:type="dxa"/>
            <w:noWrap/>
            <w:vAlign w:val="bottom"/>
          </w:tcPr>
          <w:p w:rsidR="00000000" w:rsidRDefault="00000000">
            <w:pPr>
              <w:spacing w:before="60" w:after="60"/>
              <w:rPr>
                <w:sz w:val="20"/>
                <w:szCs w:val="16"/>
                <w:lang w:val="pt-BR"/>
              </w:rPr>
            </w:pPr>
            <w:r>
              <w:rPr>
                <w:sz w:val="20"/>
                <w:szCs w:val="16"/>
                <w:lang w:val="pt-BR"/>
              </w:rPr>
              <w:t>Caaguazú</w:t>
            </w:r>
          </w:p>
        </w:tc>
        <w:tc>
          <w:tcPr>
            <w:tcW w:w="767" w:type="dxa"/>
            <w:noWrap/>
            <w:vAlign w:val="bottom"/>
          </w:tcPr>
          <w:p w:rsidR="00000000" w:rsidRDefault="00000000">
            <w:pPr>
              <w:spacing w:before="60" w:after="60"/>
              <w:ind w:right="113"/>
              <w:jc w:val="right"/>
              <w:rPr>
                <w:sz w:val="20"/>
                <w:szCs w:val="16"/>
                <w:lang w:val="pt-BR"/>
              </w:rPr>
            </w:pPr>
            <w:r>
              <w:rPr>
                <w:sz w:val="20"/>
                <w:szCs w:val="16"/>
                <w:lang w:val="pt-BR"/>
              </w:rPr>
              <w:t>2 619</w:t>
            </w:r>
          </w:p>
        </w:tc>
        <w:tc>
          <w:tcPr>
            <w:tcW w:w="622" w:type="dxa"/>
            <w:noWrap/>
            <w:vAlign w:val="bottom"/>
          </w:tcPr>
          <w:p w:rsidR="00000000" w:rsidRDefault="00000000">
            <w:pPr>
              <w:spacing w:before="60" w:after="60"/>
              <w:ind w:right="113"/>
              <w:jc w:val="right"/>
              <w:rPr>
                <w:sz w:val="20"/>
                <w:szCs w:val="16"/>
                <w:lang w:val="pt-BR"/>
              </w:rPr>
            </w:pPr>
            <w:r>
              <w:rPr>
                <w:sz w:val="20"/>
                <w:szCs w:val="16"/>
                <w:lang w:val="pt-BR"/>
              </w:rPr>
              <w:t>43</w:t>
            </w:r>
          </w:p>
        </w:tc>
        <w:tc>
          <w:tcPr>
            <w:tcW w:w="690" w:type="dxa"/>
            <w:noWrap/>
            <w:vAlign w:val="bottom"/>
          </w:tcPr>
          <w:p w:rsidR="00000000" w:rsidRDefault="00000000">
            <w:pPr>
              <w:spacing w:before="60" w:after="60"/>
              <w:ind w:right="113"/>
              <w:jc w:val="right"/>
              <w:rPr>
                <w:sz w:val="20"/>
                <w:szCs w:val="16"/>
                <w:lang w:val="pt-BR"/>
              </w:rPr>
            </w:pPr>
            <w:r>
              <w:rPr>
                <w:sz w:val="20"/>
                <w:szCs w:val="16"/>
                <w:lang w:val="pt-BR"/>
              </w:rPr>
              <w:t>16.4</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3 667</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44</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12.0</w:t>
            </w:r>
          </w:p>
        </w:tc>
        <w:tc>
          <w:tcPr>
            <w:tcW w:w="592" w:type="dxa"/>
            <w:noWrap/>
            <w:vAlign w:val="bottom"/>
          </w:tcPr>
          <w:p w:rsidR="00000000" w:rsidRDefault="00000000">
            <w:pPr>
              <w:spacing w:before="60" w:after="60"/>
              <w:ind w:right="113"/>
              <w:jc w:val="right"/>
              <w:rPr>
                <w:sz w:val="20"/>
                <w:szCs w:val="16"/>
                <w:lang w:val="pt-BR"/>
              </w:rPr>
            </w:pPr>
            <w:r>
              <w:rPr>
                <w:sz w:val="20"/>
                <w:szCs w:val="16"/>
                <w:lang w:val="pt-BR"/>
              </w:rPr>
              <w:t>1</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6 287</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87</w:t>
            </w:r>
          </w:p>
        </w:tc>
        <w:tc>
          <w:tcPr>
            <w:tcW w:w="691" w:type="dxa"/>
            <w:noWrap/>
            <w:vAlign w:val="bottom"/>
          </w:tcPr>
          <w:p w:rsidR="00000000" w:rsidRDefault="00000000">
            <w:pPr>
              <w:spacing w:before="60" w:after="60"/>
              <w:ind w:right="113"/>
              <w:jc w:val="right"/>
              <w:rPr>
                <w:sz w:val="20"/>
                <w:szCs w:val="16"/>
                <w:lang w:val="pt-BR"/>
              </w:rPr>
            </w:pPr>
            <w:r>
              <w:rPr>
                <w:sz w:val="20"/>
                <w:szCs w:val="16"/>
                <w:lang w:val="pt-BR"/>
              </w:rPr>
              <w:t>13.8</w:t>
            </w:r>
          </w:p>
        </w:tc>
      </w:tr>
      <w:tr w:rsidR="00000000">
        <w:tc>
          <w:tcPr>
            <w:tcW w:w="1660" w:type="dxa"/>
            <w:noWrap/>
            <w:vAlign w:val="bottom"/>
          </w:tcPr>
          <w:p w:rsidR="00000000" w:rsidRDefault="00000000">
            <w:pPr>
              <w:spacing w:before="60" w:after="60"/>
              <w:rPr>
                <w:sz w:val="20"/>
                <w:szCs w:val="16"/>
                <w:lang w:val="pt-BR"/>
              </w:rPr>
            </w:pPr>
            <w:r>
              <w:rPr>
                <w:sz w:val="20"/>
                <w:szCs w:val="16"/>
                <w:lang w:val="pt-BR"/>
              </w:rPr>
              <w:t>Caazapá</w:t>
            </w:r>
          </w:p>
        </w:tc>
        <w:tc>
          <w:tcPr>
            <w:tcW w:w="767" w:type="dxa"/>
            <w:noWrap/>
            <w:vAlign w:val="bottom"/>
          </w:tcPr>
          <w:p w:rsidR="00000000" w:rsidRDefault="00000000">
            <w:pPr>
              <w:spacing w:before="60" w:after="60"/>
              <w:ind w:right="113"/>
              <w:jc w:val="right"/>
              <w:rPr>
                <w:sz w:val="20"/>
                <w:szCs w:val="16"/>
                <w:lang w:val="pt-BR"/>
              </w:rPr>
            </w:pPr>
            <w:r>
              <w:rPr>
                <w:sz w:val="20"/>
                <w:szCs w:val="16"/>
                <w:lang w:val="pt-BR"/>
              </w:rPr>
              <w:t>588</w:t>
            </w:r>
          </w:p>
        </w:tc>
        <w:tc>
          <w:tcPr>
            <w:tcW w:w="622" w:type="dxa"/>
            <w:noWrap/>
            <w:vAlign w:val="bottom"/>
          </w:tcPr>
          <w:p w:rsidR="00000000" w:rsidRDefault="00000000">
            <w:pPr>
              <w:spacing w:before="60" w:after="60"/>
              <w:ind w:right="113"/>
              <w:jc w:val="right"/>
              <w:rPr>
                <w:sz w:val="20"/>
                <w:szCs w:val="16"/>
                <w:lang w:val="pt-BR"/>
              </w:rPr>
            </w:pPr>
            <w:r>
              <w:rPr>
                <w:sz w:val="20"/>
                <w:szCs w:val="16"/>
                <w:lang w:val="pt-BR"/>
              </w:rPr>
              <w:t>16</w:t>
            </w:r>
          </w:p>
        </w:tc>
        <w:tc>
          <w:tcPr>
            <w:tcW w:w="690" w:type="dxa"/>
            <w:noWrap/>
            <w:vAlign w:val="bottom"/>
          </w:tcPr>
          <w:p w:rsidR="00000000" w:rsidRDefault="00000000">
            <w:pPr>
              <w:spacing w:before="60" w:after="60"/>
              <w:ind w:right="113"/>
              <w:jc w:val="right"/>
              <w:rPr>
                <w:sz w:val="20"/>
                <w:szCs w:val="16"/>
                <w:lang w:val="pt-BR"/>
              </w:rPr>
            </w:pPr>
            <w:r>
              <w:rPr>
                <w:sz w:val="20"/>
                <w:szCs w:val="16"/>
                <w:lang w:val="pt-BR"/>
              </w:rPr>
              <w:t>27.2</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1 749</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27</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15.4</w:t>
            </w:r>
          </w:p>
        </w:tc>
        <w:tc>
          <w:tcPr>
            <w:tcW w:w="592"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A</w:t>
            </w:r>
          </w:p>
        </w:tc>
        <w:tc>
          <w:tcPr>
            <w:tcW w:w="762" w:type="dxa"/>
            <w:noWrap/>
            <w:vAlign w:val="bottom"/>
          </w:tcPr>
          <w:p w:rsidR="00000000" w:rsidRDefault="00000000">
            <w:pPr>
              <w:spacing w:before="60" w:after="60"/>
              <w:ind w:right="113"/>
              <w:jc w:val="right"/>
              <w:rPr>
                <w:sz w:val="20"/>
                <w:szCs w:val="16"/>
                <w:lang w:val="fr-FR"/>
              </w:rPr>
            </w:pPr>
            <w:r>
              <w:rPr>
                <w:sz w:val="20"/>
                <w:szCs w:val="16"/>
                <w:lang w:val="fr-FR"/>
              </w:rPr>
              <w:t>2 337</w:t>
            </w:r>
          </w:p>
        </w:tc>
        <w:tc>
          <w:tcPr>
            <w:tcW w:w="620" w:type="dxa"/>
            <w:noWrap/>
            <w:vAlign w:val="bottom"/>
          </w:tcPr>
          <w:p w:rsidR="00000000" w:rsidRDefault="00000000">
            <w:pPr>
              <w:spacing w:before="60" w:after="60"/>
              <w:ind w:right="113"/>
              <w:jc w:val="right"/>
              <w:rPr>
                <w:sz w:val="20"/>
                <w:szCs w:val="16"/>
                <w:lang w:val="fr-FR"/>
              </w:rPr>
            </w:pPr>
            <w:r>
              <w:rPr>
                <w:sz w:val="20"/>
                <w:szCs w:val="16"/>
                <w:lang w:val="fr-FR"/>
              </w:rPr>
              <w:t>43</w:t>
            </w:r>
          </w:p>
        </w:tc>
        <w:tc>
          <w:tcPr>
            <w:tcW w:w="691" w:type="dxa"/>
            <w:noWrap/>
            <w:vAlign w:val="bottom"/>
          </w:tcPr>
          <w:p w:rsidR="00000000" w:rsidRDefault="00000000">
            <w:pPr>
              <w:spacing w:before="60" w:after="60"/>
              <w:ind w:right="113"/>
              <w:jc w:val="right"/>
              <w:rPr>
                <w:sz w:val="20"/>
                <w:szCs w:val="16"/>
                <w:lang w:val="fr-FR"/>
              </w:rPr>
            </w:pPr>
            <w:r>
              <w:rPr>
                <w:sz w:val="20"/>
                <w:szCs w:val="16"/>
                <w:lang w:val="fr-FR"/>
              </w:rPr>
              <w:t>18.4</w:t>
            </w:r>
          </w:p>
        </w:tc>
      </w:tr>
      <w:tr w:rsidR="00000000">
        <w:tc>
          <w:tcPr>
            <w:tcW w:w="1660" w:type="dxa"/>
            <w:noWrap/>
            <w:vAlign w:val="bottom"/>
          </w:tcPr>
          <w:p w:rsidR="00000000" w:rsidRDefault="00000000">
            <w:pPr>
              <w:spacing w:before="60" w:after="60"/>
              <w:rPr>
                <w:sz w:val="20"/>
                <w:szCs w:val="16"/>
                <w:lang w:val="fr-FR"/>
              </w:rPr>
            </w:pPr>
            <w:r>
              <w:rPr>
                <w:sz w:val="20"/>
                <w:szCs w:val="16"/>
                <w:lang w:val="fr-FR"/>
              </w:rPr>
              <w:t>Itapúa</w:t>
            </w:r>
          </w:p>
        </w:tc>
        <w:tc>
          <w:tcPr>
            <w:tcW w:w="767" w:type="dxa"/>
            <w:noWrap/>
            <w:vAlign w:val="bottom"/>
          </w:tcPr>
          <w:p w:rsidR="00000000" w:rsidRDefault="00000000">
            <w:pPr>
              <w:spacing w:before="60" w:after="60"/>
              <w:ind w:right="113"/>
              <w:jc w:val="right"/>
              <w:rPr>
                <w:sz w:val="20"/>
                <w:szCs w:val="16"/>
                <w:lang w:val="fr-FR"/>
              </w:rPr>
            </w:pPr>
            <w:r>
              <w:rPr>
                <w:sz w:val="20"/>
                <w:szCs w:val="16"/>
                <w:lang w:val="fr-FR"/>
              </w:rPr>
              <w:t>3 243</w:t>
            </w:r>
          </w:p>
        </w:tc>
        <w:tc>
          <w:tcPr>
            <w:tcW w:w="622" w:type="dxa"/>
            <w:noWrap/>
            <w:vAlign w:val="bottom"/>
          </w:tcPr>
          <w:p w:rsidR="00000000" w:rsidRDefault="00000000">
            <w:pPr>
              <w:spacing w:before="60" w:after="60"/>
              <w:ind w:right="113"/>
              <w:jc w:val="right"/>
              <w:rPr>
                <w:sz w:val="20"/>
                <w:szCs w:val="16"/>
                <w:lang w:val="fr-FR"/>
              </w:rPr>
            </w:pPr>
            <w:r>
              <w:rPr>
                <w:sz w:val="20"/>
                <w:szCs w:val="16"/>
                <w:lang w:val="fr-FR"/>
              </w:rPr>
              <w:t>66</w:t>
            </w:r>
          </w:p>
        </w:tc>
        <w:tc>
          <w:tcPr>
            <w:tcW w:w="690" w:type="dxa"/>
            <w:noWrap/>
            <w:vAlign w:val="bottom"/>
          </w:tcPr>
          <w:p w:rsidR="00000000" w:rsidRDefault="00000000">
            <w:pPr>
              <w:spacing w:before="60" w:after="60"/>
              <w:ind w:right="113"/>
              <w:jc w:val="right"/>
              <w:rPr>
                <w:sz w:val="20"/>
                <w:szCs w:val="16"/>
                <w:lang w:val="fr-FR"/>
              </w:rPr>
            </w:pPr>
            <w:r>
              <w:rPr>
                <w:sz w:val="20"/>
                <w:szCs w:val="16"/>
                <w:lang w:val="fr-FR"/>
              </w:rPr>
              <w:t>20.4</w:t>
            </w:r>
          </w:p>
        </w:tc>
        <w:tc>
          <w:tcPr>
            <w:tcW w:w="762" w:type="dxa"/>
            <w:noWrap/>
            <w:vAlign w:val="bottom"/>
          </w:tcPr>
          <w:p w:rsidR="00000000" w:rsidRDefault="00000000">
            <w:pPr>
              <w:spacing w:before="60" w:after="60"/>
              <w:ind w:right="113"/>
              <w:jc w:val="right"/>
              <w:rPr>
                <w:sz w:val="20"/>
                <w:szCs w:val="16"/>
                <w:lang w:val="fr-FR"/>
              </w:rPr>
            </w:pPr>
            <w:r>
              <w:rPr>
                <w:sz w:val="20"/>
                <w:szCs w:val="16"/>
                <w:lang w:val="fr-FR"/>
              </w:rPr>
              <w:t>3 928</w:t>
            </w:r>
          </w:p>
        </w:tc>
        <w:tc>
          <w:tcPr>
            <w:tcW w:w="521" w:type="dxa"/>
            <w:noWrap/>
            <w:vAlign w:val="bottom"/>
          </w:tcPr>
          <w:p w:rsidR="00000000" w:rsidRDefault="00000000">
            <w:pPr>
              <w:spacing w:before="60" w:after="60"/>
              <w:ind w:right="113"/>
              <w:jc w:val="right"/>
              <w:rPr>
                <w:sz w:val="20"/>
                <w:szCs w:val="16"/>
                <w:lang w:val="fr-FR"/>
              </w:rPr>
            </w:pPr>
            <w:r>
              <w:rPr>
                <w:sz w:val="20"/>
                <w:szCs w:val="16"/>
                <w:lang w:val="fr-FR"/>
              </w:rPr>
              <w:t>69</w:t>
            </w:r>
          </w:p>
        </w:tc>
        <w:tc>
          <w:tcPr>
            <w:tcW w:w="620" w:type="dxa"/>
            <w:noWrap/>
            <w:vAlign w:val="bottom"/>
          </w:tcPr>
          <w:p w:rsidR="00000000" w:rsidRDefault="00000000">
            <w:pPr>
              <w:spacing w:before="60" w:after="60"/>
              <w:ind w:right="113"/>
              <w:jc w:val="right"/>
              <w:rPr>
                <w:sz w:val="20"/>
                <w:szCs w:val="16"/>
                <w:lang w:val="fr-FR"/>
              </w:rPr>
            </w:pPr>
            <w:r>
              <w:rPr>
                <w:sz w:val="20"/>
                <w:szCs w:val="16"/>
                <w:lang w:val="fr-FR"/>
              </w:rPr>
              <w:t>17.6</w:t>
            </w:r>
          </w:p>
        </w:tc>
        <w:tc>
          <w:tcPr>
            <w:tcW w:w="592" w:type="dxa"/>
            <w:noWrap/>
            <w:vAlign w:val="bottom"/>
          </w:tcPr>
          <w:p w:rsidR="00000000" w:rsidRDefault="00000000">
            <w:pPr>
              <w:spacing w:before="60" w:after="60"/>
              <w:ind w:right="113"/>
              <w:jc w:val="right"/>
              <w:rPr>
                <w:sz w:val="20"/>
                <w:szCs w:val="16"/>
                <w:lang w:val="fr-FR"/>
              </w:rPr>
            </w:pPr>
            <w:r>
              <w:rPr>
                <w:sz w:val="20"/>
                <w:szCs w:val="16"/>
                <w:lang w:val="fr-FR"/>
              </w:rPr>
              <w:t>1</w:t>
            </w:r>
          </w:p>
        </w:tc>
        <w:tc>
          <w:tcPr>
            <w:tcW w:w="521" w:type="dxa"/>
            <w:noWrap/>
            <w:vAlign w:val="bottom"/>
          </w:tcPr>
          <w:p w:rsidR="00000000" w:rsidRDefault="00000000">
            <w:pPr>
              <w:spacing w:before="60" w:after="60"/>
              <w:ind w:right="113"/>
              <w:jc w:val="right"/>
              <w:rPr>
                <w:sz w:val="20"/>
                <w:szCs w:val="16"/>
                <w:lang w:val="fr-FR"/>
              </w:rPr>
            </w:pPr>
            <w:r>
              <w:rPr>
                <w:sz w:val="20"/>
                <w:szCs w:val="16"/>
                <w:lang w:val="fr-FR"/>
              </w:rPr>
              <w:t>0</w:t>
            </w:r>
          </w:p>
        </w:tc>
        <w:tc>
          <w:tcPr>
            <w:tcW w:w="620" w:type="dxa"/>
            <w:noWrap/>
            <w:vAlign w:val="bottom"/>
          </w:tcPr>
          <w:p w:rsidR="00000000" w:rsidRDefault="00000000">
            <w:pPr>
              <w:spacing w:before="60" w:after="60"/>
              <w:ind w:right="113"/>
              <w:jc w:val="right"/>
              <w:rPr>
                <w:sz w:val="20"/>
                <w:szCs w:val="16"/>
                <w:lang w:val="fr-FR"/>
              </w:rPr>
            </w:pPr>
            <w:r>
              <w:rPr>
                <w:sz w:val="20"/>
                <w:szCs w:val="16"/>
                <w:lang w:val="fr-FR"/>
              </w:rPr>
              <w:t>P</w:t>
            </w:r>
          </w:p>
        </w:tc>
        <w:tc>
          <w:tcPr>
            <w:tcW w:w="762" w:type="dxa"/>
            <w:noWrap/>
            <w:vAlign w:val="bottom"/>
          </w:tcPr>
          <w:p w:rsidR="00000000" w:rsidRDefault="00000000">
            <w:pPr>
              <w:spacing w:before="60" w:after="60"/>
              <w:ind w:right="113"/>
              <w:jc w:val="right"/>
              <w:rPr>
                <w:sz w:val="20"/>
                <w:szCs w:val="16"/>
                <w:lang w:val="fr-FR"/>
              </w:rPr>
            </w:pPr>
            <w:r>
              <w:rPr>
                <w:sz w:val="20"/>
                <w:szCs w:val="16"/>
                <w:lang w:val="fr-FR"/>
              </w:rPr>
              <w:t>7 172</w:t>
            </w:r>
          </w:p>
        </w:tc>
        <w:tc>
          <w:tcPr>
            <w:tcW w:w="620" w:type="dxa"/>
            <w:noWrap/>
            <w:vAlign w:val="bottom"/>
          </w:tcPr>
          <w:p w:rsidR="00000000" w:rsidRDefault="00000000">
            <w:pPr>
              <w:spacing w:before="60" w:after="60"/>
              <w:ind w:right="113"/>
              <w:jc w:val="right"/>
              <w:rPr>
                <w:sz w:val="20"/>
                <w:szCs w:val="16"/>
                <w:lang w:val="fr-FR"/>
              </w:rPr>
            </w:pPr>
            <w:r>
              <w:rPr>
                <w:sz w:val="20"/>
                <w:szCs w:val="16"/>
                <w:lang w:val="fr-FR"/>
              </w:rPr>
              <w:t>135</w:t>
            </w:r>
          </w:p>
        </w:tc>
        <w:tc>
          <w:tcPr>
            <w:tcW w:w="691" w:type="dxa"/>
            <w:noWrap/>
            <w:vAlign w:val="bottom"/>
          </w:tcPr>
          <w:p w:rsidR="00000000" w:rsidRDefault="00000000">
            <w:pPr>
              <w:spacing w:before="60" w:after="60"/>
              <w:ind w:right="113"/>
              <w:jc w:val="right"/>
              <w:rPr>
                <w:sz w:val="20"/>
                <w:szCs w:val="16"/>
                <w:lang w:val="fr-FR"/>
              </w:rPr>
            </w:pPr>
            <w:r>
              <w:rPr>
                <w:sz w:val="20"/>
                <w:szCs w:val="16"/>
                <w:lang w:val="fr-FR"/>
              </w:rPr>
              <w:t>18.8</w:t>
            </w:r>
          </w:p>
        </w:tc>
      </w:tr>
      <w:tr w:rsidR="00000000">
        <w:tc>
          <w:tcPr>
            <w:tcW w:w="1660" w:type="dxa"/>
            <w:noWrap/>
            <w:vAlign w:val="bottom"/>
          </w:tcPr>
          <w:p w:rsidR="00000000" w:rsidRDefault="00000000">
            <w:pPr>
              <w:spacing w:before="60" w:after="60"/>
              <w:rPr>
                <w:sz w:val="20"/>
                <w:szCs w:val="16"/>
                <w:lang w:val="fr-FR"/>
              </w:rPr>
            </w:pPr>
            <w:r>
              <w:rPr>
                <w:sz w:val="20"/>
                <w:szCs w:val="16"/>
                <w:lang w:val="fr-FR"/>
              </w:rPr>
              <w:t>Misiones</w:t>
            </w:r>
          </w:p>
        </w:tc>
        <w:tc>
          <w:tcPr>
            <w:tcW w:w="767" w:type="dxa"/>
            <w:noWrap/>
            <w:vAlign w:val="bottom"/>
          </w:tcPr>
          <w:p w:rsidR="00000000" w:rsidRDefault="00000000">
            <w:pPr>
              <w:spacing w:before="60" w:after="60"/>
              <w:ind w:right="113"/>
              <w:jc w:val="right"/>
              <w:rPr>
                <w:sz w:val="20"/>
                <w:szCs w:val="16"/>
                <w:lang w:val="pt-BR"/>
              </w:rPr>
            </w:pPr>
            <w:r>
              <w:rPr>
                <w:sz w:val="20"/>
                <w:szCs w:val="16"/>
                <w:lang w:val="pt-BR"/>
              </w:rPr>
              <w:t>1 098</w:t>
            </w:r>
          </w:p>
        </w:tc>
        <w:tc>
          <w:tcPr>
            <w:tcW w:w="622" w:type="dxa"/>
            <w:noWrap/>
            <w:vAlign w:val="bottom"/>
          </w:tcPr>
          <w:p w:rsidR="00000000" w:rsidRDefault="00000000">
            <w:pPr>
              <w:spacing w:before="60" w:after="60"/>
              <w:ind w:right="113"/>
              <w:jc w:val="right"/>
              <w:rPr>
                <w:sz w:val="20"/>
                <w:szCs w:val="16"/>
                <w:lang w:val="pt-BR"/>
              </w:rPr>
            </w:pPr>
            <w:r>
              <w:rPr>
                <w:sz w:val="20"/>
                <w:szCs w:val="16"/>
                <w:lang w:val="pt-BR"/>
              </w:rPr>
              <w:t>34</w:t>
            </w:r>
          </w:p>
        </w:tc>
        <w:tc>
          <w:tcPr>
            <w:tcW w:w="690" w:type="dxa"/>
            <w:noWrap/>
            <w:vAlign w:val="bottom"/>
          </w:tcPr>
          <w:p w:rsidR="00000000" w:rsidRDefault="00000000">
            <w:pPr>
              <w:spacing w:before="60" w:after="60"/>
              <w:ind w:right="113"/>
              <w:jc w:val="right"/>
              <w:rPr>
                <w:sz w:val="20"/>
                <w:szCs w:val="16"/>
                <w:lang w:val="pt-BR"/>
              </w:rPr>
            </w:pPr>
            <w:r>
              <w:rPr>
                <w:sz w:val="20"/>
                <w:szCs w:val="16"/>
                <w:lang w:val="pt-BR"/>
              </w:rPr>
              <w:t>31.0</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820</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19</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23.2</w:t>
            </w:r>
          </w:p>
        </w:tc>
        <w:tc>
          <w:tcPr>
            <w:tcW w:w="592"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L</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1 918</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53</w:t>
            </w:r>
          </w:p>
        </w:tc>
        <w:tc>
          <w:tcPr>
            <w:tcW w:w="691" w:type="dxa"/>
            <w:noWrap/>
            <w:vAlign w:val="bottom"/>
          </w:tcPr>
          <w:p w:rsidR="00000000" w:rsidRDefault="00000000">
            <w:pPr>
              <w:spacing w:before="60" w:after="60"/>
              <w:ind w:right="113"/>
              <w:jc w:val="right"/>
              <w:rPr>
                <w:sz w:val="20"/>
                <w:szCs w:val="16"/>
                <w:lang w:val="pt-BR"/>
              </w:rPr>
            </w:pPr>
            <w:r>
              <w:rPr>
                <w:sz w:val="20"/>
                <w:szCs w:val="16"/>
                <w:lang w:val="pt-BR"/>
              </w:rPr>
              <w:t>27.6</w:t>
            </w:r>
          </w:p>
        </w:tc>
      </w:tr>
      <w:tr w:rsidR="00000000">
        <w:tc>
          <w:tcPr>
            <w:tcW w:w="1660" w:type="dxa"/>
            <w:noWrap/>
            <w:vAlign w:val="bottom"/>
          </w:tcPr>
          <w:p w:rsidR="00000000" w:rsidRDefault="00000000">
            <w:pPr>
              <w:spacing w:before="60" w:after="60"/>
              <w:rPr>
                <w:sz w:val="20"/>
                <w:szCs w:val="16"/>
                <w:lang w:val="pt-BR"/>
              </w:rPr>
            </w:pPr>
            <w:r>
              <w:rPr>
                <w:sz w:val="20"/>
                <w:szCs w:val="16"/>
                <w:lang w:val="pt-BR"/>
              </w:rPr>
              <w:t>Paraguari</w:t>
            </w:r>
          </w:p>
        </w:tc>
        <w:tc>
          <w:tcPr>
            <w:tcW w:w="767" w:type="dxa"/>
            <w:noWrap/>
            <w:vAlign w:val="bottom"/>
          </w:tcPr>
          <w:p w:rsidR="00000000" w:rsidRDefault="00000000">
            <w:pPr>
              <w:spacing w:before="60" w:after="60"/>
              <w:ind w:right="113"/>
              <w:jc w:val="right"/>
              <w:rPr>
                <w:sz w:val="20"/>
                <w:szCs w:val="16"/>
                <w:lang w:val="pt-BR"/>
              </w:rPr>
            </w:pPr>
            <w:r>
              <w:rPr>
                <w:sz w:val="20"/>
                <w:szCs w:val="16"/>
                <w:lang w:val="pt-BR"/>
              </w:rPr>
              <w:t>1 237</w:t>
            </w:r>
          </w:p>
        </w:tc>
        <w:tc>
          <w:tcPr>
            <w:tcW w:w="622" w:type="dxa"/>
            <w:noWrap/>
            <w:vAlign w:val="bottom"/>
          </w:tcPr>
          <w:p w:rsidR="00000000" w:rsidRDefault="00000000">
            <w:pPr>
              <w:spacing w:before="60" w:after="60"/>
              <w:ind w:right="113"/>
              <w:jc w:val="right"/>
              <w:rPr>
                <w:sz w:val="20"/>
                <w:szCs w:val="16"/>
                <w:lang w:val="pt-BR"/>
              </w:rPr>
            </w:pPr>
            <w:r>
              <w:rPr>
                <w:sz w:val="20"/>
                <w:szCs w:val="16"/>
                <w:lang w:val="pt-BR"/>
              </w:rPr>
              <w:t>32</w:t>
            </w:r>
          </w:p>
        </w:tc>
        <w:tc>
          <w:tcPr>
            <w:tcW w:w="690" w:type="dxa"/>
            <w:noWrap/>
            <w:vAlign w:val="bottom"/>
          </w:tcPr>
          <w:p w:rsidR="00000000" w:rsidRDefault="00000000">
            <w:pPr>
              <w:spacing w:before="60" w:after="60"/>
              <w:ind w:right="113"/>
              <w:jc w:val="right"/>
              <w:rPr>
                <w:sz w:val="20"/>
                <w:szCs w:val="16"/>
                <w:lang w:val="pt-BR"/>
              </w:rPr>
            </w:pPr>
            <w:r>
              <w:rPr>
                <w:sz w:val="20"/>
                <w:szCs w:val="16"/>
                <w:lang w:val="pt-BR"/>
              </w:rPr>
              <w:t>25.9</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2 470</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25</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10.1</w:t>
            </w:r>
          </w:p>
        </w:tc>
        <w:tc>
          <w:tcPr>
            <w:tcW w:w="592"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I</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3 707</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57</w:t>
            </w:r>
          </w:p>
        </w:tc>
        <w:tc>
          <w:tcPr>
            <w:tcW w:w="691" w:type="dxa"/>
            <w:noWrap/>
            <w:vAlign w:val="bottom"/>
          </w:tcPr>
          <w:p w:rsidR="00000000" w:rsidRDefault="00000000">
            <w:pPr>
              <w:spacing w:before="60" w:after="60"/>
              <w:ind w:right="113"/>
              <w:jc w:val="right"/>
              <w:rPr>
                <w:sz w:val="20"/>
                <w:szCs w:val="16"/>
                <w:lang w:val="pt-BR"/>
              </w:rPr>
            </w:pPr>
            <w:r>
              <w:rPr>
                <w:sz w:val="20"/>
                <w:szCs w:val="16"/>
                <w:lang w:val="pt-BR"/>
              </w:rPr>
              <w:t>15.4</w:t>
            </w:r>
          </w:p>
        </w:tc>
      </w:tr>
      <w:tr w:rsidR="00000000">
        <w:tc>
          <w:tcPr>
            <w:tcW w:w="1660" w:type="dxa"/>
            <w:noWrap/>
            <w:vAlign w:val="bottom"/>
          </w:tcPr>
          <w:p w:rsidR="00000000" w:rsidRDefault="00000000">
            <w:pPr>
              <w:spacing w:before="60" w:after="60"/>
              <w:rPr>
                <w:sz w:val="20"/>
                <w:szCs w:val="16"/>
                <w:lang w:val="pt-BR"/>
              </w:rPr>
            </w:pPr>
            <w:r>
              <w:rPr>
                <w:sz w:val="20"/>
                <w:szCs w:val="16"/>
                <w:lang w:val="pt-BR"/>
              </w:rPr>
              <w:t>Alto Paraná</w:t>
            </w:r>
          </w:p>
        </w:tc>
        <w:tc>
          <w:tcPr>
            <w:tcW w:w="767" w:type="dxa"/>
            <w:noWrap/>
            <w:vAlign w:val="bottom"/>
          </w:tcPr>
          <w:p w:rsidR="00000000" w:rsidRDefault="00000000">
            <w:pPr>
              <w:spacing w:before="60" w:after="60"/>
              <w:ind w:right="113"/>
              <w:jc w:val="right"/>
              <w:rPr>
                <w:sz w:val="20"/>
                <w:szCs w:val="16"/>
                <w:lang w:val="pt-BR"/>
              </w:rPr>
            </w:pPr>
            <w:r>
              <w:rPr>
                <w:sz w:val="20"/>
                <w:szCs w:val="16"/>
                <w:lang w:val="pt-BR"/>
              </w:rPr>
              <w:t>6 518</w:t>
            </w:r>
          </w:p>
        </w:tc>
        <w:tc>
          <w:tcPr>
            <w:tcW w:w="622" w:type="dxa"/>
            <w:noWrap/>
            <w:vAlign w:val="bottom"/>
          </w:tcPr>
          <w:p w:rsidR="00000000" w:rsidRDefault="00000000">
            <w:pPr>
              <w:spacing w:before="60" w:after="60"/>
              <w:ind w:right="113"/>
              <w:jc w:val="right"/>
              <w:rPr>
                <w:sz w:val="20"/>
                <w:szCs w:val="16"/>
                <w:lang w:val="pt-BR"/>
              </w:rPr>
            </w:pPr>
            <w:r>
              <w:rPr>
                <w:sz w:val="20"/>
                <w:szCs w:val="16"/>
                <w:lang w:val="pt-BR"/>
              </w:rPr>
              <w:t>204</w:t>
            </w:r>
          </w:p>
        </w:tc>
        <w:tc>
          <w:tcPr>
            <w:tcW w:w="690" w:type="dxa"/>
            <w:noWrap/>
            <w:vAlign w:val="bottom"/>
          </w:tcPr>
          <w:p w:rsidR="00000000" w:rsidRDefault="00000000">
            <w:pPr>
              <w:spacing w:before="60" w:after="60"/>
              <w:ind w:right="113"/>
              <w:jc w:val="right"/>
              <w:rPr>
                <w:sz w:val="20"/>
                <w:szCs w:val="16"/>
                <w:lang w:val="pt-BR"/>
              </w:rPr>
            </w:pPr>
            <w:r>
              <w:rPr>
                <w:sz w:val="20"/>
                <w:szCs w:val="16"/>
                <w:lang w:val="pt-BR"/>
              </w:rPr>
              <w:t>31.3</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2 418</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42</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17.4</w:t>
            </w:r>
          </w:p>
        </w:tc>
        <w:tc>
          <w:tcPr>
            <w:tcW w:w="592" w:type="dxa"/>
            <w:noWrap/>
            <w:vAlign w:val="bottom"/>
          </w:tcPr>
          <w:p w:rsidR="00000000" w:rsidRDefault="00000000">
            <w:pPr>
              <w:spacing w:before="60" w:after="60"/>
              <w:ind w:right="113"/>
              <w:jc w:val="right"/>
              <w:rPr>
                <w:sz w:val="20"/>
                <w:szCs w:val="16"/>
                <w:lang w:val="pt-BR"/>
              </w:rPr>
            </w:pPr>
            <w:r>
              <w:rPr>
                <w:sz w:val="20"/>
                <w:szCs w:val="16"/>
                <w:lang w:val="pt-BR"/>
              </w:rPr>
              <w:t>1</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C</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8 937</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246</w:t>
            </w:r>
          </w:p>
        </w:tc>
        <w:tc>
          <w:tcPr>
            <w:tcW w:w="691" w:type="dxa"/>
            <w:noWrap/>
            <w:vAlign w:val="bottom"/>
          </w:tcPr>
          <w:p w:rsidR="00000000" w:rsidRDefault="00000000">
            <w:pPr>
              <w:spacing w:before="60" w:after="60"/>
              <w:ind w:right="113"/>
              <w:jc w:val="right"/>
              <w:rPr>
                <w:sz w:val="20"/>
                <w:szCs w:val="16"/>
                <w:lang w:val="pt-BR"/>
              </w:rPr>
            </w:pPr>
            <w:r>
              <w:rPr>
                <w:sz w:val="20"/>
                <w:szCs w:val="16"/>
                <w:lang w:val="pt-BR"/>
              </w:rPr>
              <w:t>27.5</w:t>
            </w:r>
          </w:p>
        </w:tc>
      </w:tr>
      <w:tr w:rsidR="00000000">
        <w:tc>
          <w:tcPr>
            <w:tcW w:w="1660" w:type="dxa"/>
            <w:noWrap/>
            <w:vAlign w:val="bottom"/>
          </w:tcPr>
          <w:p w:rsidR="00000000" w:rsidRDefault="00000000">
            <w:pPr>
              <w:spacing w:before="60" w:after="60"/>
              <w:rPr>
                <w:sz w:val="20"/>
                <w:szCs w:val="16"/>
                <w:lang w:val="pt-BR"/>
              </w:rPr>
            </w:pPr>
            <w:r>
              <w:rPr>
                <w:sz w:val="20"/>
                <w:szCs w:val="16"/>
                <w:lang w:val="pt-BR"/>
              </w:rPr>
              <w:t>Central</w:t>
            </w:r>
          </w:p>
        </w:tc>
        <w:tc>
          <w:tcPr>
            <w:tcW w:w="767" w:type="dxa"/>
            <w:noWrap/>
            <w:vAlign w:val="bottom"/>
          </w:tcPr>
          <w:p w:rsidR="00000000" w:rsidRDefault="00000000">
            <w:pPr>
              <w:spacing w:before="60" w:after="60"/>
              <w:ind w:right="113"/>
              <w:jc w:val="right"/>
              <w:rPr>
                <w:sz w:val="20"/>
                <w:szCs w:val="16"/>
                <w:lang w:val="pt-BR"/>
              </w:rPr>
            </w:pPr>
            <w:r>
              <w:rPr>
                <w:sz w:val="20"/>
                <w:szCs w:val="16"/>
                <w:lang w:val="pt-BR"/>
              </w:rPr>
              <w:t>21 133</w:t>
            </w:r>
          </w:p>
        </w:tc>
        <w:tc>
          <w:tcPr>
            <w:tcW w:w="622" w:type="dxa"/>
            <w:noWrap/>
            <w:vAlign w:val="bottom"/>
          </w:tcPr>
          <w:p w:rsidR="00000000" w:rsidRDefault="00000000">
            <w:pPr>
              <w:spacing w:before="60" w:after="60"/>
              <w:ind w:right="113"/>
              <w:jc w:val="right"/>
              <w:rPr>
                <w:sz w:val="20"/>
                <w:szCs w:val="16"/>
                <w:lang w:val="pt-BR"/>
              </w:rPr>
            </w:pPr>
            <w:r>
              <w:rPr>
                <w:sz w:val="20"/>
                <w:szCs w:val="16"/>
                <w:lang w:val="pt-BR"/>
              </w:rPr>
              <w:t>387</w:t>
            </w:r>
          </w:p>
        </w:tc>
        <w:tc>
          <w:tcPr>
            <w:tcW w:w="690" w:type="dxa"/>
            <w:noWrap/>
            <w:vAlign w:val="bottom"/>
          </w:tcPr>
          <w:p w:rsidR="00000000" w:rsidRDefault="00000000">
            <w:pPr>
              <w:spacing w:before="60" w:after="60"/>
              <w:ind w:right="113"/>
              <w:jc w:val="right"/>
              <w:rPr>
                <w:sz w:val="20"/>
                <w:szCs w:val="16"/>
                <w:lang w:val="pt-BR"/>
              </w:rPr>
            </w:pPr>
            <w:r>
              <w:rPr>
                <w:sz w:val="20"/>
                <w:szCs w:val="16"/>
                <w:lang w:val="pt-BR"/>
              </w:rPr>
              <w:t>18.3</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4 418</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11</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2.5</w:t>
            </w:r>
          </w:p>
        </w:tc>
        <w:tc>
          <w:tcPr>
            <w:tcW w:w="592" w:type="dxa"/>
            <w:noWrap/>
            <w:vAlign w:val="bottom"/>
          </w:tcPr>
          <w:p w:rsidR="00000000" w:rsidRDefault="00000000">
            <w:pPr>
              <w:spacing w:before="60" w:after="60"/>
              <w:ind w:right="113"/>
              <w:jc w:val="right"/>
              <w:rPr>
                <w:sz w:val="20"/>
                <w:szCs w:val="16"/>
                <w:lang w:val="pt-BR"/>
              </w:rPr>
            </w:pPr>
            <w:r>
              <w:rPr>
                <w:sz w:val="20"/>
                <w:szCs w:val="16"/>
                <w:lang w:val="pt-BR"/>
              </w:rPr>
              <w:t>6</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A</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25 557</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398</w:t>
            </w:r>
          </w:p>
        </w:tc>
        <w:tc>
          <w:tcPr>
            <w:tcW w:w="691" w:type="dxa"/>
            <w:noWrap/>
            <w:vAlign w:val="bottom"/>
          </w:tcPr>
          <w:p w:rsidR="00000000" w:rsidRDefault="00000000">
            <w:pPr>
              <w:spacing w:before="60" w:after="60"/>
              <w:ind w:right="113"/>
              <w:jc w:val="right"/>
              <w:rPr>
                <w:sz w:val="20"/>
                <w:szCs w:val="16"/>
                <w:lang w:val="pt-BR"/>
              </w:rPr>
            </w:pPr>
            <w:r>
              <w:rPr>
                <w:sz w:val="20"/>
                <w:szCs w:val="16"/>
                <w:lang w:val="pt-BR"/>
              </w:rPr>
              <w:t>15.6</w:t>
            </w:r>
          </w:p>
        </w:tc>
      </w:tr>
      <w:tr w:rsidR="00000000">
        <w:tc>
          <w:tcPr>
            <w:tcW w:w="1660" w:type="dxa"/>
            <w:noWrap/>
            <w:vAlign w:val="bottom"/>
          </w:tcPr>
          <w:p w:rsidR="00000000" w:rsidRDefault="00000000">
            <w:pPr>
              <w:spacing w:before="60" w:after="60"/>
              <w:rPr>
                <w:sz w:val="20"/>
                <w:szCs w:val="16"/>
                <w:lang w:val="pt-BR"/>
              </w:rPr>
            </w:pPr>
            <w:r>
              <w:rPr>
                <w:sz w:val="20"/>
                <w:szCs w:val="16"/>
                <w:lang w:val="pt-BR"/>
              </w:rPr>
              <w:t>Ñeembucú</w:t>
            </w:r>
          </w:p>
        </w:tc>
        <w:tc>
          <w:tcPr>
            <w:tcW w:w="767" w:type="dxa"/>
            <w:noWrap/>
            <w:vAlign w:val="bottom"/>
          </w:tcPr>
          <w:p w:rsidR="00000000" w:rsidRDefault="00000000">
            <w:pPr>
              <w:spacing w:before="60" w:after="60"/>
              <w:ind w:right="113"/>
              <w:jc w:val="right"/>
              <w:rPr>
                <w:sz w:val="20"/>
                <w:szCs w:val="16"/>
              </w:rPr>
            </w:pPr>
            <w:r>
              <w:rPr>
                <w:sz w:val="20"/>
                <w:szCs w:val="16"/>
              </w:rPr>
              <w:t>684</w:t>
            </w:r>
          </w:p>
        </w:tc>
        <w:tc>
          <w:tcPr>
            <w:tcW w:w="622" w:type="dxa"/>
            <w:noWrap/>
            <w:vAlign w:val="bottom"/>
          </w:tcPr>
          <w:p w:rsidR="00000000" w:rsidRDefault="00000000">
            <w:pPr>
              <w:spacing w:before="60" w:after="60"/>
              <w:ind w:right="113"/>
              <w:jc w:val="right"/>
              <w:rPr>
                <w:sz w:val="20"/>
                <w:szCs w:val="16"/>
              </w:rPr>
            </w:pPr>
            <w:r>
              <w:rPr>
                <w:sz w:val="20"/>
                <w:szCs w:val="16"/>
              </w:rPr>
              <w:t>14</w:t>
            </w:r>
          </w:p>
        </w:tc>
        <w:tc>
          <w:tcPr>
            <w:tcW w:w="690" w:type="dxa"/>
            <w:noWrap/>
            <w:vAlign w:val="bottom"/>
          </w:tcPr>
          <w:p w:rsidR="00000000" w:rsidRDefault="00000000">
            <w:pPr>
              <w:spacing w:before="60" w:after="60"/>
              <w:ind w:right="113"/>
              <w:jc w:val="right"/>
              <w:rPr>
                <w:sz w:val="20"/>
                <w:szCs w:val="16"/>
              </w:rPr>
            </w:pPr>
            <w:r>
              <w:rPr>
                <w:sz w:val="20"/>
                <w:szCs w:val="16"/>
              </w:rPr>
              <w:t>20.5</w:t>
            </w:r>
          </w:p>
        </w:tc>
        <w:tc>
          <w:tcPr>
            <w:tcW w:w="762" w:type="dxa"/>
            <w:noWrap/>
            <w:vAlign w:val="bottom"/>
          </w:tcPr>
          <w:p w:rsidR="00000000" w:rsidRDefault="00000000">
            <w:pPr>
              <w:spacing w:before="60" w:after="60"/>
              <w:ind w:right="113"/>
              <w:jc w:val="right"/>
              <w:rPr>
                <w:sz w:val="20"/>
                <w:szCs w:val="16"/>
              </w:rPr>
            </w:pPr>
            <w:r>
              <w:rPr>
                <w:sz w:val="20"/>
                <w:szCs w:val="16"/>
              </w:rPr>
              <w:t>401</w:t>
            </w:r>
          </w:p>
        </w:tc>
        <w:tc>
          <w:tcPr>
            <w:tcW w:w="521" w:type="dxa"/>
            <w:noWrap/>
            <w:vAlign w:val="bottom"/>
          </w:tcPr>
          <w:p w:rsidR="00000000" w:rsidRDefault="00000000">
            <w:pPr>
              <w:spacing w:before="60" w:after="60"/>
              <w:ind w:right="113"/>
              <w:jc w:val="right"/>
              <w:rPr>
                <w:sz w:val="20"/>
                <w:szCs w:val="16"/>
              </w:rPr>
            </w:pPr>
            <w:r>
              <w:rPr>
                <w:sz w:val="20"/>
                <w:szCs w:val="16"/>
              </w:rPr>
              <w:t>6</w:t>
            </w:r>
          </w:p>
        </w:tc>
        <w:tc>
          <w:tcPr>
            <w:tcW w:w="620" w:type="dxa"/>
            <w:noWrap/>
            <w:vAlign w:val="bottom"/>
          </w:tcPr>
          <w:p w:rsidR="00000000" w:rsidRDefault="00000000">
            <w:pPr>
              <w:spacing w:before="60" w:after="60"/>
              <w:ind w:right="113"/>
              <w:jc w:val="right"/>
              <w:rPr>
                <w:sz w:val="20"/>
                <w:szCs w:val="16"/>
              </w:rPr>
            </w:pPr>
            <w:r>
              <w:rPr>
                <w:sz w:val="20"/>
                <w:szCs w:val="16"/>
              </w:rPr>
              <w:t>15.0</w:t>
            </w:r>
          </w:p>
        </w:tc>
        <w:tc>
          <w:tcPr>
            <w:tcW w:w="592" w:type="dxa"/>
            <w:noWrap/>
            <w:vAlign w:val="bottom"/>
          </w:tcPr>
          <w:p w:rsidR="00000000" w:rsidRDefault="00000000">
            <w:pPr>
              <w:spacing w:before="60" w:after="60"/>
              <w:ind w:right="113"/>
              <w:jc w:val="right"/>
              <w:rPr>
                <w:sz w:val="20"/>
                <w:szCs w:val="16"/>
              </w:rPr>
            </w:pPr>
            <w:r>
              <w:rPr>
                <w:sz w:val="20"/>
                <w:szCs w:val="16"/>
              </w:rPr>
              <w:t>0</w:t>
            </w:r>
          </w:p>
        </w:tc>
        <w:tc>
          <w:tcPr>
            <w:tcW w:w="521" w:type="dxa"/>
            <w:noWrap/>
            <w:vAlign w:val="bottom"/>
          </w:tcPr>
          <w:p w:rsidR="00000000" w:rsidRDefault="00000000">
            <w:pPr>
              <w:spacing w:before="60" w:after="60"/>
              <w:ind w:right="113"/>
              <w:jc w:val="right"/>
              <w:rPr>
                <w:sz w:val="20"/>
                <w:szCs w:val="16"/>
              </w:rPr>
            </w:pPr>
            <w:r>
              <w:rPr>
                <w:sz w:val="20"/>
                <w:szCs w:val="16"/>
              </w:rPr>
              <w:t>0</w:t>
            </w:r>
          </w:p>
        </w:tc>
        <w:tc>
          <w:tcPr>
            <w:tcW w:w="620" w:type="dxa"/>
            <w:noWrap/>
            <w:vAlign w:val="bottom"/>
          </w:tcPr>
          <w:p w:rsidR="00000000" w:rsidRDefault="00000000">
            <w:pPr>
              <w:spacing w:before="60" w:after="60"/>
              <w:ind w:right="113"/>
              <w:jc w:val="right"/>
              <w:rPr>
                <w:sz w:val="20"/>
                <w:szCs w:val="16"/>
              </w:rPr>
            </w:pPr>
            <w:r>
              <w:rPr>
                <w:sz w:val="20"/>
                <w:szCs w:val="16"/>
              </w:rPr>
              <w:t>B</w:t>
            </w:r>
          </w:p>
        </w:tc>
        <w:tc>
          <w:tcPr>
            <w:tcW w:w="762" w:type="dxa"/>
            <w:noWrap/>
            <w:vAlign w:val="bottom"/>
          </w:tcPr>
          <w:p w:rsidR="00000000" w:rsidRDefault="00000000">
            <w:pPr>
              <w:spacing w:before="60" w:after="60"/>
              <w:ind w:right="113"/>
              <w:jc w:val="right"/>
              <w:rPr>
                <w:sz w:val="20"/>
                <w:szCs w:val="16"/>
              </w:rPr>
            </w:pPr>
            <w:r>
              <w:rPr>
                <w:sz w:val="20"/>
                <w:szCs w:val="16"/>
              </w:rPr>
              <w:t>1 085</w:t>
            </w:r>
          </w:p>
        </w:tc>
        <w:tc>
          <w:tcPr>
            <w:tcW w:w="620" w:type="dxa"/>
            <w:noWrap/>
            <w:vAlign w:val="bottom"/>
          </w:tcPr>
          <w:p w:rsidR="00000000" w:rsidRDefault="00000000">
            <w:pPr>
              <w:spacing w:before="60" w:after="60"/>
              <w:ind w:right="113"/>
              <w:jc w:val="right"/>
              <w:rPr>
                <w:sz w:val="20"/>
                <w:szCs w:val="16"/>
              </w:rPr>
            </w:pPr>
            <w:r>
              <w:rPr>
                <w:sz w:val="20"/>
                <w:szCs w:val="16"/>
              </w:rPr>
              <w:t>20</w:t>
            </w:r>
          </w:p>
        </w:tc>
        <w:tc>
          <w:tcPr>
            <w:tcW w:w="691" w:type="dxa"/>
            <w:noWrap/>
            <w:vAlign w:val="bottom"/>
          </w:tcPr>
          <w:p w:rsidR="00000000" w:rsidRDefault="00000000">
            <w:pPr>
              <w:spacing w:before="60" w:after="60"/>
              <w:ind w:right="113"/>
              <w:jc w:val="right"/>
              <w:rPr>
                <w:sz w:val="20"/>
                <w:szCs w:val="16"/>
              </w:rPr>
            </w:pPr>
            <w:r>
              <w:rPr>
                <w:sz w:val="20"/>
                <w:szCs w:val="16"/>
              </w:rPr>
              <w:t>18.4</w:t>
            </w:r>
          </w:p>
        </w:tc>
      </w:tr>
      <w:tr w:rsidR="00000000">
        <w:tc>
          <w:tcPr>
            <w:tcW w:w="1660" w:type="dxa"/>
            <w:noWrap/>
            <w:vAlign w:val="bottom"/>
          </w:tcPr>
          <w:p w:rsidR="00000000" w:rsidRDefault="00000000">
            <w:pPr>
              <w:spacing w:before="60" w:after="60"/>
              <w:rPr>
                <w:sz w:val="20"/>
                <w:szCs w:val="16"/>
              </w:rPr>
            </w:pPr>
            <w:r>
              <w:rPr>
                <w:sz w:val="20"/>
                <w:szCs w:val="16"/>
              </w:rPr>
              <w:t>Amambay</w:t>
            </w:r>
          </w:p>
        </w:tc>
        <w:tc>
          <w:tcPr>
            <w:tcW w:w="767" w:type="dxa"/>
            <w:noWrap/>
            <w:vAlign w:val="bottom"/>
          </w:tcPr>
          <w:p w:rsidR="00000000" w:rsidRDefault="00000000">
            <w:pPr>
              <w:spacing w:before="60" w:after="60"/>
              <w:ind w:right="113"/>
              <w:jc w:val="right"/>
              <w:rPr>
                <w:sz w:val="20"/>
                <w:szCs w:val="16"/>
              </w:rPr>
            </w:pPr>
            <w:r>
              <w:rPr>
                <w:sz w:val="20"/>
                <w:szCs w:val="16"/>
              </w:rPr>
              <w:t>1 088</w:t>
            </w:r>
          </w:p>
        </w:tc>
        <w:tc>
          <w:tcPr>
            <w:tcW w:w="622" w:type="dxa"/>
            <w:noWrap/>
            <w:vAlign w:val="bottom"/>
          </w:tcPr>
          <w:p w:rsidR="00000000" w:rsidRDefault="00000000">
            <w:pPr>
              <w:spacing w:before="60" w:after="60"/>
              <w:ind w:right="113"/>
              <w:jc w:val="right"/>
              <w:rPr>
                <w:sz w:val="20"/>
                <w:szCs w:val="16"/>
              </w:rPr>
            </w:pPr>
            <w:r>
              <w:rPr>
                <w:sz w:val="20"/>
                <w:szCs w:val="16"/>
              </w:rPr>
              <w:t>39</w:t>
            </w:r>
          </w:p>
        </w:tc>
        <w:tc>
          <w:tcPr>
            <w:tcW w:w="690" w:type="dxa"/>
            <w:noWrap/>
            <w:vAlign w:val="bottom"/>
          </w:tcPr>
          <w:p w:rsidR="00000000" w:rsidRDefault="00000000">
            <w:pPr>
              <w:spacing w:before="60" w:after="60"/>
              <w:ind w:right="113"/>
              <w:jc w:val="right"/>
              <w:rPr>
                <w:sz w:val="20"/>
                <w:szCs w:val="16"/>
              </w:rPr>
            </w:pPr>
            <w:r>
              <w:rPr>
                <w:sz w:val="20"/>
                <w:szCs w:val="16"/>
              </w:rPr>
              <w:t>35.8</w:t>
            </w:r>
          </w:p>
        </w:tc>
        <w:tc>
          <w:tcPr>
            <w:tcW w:w="762" w:type="dxa"/>
            <w:noWrap/>
            <w:vAlign w:val="bottom"/>
          </w:tcPr>
          <w:p w:rsidR="00000000" w:rsidRDefault="00000000">
            <w:pPr>
              <w:spacing w:before="60" w:after="60"/>
              <w:ind w:right="113"/>
              <w:jc w:val="right"/>
              <w:rPr>
                <w:sz w:val="20"/>
                <w:szCs w:val="16"/>
              </w:rPr>
            </w:pPr>
            <w:r>
              <w:rPr>
                <w:sz w:val="20"/>
                <w:szCs w:val="16"/>
              </w:rPr>
              <w:t>270</w:t>
            </w:r>
          </w:p>
        </w:tc>
        <w:tc>
          <w:tcPr>
            <w:tcW w:w="521" w:type="dxa"/>
            <w:noWrap/>
            <w:vAlign w:val="bottom"/>
          </w:tcPr>
          <w:p w:rsidR="00000000" w:rsidRDefault="00000000">
            <w:pPr>
              <w:spacing w:before="60" w:after="60"/>
              <w:ind w:right="113"/>
              <w:jc w:val="right"/>
              <w:rPr>
                <w:sz w:val="20"/>
                <w:szCs w:val="16"/>
              </w:rPr>
            </w:pPr>
            <w:r>
              <w:rPr>
                <w:sz w:val="20"/>
                <w:szCs w:val="16"/>
              </w:rPr>
              <w:t>0</w:t>
            </w:r>
          </w:p>
        </w:tc>
        <w:tc>
          <w:tcPr>
            <w:tcW w:w="620" w:type="dxa"/>
            <w:noWrap/>
            <w:vAlign w:val="bottom"/>
          </w:tcPr>
          <w:p w:rsidR="00000000" w:rsidRDefault="00000000">
            <w:pPr>
              <w:spacing w:before="60" w:after="60"/>
              <w:ind w:right="113"/>
              <w:jc w:val="right"/>
              <w:rPr>
                <w:sz w:val="20"/>
                <w:szCs w:val="16"/>
              </w:rPr>
            </w:pPr>
            <w:r>
              <w:rPr>
                <w:sz w:val="20"/>
                <w:szCs w:val="16"/>
              </w:rPr>
              <w:t>0.0</w:t>
            </w:r>
          </w:p>
        </w:tc>
        <w:tc>
          <w:tcPr>
            <w:tcW w:w="592" w:type="dxa"/>
            <w:noWrap/>
            <w:vAlign w:val="bottom"/>
          </w:tcPr>
          <w:p w:rsidR="00000000" w:rsidRDefault="00000000">
            <w:pPr>
              <w:spacing w:before="60" w:after="60"/>
              <w:ind w:right="113"/>
              <w:jc w:val="right"/>
              <w:rPr>
                <w:sz w:val="20"/>
                <w:szCs w:val="16"/>
              </w:rPr>
            </w:pPr>
            <w:r>
              <w:rPr>
                <w:sz w:val="20"/>
                <w:szCs w:val="16"/>
              </w:rPr>
              <w:t>0</w:t>
            </w:r>
          </w:p>
        </w:tc>
        <w:tc>
          <w:tcPr>
            <w:tcW w:w="521" w:type="dxa"/>
            <w:noWrap/>
            <w:vAlign w:val="bottom"/>
          </w:tcPr>
          <w:p w:rsidR="00000000" w:rsidRDefault="00000000">
            <w:pPr>
              <w:spacing w:before="60" w:after="60"/>
              <w:ind w:right="113"/>
              <w:jc w:val="right"/>
              <w:rPr>
                <w:sz w:val="20"/>
                <w:szCs w:val="16"/>
              </w:rPr>
            </w:pPr>
            <w:r>
              <w:rPr>
                <w:sz w:val="20"/>
                <w:szCs w:val="16"/>
              </w:rPr>
              <w:t>0</w:t>
            </w:r>
          </w:p>
        </w:tc>
        <w:tc>
          <w:tcPr>
            <w:tcW w:w="620" w:type="dxa"/>
            <w:noWrap/>
            <w:vAlign w:val="bottom"/>
          </w:tcPr>
          <w:p w:rsidR="00000000" w:rsidRDefault="00000000">
            <w:pPr>
              <w:spacing w:before="60" w:after="60"/>
              <w:ind w:right="113"/>
              <w:jc w:val="right"/>
              <w:rPr>
                <w:sz w:val="20"/>
                <w:szCs w:val="16"/>
              </w:rPr>
            </w:pPr>
            <w:r>
              <w:rPr>
                <w:sz w:val="20"/>
                <w:szCs w:val="16"/>
              </w:rPr>
              <w:t>L</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1 358</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39</w:t>
            </w:r>
          </w:p>
        </w:tc>
        <w:tc>
          <w:tcPr>
            <w:tcW w:w="691" w:type="dxa"/>
            <w:noWrap/>
            <w:vAlign w:val="bottom"/>
          </w:tcPr>
          <w:p w:rsidR="00000000" w:rsidRDefault="00000000">
            <w:pPr>
              <w:spacing w:before="60" w:after="60"/>
              <w:ind w:right="113"/>
              <w:jc w:val="right"/>
              <w:rPr>
                <w:sz w:val="20"/>
                <w:szCs w:val="16"/>
                <w:lang w:val="pt-BR"/>
              </w:rPr>
            </w:pPr>
            <w:r>
              <w:rPr>
                <w:sz w:val="20"/>
                <w:szCs w:val="16"/>
                <w:lang w:val="pt-BR"/>
              </w:rPr>
              <w:t>28.7</w:t>
            </w:r>
          </w:p>
        </w:tc>
      </w:tr>
      <w:tr w:rsidR="00000000">
        <w:tc>
          <w:tcPr>
            <w:tcW w:w="1660" w:type="dxa"/>
            <w:noWrap/>
            <w:vAlign w:val="bottom"/>
          </w:tcPr>
          <w:p w:rsidR="00000000" w:rsidRDefault="00000000">
            <w:pPr>
              <w:spacing w:before="60" w:after="60"/>
              <w:rPr>
                <w:sz w:val="20"/>
                <w:szCs w:val="16"/>
                <w:lang w:val="pt-BR"/>
              </w:rPr>
            </w:pPr>
            <w:r>
              <w:rPr>
                <w:sz w:val="20"/>
                <w:szCs w:val="16"/>
                <w:lang w:val="pt-BR"/>
              </w:rPr>
              <w:t>Canindeyú</w:t>
            </w:r>
          </w:p>
        </w:tc>
        <w:tc>
          <w:tcPr>
            <w:tcW w:w="767" w:type="dxa"/>
            <w:noWrap/>
            <w:vAlign w:val="bottom"/>
          </w:tcPr>
          <w:p w:rsidR="00000000" w:rsidRDefault="00000000">
            <w:pPr>
              <w:spacing w:before="60" w:after="60"/>
              <w:ind w:right="113"/>
              <w:jc w:val="right"/>
              <w:rPr>
                <w:sz w:val="20"/>
                <w:szCs w:val="16"/>
                <w:lang w:val="pt-BR"/>
              </w:rPr>
            </w:pPr>
            <w:r>
              <w:rPr>
                <w:sz w:val="20"/>
                <w:szCs w:val="16"/>
                <w:lang w:val="pt-BR"/>
              </w:rPr>
              <w:t>633</w:t>
            </w:r>
          </w:p>
        </w:tc>
        <w:tc>
          <w:tcPr>
            <w:tcW w:w="622" w:type="dxa"/>
            <w:noWrap/>
            <w:vAlign w:val="bottom"/>
          </w:tcPr>
          <w:p w:rsidR="00000000" w:rsidRDefault="00000000">
            <w:pPr>
              <w:spacing w:before="60" w:after="60"/>
              <w:ind w:right="113"/>
              <w:jc w:val="right"/>
              <w:rPr>
                <w:sz w:val="20"/>
                <w:szCs w:val="16"/>
                <w:lang w:val="pt-BR"/>
              </w:rPr>
            </w:pPr>
            <w:r>
              <w:rPr>
                <w:sz w:val="20"/>
                <w:szCs w:val="16"/>
                <w:lang w:val="pt-BR"/>
              </w:rPr>
              <w:t>15</w:t>
            </w:r>
          </w:p>
        </w:tc>
        <w:tc>
          <w:tcPr>
            <w:tcW w:w="690" w:type="dxa"/>
            <w:noWrap/>
            <w:vAlign w:val="bottom"/>
          </w:tcPr>
          <w:p w:rsidR="00000000" w:rsidRDefault="00000000">
            <w:pPr>
              <w:spacing w:before="60" w:after="60"/>
              <w:ind w:right="113"/>
              <w:jc w:val="right"/>
              <w:rPr>
                <w:sz w:val="20"/>
                <w:szCs w:val="16"/>
                <w:lang w:val="pt-BR"/>
              </w:rPr>
            </w:pPr>
            <w:r>
              <w:rPr>
                <w:sz w:val="20"/>
                <w:szCs w:val="16"/>
                <w:lang w:val="pt-BR"/>
              </w:rPr>
              <w:t>23.7</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896</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16</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17.9</w:t>
            </w:r>
          </w:p>
        </w:tc>
        <w:tc>
          <w:tcPr>
            <w:tcW w:w="592"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E</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1 529</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31</w:t>
            </w:r>
          </w:p>
        </w:tc>
        <w:tc>
          <w:tcPr>
            <w:tcW w:w="691" w:type="dxa"/>
            <w:noWrap/>
            <w:vAlign w:val="bottom"/>
          </w:tcPr>
          <w:p w:rsidR="00000000" w:rsidRDefault="00000000">
            <w:pPr>
              <w:spacing w:before="60" w:after="60"/>
              <w:ind w:right="113"/>
              <w:jc w:val="right"/>
              <w:rPr>
                <w:sz w:val="20"/>
                <w:szCs w:val="16"/>
                <w:lang w:val="pt-BR"/>
              </w:rPr>
            </w:pPr>
            <w:r>
              <w:rPr>
                <w:sz w:val="20"/>
                <w:szCs w:val="16"/>
                <w:lang w:val="pt-BR"/>
              </w:rPr>
              <w:t>20.3</w:t>
            </w:r>
          </w:p>
        </w:tc>
      </w:tr>
      <w:tr w:rsidR="00000000">
        <w:tc>
          <w:tcPr>
            <w:tcW w:w="1660" w:type="dxa"/>
            <w:noWrap/>
            <w:vAlign w:val="bottom"/>
          </w:tcPr>
          <w:p w:rsidR="00000000" w:rsidRDefault="00000000">
            <w:pPr>
              <w:spacing w:before="60" w:after="60"/>
              <w:rPr>
                <w:sz w:val="20"/>
                <w:szCs w:val="16"/>
                <w:lang w:val="pt-BR"/>
              </w:rPr>
            </w:pPr>
            <w:r>
              <w:rPr>
                <w:sz w:val="20"/>
                <w:szCs w:val="16"/>
                <w:lang w:val="pt-BR"/>
              </w:rPr>
              <w:t>Pdte. Hayes</w:t>
            </w:r>
          </w:p>
        </w:tc>
        <w:tc>
          <w:tcPr>
            <w:tcW w:w="767" w:type="dxa"/>
            <w:noWrap/>
            <w:vAlign w:val="bottom"/>
          </w:tcPr>
          <w:p w:rsidR="00000000" w:rsidRDefault="00000000">
            <w:pPr>
              <w:spacing w:before="60" w:after="60"/>
              <w:ind w:right="113"/>
              <w:jc w:val="right"/>
              <w:rPr>
                <w:sz w:val="20"/>
                <w:szCs w:val="16"/>
                <w:lang w:val="pt-BR"/>
              </w:rPr>
            </w:pPr>
            <w:r>
              <w:rPr>
                <w:sz w:val="20"/>
                <w:szCs w:val="16"/>
                <w:lang w:val="pt-BR"/>
              </w:rPr>
              <w:t>794</w:t>
            </w:r>
          </w:p>
        </w:tc>
        <w:tc>
          <w:tcPr>
            <w:tcW w:w="622" w:type="dxa"/>
            <w:noWrap/>
            <w:vAlign w:val="bottom"/>
          </w:tcPr>
          <w:p w:rsidR="00000000" w:rsidRDefault="00000000">
            <w:pPr>
              <w:spacing w:before="60" w:after="60"/>
              <w:ind w:right="113"/>
              <w:jc w:val="right"/>
              <w:rPr>
                <w:sz w:val="20"/>
                <w:szCs w:val="16"/>
                <w:lang w:val="pt-BR"/>
              </w:rPr>
            </w:pPr>
            <w:r>
              <w:rPr>
                <w:sz w:val="20"/>
                <w:szCs w:val="16"/>
                <w:lang w:val="pt-BR"/>
              </w:rPr>
              <w:t>26</w:t>
            </w:r>
          </w:p>
        </w:tc>
        <w:tc>
          <w:tcPr>
            <w:tcW w:w="690" w:type="dxa"/>
            <w:noWrap/>
            <w:vAlign w:val="bottom"/>
          </w:tcPr>
          <w:p w:rsidR="00000000" w:rsidRDefault="00000000">
            <w:pPr>
              <w:spacing w:before="60" w:after="60"/>
              <w:ind w:right="113"/>
              <w:jc w:val="right"/>
              <w:rPr>
                <w:sz w:val="20"/>
                <w:szCs w:val="16"/>
                <w:lang w:val="pt-BR"/>
              </w:rPr>
            </w:pPr>
            <w:r>
              <w:rPr>
                <w:sz w:val="20"/>
                <w:szCs w:val="16"/>
                <w:lang w:val="pt-BR"/>
              </w:rPr>
              <w:t>32.7</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501</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3</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6.0</w:t>
            </w:r>
          </w:p>
        </w:tc>
        <w:tc>
          <w:tcPr>
            <w:tcW w:w="592"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521" w:type="dxa"/>
            <w:noWrap/>
            <w:vAlign w:val="bottom"/>
          </w:tcPr>
          <w:p w:rsidR="00000000" w:rsidRDefault="00000000">
            <w:pPr>
              <w:spacing w:before="60" w:after="60"/>
              <w:ind w:right="113"/>
              <w:jc w:val="right"/>
              <w:rPr>
                <w:sz w:val="20"/>
                <w:szCs w:val="16"/>
                <w:lang w:val="pt-BR"/>
              </w:rPr>
            </w:pPr>
            <w:r>
              <w:rPr>
                <w:sz w:val="20"/>
                <w:szCs w:val="16"/>
                <w:lang w:val="pt-BR"/>
              </w:rPr>
              <w:t>0</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w:t>
            </w:r>
          </w:p>
        </w:tc>
        <w:tc>
          <w:tcPr>
            <w:tcW w:w="762" w:type="dxa"/>
            <w:noWrap/>
            <w:vAlign w:val="bottom"/>
          </w:tcPr>
          <w:p w:rsidR="00000000" w:rsidRDefault="00000000">
            <w:pPr>
              <w:spacing w:before="60" w:after="60"/>
              <w:ind w:right="113"/>
              <w:jc w:val="right"/>
              <w:rPr>
                <w:sz w:val="20"/>
                <w:szCs w:val="16"/>
                <w:lang w:val="pt-BR"/>
              </w:rPr>
            </w:pPr>
            <w:r>
              <w:rPr>
                <w:sz w:val="20"/>
                <w:szCs w:val="16"/>
                <w:lang w:val="pt-BR"/>
              </w:rPr>
              <w:t>1 295</w:t>
            </w:r>
          </w:p>
        </w:tc>
        <w:tc>
          <w:tcPr>
            <w:tcW w:w="620" w:type="dxa"/>
            <w:noWrap/>
            <w:vAlign w:val="bottom"/>
          </w:tcPr>
          <w:p w:rsidR="00000000" w:rsidRDefault="00000000">
            <w:pPr>
              <w:spacing w:before="60" w:after="60"/>
              <w:ind w:right="113"/>
              <w:jc w:val="right"/>
              <w:rPr>
                <w:sz w:val="20"/>
                <w:szCs w:val="16"/>
                <w:lang w:val="pt-BR"/>
              </w:rPr>
            </w:pPr>
            <w:r>
              <w:rPr>
                <w:sz w:val="20"/>
                <w:szCs w:val="16"/>
                <w:lang w:val="pt-BR"/>
              </w:rPr>
              <w:t>29</w:t>
            </w:r>
          </w:p>
        </w:tc>
        <w:tc>
          <w:tcPr>
            <w:tcW w:w="691" w:type="dxa"/>
            <w:noWrap/>
            <w:vAlign w:val="bottom"/>
          </w:tcPr>
          <w:p w:rsidR="00000000" w:rsidRDefault="00000000">
            <w:pPr>
              <w:spacing w:before="60" w:after="60"/>
              <w:ind w:right="113"/>
              <w:jc w:val="right"/>
              <w:rPr>
                <w:sz w:val="20"/>
                <w:szCs w:val="16"/>
                <w:lang w:val="pt-BR"/>
              </w:rPr>
            </w:pPr>
            <w:r>
              <w:rPr>
                <w:sz w:val="20"/>
                <w:szCs w:val="16"/>
                <w:lang w:val="pt-BR"/>
              </w:rPr>
              <w:t>22.4</w:t>
            </w:r>
          </w:p>
        </w:tc>
      </w:tr>
      <w:tr w:rsidR="00000000">
        <w:tc>
          <w:tcPr>
            <w:tcW w:w="1660" w:type="dxa"/>
            <w:noWrap/>
            <w:vAlign w:val="bottom"/>
          </w:tcPr>
          <w:p w:rsidR="00000000" w:rsidRDefault="00000000">
            <w:pPr>
              <w:spacing w:before="60" w:after="60"/>
              <w:rPr>
                <w:sz w:val="20"/>
                <w:szCs w:val="16"/>
                <w:lang w:val="pt-BR"/>
              </w:rPr>
            </w:pPr>
            <w:r>
              <w:rPr>
                <w:sz w:val="20"/>
                <w:szCs w:val="16"/>
                <w:lang w:val="pt-BR"/>
              </w:rPr>
              <w:t>Alto Paraguay</w:t>
            </w:r>
          </w:p>
        </w:tc>
        <w:tc>
          <w:tcPr>
            <w:tcW w:w="767" w:type="dxa"/>
            <w:noWrap/>
            <w:vAlign w:val="bottom"/>
          </w:tcPr>
          <w:p w:rsidR="00000000" w:rsidRDefault="00000000">
            <w:pPr>
              <w:spacing w:before="60" w:after="60"/>
              <w:ind w:right="113"/>
              <w:jc w:val="right"/>
              <w:rPr>
                <w:sz w:val="20"/>
                <w:szCs w:val="16"/>
              </w:rPr>
            </w:pPr>
            <w:r>
              <w:rPr>
                <w:sz w:val="20"/>
                <w:szCs w:val="16"/>
              </w:rPr>
              <w:t>129</w:t>
            </w:r>
          </w:p>
        </w:tc>
        <w:tc>
          <w:tcPr>
            <w:tcW w:w="622" w:type="dxa"/>
            <w:noWrap/>
            <w:vAlign w:val="bottom"/>
          </w:tcPr>
          <w:p w:rsidR="00000000" w:rsidRDefault="00000000">
            <w:pPr>
              <w:spacing w:before="60" w:after="60"/>
              <w:ind w:right="113"/>
              <w:jc w:val="right"/>
              <w:rPr>
                <w:sz w:val="20"/>
                <w:szCs w:val="16"/>
              </w:rPr>
            </w:pPr>
            <w:r>
              <w:rPr>
                <w:sz w:val="20"/>
                <w:szCs w:val="16"/>
              </w:rPr>
              <w:t>1</w:t>
            </w:r>
          </w:p>
        </w:tc>
        <w:tc>
          <w:tcPr>
            <w:tcW w:w="690" w:type="dxa"/>
            <w:noWrap/>
            <w:vAlign w:val="bottom"/>
          </w:tcPr>
          <w:p w:rsidR="00000000" w:rsidRDefault="00000000">
            <w:pPr>
              <w:spacing w:before="60" w:after="60"/>
              <w:ind w:right="113"/>
              <w:jc w:val="right"/>
              <w:rPr>
                <w:sz w:val="20"/>
                <w:szCs w:val="16"/>
              </w:rPr>
            </w:pPr>
            <w:r>
              <w:rPr>
                <w:sz w:val="20"/>
                <w:szCs w:val="16"/>
              </w:rPr>
              <w:t>7.8</w:t>
            </w:r>
          </w:p>
        </w:tc>
        <w:tc>
          <w:tcPr>
            <w:tcW w:w="762" w:type="dxa"/>
            <w:noWrap/>
            <w:vAlign w:val="bottom"/>
          </w:tcPr>
          <w:p w:rsidR="00000000" w:rsidRDefault="00000000">
            <w:pPr>
              <w:spacing w:before="60" w:after="60"/>
              <w:ind w:right="113"/>
              <w:jc w:val="right"/>
              <w:rPr>
                <w:sz w:val="20"/>
                <w:szCs w:val="16"/>
              </w:rPr>
            </w:pPr>
            <w:r>
              <w:rPr>
                <w:sz w:val="20"/>
                <w:szCs w:val="16"/>
              </w:rPr>
              <w:t>63</w:t>
            </w:r>
          </w:p>
        </w:tc>
        <w:tc>
          <w:tcPr>
            <w:tcW w:w="521" w:type="dxa"/>
            <w:noWrap/>
            <w:vAlign w:val="bottom"/>
          </w:tcPr>
          <w:p w:rsidR="00000000" w:rsidRDefault="00000000">
            <w:pPr>
              <w:spacing w:before="60" w:after="60"/>
              <w:ind w:right="113"/>
              <w:jc w:val="right"/>
              <w:rPr>
                <w:sz w:val="20"/>
                <w:szCs w:val="16"/>
              </w:rPr>
            </w:pPr>
            <w:r>
              <w:rPr>
                <w:sz w:val="20"/>
                <w:szCs w:val="16"/>
              </w:rPr>
              <w:t>2</w:t>
            </w:r>
          </w:p>
        </w:tc>
        <w:tc>
          <w:tcPr>
            <w:tcW w:w="620" w:type="dxa"/>
            <w:noWrap/>
            <w:vAlign w:val="bottom"/>
          </w:tcPr>
          <w:p w:rsidR="00000000" w:rsidRDefault="00000000">
            <w:pPr>
              <w:spacing w:before="60" w:after="60"/>
              <w:ind w:right="113"/>
              <w:jc w:val="right"/>
              <w:rPr>
                <w:sz w:val="20"/>
                <w:szCs w:val="16"/>
              </w:rPr>
            </w:pPr>
            <w:r>
              <w:rPr>
                <w:sz w:val="20"/>
                <w:szCs w:val="16"/>
              </w:rPr>
              <w:t>31.7</w:t>
            </w:r>
          </w:p>
        </w:tc>
        <w:tc>
          <w:tcPr>
            <w:tcW w:w="592" w:type="dxa"/>
            <w:noWrap/>
            <w:vAlign w:val="bottom"/>
          </w:tcPr>
          <w:p w:rsidR="00000000" w:rsidRDefault="00000000">
            <w:pPr>
              <w:spacing w:before="60" w:after="60"/>
              <w:ind w:right="113"/>
              <w:jc w:val="right"/>
              <w:rPr>
                <w:sz w:val="20"/>
                <w:szCs w:val="16"/>
              </w:rPr>
            </w:pPr>
            <w:r>
              <w:rPr>
                <w:sz w:val="20"/>
                <w:szCs w:val="16"/>
              </w:rPr>
              <w:t>0</w:t>
            </w:r>
          </w:p>
        </w:tc>
        <w:tc>
          <w:tcPr>
            <w:tcW w:w="521" w:type="dxa"/>
            <w:noWrap/>
            <w:vAlign w:val="bottom"/>
          </w:tcPr>
          <w:p w:rsidR="00000000" w:rsidRDefault="00000000">
            <w:pPr>
              <w:spacing w:before="60" w:after="60"/>
              <w:ind w:right="113"/>
              <w:jc w:val="right"/>
              <w:rPr>
                <w:sz w:val="20"/>
                <w:szCs w:val="16"/>
              </w:rPr>
            </w:pPr>
            <w:r>
              <w:rPr>
                <w:sz w:val="20"/>
                <w:szCs w:val="16"/>
              </w:rPr>
              <w:t>0</w:t>
            </w:r>
          </w:p>
        </w:tc>
        <w:tc>
          <w:tcPr>
            <w:tcW w:w="620" w:type="dxa"/>
            <w:noWrap/>
            <w:vAlign w:val="bottom"/>
          </w:tcPr>
          <w:p w:rsidR="00000000" w:rsidRDefault="00000000">
            <w:pPr>
              <w:spacing w:before="60" w:after="60"/>
              <w:ind w:right="113"/>
              <w:jc w:val="right"/>
              <w:rPr>
                <w:sz w:val="20"/>
                <w:szCs w:val="16"/>
              </w:rPr>
            </w:pPr>
            <w:r>
              <w:rPr>
                <w:sz w:val="20"/>
                <w:szCs w:val="16"/>
              </w:rPr>
              <w:t>*</w:t>
            </w:r>
          </w:p>
        </w:tc>
        <w:tc>
          <w:tcPr>
            <w:tcW w:w="762" w:type="dxa"/>
            <w:noWrap/>
            <w:vAlign w:val="bottom"/>
          </w:tcPr>
          <w:p w:rsidR="00000000" w:rsidRDefault="00000000">
            <w:pPr>
              <w:spacing w:before="60" w:after="60"/>
              <w:ind w:right="113"/>
              <w:jc w:val="right"/>
              <w:rPr>
                <w:sz w:val="20"/>
                <w:szCs w:val="16"/>
              </w:rPr>
            </w:pPr>
            <w:r>
              <w:rPr>
                <w:sz w:val="20"/>
                <w:szCs w:val="16"/>
              </w:rPr>
              <w:t>192</w:t>
            </w:r>
          </w:p>
        </w:tc>
        <w:tc>
          <w:tcPr>
            <w:tcW w:w="620" w:type="dxa"/>
            <w:noWrap/>
            <w:vAlign w:val="bottom"/>
          </w:tcPr>
          <w:p w:rsidR="00000000" w:rsidRDefault="00000000">
            <w:pPr>
              <w:spacing w:before="60" w:after="60"/>
              <w:ind w:right="113"/>
              <w:jc w:val="right"/>
              <w:rPr>
                <w:sz w:val="20"/>
                <w:szCs w:val="16"/>
              </w:rPr>
            </w:pPr>
            <w:r>
              <w:rPr>
                <w:sz w:val="20"/>
                <w:szCs w:val="16"/>
              </w:rPr>
              <w:t>3</w:t>
            </w:r>
          </w:p>
        </w:tc>
        <w:tc>
          <w:tcPr>
            <w:tcW w:w="691" w:type="dxa"/>
            <w:noWrap/>
            <w:vAlign w:val="bottom"/>
          </w:tcPr>
          <w:p w:rsidR="00000000" w:rsidRDefault="00000000">
            <w:pPr>
              <w:spacing w:before="60" w:after="60"/>
              <w:ind w:right="113"/>
              <w:jc w:val="right"/>
              <w:rPr>
                <w:sz w:val="20"/>
                <w:szCs w:val="16"/>
              </w:rPr>
            </w:pPr>
            <w:r>
              <w:rPr>
                <w:sz w:val="20"/>
                <w:szCs w:val="16"/>
              </w:rPr>
              <w:t>15.6</w:t>
            </w:r>
          </w:p>
        </w:tc>
      </w:tr>
      <w:tr w:rsidR="00000000">
        <w:tc>
          <w:tcPr>
            <w:tcW w:w="1660" w:type="dxa"/>
            <w:noWrap/>
            <w:vAlign w:val="bottom"/>
          </w:tcPr>
          <w:p w:rsidR="00000000" w:rsidRDefault="00000000">
            <w:pPr>
              <w:spacing w:before="60" w:after="60"/>
              <w:rPr>
                <w:sz w:val="20"/>
                <w:szCs w:val="16"/>
              </w:rPr>
            </w:pPr>
            <w:r>
              <w:rPr>
                <w:sz w:val="20"/>
                <w:szCs w:val="16"/>
              </w:rPr>
              <w:t>Boqueron</w:t>
            </w:r>
          </w:p>
        </w:tc>
        <w:tc>
          <w:tcPr>
            <w:tcW w:w="767" w:type="dxa"/>
            <w:noWrap/>
            <w:vAlign w:val="bottom"/>
          </w:tcPr>
          <w:p w:rsidR="00000000" w:rsidRDefault="00000000">
            <w:pPr>
              <w:spacing w:before="60" w:after="60"/>
              <w:ind w:right="113"/>
              <w:jc w:val="right"/>
              <w:rPr>
                <w:sz w:val="20"/>
                <w:szCs w:val="16"/>
              </w:rPr>
            </w:pPr>
            <w:r>
              <w:rPr>
                <w:sz w:val="20"/>
                <w:szCs w:val="16"/>
              </w:rPr>
              <w:t>226</w:t>
            </w:r>
          </w:p>
        </w:tc>
        <w:tc>
          <w:tcPr>
            <w:tcW w:w="622" w:type="dxa"/>
            <w:noWrap/>
            <w:vAlign w:val="bottom"/>
          </w:tcPr>
          <w:p w:rsidR="00000000" w:rsidRDefault="00000000">
            <w:pPr>
              <w:spacing w:before="60" w:after="60"/>
              <w:ind w:right="113"/>
              <w:jc w:val="right"/>
              <w:rPr>
                <w:sz w:val="20"/>
                <w:szCs w:val="16"/>
              </w:rPr>
            </w:pPr>
            <w:r>
              <w:rPr>
                <w:sz w:val="20"/>
                <w:szCs w:val="16"/>
              </w:rPr>
              <w:t>11</w:t>
            </w:r>
          </w:p>
        </w:tc>
        <w:tc>
          <w:tcPr>
            <w:tcW w:w="690" w:type="dxa"/>
            <w:noWrap/>
            <w:vAlign w:val="bottom"/>
          </w:tcPr>
          <w:p w:rsidR="00000000" w:rsidRDefault="00000000">
            <w:pPr>
              <w:spacing w:before="60" w:after="60"/>
              <w:ind w:right="113"/>
              <w:jc w:val="right"/>
              <w:rPr>
                <w:sz w:val="20"/>
                <w:szCs w:val="16"/>
              </w:rPr>
            </w:pPr>
            <w:r>
              <w:rPr>
                <w:sz w:val="20"/>
                <w:szCs w:val="16"/>
              </w:rPr>
              <w:t>48.7</w:t>
            </w:r>
          </w:p>
        </w:tc>
        <w:tc>
          <w:tcPr>
            <w:tcW w:w="762" w:type="dxa"/>
            <w:noWrap/>
            <w:vAlign w:val="bottom"/>
          </w:tcPr>
          <w:p w:rsidR="00000000" w:rsidRDefault="00000000">
            <w:pPr>
              <w:spacing w:before="60" w:after="60"/>
              <w:ind w:right="113"/>
              <w:jc w:val="right"/>
              <w:rPr>
                <w:sz w:val="20"/>
                <w:szCs w:val="16"/>
              </w:rPr>
            </w:pPr>
            <w:r>
              <w:rPr>
                <w:sz w:val="20"/>
                <w:szCs w:val="16"/>
              </w:rPr>
              <w:t>459</w:t>
            </w:r>
          </w:p>
        </w:tc>
        <w:tc>
          <w:tcPr>
            <w:tcW w:w="521" w:type="dxa"/>
            <w:noWrap/>
            <w:vAlign w:val="bottom"/>
          </w:tcPr>
          <w:p w:rsidR="00000000" w:rsidRDefault="00000000">
            <w:pPr>
              <w:spacing w:before="60" w:after="60"/>
              <w:ind w:right="113"/>
              <w:jc w:val="right"/>
              <w:rPr>
                <w:sz w:val="20"/>
                <w:szCs w:val="16"/>
              </w:rPr>
            </w:pPr>
            <w:r>
              <w:rPr>
                <w:sz w:val="20"/>
                <w:szCs w:val="16"/>
              </w:rPr>
              <w:t>2</w:t>
            </w:r>
          </w:p>
        </w:tc>
        <w:tc>
          <w:tcPr>
            <w:tcW w:w="620" w:type="dxa"/>
            <w:noWrap/>
            <w:vAlign w:val="bottom"/>
          </w:tcPr>
          <w:p w:rsidR="00000000" w:rsidRDefault="00000000">
            <w:pPr>
              <w:spacing w:before="60" w:after="60"/>
              <w:ind w:right="113"/>
              <w:jc w:val="right"/>
              <w:rPr>
                <w:sz w:val="20"/>
                <w:szCs w:val="16"/>
              </w:rPr>
            </w:pPr>
            <w:r>
              <w:rPr>
                <w:sz w:val="20"/>
                <w:szCs w:val="16"/>
              </w:rPr>
              <w:t>4.4</w:t>
            </w:r>
          </w:p>
        </w:tc>
        <w:tc>
          <w:tcPr>
            <w:tcW w:w="592" w:type="dxa"/>
            <w:noWrap/>
            <w:vAlign w:val="bottom"/>
          </w:tcPr>
          <w:p w:rsidR="00000000" w:rsidRDefault="00000000">
            <w:pPr>
              <w:spacing w:before="60" w:after="60"/>
              <w:ind w:right="113"/>
              <w:jc w:val="right"/>
              <w:rPr>
                <w:sz w:val="20"/>
                <w:szCs w:val="16"/>
              </w:rPr>
            </w:pPr>
            <w:r>
              <w:rPr>
                <w:sz w:val="20"/>
                <w:szCs w:val="16"/>
              </w:rPr>
              <w:t>0</w:t>
            </w:r>
          </w:p>
        </w:tc>
        <w:tc>
          <w:tcPr>
            <w:tcW w:w="521" w:type="dxa"/>
            <w:noWrap/>
            <w:vAlign w:val="bottom"/>
          </w:tcPr>
          <w:p w:rsidR="00000000" w:rsidRDefault="00000000">
            <w:pPr>
              <w:spacing w:before="60" w:after="60"/>
              <w:ind w:right="113"/>
              <w:jc w:val="right"/>
              <w:rPr>
                <w:sz w:val="20"/>
                <w:szCs w:val="16"/>
              </w:rPr>
            </w:pPr>
            <w:r>
              <w:rPr>
                <w:sz w:val="20"/>
                <w:szCs w:val="16"/>
              </w:rPr>
              <w:t>0</w:t>
            </w:r>
          </w:p>
        </w:tc>
        <w:tc>
          <w:tcPr>
            <w:tcW w:w="620" w:type="dxa"/>
            <w:noWrap/>
            <w:vAlign w:val="bottom"/>
          </w:tcPr>
          <w:p w:rsidR="00000000" w:rsidRDefault="00000000">
            <w:pPr>
              <w:spacing w:before="60" w:after="60"/>
              <w:ind w:right="113"/>
              <w:jc w:val="right"/>
              <w:rPr>
                <w:sz w:val="20"/>
                <w:szCs w:val="16"/>
              </w:rPr>
            </w:pPr>
            <w:r>
              <w:rPr>
                <w:sz w:val="20"/>
                <w:szCs w:val="16"/>
              </w:rPr>
              <w:t>*</w:t>
            </w:r>
          </w:p>
        </w:tc>
        <w:tc>
          <w:tcPr>
            <w:tcW w:w="762" w:type="dxa"/>
            <w:noWrap/>
            <w:vAlign w:val="bottom"/>
          </w:tcPr>
          <w:p w:rsidR="00000000" w:rsidRDefault="00000000">
            <w:pPr>
              <w:spacing w:before="60" w:after="60"/>
              <w:ind w:right="113"/>
              <w:jc w:val="right"/>
              <w:rPr>
                <w:sz w:val="20"/>
                <w:szCs w:val="16"/>
              </w:rPr>
            </w:pPr>
            <w:r>
              <w:rPr>
                <w:sz w:val="20"/>
                <w:szCs w:val="16"/>
              </w:rPr>
              <w:t>685</w:t>
            </w:r>
          </w:p>
        </w:tc>
        <w:tc>
          <w:tcPr>
            <w:tcW w:w="620" w:type="dxa"/>
            <w:noWrap/>
            <w:vAlign w:val="bottom"/>
          </w:tcPr>
          <w:p w:rsidR="00000000" w:rsidRDefault="00000000">
            <w:pPr>
              <w:spacing w:before="60" w:after="60"/>
              <w:ind w:right="113"/>
              <w:jc w:val="right"/>
              <w:rPr>
                <w:sz w:val="20"/>
                <w:szCs w:val="16"/>
              </w:rPr>
            </w:pPr>
            <w:r>
              <w:rPr>
                <w:sz w:val="20"/>
                <w:szCs w:val="16"/>
              </w:rPr>
              <w:t>13</w:t>
            </w:r>
          </w:p>
        </w:tc>
        <w:tc>
          <w:tcPr>
            <w:tcW w:w="691" w:type="dxa"/>
            <w:noWrap/>
            <w:vAlign w:val="bottom"/>
          </w:tcPr>
          <w:p w:rsidR="00000000" w:rsidRDefault="00000000">
            <w:pPr>
              <w:spacing w:before="60" w:after="60"/>
              <w:ind w:right="113"/>
              <w:jc w:val="right"/>
              <w:rPr>
                <w:sz w:val="20"/>
                <w:szCs w:val="16"/>
              </w:rPr>
            </w:pPr>
            <w:r>
              <w:rPr>
                <w:sz w:val="20"/>
                <w:szCs w:val="16"/>
              </w:rPr>
              <w:t>19.0</w:t>
            </w:r>
          </w:p>
        </w:tc>
      </w:tr>
      <w:tr w:rsidR="00000000">
        <w:tc>
          <w:tcPr>
            <w:tcW w:w="1660" w:type="dxa"/>
            <w:noWrap/>
            <w:vAlign w:val="bottom"/>
          </w:tcPr>
          <w:p w:rsidR="00000000" w:rsidRDefault="00000000">
            <w:pPr>
              <w:spacing w:before="60" w:after="60"/>
              <w:rPr>
                <w:sz w:val="20"/>
                <w:szCs w:val="16"/>
              </w:rPr>
            </w:pPr>
            <w:r>
              <w:rPr>
                <w:sz w:val="20"/>
                <w:szCs w:val="16"/>
              </w:rPr>
              <w:t>Asunción</w:t>
            </w:r>
          </w:p>
        </w:tc>
        <w:tc>
          <w:tcPr>
            <w:tcW w:w="767" w:type="dxa"/>
            <w:noWrap/>
            <w:vAlign w:val="bottom"/>
          </w:tcPr>
          <w:p w:rsidR="00000000" w:rsidRDefault="00000000">
            <w:pPr>
              <w:spacing w:before="60" w:after="60"/>
              <w:ind w:right="113"/>
              <w:jc w:val="right"/>
              <w:rPr>
                <w:sz w:val="20"/>
                <w:szCs w:val="16"/>
              </w:rPr>
            </w:pPr>
            <w:r>
              <w:rPr>
                <w:sz w:val="20"/>
                <w:szCs w:val="16"/>
              </w:rPr>
              <w:t>8 745</w:t>
            </w:r>
          </w:p>
        </w:tc>
        <w:tc>
          <w:tcPr>
            <w:tcW w:w="622" w:type="dxa"/>
            <w:noWrap/>
            <w:vAlign w:val="bottom"/>
          </w:tcPr>
          <w:p w:rsidR="00000000" w:rsidRDefault="00000000">
            <w:pPr>
              <w:spacing w:before="60" w:after="60"/>
              <w:ind w:right="113"/>
              <w:jc w:val="right"/>
              <w:rPr>
                <w:sz w:val="20"/>
                <w:szCs w:val="16"/>
              </w:rPr>
            </w:pPr>
            <w:r>
              <w:rPr>
                <w:sz w:val="20"/>
                <w:szCs w:val="16"/>
              </w:rPr>
              <w:t>140</w:t>
            </w:r>
          </w:p>
        </w:tc>
        <w:tc>
          <w:tcPr>
            <w:tcW w:w="690" w:type="dxa"/>
            <w:noWrap/>
            <w:vAlign w:val="bottom"/>
          </w:tcPr>
          <w:p w:rsidR="00000000" w:rsidRDefault="00000000">
            <w:pPr>
              <w:spacing w:before="60" w:after="60"/>
              <w:ind w:right="113"/>
              <w:jc w:val="right"/>
              <w:rPr>
                <w:sz w:val="20"/>
                <w:szCs w:val="16"/>
              </w:rPr>
            </w:pPr>
            <w:r>
              <w:rPr>
                <w:sz w:val="20"/>
                <w:szCs w:val="16"/>
              </w:rPr>
              <w:t>16.0</w:t>
            </w:r>
          </w:p>
        </w:tc>
        <w:tc>
          <w:tcPr>
            <w:tcW w:w="762" w:type="dxa"/>
            <w:noWrap/>
            <w:vAlign w:val="bottom"/>
          </w:tcPr>
          <w:p w:rsidR="00000000" w:rsidRDefault="00000000">
            <w:pPr>
              <w:spacing w:before="60" w:after="60"/>
              <w:ind w:right="113"/>
              <w:jc w:val="right"/>
              <w:rPr>
                <w:sz w:val="20"/>
                <w:szCs w:val="16"/>
              </w:rPr>
            </w:pPr>
            <w:r>
              <w:rPr>
                <w:sz w:val="20"/>
                <w:szCs w:val="16"/>
              </w:rPr>
              <w:t>4</w:t>
            </w:r>
          </w:p>
        </w:tc>
        <w:tc>
          <w:tcPr>
            <w:tcW w:w="521" w:type="dxa"/>
            <w:noWrap/>
            <w:vAlign w:val="bottom"/>
          </w:tcPr>
          <w:p w:rsidR="00000000" w:rsidRDefault="00000000">
            <w:pPr>
              <w:spacing w:before="60" w:after="60"/>
              <w:ind w:right="113"/>
              <w:jc w:val="right"/>
              <w:rPr>
                <w:sz w:val="20"/>
                <w:szCs w:val="16"/>
              </w:rPr>
            </w:pPr>
            <w:r>
              <w:rPr>
                <w:sz w:val="20"/>
                <w:szCs w:val="16"/>
              </w:rPr>
              <w:t>0</w:t>
            </w:r>
          </w:p>
        </w:tc>
        <w:tc>
          <w:tcPr>
            <w:tcW w:w="620" w:type="dxa"/>
            <w:noWrap/>
            <w:vAlign w:val="bottom"/>
          </w:tcPr>
          <w:p w:rsidR="00000000" w:rsidRDefault="00000000">
            <w:pPr>
              <w:spacing w:before="60" w:after="60"/>
              <w:ind w:right="113"/>
              <w:jc w:val="right"/>
              <w:rPr>
                <w:sz w:val="20"/>
                <w:szCs w:val="16"/>
              </w:rPr>
            </w:pPr>
            <w:r>
              <w:rPr>
                <w:sz w:val="20"/>
                <w:szCs w:val="16"/>
              </w:rPr>
              <w:t>0.0</w:t>
            </w:r>
          </w:p>
        </w:tc>
        <w:tc>
          <w:tcPr>
            <w:tcW w:w="592" w:type="dxa"/>
            <w:noWrap/>
            <w:vAlign w:val="bottom"/>
          </w:tcPr>
          <w:p w:rsidR="00000000" w:rsidRDefault="00000000">
            <w:pPr>
              <w:spacing w:before="60" w:after="60"/>
              <w:ind w:right="113"/>
              <w:jc w:val="right"/>
              <w:rPr>
                <w:sz w:val="20"/>
                <w:szCs w:val="16"/>
              </w:rPr>
            </w:pPr>
            <w:r>
              <w:rPr>
                <w:sz w:val="20"/>
                <w:szCs w:val="16"/>
              </w:rPr>
              <w:t>0</w:t>
            </w:r>
          </w:p>
        </w:tc>
        <w:tc>
          <w:tcPr>
            <w:tcW w:w="521" w:type="dxa"/>
            <w:noWrap/>
            <w:vAlign w:val="bottom"/>
          </w:tcPr>
          <w:p w:rsidR="00000000" w:rsidRDefault="00000000">
            <w:pPr>
              <w:spacing w:before="60" w:after="60"/>
              <w:ind w:right="113"/>
              <w:jc w:val="right"/>
              <w:rPr>
                <w:sz w:val="20"/>
                <w:szCs w:val="16"/>
              </w:rPr>
            </w:pPr>
            <w:r>
              <w:rPr>
                <w:sz w:val="20"/>
                <w:szCs w:val="16"/>
              </w:rPr>
              <w:t>0</w:t>
            </w:r>
          </w:p>
        </w:tc>
        <w:tc>
          <w:tcPr>
            <w:tcW w:w="620" w:type="dxa"/>
            <w:noWrap/>
            <w:vAlign w:val="bottom"/>
          </w:tcPr>
          <w:p w:rsidR="00000000" w:rsidRDefault="00000000">
            <w:pPr>
              <w:spacing w:before="60" w:after="60"/>
              <w:ind w:right="113"/>
              <w:jc w:val="right"/>
              <w:rPr>
                <w:sz w:val="20"/>
                <w:szCs w:val="16"/>
              </w:rPr>
            </w:pPr>
            <w:r>
              <w:rPr>
                <w:sz w:val="20"/>
                <w:szCs w:val="16"/>
              </w:rPr>
              <w:t>*</w:t>
            </w:r>
          </w:p>
        </w:tc>
        <w:tc>
          <w:tcPr>
            <w:tcW w:w="762" w:type="dxa"/>
            <w:noWrap/>
            <w:vAlign w:val="bottom"/>
          </w:tcPr>
          <w:p w:rsidR="00000000" w:rsidRDefault="00000000">
            <w:pPr>
              <w:spacing w:before="60" w:after="60"/>
              <w:ind w:right="113"/>
              <w:jc w:val="right"/>
              <w:rPr>
                <w:sz w:val="20"/>
                <w:szCs w:val="16"/>
              </w:rPr>
            </w:pPr>
            <w:r>
              <w:rPr>
                <w:sz w:val="20"/>
                <w:szCs w:val="16"/>
              </w:rPr>
              <w:t>8 749</w:t>
            </w:r>
          </w:p>
        </w:tc>
        <w:tc>
          <w:tcPr>
            <w:tcW w:w="620" w:type="dxa"/>
            <w:noWrap/>
            <w:vAlign w:val="bottom"/>
          </w:tcPr>
          <w:p w:rsidR="00000000" w:rsidRDefault="00000000">
            <w:pPr>
              <w:spacing w:before="60" w:after="60"/>
              <w:ind w:right="113"/>
              <w:jc w:val="right"/>
              <w:rPr>
                <w:sz w:val="20"/>
                <w:szCs w:val="16"/>
              </w:rPr>
            </w:pPr>
            <w:r>
              <w:rPr>
                <w:sz w:val="20"/>
                <w:szCs w:val="16"/>
              </w:rPr>
              <w:t>140</w:t>
            </w:r>
          </w:p>
        </w:tc>
        <w:tc>
          <w:tcPr>
            <w:tcW w:w="691" w:type="dxa"/>
            <w:noWrap/>
            <w:vAlign w:val="bottom"/>
          </w:tcPr>
          <w:p w:rsidR="00000000" w:rsidRDefault="00000000">
            <w:pPr>
              <w:spacing w:before="60" w:after="60"/>
              <w:ind w:right="113"/>
              <w:jc w:val="right"/>
              <w:rPr>
                <w:sz w:val="20"/>
                <w:szCs w:val="16"/>
              </w:rPr>
            </w:pPr>
            <w:r>
              <w:rPr>
                <w:sz w:val="20"/>
                <w:szCs w:val="16"/>
              </w:rPr>
              <w:t>16.0</w:t>
            </w:r>
          </w:p>
        </w:tc>
      </w:tr>
      <w:tr w:rsidR="00000000">
        <w:tc>
          <w:tcPr>
            <w:tcW w:w="1660" w:type="dxa"/>
            <w:noWrap/>
            <w:vAlign w:val="bottom"/>
          </w:tcPr>
          <w:p w:rsidR="00000000" w:rsidRDefault="00000000">
            <w:pPr>
              <w:spacing w:before="60" w:after="60"/>
              <w:rPr>
                <w:sz w:val="20"/>
                <w:szCs w:val="16"/>
              </w:rPr>
            </w:pPr>
            <w:r>
              <w:rPr>
                <w:sz w:val="20"/>
                <w:szCs w:val="16"/>
              </w:rPr>
              <w:t>Other countries</w:t>
            </w:r>
          </w:p>
        </w:tc>
        <w:tc>
          <w:tcPr>
            <w:tcW w:w="767" w:type="dxa"/>
            <w:noWrap/>
            <w:vAlign w:val="bottom"/>
          </w:tcPr>
          <w:p w:rsidR="00000000" w:rsidRDefault="00000000">
            <w:pPr>
              <w:spacing w:before="60" w:after="60"/>
              <w:ind w:right="113"/>
              <w:jc w:val="right"/>
              <w:rPr>
                <w:sz w:val="20"/>
                <w:szCs w:val="16"/>
              </w:rPr>
            </w:pPr>
            <w:r>
              <w:rPr>
                <w:sz w:val="20"/>
                <w:szCs w:val="16"/>
              </w:rPr>
              <w:t>22</w:t>
            </w:r>
          </w:p>
        </w:tc>
        <w:tc>
          <w:tcPr>
            <w:tcW w:w="622" w:type="dxa"/>
            <w:noWrap/>
            <w:vAlign w:val="bottom"/>
          </w:tcPr>
          <w:p w:rsidR="00000000" w:rsidRDefault="00000000">
            <w:pPr>
              <w:spacing w:before="60" w:after="60"/>
              <w:ind w:right="113"/>
              <w:jc w:val="right"/>
              <w:rPr>
                <w:sz w:val="20"/>
                <w:szCs w:val="16"/>
              </w:rPr>
            </w:pPr>
            <w:r>
              <w:rPr>
                <w:sz w:val="20"/>
                <w:szCs w:val="16"/>
              </w:rPr>
              <w:t>3</w:t>
            </w:r>
          </w:p>
        </w:tc>
        <w:tc>
          <w:tcPr>
            <w:tcW w:w="690" w:type="dxa"/>
            <w:noWrap/>
            <w:vAlign w:val="bottom"/>
          </w:tcPr>
          <w:p w:rsidR="00000000" w:rsidRDefault="00000000">
            <w:pPr>
              <w:spacing w:before="60" w:after="60"/>
              <w:ind w:right="113"/>
              <w:jc w:val="right"/>
              <w:rPr>
                <w:sz w:val="20"/>
                <w:szCs w:val="16"/>
              </w:rPr>
            </w:pPr>
            <w:r>
              <w:rPr>
                <w:sz w:val="20"/>
                <w:szCs w:val="16"/>
              </w:rPr>
              <w:t>136.4</w:t>
            </w:r>
          </w:p>
        </w:tc>
        <w:tc>
          <w:tcPr>
            <w:tcW w:w="762" w:type="dxa"/>
            <w:noWrap/>
            <w:vAlign w:val="bottom"/>
          </w:tcPr>
          <w:p w:rsidR="00000000" w:rsidRDefault="00000000">
            <w:pPr>
              <w:spacing w:before="60" w:after="60"/>
              <w:ind w:right="113"/>
              <w:jc w:val="right"/>
              <w:rPr>
                <w:sz w:val="20"/>
                <w:szCs w:val="16"/>
              </w:rPr>
            </w:pPr>
            <w:r>
              <w:rPr>
                <w:sz w:val="20"/>
                <w:szCs w:val="16"/>
              </w:rPr>
              <w:t>1</w:t>
            </w:r>
          </w:p>
        </w:tc>
        <w:tc>
          <w:tcPr>
            <w:tcW w:w="521" w:type="dxa"/>
            <w:noWrap/>
            <w:vAlign w:val="bottom"/>
          </w:tcPr>
          <w:p w:rsidR="00000000" w:rsidRDefault="00000000">
            <w:pPr>
              <w:spacing w:before="60" w:after="60"/>
              <w:ind w:right="113"/>
              <w:jc w:val="right"/>
              <w:rPr>
                <w:sz w:val="20"/>
                <w:szCs w:val="16"/>
              </w:rPr>
            </w:pPr>
            <w:r>
              <w:rPr>
                <w:sz w:val="20"/>
                <w:szCs w:val="16"/>
              </w:rPr>
              <w:t>0</w:t>
            </w:r>
          </w:p>
        </w:tc>
        <w:tc>
          <w:tcPr>
            <w:tcW w:w="620" w:type="dxa"/>
            <w:noWrap/>
            <w:vAlign w:val="bottom"/>
          </w:tcPr>
          <w:p w:rsidR="00000000" w:rsidRDefault="00000000">
            <w:pPr>
              <w:spacing w:before="60" w:after="60"/>
              <w:ind w:right="113"/>
              <w:jc w:val="right"/>
              <w:rPr>
                <w:sz w:val="20"/>
                <w:szCs w:val="16"/>
              </w:rPr>
            </w:pPr>
            <w:r>
              <w:rPr>
                <w:sz w:val="20"/>
                <w:szCs w:val="16"/>
              </w:rPr>
              <w:t>0.0</w:t>
            </w:r>
          </w:p>
        </w:tc>
        <w:tc>
          <w:tcPr>
            <w:tcW w:w="592" w:type="dxa"/>
            <w:noWrap/>
            <w:vAlign w:val="bottom"/>
          </w:tcPr>
          <w:p w:rsidR="00000000" w:rsidRDefault="00000000">
            <w:pPr>
              <w:spacing w:before="60" w:after="60"/>
              <w:ind w:right="113"/>
              <w:jc w:val="right"/>
              <w:rPr>
                <w:sz w:val="20"/>
                <w:szCs w:val="16"/>
              </w:rPr>
            </w:pPr>
            <w:r>
              <w:rPr>
                <w:sz w:val="20"/>
                <w:szCs w:val="16"/>
              </w:rPr>
              <w:t>0</w:t>
            </w:r>
          </w:p>
        </w:tc>
        <w:tc>
          <w:tcPr>
            <w:tcW w:w="521" w:type="dxa"/>
            <w:noWrap/>
            <w:vAlign w:val="bottom"/>
          </w:tcPr>
          <w:p w:rsidR="00000000" w:rsidRDefault="00000000">
            <w:pPr>
              <w:spacing w:before="60" w:after="60"/>
              <w:ind w:right="113"/>
              <w:jc w:val="right"/>
              <w:rPr>
                <w:sz w:val="20"/>
                <w:szCs w:val="16"/>
              </w:rPr>
            </w:pPr>
            <w:r>
              <w:rPr>
                <w:sz w:val="20"/>
                <w:szCs w:val="16"/>
              </w:rPr>
              <w:t>0</w:t>
            </w:r>
          </w:p>
        </w:tc>
        <w:tc>
          <w:tcPr>
            <w:tcW w:w="620" w:type="dxa"/>
            <w:noWrap/>
            <w:vAlign w:val="bottom"/>
          </w:tcPr>
          <w:p w:rsidR="00000000" w:rsidRDefault="00000000">
            <w:pPr>
              <w:spacing w:before="60" w:after="60"/>
              <w:ind w:right="113"/>
              <w:jc w:val="right"/>
              <w:rPr>
                <w:sz w:val="20"/>
                <w:szCs w:val="16"/>
              </w:rPr>
            </w:pPr>
            <w:r>
              <w:rPr>
                <w:sz w:val="20"/>
                <w:szCs w:val="16"/>
              </w:rPr>
              <w:t>*</w:t>
            </w:r>
          </w:p>
        </w:tc>
        <w:tc>
          <w:tcPr>
            <w:tcW w:w="762" w:type="dxa"/>
            <w:noWrap/>
            <w:vAlign w:val="bottom"/>
          </w:tcPr>
          <w:p w:rsidR="00000000" w:rsidRDefault="00000000">
            <w:pPr>
              <w:spacing w:before="60" w:after="60"/>
              <w:ind w:right="113"/>
              <w:jc w:val="right"/>
              <w:rPr>
                <w:sz w:val="20"/>
                <w:szCs w:val="16"/>
              </w:rPr>
            </w:pPr>
            <w:r>
              <w:rPr>
                <w:sz w:val="20"/>
                <w:szCs w:val="16"/>
              </w:rPr>
              <w:t>23</w:t>
            </w:r>
          </w:p>
        </w:tc>
        <w:tc>
          <w:tcPr>
            <w:tcW w:w="620" w:type="dxa"/>
            <w:noWrap/>
            <w:vAlign w:val="bottom"/>
          </w:tcPr>
          <w:p w:rsidR="00000000" w:rsidRDefault="00000000">
            <w:pPr>
              <w:spacing w:before="60" w:after="60"/>
              <w:ind w:right="113"/>
              <w:jc w:val="right"/>
              <w:rPr>
                <w:sz w:val="20"/>
                <w:szCs w:val="16"/>
              </w:rPr>
            </w:pPr>
            <w:r>
              <w:rPr>
                <w:sz w:val="20"/>
                <w:szCs w:val="16"/>
              </w:rPr>
              <w:t>3</w:t>
            </w:r>
          </w:p>
        </w:tc>
        <w:tc>
          <w:tcPr>
            <w:tcW w:w="691" w:type="dxa"/>
            <w:noWrap/>
            <w:vAlign w:val="bottom"/>
          </w:tcPr>
          <w:p w:rsidR="00000000" w:rsidRDefault="00000000">
            <w:pPr>
              <w:spacing w:before="60" w:after="60"/>
              <w:ind w:right="113"/>
              <w:jc w:val="right"/>
              <w:rPr>
                <w:sz w:val="20"/>
                <w:szCs w:val="16"/>
              </w:rPr>
            </w:pPr>
            <w:r>
              <w:rPr>
                <w:sz w:val="20"/>
                <w:szCs w:val="16"/>
              </w:rPr>
              <w:t>130.4</w:t>
            </w:r>
          </w:p>
        </w:tc>
      </w:tr>
      <w:tr w:rsidR="00000000">
        <w:tc>
          <w:tcPr>
            <w:tcW w:w="1660" w:type="dxa"/>
            <w:tcBorders>
              <w:bottom w:val="single" w:sz="4" w:space="0" w:color="auto"/>
            </w:tcBorders>
            <w:noWrap/>
            <w:vAlign w:val="bottom"/>
          </w:tcPr>
          <w:p w:rsidR="00000000" w:rsidRDefault="00000000">
            <w:pPr>
              <w:spacing w:before="60" w:after="60"/>
              <w:rPr>
                <w:sz w:val="20"/>
                <w:szCs w:val="16"/>
              </w:rPr>
            </w:pPr>
            <w:r>
              <w:rPr>
                <w:sz w:val="20"/>
                <w:szCs w:val="16"/>
              </w:rPr>
              <w:t>Whole country</w:t>
            </w:r>
          </w:p>
        </w:tc>
        <w:tc>
          <w:tcPr>
            <w:tcW w:w="767" w:type="dxa"/>
            <w:tcBorders>
              <w:bottom w:val="single" w:sz="4" w:space="0" w:color="auto"/>
            </w:tcBorders>
            <w:noWrap/>
            <w:vAlign w:val="bottom"/>
          </w:tcPr>
          <w:p w:rsidR="00000000" w:rsidRDefault="00000000">
            <w:pPr>
              <w:spacing w:before="60" w:after="60"/>
              <w:ind w:right="113"/>
              <w:jc w:val="right"/>
              <w:rPr>
                <w:sz w:val="20"/>
                <w:szCs w:val="16"/>
              </w:rPr>
            </w:pPr>
            <w:r>
              <w:rPr>
                <w:sz w:val="20"/>
                <w:szCs w:val="16"/>
              </w:rPr>
              <w:t>55 046</w:t>
            </w:r>
          </w:p>
        </w:tc>
        <w:tc>
          <w:tcPr>
            <w:tcW w:w="622" w:type="dxa"/>
            <w:tcBorders>
              <w:bottom w:val="single" w:sz="4" w:space="0" w:color="auto"/>
            </w:tcBorders>
            <w:noWrap/>
            <w:vAlign w:val="bottom"/>
          </w:tcPr>
          <w:p w:rsidR="00000000" w:rsidRDefault="00000000">
            <w:pPr>
              <w:spacing w:before="60" w:after="60"/>
              <w:ind w:right="113"/>
              <w:jc w:val="right"/>
              <w:rPr>
                <w:sz w:val="20"/>
                <w:szCs w:val="16"/>
              </w:rPr>
            </w:pPr>
            <w:r>
              <w:rPr>
                <w:sz w:val="20"/>
                <w:szCs w:val="16"/>
              </w:rPr>
              <w:t>1 257</w:t>
            </w:r>
          </w:p>
        </w:tc>
        <w:tc>
          <w:tcPr>
            <w:tcW w:w="690" w:type="dxa"/>
            <w:tcBorders>
              <w:bottom w:val="single" w:sz="4" w:space="0" w:color="auto"/>
            </w:tcBorders>
            <w:noWrap/>
            <w:vAlign w:val="bottom"/>
          </w:tcPr>
          <w:p w:rsidR="00000000" w:rsidRDefault="00000000">
            <w:pPr>
              <w:spacing w:before="60" w:after="60"/>
              <w:ind w:right="113"/>
              <w:jc w:val="right"/>
              <w:rPr>
                <w:sz w:val="20"/>
                <w:szCs w:val="16"/>
              </w:rPr>
            </w:pPr>
            <w:r>
              <w:rPr>
                <w:sz w:val="20"/>
                <w:szCs w:val="16"/>
              </w:rPr>
              <w:t>22.8</w:t>
            </w:r>
          </w:p>
        </w:tc>
        <w:tc>
          <w:tcPr>
            <w:tcW w:w="762" w:type="dxa"/>
            <w:tcBorders>
              <w:bottom w:val="single" w:sz="4" w:space="0" w:color="auto"/>
            </w:tcBorders>
            <w:noWrap/>
            <w:vAlign w:val="bottom"/>
          </w:tcPr>
          <w:p w:rsidR="00000000" w:rsidRDefault="00000000">
            <w:pPr>
              <w:spacing w:before="60" w:after="60"/>
              <w:ind w:right="113"/>
              <w:jc w:val="right"/>
              <w:rPr>
                <w:sz w:val="20"/>
                <w:szCs w:val="16"/>
              </w:rPr>
            </w:pPr>
            <w:r>
              <w:rPr>
                <w:sz w:val="20"/>
                <w:szCs w:val="16"/>
              </w:rPr>
              <w:t>31 692</w:t>
            </w:r>
          </w:p>
        </w:tc>
        <w:tc>
          <w:tcPr>
            <w:tcW w:w="521" w:type="dxa"/>
            <w:tcBorders>
              <w:bottom w:val="single" w:sz="4" w:space="0" w:color="auto"/>
            </w:tcBorders>
            <w:noWrap/>
            <w:vAlign w:val="bottom"/>
          </w:tcPr>
          <w:p w:rsidR="00000000" w:rsidRDefault="00000000">
            <w:pPr>
              <w:spacing w:before="60" w:after="60"/>
              <w:ind w:right="113"/>
              <w:jc w:val="right"/>
              <w:rPr>
                <w:sz w:val="20"/>
                <w:szCs w:val="16"/>
              </w:rPr>
            </w:pPr>
            <w:r>
              <w:rPr>
                <w:sz w:val="20"/>
                <w:szCs w:val="16"/>
              </w:rPr>
              <w:t>426</w:t>
            </w:r>
          </w:p>
        </w:tc>
        <w:tc>
          <w:tcPr>
            <w:tcW w:w="620" w:type="dxa"/>
            <w:tcBorders>
              <w:bottom w:val="single" w:sz="4" w:space="0" w:color="auto"/>
            </w:tcBorders>
            <w:noWrap/>
            <w:vAlign w:val="bottom"/>
          </w:tcPr>
          <w:p w:rsidR="00000000" w:rsidRDefault="00000000">
            <w:pPr>
              <w:spacing w:before="60" w:after="60"/>
              <w:ind w:right="113"/>
              <w:jc w:val="right"/>
              <w:rPr>
                <w:sz w:val="20"/>
                <w:szCs w:val="16"/>
              </w:rPr>
            </w:pPr>
            <w:r>
              <w:rPr>
                <w:sz w:val="20"/>
                <w:szCs w:val="16"/>
              </w:rPr>
              <w:t>13.4</w:t>
            </w:r>
          </w:p>
        </w:tc>
        <w:tc>
          <w:tcPr>
            <w:tcW w:w="592" w:type="dxa"/>
            <w:tcBorders>
              <w:bottom w:val="single" w:sz="4" w:space="0" w:color="auto"/>
            </w:tcBorders>
            <w:noWrap/>
            <w:vAlign w:val="bottom"/>
          </w:tcPr>
          <w:p w:rsidR="00000000" w:rsidRDefault="00000000">
            <w:pPr>
              <w:spacing w:before="60" w:after="60"/>
              <w:ind w:right="113"/>
              <w:jc w:val="right"/>
              <w:rPr>
                <w:sz w:val="20"/>
                <w:szCs w:val="16"/>
              </w:rPr>
            </w:pPr>
            <w:r>
              <w:rPr>
                <w:sz w:val="20"/>
                <w:szCs w:val="16"/>
              </w:rPr>
              <w:t>11</w:t>
            </w:r>
          </w:p>
        </w:tc>
        <w:tc>
          <w:tcPr>
            <w:tcW w:w="521" w:type="dxa"/>
            <w:tcBorders>
              <w:bottom w:val="single" w:sz="4" w:space="0" w:color="auto"/>
            </w:tcBorders>
            <w:noWrap/>
            <w:vAlign w:val="bottom"/>
          </w:tcPr>
          <w:p w:rsidR="00000000" w:rsidRDefault="00000000">
            <w:pPr>
              <w:spacing w:before="60" w:after="60"/>
              <w:ind w:right="113"/>
              <w:jc w:val="right"/>
              <w:rPr>
                <w:sz w:val="20"/>
                <w:szCs w:val="16"/>
              </w:rPr>
            </w:pPr>
            <w:r>
              <w:rPr>
                <w:sz w:val="20"/>
                <w:szCs w:val="16"/>
              </w:rPr>
              <w:t>0</w:t>
            </w:r>
          </w:p>
        </w:tc>
        <w:tc>
          <w:tcPr>
            <w:tcW w:w="620" w:type="dxa"/>
            <w:tcBorders>
              <w:bottom w:val="single" w:sz="4" w:space="0" w:color="auto"/>
            </w:tcBorders>
            <w:noWrap/>
            <w:vAlign w:val="bottom"/>
          </w:tcPr>
          <w:p w:rsidR="00000000" w:rsidRDefault="00000000">
            <w:pPr>
              <w:spacing w:before="60" w:after="60"/>
              <w:ind w:right="113"/>
              <w:jc w:val="right"/>
              <w:rPr>
                <w:sz w:val="20"/>
                <w:szCs w:val="16"/>
              </w:rPr>
            </w:pPr>
            <w:r>
              <w:rPr>
                <w:sz w:val="20"/>
                <w:szCs w:val="16"/>
              </w:rPr>
              <w:t>*</w:t>
            </w:r>
          </w:p>
        </w:tc>
        <w:tc>
          <w:tcPr>
            <w:tcW w:w="762" w:type="dxa"/>
            <w:tcBorders>
              <w:bottom w:val="single" w:sz="4" w:space="0" w:color="auto"/>
            </w:tcBorders>
            <w:noWrap/>
            <w:vAlign w:val="bottom"/>
          </w:tcPr>
          <w:p w:rsidR="00000000" w:rsidRDefault="00000000">
            <w:pPr>
              <w:spacing w:before="60" w:after="60"/>
              <w:ind w:right="113"/>
              <w:jc w:val="right"/>
              <w:rPr>
                <w:sz w:val="20"/>
                <w:szCs w:val="16"/>
              </w:rPr>
            </w:pPr>
            <w:r>
              <w:rPr>
                <w:sz w:val="20"/>
                <w:szCs w:val="16"/>
              </w:rPr>
              <w:t>86749</w:t>
            </w:r>
          </w:p>
        </w:tc>
        <w:tc>
          <w:tcPr>
            <w:tcW w:w="620" w:type="dxa"/>
            <w:tcBorders>
              <w:bottom w:val="single" w:sz="4" w:space="0" w:color="auto"/>
            </w:tcBorders>
            <w:noWrap/>
            <w:vAlign w:val="bottom"/>
          </w:tcPr>
          <w:p w:rsidR="00000000" w:rsidRDefault="00000000">
            <w:pPr>
              <w:spacing w:before="60" w:after="60"/>
              <w:ind w:right="113"/>
              <w:jc w:val="right"/>
              <w:rPr>
                <w:sz w:val="20"/>
                <w:szCs w:val="16"/>
              </w:rPr>
            </w:pPr>
            <w:r>
              <w:rPr>
                <w:sz w:val="20"/>
                <w:szCs w:val="16"/>
              </w:rPr>
              <w:t>1683</w:t>
            </w:r>
          </w:p>
        </w:tc>
        <w:tc>
          <w:tcPr>
            <w:tcW w:w="691" w:type="dxa"/>
            <w:tcBorders>
              <w:bottom w:val="single" w:sz="4" w:space="0" w:color="auto"/>
            </w:tcBorders>
            <w:noWrap/>
            <w:vAlign w:val="bottom"/>
          </w:tcPr>
          <w:p w:rsidR="00000000" w:rsidRDefault="00000000">
            <w:pPr>
              <w:spacing w:before="60" w:after="60"/>
              <w:ind w:right="113"/>
              <w:jc w:val="right"/>
              <w:rPr>
                <w:sz w:val="20"/>
                <w:szCs w:val="16"/>
              </w:rPr>
            </w:pPr>
            <w:r>
              <w:rPr>
                <w:sz w:val="20"/>
                <w:szCs w:val="16"/>
              </w:rPr>
              <w:t>19.4</w:t>
            </w:r>
          </w:p>
        </w:tc>
      </w:tr>
    </w:tbl>
    <w:p w:rsidR="00000000" w:rsidRDefault="00000000">
      <w:pPr>
        <w:spacing w:before="80" w:after="240"/>
        <w:ind w:left="567"/>
        <w:rPr>
          <w:sz w:val="20"/>
        </w:rPr>
      </w:pPr>
      <w:r>
        <w:rPr>
          <w:i/>
          <w:iCs/>
          <w:sz w:val="20"/>
          <w:szCs w:val="20"/>
        </w:rPr>
        <w:t>Source :</w:t>
      </w:r>
      <w:r>
        <w:rPr>
          <w:sz w:val="20"/>
          <w:szCs w:val="20"/>
        </w:rPr>
        <w:t xml:space="preserve"> Live births and child deaths registered, MSP and BS.</w:t>
      </w:r>
      <w:r>
        <w:rPr>
          <w:sz w:val="20"/>
        </w:rPr>
        <w:t xml:space="preserve"> </w:t>
      </w:r>
    </w:p>
    <w:p w:rsidR="00000000" w:rsidRDefault="00000000">
      <w:pPr>
        <w:pStyle w:val="xl46"/>
        <w:spacing w:before="0" w:beforeAutospacing="0" w:after="240" w:afterAutospacing="0"/>
        <w:rPr>
          <w:rFonts w:ascii="Times New Roman" w:eastAsia="Times New Roman" w:hAnsi="Times New Roman" w:cs="Times New Roman"/>
          <w:szCs w:val="24"/>
          <w:lang w:val="en-GB" w:eastAsia="en-US"/>
        </w:rPr>
      </w:pPr>
      <w:r>
        <w:rPr>
          <w:rFonts w:ascii="Times New Roman" w:eastAsia="Times New Roman" w:hAnsi="Times New Roman" w:cs="Times New Roman"/>
          <w:szCs w:val="24"/>
          <w:lang w:val="en-GB" w:eastAsia="en-US"/>
        </w:rPr>
        <w:t>Paraguay: child mortality by health region, disaggregated by sex, 2003</w:t>
      </w:r>
    </w:p>
    <w:p w:rsidR="00000000" w:rsidRDefault="00000000">
      <w:pPr>
        <w:spacing w:after="240"/>
        <w:jc w:val="center"/>
        <w:rPr>
          <w:sz w:val="20"/>
        </w:rPr>
      </w:pPr>
      <w:r>
        <w:rPr>
          <w:i/>
          <w:iCs/>
          <w:sz w:val="20"/>
          <w:szCs w:val="20"/>
        </w:rPr>
        <w:t>LBR = Live births registered    CDR = Child deaths registered</w:t>
      </w:r>
    </w:p>
    <w:tbl>
      <w:tblPr>
        <w:tblW w:w="5000" w:type="pct"/>
        <w:jc w:val="center"/>
        <w:tblLayout w:type="fixed"/>
        <w:tblCellMar>
          <w:left w:w="0" w:type="dxa"/>
          <w:right w:w="0" w:type="dxa"/>
        </w:tblCellMar>
        <w:tblLook w:val="0000" w:firstRow="0" w:lastRow="0" w:firstColumn="0" w:lastColumn="0" w:noHBand="0" w:noVBand="0"/>
      </w:tblPr>
      <w:tblGrid>
        <w:gridCol w:w="1346"/>
        <w:gridCol w:w="845"/>
        <w:gridCol w:w="668"/>
        <w:gridCol w:w="669"/>
        <w:gridCol w:w="786"/>
        <w:gridCol w:w="551"/>
        <w:gridCol w:w="624"/>
        <w:gridCol w:w="649"/>
        <w:gridCol w:w="551"/>
        <w:gridCol w:w="624"/>
        <w:gridCol w:w="786"/>
        <w:gridCol w:w="668"/>
        <w:gridCol w:w="662"/>
      </w:tblGrid>
      <w:tr w:rsidR="00000000">
        <w:tblPrEx>
          <w:tblCellMar>
            <w:top w:w="0" w:type="dxa"/>
            <w:bottom w:w="0" w:type="dxa"/>
          </w:tblCellMar>
        </w:tblPrEx>
        <w:trPr>
          <w:cantSplit/>
          <w:tblHeader/>
          <w:jc w:val="center"/>
        </w:trPr>
        <w:tc>
          <w:tcPr>
            <w:tcW w:w="714" w:type="pct"/>
            <w:vMerge w:val="restart"/>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rPr>
              <w:t>Health region</w:t>
            </w:r>
          </w:p>
        </w:tc>
        <w:tc>
          <w:tcPr>
            <w:tcW w:w="3164" w:type="pct"/>
            <w:gridSpan w:val="9"/>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rPr>
              <w:t>Sex</w:t>
            </w:r>
          </w:p>
        </w:tc>
        <w:tc>
          <w:tcPr>
            <w:tcW w:w="1122" w:type="pct"/>
            <w:gridSpan w:val="3"/>
            <w:vMerge w:val="restart"/>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szCs w:val="20"/>
              </w:rPr>
              <w:t>Total</w:t>
            </w:r>
          </w:p>
        </w:tc>
      </w:tr>
      <w:tr w:rsidR="00000000">
        <w:tblPrEx>
          <w:tblCellMar>
            <w:top w:w="0" w:type="dxa"/>
            <w:bottom w:w="0" w:type="dxa"/>
          </w:tblCellMar>
        </w:tblPrEx>
        <w:trPr>
          <w:cantSplit/>
          <w:tblHeader/>
          <w:jc w:val="center"/>
        </w:trPr>
        <w:tc>
          <w:tcPr>
            <w:tcW w:w="714" w:type="pct"/>
            <w:vMerge/>
            <w:tcBorders>
              <w:top w:val="single" w:sz="4" w:space="0" w:color="auto"/>
            </w:tcBorders>
            <w:vAlign w:val="center"/>
          </w:tcPr>
          <w:p w:rsidR="00000000" w:rsidRDefault="00000000">
            <w:pPr>
              <w:spacing w:before="80" w:after="80"/>
              <w:jc w:val="center"/>
              <w:rPr>
                <w:b/>
                <w:bCs/>
                <w:i/>
                <w:iCs/>
                <w:sz w:val="20"/>
                <w:szCs w:val="20"/>
              </w:rPr>
            </w:pPr>
          </w:p>
        </w:tc>
        <w:tc>
          <w:tcPr>
            <w:tcW w:w="1157" w:type="pct"/>
            <w:gridSpan w:val="3"/>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rPr>
              <w:t>Boys</w:t>
            </w:r>
          </w:p>
        </w:tc>
        <w:tc>
          <w:tcPr>
            <w:tcW w:w="1040" w:type="pct"/>
            <w:gridSpan w:val="3"/>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rPr>
              <w:t>Girls</w:t>
            </w:r>
          </w:p>
        </w:tc>
        <w:tc>
          <w:tcPr>
            <w:tcW w:w="967" w:type="pct"/>
            <w:gridSpan w:val="3"/>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rPr>
              <w:t>Not known</w:t>
            </w:r>
          </w:p>
        </w:tc>
        <w:tc>
          <w:tcPr>
            <w:tcW w:w="1122" w:type="pct"/>
            <w:gridSpan w:val="3"/>
            <w:vMerge/>
            <w:tcBorders>
              <w:top w:val="single" w:sz="4" w:space="0" w:color="auto"/>
              <w:bottom w:val="single" w:sz="4" w:space="0" w:color="auto"/>
            </w:tcBorders>
            <w:vAlign w:val="center"/>
          </w:tcPr>
          <w:p w:rsidR="00000000" w:rsidRDefault="00000000">
            <w:pPr>
              <w:spacing w:before="80" w:after="80"/>
              <w:jc w:val="center"/>
              <w:rPr>
                <w:b/>
                <w:bCs/>
                <w:i/>
                <w:iCs/>
                <w:sz w:val="20"/>
                <w:szCs w:val="20"/>
              </w:rPr>
            </w:pPr>
          </w:p>
        </w:tc>
      </w:tr>
      <w:tr w:rsidR="00000000">
        <w:tblPrEx>
          <w:tblCellMar>
            <w:top w:w="0" w:type="dxa"/>
            <w:bottom w:w="0" w:type="dxa"/>
          </w:tblCellMar>
        </w:tblPrEx>
        <w:trPr>
          <w:cantSplit/>
          <w:tblHeader/>
          <w:jc w:val="center"/>
        </w:trPr>
        <w:tc>
          <w:tcPr>
            <w:tcW w:w="714" w:type="pct"/>
            <w:vMerge/>
            <w:tcBorders>
              <w:bottom w:val="single" w:sz="4" w:space="0" w:color="auto"/>
            </w:tcBorders>
            <w:vAlign w:val="center"/>
          </w:tcPr>
          <w:p w:rsidR="00000000" w:rsidRDefault="00000000">
            <w:pPr>
              <w:spacing w:before="80" w:after="80"/>
              <w:jc w:val="center"/>
              <w:rPr>
                <w:b/>
                <w:bCs/>
                <w:i/>
                <w:iCs/>
                <w:sz w:val="20"/>
                <w:szCs w:val="20"/>
              </w:rPr>
            </w:pPr>
          </w:p>
        </w:tc>
        <w:tc>
          <w:tcPr>
            <w:tcW w:w="448" w:type="pct"/>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szCs w:val="20"/>
              </w:rPr>
              <w:t>LBR</w:t>
            </w:r>
          </w:p>
        </w:tc>
        <w:tc>
          <w:tcPr>
            <w:tcW w:w="354" w:type="pct"/>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szCs w:val="20"/>
              </w:rPr>
              <w:t>CDR</w:t>
            </w:r>
          </w:p>
        </w:tc>
        <w:tc>
          <w:tcPr>
            <w:tcW w:w="355" w:type="pct"/>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szCs w:val="20"/>
              </w:rPr>
              <w:t>Rate</w:t>
            </w:r>
          </w:p>
        </w:tc>
        <w:tc>
          <w:tcPr>
            <w:tcW w:w="417" w:type="pct"/>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szCs w:val="20"/>
              </w:rPr>
              <w:t>LBR</w:t>
            </w:r>
          </w:p>
        </w:tc>
        <w:tc>
          <w:tcPr>
            <w:tcW w:w="292" w:type="pct"/>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szCs w:val="20"/>
              </w:rPr>
              <w:t>CDR</w:t>
            </w:r>
          </w:p>
        </w:tc>
        <w:tc>
          <w:tcPr>
            <w:tcW w:w="331" w:type="pct"/>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szCs w:val="20"/>
              </w:rPr>
              <w:t>Rate</w:t>
            </w:r>
          </w:p>
        </w:tc>
        <w:tc>
          <w:tcPr>
            <w:tcW w:w="344" w:type="pct"/>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szCs w:val="20"/>
              </w:rPr>
              <w:t>LBR</w:t>
            </w:r>
          </w:p>
        </w:tc>
        <w:tc>
          <w:tcPr>
            <w:tcW w:w="292" w:type="pct"/>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szCs w:val="20"/>
              </w:rPr>
              <w:t>CDR</w:t>
            </w:r>
          </w:p>
        </w:tc>
        <w:tc>
          <w:tcPr>
            <w:tcW w:w="331" w:type="pct"/>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szCs w:val="20"/>
              </w:rPr>
              <w:t>Rate</w:t>
            </w:r>
          </w:p>
        </w:tc>
        <w:tc>
          <w:tcPr>
            <w:tcW w:w="417" w:type="pct"/>
            <w:tcBorders>
              <w:top w:val="single" w:sz="4" w:space="0" w:color="auto"/>
              <w:bottom w:val="single" w:sz="4" w:space="0" w:color="auto"/>
            </w:tcBorders>
            <w:vAlign w:val="center"/>
          </w:tcPr>
          <w:p w:rsidR="00000000" w:rsidRDefault="00000000">
            <w:pPr>
              <w:spacing w:before="80" w:after="80"/>
              <w:jc w:val="center"/>
              <w:rPr>
                <w:b/>
                <w:bCs/>
                <w:i/>
                <w:iCs/>
                <w:sz w:val="20"/>
                <w:szCs w:val="20"/>
              </w:rPr>
            </w:pPr>
            <w:r>
              <w:rPr>
                <w:b/>
                <w:bCs/>
                <w:i/>
                <w:iCs/>
                <w:sz w:val="20"/>
                <w:szCs w:val="20"/>
              </w:rPr>
              <w:t>LBR</w:t>
            </w:r>
          </w:p>
        </w:tc>
        <w:tc>
          <w:tcPr>
            <w:tcW w:w="354" w:type="pct"/>
            <w:tcBorders>
              <w:top w:val="single" w:sz="4" w:space="0" w:color="auto"/>
              <w:bottom w:val="single" w:sz="4" w:space="0" w:color="auto"/>
            </w:tcBorders>
            <w:vAlign w:val="center"/>
          </w:tcPr>
          <w:p w:rsidR="00000000" w:rsidRDefault="00000000">
            <w:pPr>
              <w:spacing w:before="80" w:after="80"/>
              <w:jc w:val="center"/>
              <w:rPr>
                <w:b/>
                <w:bCs/>
                <w:i/>
                <w:iCs/>
                <w:sz w:val="20"/>
                <w:szCs w:val="20"/>
                <w:lang w:val="pt-BR"/>
              </w:rPr>
            </w:pPr>
            <w:r>
              <w:rPr>
                <w:b/>
                <w:bCs/>
                <w:i/>
                <w:iCs/>
                <w:sz w:val="20"/>
                <w:szCs w:val="20"/>
                <w:lang w:val="pt-BR"/>
              </w:rPr>
              <w:t>CDR</w:t>
            </w:r>
          </w:p>
        </w:tc>
        <w:tc>
          <w:tcPr>
            <w:tcW w:w="351" w:type="pct"/>
            <w:tcBorders>
              <w:top w:val="single" w:sz="4" w:space="0" w:color="auto"/>
              <w:bottom w:val="single" w:sz="4" w:space="0" w:color="auto"/>
            </w:tcBorders>
            <w:vAlign w:val="center"/>
          </w:tcPr>
          <w:p w:rsidR="00000000" w:rsidRDefault="00000000">
            <w:pPr>
              <w:spacing w:before="80" w:after="80"/>
              <w:jc w:val="center"/>
              <w:rPr>
                <w:b/>
                <w:bCs/>
                <w:i/>
                <w:iCs/>
                <w:sz w:val="20"/>
                <w:szCs w:val="20"/>
                <w:lang w:val="pt-BR"/>
              </w:rPr>
            </w:pPr>
            <w:r>
              <w:rPr>
                <w:b/>
                <w:bCs/>
                <w:i/>
                <w:iCs/>
                <w:sz w:val="20"/>
                <w:szCs w:val="20"/>
                <w:lang w:val="pt-BR"/>
              </w:rPr>
              <w:t>Rate</w:t>
            </w:r>
          </w:p>
        </w:tc>
      </w:tr>
      <w:tr w:rsidR="00000000">
        <w:tblPrEx>
          <w:tblCellMar>
            <w:top w:w="0" w:type="dxa"/>
            <w:bottom w:w="0" w:type="dxa"/>
          </w:tblCellMar>
        </w:tblPrEx>
        <w:trPr>
          <w:jc w:val="center"/>
        </w:trPr>
        <w:tc>
          <w:tcPr>
            <w:tcW w:w="714" w:type="pct"/>
            <w:tcBorders>
              <w:top w:val="single" w:sz="4" w:space="0" w:color="auto"/>
            </w:tcBorders>
          </w:tcPr>
          <w:p w:rsidR="00000000" w:rsidRDefault="00000000">
            <w:pPr>
              <w:spacing w:before="80" w:after="80"/>
              <w:ind w:right="170"/>
              <w:rPr>
                <w:sz w:val="20"/>
                <w:szCs w:val="20"/>
                <w:lang w:val="pt-BR"/>
              </w:rPr>
            </w:pPr>
            <w:r>
              <w:rPr>
                <w:sz w:val="20"/>
                <w:szCs w:val="20"/>
                <w:lang w:val="pt-BR"/>
              </w:rPr>
              <w:t>Concepción</w:t>
            </w:r>
          </w:p>
        </w:tc>
        <w:tc>
          <w:tcPr>
            <w:tcW w:w="448" w:type="pct"/>
            <w:tcBorders>
              <w:top w:val="single" w:sz="4" w:space="0" w:color="auto"/>
            </w:tcBorders>
          </w:tcPr>
          <w:p w:rsidR="00000000" w:rsidRDefault="00000000">
            <w:pPr>
              <w:spacing w:before="80" w:after="80"/>
              <w:ind w:right="170"/>
              <w:jc w:val="right"/>
              <w:rPr>
                <w:sz w:val="20"/>
                <w:szCs w:val="20"/>
                <w:lang w:val="pt-BR"/>
              </w:rPr>
            </w:pPr>
            <w:r>
              <w:rPr>
                <w:sz w:val="20"/>
                <w:szCs w:val="20"/>
                <w:lang w:val="pt-BR"/>
              </w:rPr>
              <w:t>1 874</w:t>
            </w:r>
          </w:p>
        </w:tc>
        <w:tc>
          <w:tcPr>
            <w:tcW w:w="354" w:type="pct"/>
            <w:tcBorders>
              <w:top w:val="single" w:sz="4" w:space="0" w:color="auto"/>
            </w:tcBorders>
          </w:tcPr>
          <w:p w:rsidR="00000000" w:rsidRDefault="00000000">
            <w:pPr>
              <w:spacing w:before="80" w:after="80"/>
              <w:ind w:right="170"/>
              <w:jc w:val="right"/>
              <w:rPr>
                <w:sz w:val="20"/>
                <w:szCs w:val="20"/>
                <w:lang w:val="pt-BR"/>
              </w:rPr>
            </w:pPr>
            <w:r>
              <w:rPr>
                <w:sz w:val="20"/>
                <w:szCs w:val="20"/>
                <w:lang w:val="pt-BR"/>
              </w:rPr>
              <w:t>60</w:t>
            </w:r>
          </w:p>
        </w:tc>
        <w:tc>
          <w:tcPr>
            <w:tcW w:w="355" w:type="pct"/>
            <w:tcBorders>
              <w:top w:val="single" w:sz="4" w:space="0" w:color="auto"/>
            </w:tcBorders>
          </w:tcPr>
          <w:p w:rsidR="00000000" w:rsidRDefault="00000000">
            <w:pPr>
              <w:spacing w:before="80" w:after="80"/>
              <w:ind w:right="170"/>
              <w:jc w:val="right"/>
              <w:rPr>
                <w:sz w:val="20"/>
                <w:szCs w:val="20"/>
                <w:lang w:val="pt-BR"/>
              </w:rPr>
            </w:pPr>
            <w:r>
              <w:rPr>
                <w:sz w:val="20"/>
                <w:szCs w:val="20"/>
                <w:lang w:val="pt-BR"/>
              </w:rPr>
              <w:t>32.5</w:t>
            </w:r>
          </w:p>
        </w:tc>
        <w:tc>
          <w:tcPr>
            <w:tcW w:w="417" w:type="pct"/>
            <w:tcBorders>
              <w:top w:val="single" w:sz="4" w:space="0" w:color="auto"/>
            </w:tcBorders>
          </w:tcPr>
          <w:p w:rsidR="00000000" w:rsidRDefault="00000000">
            <w:pPr>
              <w:spacing w:before="80" w:after="80"/>
              <w:ind w:right="170"/>
              <w:jc w:val="right"/>
              <w:rPr>
                <w:sz w:val="20"/>
                <w:szCs w:val="20"/>
                <w:lang w:val="pt-BR"/>
              </w:rPr>
            </w:pPr>
            <w:r>
              <w:rPr>
                <w:sz w:val="20"/>
                <w:szCs w:val="20"/>
                <w:lang w:val="pt-BR"/>
              </w:rPr>
              <w:t>1 830</w:t>
            </w:r>
          </w:p>
        </w:tc>
        <w:tc>
          <w:tcPr>
            <w:tcW w:w="292" w:type="pct"/>
            <w:tcBorders>
              <w:top w:val="single" w:sz="4" w:space="0" w:color="auto"/>
            </w:tcBorders>
          </w:tcPr>
          <w:p w:rsidR="00000000" w:rsidRDefault="00000000">
            <w:pPr>
              <w:spacing w:before="80" w:after="80"/>
              <w:ind w:right="170"/>
              <w:jc w:val="right"/>
              <w:rPr>
                <w:sz w:val="20"/>
                <w:szCs w:val="20"/>
                <w:lang w:val="pt-BR"/>
              </w:rPr>
            </w:pPr>
            <w:r>
              <w:rPr>
                <w:sz w:val="20"/>
                <w:szCs w:val="20"/>
                <w:lang w:val="pt-BR"/>
              </w:rPr>
              <w:t>48</w:t>
            </w:r>
          </w:p>
        </w:tc>
        <w:tc>
          <w:tcPr>
            <w:tcW w:w="331" w:type="pct"/>
            <w:tcBorders>
              <w:top w:val="single" w:sz="4" w:space="0" w:color="auto"/>
            </w:tcBorders>
          </w:tcPr>
          <w:p w:rsidR="00000000" w:rsidRDefault="00000000">
            <w:pPr>
              <w:spacing w:before="80" w:after="80"/>
              <w:ind w:right="170"/>
              <w:jc w:val="right"/>
              <w:rPr>
                <w:sz w:val="20"/>
                <w:szCs w:val="20"/>
                <w:lang w:val="pt-BR"/>
              </w:rPr>
            </w:pPr>
            <w:r>
              <w:rPr>
                <w:sz w:val="20"/>
                <w:szCs w:val="20"/>
                <w:lang w:val="pt-BR"/>
              </w:rPr>
              <w:t>26.2</w:t>
            </w:r>
          </w:p>
        </w:tc>
        <w:tc>
          <w:tcPr>
            <w:tcW w:w="344" w:type="pct"/>
            <w:tcBorders>
              <w:top w:val="single" w:sz="4" w:space="0" w:color="auto"/>
            </w:tcBorders>
          </w:tcPr>
          <w:p w:rsidR="00000000" w:rsidRDefault="00000000">
            <w:pPr>
              <w:spacing w:before="80" w:after="80"/>
              <w:ind w:right="170"/>
              <w:jc w:val="right"/>
              <w:rPr>
                <w:sz w:val="20"/>
                <w:szCs w:val="20"/>
                <w:lang w:val="pt-BR"/>
              </w:rPr>
            </w:pPr>
            <w:r>
              <w:rPr>
                <w:sz w:val="20"/>
                <w:szCs w:val="20"/>
                <w:lang w:val="pt-BR"/>
              </w:rPr>
              <w:t>0</w:t>
            </w:r>
          </w:p>
        </w:tc>
        <w:tc>
          <w:tcPr>
            <w:tcW w:w="292" w:type="pct"/>
            <w:tcBorders>
              <w:top w:val="single" w:sz="4" w:space="0" w:color="auto"/>
            </w:tcBorders>
          </w:tcPr>
          <w:p w:rsidR="00000000" w:rsidRDefault="00000000">
            <w:pPr>
              <w:spacing w:before="80" w:after="80"/>
              <w:ind w:right="170"/>
              <w:jc w:val="right"/>
              <w:rPr>
                <w:sz w:val="20"/>
                <w:lang w:val="pt-BR"/>
              </w:rPr>
            </w:pPr>
            <w:r>
              <w:rPr>
                <w:sz w:val="20"/>
                <w:szCs w:val="20"/>
                <w:lang w:val="pt-BR"/>
              </w:rPr>
              <w:t>0</w:t>
            </w:r>
          </w:p>
        </w:tc>
        <w:tc>
          <w:tcPr>
            <w:tcW w:w="331" w:type="pct"/>
            <w:tcBorders>
              <w:top w:val="single" w:sz="4" w:space="0" w:color="auto"/>
            </w:tcBorders>
          </w:tcPr>
          <w:p w:rsidR="00000000" w:rsidRDefault="00000000">
            <w:pPr>
              <w:spacing w:before="80" w:after="80"/>
              <w:ind w:right="170"/>
              <w:jc w:val="right"/>
              <w:rPr>
                <w:sz w:val="20"/>
                <w:szCs w:val="20"/>
                <w:lang w:val="pt-BR"/>
              </w:rPr>
            </w:pPr>
            <w:r>
              <w:rPr>
                <w:b/>
                <w:bCs/>
                <w:sz w:val="20"/>
                <w:szCs w:val="20"/>
                <w:vertAlign w:val="superscript"/>
                <w:lang w:val="pt-BR"/>
              </w:rPr>
              <w:t>*</w:t>
            </w:r>
          </w:p>
        </w:tc>
        <w:tc>
          <w:tcPr>
            <w:tcW w:w="417" w:type="pct"/>
            <w:tcBorders>
              <w:top w:val="single" w:sz="4" w:space="0" w:color="auto"/>
            </w:tcBorders>
          </w:tcPr>
          <w:p w:rsidR="00000000" w:rsidRDefault="00000000">
            <w:pPr>
              <w:spacing w:before="80" w:after="80"/>
              <w:ind w:right="170"/>
              <w:jc w:val="right"/>
              <w:rPr>
                <w:sz w:val="20"/>
                <w:szCs w:val="20"/>
                <w:lang w:val="pt-BR"/>
              </w:rPr>
            </w:pPr>
            <w:r>
              <w:rPr>
                <w:sz w:val="20"/>
                <w:szCs w:val="20"/>
                <w:lang w:val="pt-BR"/>
              </w:rPr>
              <w:t>3 677</w:t>
            </w:r>
          </w:p>
        </w:tc>
        <w:tc>
          <w:tcPr>
            <w:tcW w:w="354" w:type="pct"/>
            <w:tcBorders>
              <w:top w:val="single" w:sz="4" w:space="0" w:color="auto"/>
            </w:tcBorders>
          </w:tcPr>
          <w:p w:rsidR="00000000" w:rsidRDefault="00000000">
            <w:pPr>
              <w:spacing w:before="80" w:after="80"/>
              <w:ind w:right="170"/>
              <w:jc w:val="right"/>
              <w:rPr>
                <w:sz w:val="20"/>
                <w:szCs w:val="20"/>
                <w:lang w:val="pt-BR"/>
              </w:rPr>
            </w:pPr>
            <w:r>
              <w:rPr>
                <w:sz w:val="20"/>
                <w:szCs w:val="20"/>
                <w:lang w:val="pt-BR"/>
              </w:rPr>
              <w:t>108</w:t>
            </w:r>
          </w:p>
        </w:tc>
        <w:tc>
          <w:tcPr>
            <w:tcW w:w="351" w:type="pct"/>
            <w:tcBorders>
              <w:top w:val="single" w:sz="4" w:space="0" w:color="auto"/>
            </w:tcBorders>
          </w:tcPr>
          <w:p w:rsidR="00000000" w:rsidRDefault="00000000">
            <w:pPr>
              <w:spacing w:before="80" w:after="80"/>
              <w:ind w:right="170"/>
              <w:jc w:val="right"/>
              <w:rPr>
                <w:sz w:val="20"/>
                <w:szCs w:val="20"/>
                <w:lang w:val="pt-BR"/>
              </w:rPr>
            </w:pPr>
            <w:r>
              <w:rPr>
                <w:sz w:val="20"/>
                <w:szCs w:val="20"/>
                <w:lang w:val="pt-BR"/>
              </w:rPr>
              <w:t>29.4</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pt-BR"/>
              </w:rPr>
            </w:pPr>
            <w:r>
              <w:rPr>
                <w:sz w:val="20"/>
                <w:szCs w:val="20"/>
                <w:lang w:val="pt-BR"/>
              </w:rPr>
              <w:t>San Pedro</w:t>
            </w:r>
          </w:p>
        </w:tc>
        <w:tc>
          <w:tcPr>
            <w:tcW w:w="448" w:type="pct"/>
          </w:tcPr>
          <w:p w:rsidR="00000000" w:rsidRDefault="00000000">
            <w:pPr>
              <w:spacing w:before="80" w:after="80"/>
              <w:ind w:right="170"/>
              <w:jc w:val="right"/>
              <w:rPr>
                <w:sz w:val="20"/>
                <w:szCs w:val="20"/>
                <w:lang w:val="pt-BR"/>
              </w:rPr>
            </w:pPr>
            <w:r>
              <w:rPr>
                <w:sz w:val="20"/>
                <w:szCs w:val="20"/>
                <w:lang w:val="pt-BR"/>
              </w:rPr>
              <w:t>2 379</w:t>
            </w:r>
          </w:p>
        </w:tc>
        <w:tc>
          <w:tcPr>
            <w:tcW w:w="354" w:type="pct"/>
          </w:tcPr>
          <w:p w:rsidR="00000000" w:rsidRDefault="00000000">
            <w:pPr>
              <w:spacing w:before="80" w:after="80"/>
              <w:ind w:right="170"/>
              <w:jc w:val="right"/>
              <w:rPr>
                <w:sz w:val="20"/>
                <w:szCs w:val="20"/>
                <w:lang w:val="pt-BR"/>
              </w:rPr>
            </w:pPr>
            <w:r>
              <w:rPr>
                <w:sz w:val="20"/>
                <w:szCs w:val="20"/>
                <w:lang w:val="pt-BR"/>
              </w:rPr>
              <w:t>47</w:t>
            </w:r>
          </w:p>
        </w:tc>
        <w:tc>
          <w:tcPr>
            <w:tcW w:w="355" w:type="pct"/>
          </w:tcPr>
          <w:p w:rsidR="00000000" w:rsidRDefault="00000000">
            <w:pPr>
              <w:spacing w:before="80" w:after="80"/>
              <w:ind w:right="170"/>
              <w:jc w:val="right"/>
              <w:rPr>
                <w:sz w:val="20"/>
                <w:szCs w:val="20"/>
                <w:lang w:val="pt-BR"/>
              </w:rPr>
            </w:pPr>
            <w:r>
              <w:rPr>
                <w:sz w:val="20"/>
                <w:szCs w:val="20"/>
                <w:lang w:val="pt-BR"/>
              </w:rPr>
              <w:t>19.8</w:t>
            </w:r>
          </w:p>
        </w:tc>
        <w:tc>
          <w:tcPr>
            <w:tcW w:w="417" w:type="pct"/>
          </w:tcPr>
          <w:p w:rsidR="00000000" w:rsidRDefault="00000000">
            <w:pPr>
              <w:spacing w:before="80" w:after="80"/>
              <w:ind w:right="170"/>
              <w:jc w:val="right"/>
              <w:rPr>
                <w:sz w:val="20"/>
                <w:szCs w:val="20"/>
                <w:lang w:val="pt-BR"/>
              </w:rPr>
            </w:pPr>
            <w:r>
              <w:rPr>
                <w:sz w:val="20"/>
                <w:szCs w:val="20"/>
                <w:lang w:val="pt-BR"/>
              </w:rPr>
              <w:t>2 173</w:t>
            </w:r>
          </w:p>
        </w:tc>
        <w:tc>
          <w:tcPr>
            <w:tcW w:w="292" w:type="pct"/>
          </w:tcPr>
          <w:p w:rsidR="00000000" w:rsidRDefault="00000000">
            <w:pPr>
              <w:spacing w:before="80" w:after="80"/>
              <w:ind w:right="170"/>
              <w:jc w:val="right"/>
              <w:rPr>
                <w:sz w:val="20"/>
                <w:szCs w:val="20"/>
                <w:lang w:val="pt-BR"/>
              </w:rPr>
            </w:pPr>
            <w:r>
              <w:rPr>
                <w:sz w:val="20"/>
                <w:szCs w:val="20"/>
                <w:lang w:val="pt-BR"/>
              </w:rPr>
              <w:t>43</w:t>
            </w:r>
          </w:p>
        </w:tc>
        <w:tc>
          <w:tcPr>
            <w:tcW w:w="331" w:type="pct"/>
          </w:tcPr>
          <w:p w:rsidR="00000000" w:rsidRDefault="00000000">
            <w:pPr>
              <w:spacing w:before="80" w:after="80"/>
              <w:ind w:right="170"/>
              <w:jc w:val="right"/>
              <w:rPr>
                <w:sz w:val="20"/>
                <w:szCs w:val="20"/>
                <w:lang w:val="pt-BR"/>
              </w:rPr>
            </w:pPr>
            <w:r>
              <w:rPr>
                <w:sz w:val="20"/>
                <w:szCs w:val="20"/>
                <w:lang w:val="pt-BR"/>
              </w:rPr>
              <w:t>19.8</w:t>
            </w:r>
          </w:p>
        </w:tc>
        <w:tc>
          <w:tcPr>
            <w:tcW w:w="344" w:type="pct"/>
          </w:tcPr>
          <w:p w:rsidR="00000000" w:rsidRDefault="00000000">
            <w:pPr>
              <w:spacing w:before="80" w:after="80"/>
              <w:ind w:right="170"/>
              <w:jc w:val="right"/>
              <w:rPr>
                <w:sz w:val="20"/>
                <w:szCs w:val="20"/>
                <w:lang w:val="pt-BR"/>
              </w:rPr>
            </w:pPr>
            <w:r>
              <w:rPr>
                <w:sz w:val="20"/>
                <w:szCs w:val="20"/>
                <w:lang w:val="pt-BR"/>
              </w:rPr>
              <w:t>0</w:t>
            </w:r>
          </w:p>
        </w:tc>
        <w:tc>
          <w:tcPr>
            <w:tcW w:w="292" w:type="pct"/>
          </w:tcPr>
          <w:p w:rsidR="00000000" w:rsidRDefault="00000000">
            <w:pPr>
              <w:spacing w:before="80" w:after="80"/>
              <w:ind w:right="170"/>
              <w:jc w:val="right"/>
              <w:rPr>
                <w:sz w:val="20"/>
                <w:lang w:val="pt-BR"/>
              </w:rPr>
            </w:pPr>
            <w:r>
              <w:rPr>
                <w:sz w:val="20"/>
                <w:szCs w:val="20"/>
                <w:lang w:val="pt-BR"/>
              </w:rPr>
              <w:t>0</w:t>
            </w:r>
          </w:p>
        </w:tc>
        <w:tc>
          <w:tcPr>
            <w:tcW w:w="331" w:type="pct"/>
          </w:tcPr>
          <w:p w:rsidR="00000000" w:rsidRDefault="00000000">
            <w:pPr>
              <w:spacing w:before="80" w:after="80"/>
              <w:ind w:right="170"/>
              <w:jc w:val="right"/>
              <w:rPr>
                <w:sz w:val="20"/>
                <w:szCs w:val="20"/>
                <w:lang w:val="pt-BR"/>
              </w:rPr>
            </w:pPr>
            <w:r>
              <w:rPr>
                <w:sz w:val="20"/>
                <w:szCs w:val="20"/>
                <w:lang w:val="pt-BR"/>
              </w:rPr>
              <w:t>N</w:t>
            </w:r>
          </w:p>
        </w:tc>
        <w:tc>
          <w:tcPr>
            <w:tcW w:w="417" w:type="pct"/>
          </w:tcPr>
          <w:p w:rsidR="00000000" w:rsidRDefault="00000000">
            <w:pPr>
              <w:spacing w:before="80" w:after="80"/>
              <w:ind w:right="170"/>
              <w:jc w:val="right"/>
              <w:rPr>
                <w:sz w:val="20"/>
                <w:szCs w:val="20"/>
                <w:lang w:val="pt-BR"/>
              </w:rPr>
            </w:pPr>
            <w:r>
              <w:rPr>
                <w:sz w:val="20"/>
                <w:szCs w:val="20"/>
                <w:lang w:val="pt-BR"/>
              </w:rPr>
              <w:t>4 552</w:t>
            </w:r>
          </w:p>
        </w:tc>
        <w:tc>
          <w:tcPr>
            <w:tcW w:w="354" w:type="pct"/>
          </w:tcPr>
          <w:p w:rsidR="00000000" w:rsidRDefault="00000000">
            <w:pPr>
              <w:spacing w:before="80" w:after="80"/>
              <w:ind w:right="170"/>
              <w:jc w:val="right"/>
              <w:rPr>
                <w:sz w:val="20"/>
                <w:szCs w:val="20"/>
                <w:lang w:val="pt-BR"/>
              </w:rPr>
            </w:pPr>
            <w:r>
              <w:rPr>
                <w:sz w:val="20"/>
                <w:szCs w:val="20"/>
                <w:lang w:val="pt-BR"/>
              </w:rPr>
              <w:t>90</w:t>
            </w:r>
          </w:p>
        </w:tc>
        <w:tc>
          <w:tcPr>
            <w:tcW w:w="351" w:type="pct"/>
          </w:tcPr>
          <w:p w:rsidR="00000000" w:rsidRDefault="00000000">
            <w:pPr>
              <w:spacing w:before="80" w:after="80"/>
              <w:ind w:right="170"/>
              <w:jc w:val="right"/>
              <w:rPr>
                <w:sz w:val="20"/>
                <w:szCs w:val="20"/>
                <w:lang w:val="pt-BR"/>
              </w:rPr>
            </w:pPr>
            <w:r>
              <w:rPr>
                <w:sz w:val="20"/>
                <w:szCs w:val="20"/>
                <w:lang w:val="pt-BR"/>
              </w:rPr>
              <w:t>19.8</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pt-BR"/>
              </w:rPr>
            </w:pPr>
            <w:r>
              <w:rPr>
                <w:sz w:val="20"/>
                <w:szCs w:val="20"/>
                <w:lang w:val="pt-BR"/>
              </w:rPr>
              <w:t>Cordillera</w:t>
            </w:r>
          </w:p>
        </w:tc>
        <w:tc>
          <w:tcPr>
            <w:tcW w:w="448" w:type="pct"/>
          </w:tcPr>
          <w:p w:rsidR="00000000" w:rsidRDefault="00000000">
            <w:pPr>
              <w:spacing w:before="80" w:after="80"/>
              <w:ind w:right="170"/>
              <w:jc w:val="right"/>
              <w:rPr>
                <w:sz w:val="20"/>
                <w:szCs w:val="20"/>
                <w:lang w:val="pt-BR"/>
              </w:rPr>
            </w:pPr>
            <w:r>
              <w:rPr>
                <w:sz w:val="20"/>
                <w:szCs w:val="20"/>
                <w:lang w:val="pt-BR"/>
              </w:rPr>
              <w:t>2 230</w:t>
            </w:r>
          </w:p>
        </w:tc>
        <w:tc>
          <w:tcPr>
            <w:tcW w:w="354" w:type="pct"/>
          </w:tcPr>
          <w:p w:rsidR="00000000" w:rsidRDefault="00000000">
            <w:pPr>
              <w:spacing w:before="80" w:after="80"/>
              <w:ind w:right="170"/>
              <w:jc w:val="right"/>
              <w:rPr>
                <w:sz w:val="20"/>
                <w:szCs w:val="20"/>
                <w:lang w:val="pt-BR"/>
              </w:rPr>
            </w:pPr>
            <w:r>
              <w:rPr>
                <w:sz w:val="20"/>
                <w:szCs w:val="20"/>
                <w:lang w:val="pt-BR"/>
              </w:rPr>
              <w:t>55</w:t>
            </w:r>
          </w:p>
        </w:tc>
        <w:tc>
          <w:tcPr>
            <w:tcW w:w="355" w:type="pct"/>
          </w:tcPr>
          <w:p w:rsidR="00000000" w:rsidRDefault="00000000">
            <w:pPr>
              <w:spacing w:before="80" w:after="80"/>
              <w:ind w:right="170"/>
              <w:jc w:val="right"/>
              <w:rPr>
                <w:sz w:val="20"/>
                <w:szCs w:val="20"/>
                <w:lang w:val="pt-BR"/>
              </w:rPr>
            </w:pPr>
            <w:r>
              <w:rPr>
                <w:sz w:val="20"/>
                <w:szCs w:val="20"/>
                <w:lang w:val="pt-BR"/>
              </w:rPr>
              <w:t>24.7</w:t>
            </w:r>
          </w:p>
        </w:tc>
        <w:tc>
          <w:tcPr>
            <w:tcW w:w="417" w:type="pct"/>
          </w:tcPr>
          <w:p w:rsidR="00000000" w:rsidRDefault="00000000">
            <w:pPr>
              <w:spacing w:before="80" w:after="80"/>
              <w:ind w:right="170"/>
              <w:jc w:val="right"/>
              <w:rPr>
                <w:sz w:val="20"/>
                <w:szCs w:val="20"/>
                <w:lang w:val="pt-BR"/>
              </w:rPr>
            </w:pPr>
            <w:r>
              <w:rPr>
                <w:sz w:val="20"/>
                <w:szCs w:val="20"/>
                <w:lang w:val="pt-BR"/>
              </w:rPr>
              <w:t>2 247</w:t>
            </w:r>
          </w:p>
        </w:tc>
        <w:tc>
          <w:tcPr>
            <w:tcW w:w="292" w:type="pct"/>
          </w:tcPr>
          <w:p w:rsidR="00000000" w:rsidRDefault="00000000">
            <w:pPr>
              <w:spacing w:before="80" w:after="80"/>
              <w:ind w:right="170"/>
              <w:jc w:val="right"/>
              <w:rPr>
                <w:sz w:val="20"/>
                <w:szCs w:val="20"/>
                <w:lang w:val="pt-BR"/>
              </w:rPr>
            </w:pPr>
            <w:r>
              <w:rPr>
                <w:sz w:val="20"/>
                <w:szCs w:val="20"/>
                <w:lang w:val="pt-BR"/>
              </w:rPr>
              <w:t>38</w:t>
            </w:r>
          </w:p>
        </w:tc>
        <w:tc>
          <w:tcPr>
            <w:tcW w:w="331" w:type="pct"/>
          </w:tcPr>
          <w:p w:rsidR="00000000" w:rsidRDefault="00000000">
            <w:pPr>
              <w:spacing w:before="80" w:after="80"/>
              <w:ind w:right="170"/>
              <w:jc w:val="right"/>
              <w:rPr>
                <w:sz w:val="20"/>
                <w:szCs w:val="20"/>
                <w:lang w:val="pt-BR"/>
              </w:rPr>
            </w:pPr>
            <w:r>
              <w:rPr>
                <w:sz w:val="20"/>
                <w:szCs w:val="20"/>
                <w:lang w:val="pt-BR"/>
              </w:rPr>
              <w:t>18.9</w:t>
            </w:r>
          </w:p>
        </w:tc>
        <w:tc>
          <w:tcPr>
            <w:tcW w:w="344" w:type="pct"/>
          </w:tcPr>
          <w:p w:rsidR="00000000" w:rsidRDefault="00000000">
            <w:pPr>
              <w:spacing w:before="80" w:after="80"/>
              <w:ind w:right="170"/>
              <w:jc w:val="right"/>
              <w:rPr>
                <w:sz w:val="20"/>
                <w:szCs w:val="20"/>
                <w:lang w:val="pt-BR"/>
              </w:rPr>
            </w:pPr>
            <w:r>
              <w:rPr>
                <w:sz w:val="20"/>
                <w:szCs w:val="20"/>
                <w:lang w:val="pt-BR"/>
              </w:rPr>
              <w:t>1</w:t>
            </w:r>
          </w:p>
        </w:tc>
        <w:tc>
          <w:tcPr>
            <w:tcW w:w="292" w:type="pct"/>
          </w:tcPr>
          <w:p w:rsidR="00000000" w:rsidRDefault="00000000">
            <w:pPr>
              <w:spacing w:before="80" w:after="80"/>
              <w:ind w:right="170"/>
              <w:jc w:val="right"/>
              <w:rPr>
                <w:sz w:val="20"/>
                <w:lang w:val="pt-BR"/>
              </w:rPr>
            </w:pPr>
            <w:r>
              <w:rPr>
                <w:sz w:val="20"/>
                <w:szCs w:val="20"/>
                <w:lang w:val="pt-BR"/>
              </w:rPr>
              <w:t>0</w:t>
            </w:r>
          </w:p>
        </w:tc>
        <w:tc>
          <w:tcPr>
            <w:tcW w:w="331" w:type="pct"/>
          </w:tcPr>
          <w:p w:rsidR="00000000" w:rsidRDefault="00000000">
            <w:pPr>
              <w:spacing w:before="80" w:after="80"/>
              <w:ind w:right="170"/>
              <w:jc w:val="right"/>
              <w:rPr>
                <w:sz w:val="20"/>
                <w:szCs w:val="20"/>
                <w:lang w:val="pt-BR"/>
              </w:rPr>
            </w:pPr>
            <w:r>
              <w:rPr>
                <w:sz w:val="20"/>
                <w:szCs w:val="20"/>
                <w:lang w:val="pt-BR"/>
              </w:rPr>
              <w:t>O</w:t>
            </w:r>
          </w:p>
        </w:tc>
        <w:tc>
          <w:tcPr>
            <w:tcW w:w="417" w:type="pct"/>
          </w:tcPr>
          <w:p w:rsidR="00000000" w:rsidRDefault="00000000">
            <w:pPr>
              <w:spacing w:before="80" w:after="80"/>
              <w:ind w:right="170"/>
              <w:jc w:val="right"/>
              <w:rPr>
                <w:sz w:val="20"/>
                <w:szCs w:val="20"/>
                <w:lang w:val="pt-BR"/>
              </w:rPr>
            </w:pPr>
            <w:r>
              <w:rPr>
                <w:sz w:val="20"/>
                <w:szCs w:val="20"/>
                <w:lang w:val="pt-BR"/>
              </w:rPr>
              <w:t>4 478</w:t>
            </w:r>
          </w:p>
        </w:tc>
        <w:tc>
          <w:tcPr>
            <w:tcW w:w="354" w:type="pct"/>
          </w:tcPr>
          <w:p w:rsidR="00000000" w:rsidRDefault="00000000">
            <w:pPr>
              <w:spacing w:before="80" w:after="80"/>
              <w:ind w:right="170"/>
              <w:jc w:val="right"/>
              <w:rPr>
                <w:sz w:val="20"/>
                <w:szCs w:val="20"/>
                <w:lang w:val="pt-BR"/>
              </w:rPr>
            </w:pPr>
            <w:r>
              <w:rPr>
                <w:sz w:val="20"/>
                <w:szCs w:val="20"/>
                <w:lang w:val="pt-BR"/>
              </w:rPr>
              <w:t>93</w:t>
            </w:r>
          </w:p>
        </w:tc>
        <w:tc>
          <w:tcPr>
            <w:tcW w:w="351" w:type="pct"/>
          </w:tcPr>
          <w:p w:rsidR="00000000" w:rsidRDefault="00000000">
            <w:pPr>
              <w:spacing w:before="80" w:after="80"/>
              <w:ind w:right="170"/>
              <w:jc w:val="right"/>
              <w:rPr>
                <w:sz w:val="20"/>
                <w:szCs w:val="20"/>
                <w:lang w:val="pt-BR"/>
              </w:rPr>
            </w:pPr>
            <w:r>
              <w:rPr>
                <w:sz w:val="20"/>
                <w:szCs w:val="20"/>
                <w:lang w:val="pt-BR"/>
              </w:rPr>
              <w:t>20.8</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pt-BR"/>
              </w:rPr>
            </w:pPr>
            <w:r>
              <w:rPr>
                <w:sz w:val="20"/>
                <w:szCs w:val="20"/>
                <w:lang w:val="pt-BR"/>
              </w:rPr>
              <w:t>Guairá</w:t>
            </w:r>
          </w:p>
        </w:tc>
        <w:tc>
          <w:tcPr>
            <w:tcW w:w="448" w:type="pct"/>
          </w:tcPr>
          <w:p w:rsidR="00000000" w:rsidRDefault="00000000">
            <w:pPr>
              <w:spacing w:before="80" w:after="80"/>
              <w:ind w:right="170"/>
              <w:jc w:val="right"/>
              <w:rPr>
                <w:sz w:val="20"/>
                <w:szCs w:val="20"/>
                <w:lang w:val="pt-BR"/>
              </w:rPr>
            </w:pPr>
            <w:r>
              <w:rPr>
                <w:sz w:val="20"/>
                <w:szCs w:val="20"/>
                <w:lang w:val="pt-BR"/>
              </w:rPr>
              <w:t>1 595</w:t>
            </w:r>
          </w:p>
        </w:tc>
        <w:tc>
          <w:tcPr>
            <w:tcW w:w="354" w:type="pct"/>
          </w:tcPr>
          <w:p w:rsidR="00000000" w:rsidRDefault="00000000">
            <w:pPr>
              <w:spacing w:before="80" w:after="80"/>
              <w:ind w:right="170"/>
              <w:jc w:val="right"/>
              <w:rPr>
                <w:sz w:val="20"/>
                <w:szCs w:val="20"/>
                <w:lang w:val="pt-BR"/>
              </w:rPr>
            </w:pPr>
            <w:r>
              <w:rPr>
                <w:sz w:val="20"/>
                <w:szCs w:val="20"/>
                <w:lang w:val="pt-BR"/>
              </w:rPr>
              <w:t>55</w:t>
            </w:r>
          </w:p>
        </w:tc>
        <w:tc>
          <w:tcPr>
            <w:tcW w:w="355" w:type="pct"/>
          </w:tcPr>
          <w:p w:rsidR="00000000" w:rsidRDefault="00000000">
            <w:pPr>
              <w:spacing w:before="80" w:after="80"/>
              <w:ind w:right="170"/>
              <w:jc w:val="right"/>
              <w:rPr>
                <w:sz w:val="20"/>
                <w:szCs w:val="20"/>
                <w:lang w:val="pt-BR"/>
              </w:rPr>
            </w:pPr>
            <w:r>
              <w:rPr>
                <w:sz w:val="20"/>
                <w:szCs w:val="20"/>
                <w:lang w:val="pt-BR"/>
              </w:rPr>
              <w:t>34.5</w:t>
            </w:r>
          </w:p>
        </w:tc>
        <w:tc>
          <w:tcPr>
            <w:tcW w:w="417" w:type="pct"/>
          </w:tcPr>
          <w:p w:rsidR="00000000" w:rsidRDefault="00000000">
            <w:pPr>
              <w:spacing w:before="80" w:after="80"/>
              <w:ind w:right="170"/>
              <w:jc w:val="right"/>
              <w:rPr>
                <w:sz w:val="20"/>
                <w:szCs w:val="20"/>
                <w:lang w:val="pt-BR"/>
              </w:rPr>
            </w:pPr>
            <w:r>
              <w:rPr>
                <w:sz w:val="20"/>
                <w:szCs w:val="20"/>
                <w:lang w:val="pt-BR"/>
              </w:rPr>
              <w:t>1 616</w:t>
            </w:r>
          </w:p>
        </w:tc>
        <w:tc>
          <w:tcPr>
            <w:tcW w:w="292" w:type="pct"/>
          </w:tcPr>
          <w:p w:rsidR="00000000" w:rsidRDefault="00000000">
            <w:pPr>
              <w:spacing w:before="80" w:after="80"/>
              <w:ind w:right="170"/>
              <w:jc w:val="right"/>
              <w:rPr>
                <w:sz w:val="20"/>
                <w:szCs w:val="20"/>
                <w:lang w:val="pt-BR"/>
              </w:rPr>
            </w:pPr>
            <w:r>
              <w:rPr>
                <w:sz w:val="20"/>
                <w:szCs w:val="20"/>
                <w:lang w:val="pt-BR"/>
              </w:rPr>
              <w:t>40</w:t>
            </w:r>
          </w:p>
        </w:tc>
        <w:tc>
          <w:tcPr>
            <w:tcW w:w="331" w:type="pct"/>
          </w:tcPr>
          <w:p w:rsidR="00000000" w:rsidRDefault="00000000">
            <w:pPr>
              <w:spacing w:before="80" w:after="80"/>
              <w:ind w:right="170"/>
              <w:jc w:val="right"/>
              <w:rPr>
                <w:sz w:val="20"/>
                <w:szCs w:val="20"/>
                <w:lang w:val="pt-BR"/>
              </w:rPr>
            </w:pPr>
            <w:r>
              <w:rPr>
                <w:sz w:val="20"/>
                <w:szCs w:val="20"/>
                <w:lang w:val="pt-BR"/>
              </w:rPr>
              <w:t>24.8</w:t>
            </w:r>
          </w:p>
        </w:tc>
        <w:tc>
          <w:tcPr>
            <w:tcW w:w="344" w:type="pct"/>
          </w:tcPr>
          <w:p w:rsidR="00000000" w:rsidRDefault="00000000">
            <w:pPr>
              <w:spacing w:before="80" w:after="80"/>
              <w:ind w:right="170"/>
              <w:jc w:val="right"/>
              <w:rPr>
                <w:sz w:val="20"/>
                <w:szCs w:val="20"/>
                <w:lang w:val="pt-BR"/>
              </w:rPr>
            </w:pPr>
            <w:r>
              <w:rPr>
                <w:sz w:val="20"/>
                <w:szCs w:val="20"/>
                <w:lang w:val="pt-BR"/>
              </w:rPr>
              <w:t>0</w:t>
            </w:r>
          </w:p>
        </w:tc>
        <w:tc>
          <w:tcPr>
            <w:tcW w:w="292" w:type="pct"/>
          </w:tcPr>
          <w:p w:rsidR="00000000" w:rsidRDefault="00000000">
            <w:pPr>
              <w:spacing w:before="80" w:after="80"/>
              <w:ind w:right="170"/>
              <w:jc w:val="right"/>
              <w:rPr>
                <w:sz w:val="20"/>
                <w:lang w:val="pt-BR"/>
              </w:rPr>
            </w:pPr>
            <w:r>
              <w:rPr>
                <w:sz w:val="20"/>
                <w:szCs w:val="20"/>
                <w:lang w:val="pt-BR"/>
              </w:rPr>
              <w:t>0</w:t>
            </w:r>
          </w:p>
        </w:tc>
        <w:tc>
          <w:tcPr>
            <w:tcW w:w="331" w:type="pct"/>
          </w:tcPr>
          <w:p w:rsidR="00000000" w:rsidRDefault="00000000">
            <w:pPr>
              <w:spacing w:before="80" w:after="80"/>
              <w:ind w:right="170"/>
              <w:jc w:val="right"/>
              <w:rPr>
                <w:sz w:val="20"/>
                <w:lang w:val="pt-BR"/>
              </w:rPr>
            </w:pPr>
            <w:r>
              <w:rPr>
                <w:b/>
                <w:bCs/>
                <w:sz w:val="20"/>
                <w:szCs w:val="20"/>
                <w:vertAlign w:val="superscript"/>
                <w:lang w:val="pt-BR"/>
              </w:rPr>
              <w:t>*</w:t>
            </w:r>
          </w:p>
        </w:tc>
        <w:tc>
          <w:tcPr>
            <w:tcW w:w="417" w:type="pct"/>
          </w:tcPr>
          <w:p w:rsidR="00000000" w:rsidRDefault="00000000">
            <w:pPr>
              <w:spacing w:before="80" w:after="80"/>
              <w:ind w:right="170"/>
              <w:jc w:val="right"/>
              <w:rPr>
                <w:sz w:val="20"/>
                <w:szCs w:val="20"/>
                <w:lang w:val="pt-BR"/>
              </w:rPr>
            </w:pPr>
            <w:r>
              <w:rPr>
                <w:sz w:val="20"/>
                <w:szCs w:val="20"/>
                <w:lang w:val="pt-BR"/>
              </w:rPr>
              <w:t>3 211</w:t>
            </w:r>
          </w:p>
        </w:tc>
        <w:tc>
          <w:tcPr>
            <w:tcW w:w="354" w:type="pct"/>
          </w:tcPr>
          <w:p w:rsidR="00000000" w:rsidRDefault="00000000">
            <w:pPr>
              <w:spacing w:before="80" w:after="80"/>
              <w:ind w:right="170"/>
              <w:jc w:val="right"/>
              <w:rPr>
                <w:sz w:val="20"/>
                <w:szCs w:val="20"/>
                <w:lang w:val="pt-BR"/>
              </w:rPr>
            </w:pPr>
            <w:r>
              <w:rPr>
                <w:sz w:val="20"/>
                <w:szCs w:val="20"/>
                <w:lang w:val="pt-BR"/>
              </w:rPr>
              <w:t>95</w:t>
            </w:r>
          </w:p>
        </w:tc>
        <w:tc>
          <w:tcPr>
            <w:tcW w:w="351" w:type="pct"/>
          </w:tcPr>
          <w:p w:rsidR="00000000" w:rsidRDefault="00000000">
            <w:pPr>
              <w:spacing w:before="80" w:after="80"/>
              <w:ind w:right="170"/>
              <w:jc w:val="right"/>
              <w:rPr>
                <w:sz w:val="20"/>
                <w:szCs w:val="20"/>
                <w:lang w:val="pt-BR"/>
              </w:rPr>
            </w:pPr>
            <w:r>
              <w:rPr>
                <w:sz w:val="20"/>
                <w:szCs w:val="20"/>
                <w:lang w:val="pt-BR"/>
              </w:rPr>
              <w:t>29.6</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pt-BR"/>
              </w:rPr>
            </w:pPr>
            <w:r>
              <w:rPr>
                <w:sz w:val="20"/>
                <w:szCs w:val="20"/>
                <w:lang w:val="pt-BR"/>
              </w:rPr>
              <w:t>Caaguazú</w:t>
            </w:r>
          </w:p>
        </w:tc>
        <w:tc>
          <w:tcPr>
            <w:tcW w:w="448" w:type="pct"/>
          </w:tcPr>
          <w:p w:rsidR="00000000" w:rsidRDefault="00000000">
            <w:pPr>
              <w:spacing w:before="80" w:after="80"/>
              <w:ind w:right="170"/>
              <w:jc w:val="right"/>
              <w:rPr>
                <w:sz w:val="20"/>
                <w:szCs w:val="20"/>
                <w:lang w:val="pt-BR"/>
              </w:rPr>
            </w:pPr>
            <w:r>
              <w:rPr>
                <w:sz w:val="20"/>
                <w:szCs w:val="20"/>
                <w:lang w:val="pt-BR"/>
              </w:rPr>
              <w:t>3 178</w:t>
            </w:r>
          </w:p>
        </w:tc>
        <w:tc>
          <w:tcPr>
            <w:tcW w:w="354" w:type="pct"/>
          </w:tcPr>
          <w:p w:rsidR="00000000" w:rsidRDefault="00000000">
            <w:pPr>
              <w:spacing w:before="80" w:after="80"/>
              <w:ind w:right="170"/>
              <w:jc w:val="right"/>
              <w:rPr>
                <w:sz w:val="20"/>
                <w:szCs w:val="20"/>
                <w:lang w:val="pt-BR"/>
              </w:rPr>
            </w:pPr>
            <w:r>
              <w:rPr>
                <w:sz w:val="20"/>
                <w:szCs w:val="20"/>
                <w:lang w:val="pt-BR"/>
              </w:rPr>
              <w:t>44</w:t>
            </w:r>
          </w:p>
        </w:tc>
        <w:tc>
          <w:tcPr>
            <w:tcW w:w="355" w:type="pct"/>
          </w:tcPr>
          <w:p w:rsidR="00000000" w:rsidRDefault="00000000">
            <w:pPr>
              <w:spacing w:before="80" w:after="80"/>
              <w:ind w:right="170"/>
              <w:jc w:val="right"/>
              <w:rPr>
                <w:sz w:val="20"/>
                <w:szCs w:val="20"/>
                <w:lang w:val="pt-BR"/>
              </w:rPr>
            </w:pPr>
            <w:r>
              <w:rPr>
                <w:sz w:val="20"/>
                <w:szCs w:val="20"/>
                <w:lang w:val="pt-BR"/>
              </w:rPr>
              <w:t>13.8</w:t>
            </w:r>
          </w:p>
        </w:tc>
        <w:tc>
          <w:tcPr>
            <w:tcW w:w="417" w:type="pct"/>
          </w:tcPr>
          <w:p w:rsidR="00000000" w:rsidRDefault="00000000">
            <w:pPr>
              <w:spacing w:before="80" w:after="80"/>
              <w:ind w:right="170"/>
              <w:jc w:val="right"/>
              <w:rPr>
                <w:sz w:val="20"/>
                <w:szCs w:val="20"/>
                <w:lang w:val="pt-BR"/>
              </w:rPr>
            </w:pPr>
            <w:r>
              <w:rPr>
                <w:sz w:val="20"/>
                <w:szCs w:val="20"/>
                <w:lang w:val="pt-BR"/>
              </w:rPr>
              <w:t>3 108</w:t>
            </w:r>
          </w:p>
        </w:tc>
        <w:tc>
          <w:tcPr>
            <w:tcW w:w="292" w:type="pct"/>
          </w:tcPr>
          <w:p w:rsidR="00000000" w:rsidRDefault="00000000">
            <w:pPr>
              <w:spacing w:before="80" w:after="80"/>
              <w:ind w:right="170"/>
              <w:jc w:val="right"/>
              <w:rPr>
                <w:sz w:val="20"/>
                <w:szCs w:val="20"/>
                <w:lang w:val="pt-BR"/>
              </w:rPr>
            </w:pPr>
            <w:r>
              <w:rPr>
                <w:sz w:val="20"/>
                <w:szCs w:val="20"/>
                <w:lang w:val="pt-BR"/>
              </w:rPr>
              <w:t>43</w:t>
            </w:r>
          </w:p>
        </w:tc>
        <w:tc>
          <w:tcPr>
            <w:tcW w:w="331" w:type="pct"/>
          </w:tcPr>
          <w:p w:rsidR="00000000" w:rsidRDefault="00000000">
            <w:pPr>
              <w:spacing w:before="80" w:after="80"/>
              <w:ind w:right="170"/>
              <w:jc w:val="right"/>
              <w:rPr>
                <w:sz w:val="20"/>
                <w:szCs w:val="20"/>
                <w:lang w:val="pt-BR"/>
              </w:rPr>
            </w:pPr>
            <w:r>
              <w:rPr>
                <w:sz w:val="20"/>
                <w:szCs w:val="20"/>
                <w:lang w:val="pt-BR"/>
              </w:rPr>
              <w:t>13.8</w:t>
            </w:r>
          </w:p>
        </w:tc>
        <w:tc>
          <w:tcPr>
            <w:tcW w:w="344" w:type="pct"/>
          </w:tcPr>
          <w:p w:rsidR="00000000" w:rsidRDefault="00000000">
            <w:pPr>
              <w:spacing w:before="80" w:after="80"/>
              <w:ind w:right="170"/>
              <w:jc w:val="right"/>
              <w:rPr>
                <w:sz w:val="20"/>
                <w:szCs w:val="20"/>
                <w:lang w:val="pt-BR"/>
              </w:rPr>
            </w:pPr>
            <w:r>
              <w:rPr>
                <w:sz w:val="20"/>
                <w:szCs w:val="20"/>
                <w:lang w:val="pt-BR"/>
              </w:rPr>
              <w:t>1</w:t>
            </w:r>
          </w:p>
        </w:tc>
        <w:tc>
          <w:tcPr>
            <w:tcW w:w="292" w:type="pct"/>
          </w:tcPr>
          <w:p w:rsidR="00000000" w:rsidRDefault="00000000">
            <w:pPr>
              <w:spacing w:before="80" w:after="80"/>
              <w:ind w:right="170"/>
              <w:jc w:val="right"/>
              <w:rPr>
                <w:sz w:val="20"/>
                <w:lang w:val="pt-BR"/>
              </w:rPr>
            </w:pPr>
            <w:r>
              <w:rPr>
                <w:sz w:val="20"/>
                <w:szCs w:val="20"/>
                <w:lang w:val="pt-BR"/>
              </w:rPr>
              <w:t>0</w:t>
            </w:r>
          </w:p>
        </w:tc>
        <w:tc>
          <w:tcPr>
            <w:tcW w:w="331" w:type="pct"/>
          </w:tcPr>
          <w:p w:rsidR="00000000" w:rsidRDefault="00000000">
            <w:pPr>
              <w:spacing w:before="80" w:after="80"/>
              <w:ind w:right="170"/>
              <w:jc w:val="right"/>
              <w:rPr>
                <w:sz w:val="20"/>
                <w:lang w:val="pt-BR"/>
              </w:rPr>
            </w:pPr>
            <w:r>
              <w:rPr>
                <w:b/>
                <w:bCs/>
                <w:sz w:val="20"/>
                <w:szCs w:val="20"/>
                <w:vertAlign w:val="superscript"/>
                <w:lang w:val="pt-BR"/>
              </w:rPr>
              <w:t>*</w:t>
            </w:r>
          </w:p>
        </w:tc>
        <w:tc>
          <w:tcPr>
            <w:tcW w:w="417" w:type="pct"/>
          </w:tcPr>
          <w:p w:rsidR="00000000" w:rsidRDefault="00000000">
            <w:pPr>
              <w:spacing w:before="80" w:after="80"/>
              <w:ind w:right="170"/>
              <w:jc w:val="right"/>
              <w:rPr>
                <w:sz w:val="20"/>
                <w:szCs w:val="20"/>
                <w:lang w:val="pt-BR"/>
              </w:rPr>
            </w:pPr>
            <w:r>
              <w:rPr>
                <w:sz w:val="20"/>
                <w:szCs w:val="20"/>
                <w:lang w:val="pt-BR"/>
              </w:rPr>
              <w:t>6 287</w:t>
            </w:r>
          </w:p>
        </w:tc>
        <w:tc>
          <w:tcPr>
            <w:tcW w:w="354" w:type="pct"/>
          </w:tcPr>
          <w:p w:rsidR="00000000" w:rsidRDefault="00000000">
            <w:pPr>
              <w:spacing w:before="80" w:after="80"/>
              <w:ind w:right="170"/>
              <w:jc w:val="right"/>
              <w:rPr>
                <w:sz w:val="20"/>
                <w:szCs w:val="20"/>
                <w:lang w:val="pt-BR"/>
              </w:rPr>
            </w:pPr>
            <w:r>
              <w:rPr>
                <w:sz w:val="20"/>
                <w:szCs w:val="20"/>
                <w:lang w:val="pt-BR"/>
              </w:rPr>
              <w:t>87</w:t>
            </w:r>
          </w:p>
        </w:tc>
        <w:tc>
          <w:tcPr>
            <w:tcW w:w="351" w:type="pct"/>
          </w:tcPr>
          <w:p w:rsidR="00000000" w:rsidRDefault="00000000">
            <w:pPr>
              <w:spacing w:before="80" w:after="80"/>
              <w:ind w:right="170"/>
              <w:jc w:val="right"/>
              <w:rPr>
                <w:sz w:val="20"/>
                <w:szCs w:val="20"/>
                <w:lang w:val="pt-BR"/>
              </w:rPr>
            </w:pPr>
            <w:r>
              <w:rPr>
                <w:sz w:val="20"/>
                <w:szCs w:val="20"/>
                <w:lang w:val="pt-BR"/>
              </w:rPr>
              <w:t>13.8</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pt-BR"/>
              </w:rPr>
            </w:pPr>
            <w:r>
              <w:rPr>
                <w:sz w:val="20"/>
                <w:szCs w:val="20"/>
                <w:lang w:val="pt-BR"/>
              </w:rPr>
              <w:t>Caazapá</w:t>
            </w:r>
          </w:p>
        </w:tc>
        <w:tc>
          <w:tcPr>
            <w:tcW w:w="448" w:type="pct"/>
          </w:tcPr>
          <w:p w:rsidR="00000000" w:rsidRDefault="00000000">
            <w:pPr>
              <w:spacing w:before="80" w:after="80"/>
              <w:ind w:right="170"/>
              <w:jc w:val="right"/>
              <w:rPr>
                <w:sz w:val="20"/>
                <w:szCs w:val="20"/>
                <w:lang w:val="pt-BR"/>
              </w:rPr>
            </w:pPr>
            <w:r>
              <w:rPr>
                <w:sz w:val="20"/>
                <w:szCs w:val="20"/>
                <w:lang w:val="pt-BR"/>
              </w:rPr>
              <w:t>1 180</w:t>
            </w:r>
          </w:p>
        </w:tc>
        <w:tc>
          <w:tcPr>
            <w:tcW w:w="354" w:type="pct"/>
          </w:tcPr>
          <w:p w:rsidR="00000000" w:rsidRDefault="00000000">
            <w:pPr>
              <w:spacing w:before="80" w:after="80"/>
              <w:ind w:right="170"/>
              <w:jc w:val="right"/>
              <w:rPr>
                <w:sz w:val="20"/>
                <w:szCs w:val="20"/>
                <w:lang w:val="pt-BR"/>
              </w:rPr>
            </w:pPr>
            <w:r>
              <w:rPr>
                <w:sz w:val="20"/>
                <w:szCs w:val="20"/>
                <w:lang w:val="pt-BR"/>
              </w:rPr>
              <w:t>23</w:t>
            </w:r>
          </w:p>
        </w:tc>
        <w:tc>
          <w:tcPr>
            <w:tcW w:w="355" w:type="pct"/>
          </w:tcPr>
          <w:p w:rsidR="00000000" w:rsidRDefault="00000000">
            <w:pPr>
              <w:spacing w:before="80" w:after="80"/>
              <w:ind w:right="170"/>
              <w:jc w:val="right"/>
              <w:rPr>
                <w:sz w:val="20"/>
                <w:szCs w:val="20"/>
                <w:lang w:val="pt-BR"/>
              </w:rPr>
            </w:pPr>
            <w:r>
              <w:rPr>
                <w:sz w:val="20"/>
                <w:szCs w:val="20"/>
                <w:lang w:val="pt-BR"/>
              </w:rPr>
              <w:t>19.5</w:t>
            </w:r>
          </w:p>
        </w:tc>
        <w:tc>
          <w:tcPr>
            <w:tcW w:w="417" w:type="pct"/>
          </w:tcPr>
          <w:p w:rsidR="00000000" w:rsidRDefault="00000000">
            <w:pPr>
              <w:spacing w:before="80" w:after="80"/>
              <w:ind w:right="170"/>
              <w:jc w:val="right"/>
              <w:rPr>
                <w:sz w:val="20"/>
                <w:szCs w:val="20"/>
                <w:lang w:val="pt-BR"/>
              </w:rPr>
            </w:pPr>
            <w:r>
              <w:rPr>
                <w:sz w:val="20"/>
                <w:szCs w:val="20"/>
                <w:lang w:val="pt-BR"/>
              </w:rPr>
              <w:t>1 157</w:t>
            </w:r>
          </w:p>
        </w:tc>
        <w:tc>
          <w:tcPr>
            <w:tcW w:w="292" w:type="pct"/>
          </w:tcPr>
          <w:p w:rsidR="00000000" w:rsidRDefault="00000000">
            <w:pPr>
              <w:spacing w:before="80" w:after="80"/>
              <w:ind w:right="170"/>
              <w:jc w:val="right"/>
              <w:rPr>
                <w:sz w:val="20"/>
                <w:szCs w:val="20"/>
                <w:lang w:val="pt-BR"/>
              </w:rPr>
            </w:pPr>
            <w:r>
              <w:rPr>
                <w:sz w:val="20"/>
                <w:szCs w:val="20"/>
                <w:lang w:val="pt-BR"/>
              </w:rPr>
              <w:t>20</w:t>
            </w:r>
          </w:p>
        </w:tc>
        <w:tc>
          <w:tcPr>
            <w:tcW w:w="331" w:type="pct"/>
          </w:tcPr>
          <w:p w:rsidR="00000000" w:rsidRDefault="00000000">
            <w:pPr>
              <w:spacing w:before="80" w:after="80"/>
              <w:ind w:right="170"/>
              <w:jc w:val="right"/>
              <w:rPr>
                <w:sz w:val="20"/>
                <w:szCs w:val="20"/>
                <w:lang w:val="pt-BR"/>
              </w:rPr>
            </w:pPr>
            <w:r>
              <w:rPr>
                <w:sz w:val="20"/>
                <w:szCs w:val="20"/>
                <w:lang w:val="pt-BR"/>
              </w:rPr>
              <w:t>17.3</w:t>
            </w:r>
          </w:p>
        </w:tc>
        <w:tc>
          <w:tcPr>
            <w:tcW w:w="344" w:type="pct"/>
          </w:tcPr>
          <w:p w:rsidR="00000000" w:rsidRDefault="00000000">
            <w:pPr>
              <w:spacing w:before="80" w:after="80"/>
              <w:ind w:right="170"/>
              <w:jc w:val="right"/>
              <w:rPr>
                <w:sz w:val="20"/>
                <w:szCs w:val="20"/>
                <w:lang w:val="pt-BR"/>
              </w:rPr>
            </w:pPr>
            <w:r>
              <w:rPr>
                <w:sz w:val="20"/>
                <w:szCs w:val="20"/>
                <w:lang w:val="pt-BR"/>
              </w:rPr>
              <w:t>0</w:t>
            </w:r>
          </w:p>
        </w:tc>
        <w:tc>
          <w:tcPr>
            <w:tcW w:w="292" w:type="pct"/>
          </w:tcPr>
          <w:p w:rsidR="00000000" w:rsidRDefault="00000000">
            <w:pPr>
              <w:spacing w:before="80" w:after="80"/>
              <w:ind w:right="170"/>
              <w:jc w:val="right"/>
              <w:rPr>
                <w:sz w:val="20"/>
                <w:lang w:val="pt-BR"/>
              </w:rPr>
            </w:pPr>
            <w:r>
              <w:rPr>
                <w:sz w:val="20"/>
                <w:szCs w:val="20"/>
                <w:lang w:val="pt-BR"/>
              </w:rPr>
              <w:t>0</w:t>
            </w:r>
          </w:p>
        </w:tc>
        <w:tc>
          <w:tcPr>
            <w:tcW w:w="331" w:type="pct"/>
          </w:tcPr>
          <w:p w:rsidR="00000000" w:rsidRDefault="00000000">
            <w:pPr>
              <w:spacing w:before="80" w:after="80"/>
              <w:ind w:right="170"/>
              <w:jc w:val="right"/>
              <w:rPr>
                <w:sz w:val="20"/>
                <w:szCs w:val="20"/>
                <w:lang w:val="pt-BR"/>
              </w:rPr>
            </w:pPr>
            <w:r>
              <w:rPr>
                <w:sz w:val="20"/>
                <w:szCs w:val="20"/>
                <w:lang w:val="pt-BR"/>
              </w:rPr>
              <w:t>A</w:t>
            </w:r>
          </w:p>
        </w:tc>
        <w:tc>
          <w:tcPr>
            <w:tcW w:w="417" w:type="pct"/>
          </w:tcPr>
          <w:p w:rsidR="00000000" w:rsidRDefault="00000000">
            <w:pPr>
              <w:spacing w:before="80" w:after="80"/>
              <w:ind w:right="170"/>
              <w:jc w:val="right"/>
              <w:rPr>
                <w:sz w:val="20"/>
                <w:szCs w:val="20"/>
                <w:lang w:val="fr-FR"/>
              </w:rPr>
            </w:pPr>
            <w:r>
              <w:rPr>
                <w:sz w:val="20"/>
                <w:szCs w:val="20"/>
                <w:lang w:val="fr-FR"/>
              </w:rPr>
              <w:t>2 337</w:t>
            </w:r>
          </w:p>
        </w:tc>
        <w:tc>
          <w:tcPr>
            <w:tcW w:w="354" w:type="pct"/>
          </w:tcPr>
          <w:p w:rsidR="00000000" w:rsidRDefault="00000000">
            <w:pPr>
              <w:spacing w:before="80" w:after="80"/>
              <w:ind w:right="170"/>
              <w:jc w:val="right"/>
              <w:rPr>
                <w:sz w:val="20"/>
                <w:szCs w:val="20"/>
                <w:lang w:val="fr-FR"/>
              </w:rPr>
            </w:pPr>
            <w:r>
              <w:rPr>
                <w:sz w:val="20"/>
                <w:szCs w:val="20"/>
                <w:lang w:val="fr-FR"/>
              </w:rPr>
              <w:t>43</w:t>
            </w:r>
          </w:p>
        </w:tc>
        <w:tc>
          <w:tcPr>
            <w:tcW w:w="351" w:type="pct"/>
          </w:tcPr>
          <w:p w:rsidR="00000000" w:rsidRDefault="00000000">
            <w:pPr>
              <w:spacing w:before="80" w:after="80"/>
              <w:ind w:right="170"/>
              <w:jc w:val="right"/>
              <w:rPr>
                <w:sz w:val="20"/>
                <w:szCs w:val="20"/>
                <w:lang w:val="fr-FR"/>
              </w:rPr>
            </w:pPr>
            <w:r>
              <w:rPr>
                <w:sz w:val="20"/>
                <w:szCs w:val="20"/>
                <w:lang w:val="fr-FR"/>
              </w:rPr>
              <w:t>18.4</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FR"/>
              </w:rPr>
            </w:pPr>
            <w:r>
              <w:rPr>
                <w:sz w:val="20"/>
                <w:szCs w:val="20"/>
                <w:lang w:val="fr-FR"/>
              </w:rPr>
              <w:t>Itapúa</w:t>
            </w:r>
          </w:p>
        </w:tc>
        <w:tc>
          <w:tcPr>
            <w:tcW w:w="448" w:type="pct"/>
          </w:tcPr>
          <w:p w:rsidR="00000000" w:rsidRDefault="00000000">
            <w:pPr>
              <w:spacing w:before="80" w:after="80"/>
              <w:ind w:right="170"/>
              <w:jc w:val="right"/>
              <w:rPr>
                <w:sz w:val="20"/>
                <w:szCs w:val="20"/>
                <w:lang w:val="fr-FR"/>
              </w:rPr>
            </w:pPr>
            <w:r>
              <w:rPr>
                <w:sz w:val="20"/>
                <w:szCs w:val="20"/>
                <w:lang w:val="fr-FR"/>
              </w:rPr>
              <w:t>3 638</w:t>
            </w:r>
          </w:p>
        </w:tc>
        <w:tc>
          <w:tcPr>
            <w:tcW w:w="354" w:type="pct"/>
          </w:tcPr>
          <w:p w:rsidR="00000000" w:rsidRDefault="00000000">
            <w:pPr>
              <w:spacing w:before="80" w:after="80"/>
              <w:ind w:right="170"/>
              <w:jc w:val="right"/>
              <w:rPr>
                <w:sz w:val="20"/>
                <w:szCs w:val="20"/>
                <w:lang w:val="fr-FR"/>
              </w:rPr>
            </w:pPr>
            <w:r>
              <w:rPr>
                <w:sz w:val="20"/>
                <w:szCs w:val="20"/>
                <w:lang w:val="fr-FR"/>
              </w:rPr>
              <w:t>81</w:t>
            </w:r>
          </w:p>
        </w:tc>
        <w:tc>
          <w:tcPr>
            <w:tcW w:w="355" w:type="pct"/>
          </w:tcPr>
          <w:p w:rsidR="00000000" w:rsidRDefault="00000000">
            <w:pPr>
              <w:spacing w:before="80" w:after="80"/>
              <w:ind w:right="170"/>
              <w:jc w:val="right"/>
              <w:rPr>
                <w:sz w:val="20"/>
                <w:szCs w:val="20"/>
                <w:lang w:val="fr-FR"/>
              </w:rPr>
            </w:pPr>
            <w:r>
              <w:rPr>
                <w:sz w:val="20"/>
                <w:szCs w:val="20"/>
                <w:lang w:val="fr-FR"/>
              </w:rPr>
              <w:t>22.3</w:t>
            </w:r>
          </w:p>
        </w:tc>
        <w:tc>
          <w:tcPr>
            <w:tcW w:w="417" w:type="pct"/>
          </w:tcPr>
          <w:p w:rsidR="00000000" w:rsidRDefault="00000000">
            <w:pPr>
              <w:spacing w:before="80" w:after="80"/>
              <w:ind w:right="170"/>
              <w:jc w:val="right"/>
              <w:rPr>
                <w:sz w:val="20"/>
                <w:szCs w:val="20"/>
                <w:lang w:val="fr-FR"/>
              </w:rPr>
            </w:pPr>
            <w:r>
              <w:rPr>
                <w:sz w:val="20"/>
                <w:szCs w:val="20"/>
                <w:lang w:val="fr-FR"/>
              </w:rPr>
              <w:t>3 534</w:t>
            </w:r>
          </w:p>
        </w:tc>
        <w:tc>
          <w:tcPr>
            <w:tcW w:w="292" w:type="pct"/>
          </w:tcPr>
          <w:p w:rsidR="00000000" w:rsidRDefault="00000000">
            <w:pPr>
              <w:spacing w:before="80" w:after="80"/>
              <w:ind w:right="170"/>
              <w:jc w:val="right"/>
              <w:rPr>
                <w:sz w:val="20"/>
                <w:szCs w:val="20"/>
                <w:lang w:val="fr-FR"/>
              </w:rPr>
            </w:pPr>
            <w:r>
              <w:rPr>
                <w:sz w:val="20"/>
                <w:szCs w:val="20"/>
                <w:lang w:val="fr-FR"/>
              </w:rPr>
              <w:t>54</w:t>
            </w:r>
          </w:p>
        </w:tc>
        <w:tc>
          <w:tcPr>
            <w:tcW w:w="331" w:type="pct"/>
          </w:tcPr>
          <w:p w:rsidR="00000000" w:rsidRDefault="00000000">
            <w:pPr>
              <w:spacing w:before="80" w:after="80"/>
              <w:ind w:right="170"/>
              <w:jc w:val="right"/>
              <w:rPr>
                <w:sz w:val="20"/>
                <w:szCs w:val="20"/>
                <w:lang w:val="fr-FR"/>
              </w:rPr>
            </w:pPr>
            <w:r>
              <w:rPr>
                <w:sz w:val="20"/>
                <w:szCs w:val="20"/>
                <w:lang w:val="fr-FR"/>
              </w:rPr>
              <w:t>15.3</w:t>
            </w:r>
          </w:p>
        </w:tc>
        <w:tc>
          <w:tcPr>
            <w:tcW w:w="344" w:type="pct"/>
          </w:tcPr>
          <w:p w:rsidR="00000000" w:rsidRDefault="00000000">
            <w:pPr>
              <w:spacing w:before="80" w:after="80"/>
              <w:ind w:right="170"/>
              <w:jc w:val="right"/>
              <w:rPr>
                <w:sz w:val="20"/>
                <w:szCs w:val="20"/>
                <w:lang w:val="fr-FR"/>
              </w:rPr>
            </w:pPr>
            <w:r>
              <w:rPr>
                <w:sz w:val="20"/>
                <w:szCs w:val="20"/>
                <w:lang w:val="fr-FR"/>
              </w:rPr>
              <w:t>0</w:t>
            </w:r>
          </w:p>
        </w:tc>
        <w:tc>
          <w:tcPr>
            <w:tcW w:w="292" w:type="pct"/>
          </w:tcPr>
          <w:p w:rsidR="00000000" w:rsidRDefault="00000000">
            <w:pPr>
              <w:spacing w:before="80" w:after="80"/>
              <w:ind w:right="170"/>
              <w:jc w:val="right"/>
              <w:rPr>
                <w:sz w:val="20"/>
                <w:lang w:val="fr-FR"/>
              </w:rPr>
            </w:pPr>
            <w:r>
              <w:rPr>
                <w:sz w:val="20"/>
                <w:szCs w:val="20"/>
                <w:lang w:val="fr-FR"/>
              </w:rPr>
              <w:t>0</w:t>
            </w:r>
          </w:p>
        </w:tc>
        <w:tc>
          <w:tcPr>
            <w:tcW w:w="331" w:type="pct"/>
          </w:tcPr>
          <w:p w:rsidR="00000000" w:rsidRDefault="00000000">
            <w:pPr>
              <w:spacing w:before="80" w:after="80"/>
              <w:ind w:right="170"/>
              <w:jc w:val="right"/>
              <w:rPr>
                <w:sz w:val="20"/>
                <w:szCs w:val="20"/>
                <w:lang w:val="fr-FR"/>
              </w:rPr>
            </w:pPr>
            <w:r>
              <w:rPr>
                <w:sz w:val="20"/>
                <w:szCs w:val="20"/>
                <w:lang w:val="fr-FR"/>
              </w:rPr>
              <w:t>P</w:t>
            </w:r>
          </w:p>
        </w:tc>
        <w:tc>
          <w:tcPr>
            <w:tcW w:w="417" w:type="pct"/>
          </w:tcPr>
          <w:p w:rsidR="00000000" w:rsidRDefault="00000000">
            <w:pPr>
              <w:spacing w:before="80" w:after="80"/>
              <w:ind w:right="170"/>
              <w:jc w:val="right"/>
              <w:rPr>
                <w:sz w:val="20"/>
                <w:szCs w:val="20"/>
                <w:lang w:val="fr-FR"/>
              </w:rPr>
            </w:pPr>
            <w:r>
              <w:rPr>
                <w:sz w:val="20"/>
                <w:szCs w:val="20"/>
                <w:lang w:val="fr-FR"/>
              </w:rPr>
              <w:t>7 172</w:t>
            </w:r>
          </w:p>
        </w:tc>
        <w:tc>
          <w:tcPr>
            <w:tcW w:w="354" w:type="pct"/>
          </w:tcPr>
          <w:p w:rsidR="00000000" w:rsidRDefault="00000000">
            <w:pPr>
              <w:spacing w:before="80" w:after="80"/>
              <w:ind w:right="170"/>
              <w:jc w:val="right"/>
              <w:rPr>
                <w:sz w:val="20"/>
                <w:szCs w:val="20"/>
                <w:lang w:val="fr-FR"/>
              </w:rPr>
            </w:pPr>
            <w:r>
              <w:rPr>
                <w:sz w:val="20"/>
                <w:szCs w:val="20"/>
                <w:lang w:val="fr-FR"/>
              </w:rPr>
              <w:t>135</w:t>
            </w:r>
          </w:p>
        </w:tc>
        <w:tc>
          <w:tcPr>
            <w:tcW w:w="351" w:type="pct"/>
          </w:tcPr>
          <w:p w:rsidR="00000000" w:rsidRDefault="00000000">
            <w:pPr>
              <w:spacing w:before="80" w:after="80"/>
              <w:ind w:right="170"/>
              <w:jc w:val="right"/>
              <w:rPr>
                <w:sz w:val="20"/>
                <w:szCs w:val="20"/>
                <w:lang w:val="fr-FR"/>
              </w:rPr>
            </w:pPr>
            <w:r>
              <w:rPr>
                <w:sz w:val="20"/>
                <w:szCs w:val="20"/>
                <w:lang w:val="fr-FR"/>
              </w:rPr>
              <w:t>18.8</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FR"/>
              </w:rPr>
            </w:pPr>
            <w:r>
              <w:rPr>
                <w:sz w:val="20"/>
                <w:szCs w:val="20"/>
                <w:lang w:val="fr-FR"/>
              </w:rPr>
              <w:t>Misiones</w:t>
            </w:r>
          </w:p>
        </w:tc>
        <w:tc>
          <w:tcPr>
            <w:tcW w:w="448" w:type="pct"/>
          </w:tcPr>
          <w:p w:rsidR="00000000" w:rsidRDefault="00000000">
            <w:pPr>
              <w:spacing w:before="80" w:after="80"/>
              <w:ind w:right="170"/>
              <w:jc w:val="right"/>
              <w:rPr>
                <w:sz w:val="20"/>
                <w:szCs w:val="20"/>
                <w:lang w:val="pt-BR"/>
              </w:rPr>
            </w:pPr>
            <w:r>
              <w:rPr>
                <w:sz w:val="20"/>
                <w:szCs w:val="20"/>
                <w:lang w:val="pt-BR"/>
              </w:rPr>
              <w:t>999</w:t>
            </w:r>
          </w:p>
        </w:tc>
        <w:tc>
          <w:tcPr>
            <w:tcW w:w="354" w:type="pct"/>
          </w:tcPr>
          <w:p w:rsidR="00000000" w:rsidRDefault="00000000">
            <w:pPr>
              <w:spacing w:before="80" w:after="80"/>
              <w:ind w:right="170"/>
              <w:jc w:val="right"/>
              <w:rPr>
                <w:sz w:val="20"/>
                <w:szCs w:val="20"/>
                <w:lang w:val="pt-BR"/>
              </w:rPr>
            </w:pPr>
            <w:r>
              <w:rPr>
                <w:sz w:val="20"/>
                <w:szCs w:val="20"/>
                <w:lang w:val="pt-BR"/>
              </w:rPr>
              <w:t>30</w:t>
            </w:r>
          </w:p>
        </w:tc>
        <w:tc>
          <w:tcPr>
            <w:tcW w:w="355" w:type="pct"/>
          </w:tcPr>
          <w:p w:rsidR="00000000" w:rsidRDefault="00000000">
            <w:pPr>
              <w:spacing w:before="80" w:after="80"/>
              <w:ind w:right="170"/>
              <w:jc w:val="right"/>
              <w:rPr>
                <w:sz w:val="20"/>
                <w:szCs w:val="20"/>
                <w:lang w:val="pt-BR"/>
              </w:rPr>
            </w:pPr>
            <w:r>
              <w:rPr>
                <w:sz w:val="20"/>
                <w:szCs w:val="20"/>
                <w:lang w:val="pt-BR"/>
              </w:rPr>
              <w:t>30.0</w:t>
            </w:r>
          </w:p>
        </w:tc>
        <w:tc>
          <w:tcPr>
            <w:tcW w:w="417" w:type="pct"/>
          </w:tcPr>
          <w:p w:rsidR="00000000" w:rsidRDefault="00000000">
            <w:pPr>
              <w:spacing w:before="80" w:after="80"/>
              <w:ind w:right="170"/>
              <w:jc w:val="right"/>
              <w:rPr>
                <w:sz w:val="20"/>
                <w:szCs w:val="20"/>
                <w:lang w:val="pt-BR"/>
              </w:rPr>
            </w:pPr>
            <w:r>
              <w:rPr>
                <w:sz w:val="20"/>
                <w:szCs w:val="20"/>
                <w:lang w:val="pt-BR"/>
              </w:rPr>
              <w:t>919</w:t>
            </w:r>
          </w:p>
        </w:tc>
        <w:tc>
          <w:tcPr>
            <w:tcW w:w="292" w:type="pct"/>
          </w:tcPr>
          <w:p w:rsidR="00000000" w:rsidRDefault="00000000">
            <w:pPr>
              <w:spacing w:before="80" w:after="80"/>
              <w:ind w:right="170"/>
              <w:jc w:val="right"/>
              <w:rPr>
                <w:sz w:val="20"/>
                <w:szCs w:val="20"/>
                <w:lang w:val="pt-BR"/>
              </w:rPr>
            </w:pPr>
            <w:r>
              <w:rPr>
                <w:sz w:val="20"/>
                <w:szCs w:val="20"/>
                <w:lang w:val="pt-BR"/>
              </w:rPr>
              <w:t>23</w:t>
            </w:r>
          </w:p>
        </w:tc>
        <w:tc>
          <w:tcPr>
            <w:tcW w:w="331" w:type="pct"/>
          </w:tcPr>
          <w:p w:rsidR="00000000" w:rsidRDefault="00000000">
            <w:pPr>
              <w:spacing w:before="80" w:after="80"/>
              <w:ind w:right="170"/>
              <w:jc w:val="right"/>
              <w:rPr>
                <w:sz w:val="20"/>
                <w:szCs w:val="20"/>
                <w:lang w:val="pt-BR"/>
              </w:rPr>
            </w:pPr>
            <w:r>
              <w:rPr>
                <w:sz w:val="20"/>
                <w:szCs w:val="20"/>
                <w:lang w:val="pt-BR"/>
              </w:rPr>
              <w:t>25.0</w:t>
            </w:r>
          </w:p>
        </w:tc>
        <w:tc>
          <w:tcPr>
            <w:tcW w:w="344" w:type="pct"/>
          </w:tcPr>
          <w:p w:rsidR="00000000" w:rsidRDefault="00000000">
            <w:pPr>
              <w:spacing w:before="80" w:after="80"/>
              <w:ind w:right="170"/>
              <w:jc w:val="right"/>
              <w:rPr>
                <w:sz w:val="20"/>
                <w:szCs w:val="20"/>
                <w:lang w:val="pt-BR"/>
              </w:rPr>
            </w:pPr>
            <w:r>
              <w:rPr>
                <w:sz w:val="20"/>
                <w:szCs w:val="20"/>
                <w:lang w:val="pt-BR"/>
              </w:rPr>
              <w:t>0</w:t>
            </w:r>
          </w:p>
        </w:tc>
        <w:tc>
          <w:tcPr>
            <w:tcW w:w="292" w:type="pct"/>
          </w:tcPr>
          <w:p w:rsidR="00000000" w:rsidRDefault="00000000">
            <w:pPr>
              <w:spacing w:before="80" w:after="80"/>
              <w:ind w:right="170"/>
              <w:jc w:val="right"/>
              <w:rPr>
                <w:sz w:val="20"/>
                <w:lang w:val="pt-BR"/>
              </w:rPr>
            </w:pPr>
            <w:r>
              <w:rPr>
                <w:sz w:val="20"/>
                <w:szCs w:val="20"/>
                <w:lang w:val="pt-BR"/>
              </w:rPr>
              <w:t>0</w:t>
            </w:r>
          </w:p>
        </w:tc>
        <w:tc>
          <w:tcPr>
            <w:tcW w:w="331" w:type="pct"/>
          </w:tcPr>
          <w:p w:rsidR="00000000" w:rsidRDefault="00000000">
            <w:pPr>
              <w:spacing w:before="80" w:after="80"/>
              <w:ind w:right="170"/>
              <w:jc w:val="right"/>
              <w:rPr>
                <w:sz w:val="20"/>
                <w:szCs w:val="20"/>
                <w:lang w:val="pt-BR"/>
              </w:rPr>
            </w:pPr>
            <w:r>
              <w:rPr>
                <w:sz w:val="20"/>
                <w:szCs w:val="20"/>
                <w:lang w:val="pt-BR"/>
              </w:rPr>
              <w:t>L</w:t>
            </w:r>
          </w:p>
        </w:tc>
        <w:tc>
          <w:tcPr>
            <w:tcW w:w="417" w:type="pct"/>
          </w:tcPr>
          <w:p w:rsidR="00000000" w:rsidRDefault="00000000">
            <w:pPr>
              <w:spacing w:before="80" w:after="80"/>
              <w:ind w:right="170"/>
              <w:jc w:val="right"/>
              <w:rPr>
                <w:sz w:val="20"/>
                <w:szCs w:val="20"/>
                <w:lang w:val="pt-BR"/>
              </w:rPr>
            </w:pPr>
            <w:r>
              <w:rPr>
                <w:sz w:val="20"/>
                <w:szCs w:val="20"/>
                <w:lang w:val="pt-BR"/>
              </w:rPr>
              <w:t>1 918</w:t>
            </w:r>
          </w:p>
        </w:tc>
        <w:tc>
          <w:tcPr>
            <w:tcW w:w="354" w:type="pct"/>
          </w:tcPr>
          <w:p w:rsidR="00000000" w:rsidRDefault="00000000">
            <w:pPr>
              <w:spacing w:before="80" w:after="80"/>
              <w:ind w:right="170"/>
              <w:jc w:val="right"/>
              <w:rPr>
                <w:sz w:val="20"/>
                <w:szCs w:val="20"/>
                <w:lang w:val="pt-BR"/>
              </w:rPr>
            </w:pPr>
            <w:r>
              <w:rPr>
                <w:sz w:val="20"/>
                <w:szCs w:val="20"/>
                <w:lang w:val="pt-BR"/>
              </w:rPr>
              <w:t>53</w:t>
            </w:r>
          </w:p>
        </w:tc>
        <w:tc>
          <w:tcPr>
            <w:tcW w:w="351" w:type="pct"/>
          </w:tcPr>
          <w:p w:rsidR="00000000" w:rsidRDefault="00000000">
            <w:pPr>
              <w:spacing w:before="80" w:after="80"/>
              <w:ind w:right="170"/>
              <w:jc w:val="right"/>
              <w:rPr>
                <w:sz w:val="20"/>
                <w:szCs w:val="20"/>
                <w:lang w:val="pt-BR"/>
              </w:rPr>
            </w:pPr>
            <w:r>
              <w:rPr>
                <w:sz w:val="20"/>
                <w:szCs w:val="20"/>
                <w:lang w:val="pt-BR"/>
              </w:rPr>
              <w:t>27.6</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pt-BR"/>
              </w:rPr>
            </w:pPr>
            <w:r>
              <w:rPr>
                <w:sz w:val="20"/>
                <w:szCs w:val="20"/>
                <w:lang w:val="pt-BR"/>
              </w:rPr>
              <w:t>Paraguari</w:t>
            </w:r>
          </w:p>
        </w:tc>
        <w:tc>
          <w:tcPr>
            <w:tcW w:w="448" w:type="pct"/>
          </w:tcPr>
          <w:p w:rsidR="00000000" w:rsidRDefault="00000000">
            <w:pPr>
              <w:spacing w:before="80" w:after="80"/>
              <w:ind w:right="170"/>
              <w:jc w:val="right"/>
              <w:rPr>
                <w:sz w:val="20"/>
                <w:szCs w:val="20"/>
                <w:lang w:val="pt-BR"/>
              </w:rPr>
            </w:pPr>
            <w:r>
              <w:rPr>
                <w:sz w:val="20"/>
                <w:szCs w:val="20"/>
                <w:lang w:val="pt-BR"/>
              </w:rPr>
              <w:t>1 868</w:t>
            </w:r>
          </w:p>
        </w:tc>
        <w:tc>
          <w:tcPr>
            <w:tcW w:w="354" w:type="pct"/>
          </w:tcPr>
          <w:p w:rsidR="00000000" w:rsidRDefault="00000000">
            <w:pPr>
              <w:spacing w:before="80" w:after="80"/>
              <w:ind w:right="170"/>
              <w:jc w:val="right"/>
              <w:rPr>
                <w:sz w:val="20"/>
                <w:szCs w:val="20"/>
                <w:lang w:val="pt-BR"/>
              </w:rPr>
            </w:pPr>
            <w:r>
              <w:rPr>
                <w:sz w:val="20"/>
                <w:szCs w:val="20"/>
                <w:lang w:val="pt-BR"/>
              </w:rPr>
              <w:t>31</w:t>
            </w:r>
          </w:p>
        </w:tc>
        <w:tc>
          <w:tcPr>
            <w:tcW w:w="355" w:type="pct"/>
          </w:tcPr>
          <w:p w:rsidR="00000000" w:rsidRDefault="00000000">
            <w:pPr>
              <w:spacing w:before="80" w:after="80"/>
              <w:ind w:right="170"/>
              <w:jc w:val="right"/>
              <w:rPr>
                <w:sz w:val="20"/>
                <w:szCs w:val="20"/>
                <w:lang w:val="pt-BR"/>
              </w:rPr>
            </w:pPr>
            <w:r>
              <w:rPr>
                <w:sz w:val="20"/>
                <w:szCs w:val="20"/>
                <w:lang w:val="pt-BR"/>
              </w:rPr>
              <w:t>16.6</w:t>
            </w:r>
          </w:p>
        </w:tc>
        <w:tc>
          <w:tcPr>
            <w:tcW w:w="417" w:type="pct"/>
          </w:tcPr>
          <w:p w:rsidR="00000000" w:rsidRDefault="00000000">
            <w:pPr>
              <w:spacing w:before="80" w:after="80"/>
              <w:ind w:right="170"/>
              <w:jc w:val="right"/>
              <w:rPr>
                <w:sz w:val="20"/>
                <w:szCs w:val="20"/>
                <w:lang w:val="pt-BR"/>
              </w:rPr>
            </w:pPr>
            <w:r>
              <w:rPr>
                <w:sz w:val="20"/>
                <w:szCs w:val="20"/>
                <w:lang w:val="pt-BR"/>
              </w:rPr>
              <w:t>1 839</w:t>
            </w:r>
          </w:p>
        </w:tc>
        <w:tc>
          <w:tcPr>
            <w:tcW w:w="292" w:type="pct"/>
          </w:tcPr>
          <w:p w:rsidR="00000000" w:rsidRDefault="00000000">
            <w:pPr>
              <w:spacing w:before="80" w:after="80"/>
              <w:ind w:right="170"/>
              <w:jc w:val="right"/>
              <w:rPr>
                <w:sz w:val="20"/>
                <w:szCs w:val="20"/>
                <w:lang w:val="pt-BR"/>
              </w:rPr>
            </w:pPr>
            <w:r>
              <w:rPr>
                <w:sz w:val="20"/>
                <w:szCs w:val="20"/>
                <w:lang w:val="pt-BR"/>
              </w:rPr>
              <w:t>26</w:t>
            </w:r>
          </w:p>
        </w:tc>
        <w:tc>
          <w:tcPr>
            <w:tcW w:w="331" w:type="pct"/>
          </w:tcPr>
          <w:p w:rsidR="00000000" w:rsidRDefault="00000000">
            <w:pPr>
              <w:spacing w:before="80" w:after="80"/>
              <w:ind w:right="170"/>
              <w:jc w:val="right"/>
              <w:rPr>
                <w:sz w:val="20"/>
                <w:szCs w:val="20"/>
                <w:lang w:val="pt-BR"/>
              </w:rPr>
            </w:pPr>
            <w:r>
              <w:rPr>
                <w:sz w:val="20"/>
                <w:szCs w:val="20"/>
                <w:lang w:val="pt-BR"/>
              </w:rPr>
              <w:t>14.1</w:t>
            </w:r>
          </w:p>
        </w:tc>
        <w:tc>
          <w:tcPr>
            <w:tcW w:w="344" w:type="pct"/>
          </w:tcPr>
          <w:p w:rsidR="00000000" w:rsidRDefault="00000000">
            <w:pPr>
              <w:spacing w:before="80" w:after="80"/>
              <w:ind w:right="170"/>
              <w:jc w:val="right"/>
              <w:rPr>
                <w:sz w:val="20"/>
                <w:szCs w:val="20"/>
                <w:lang w:val="pt-BR"/>
              </w:rPr>
            </w:pPr>
            <w:r>
              <w:rPr>
                <w:sz w:val="20"/>
                <w:szCs w:val="20"/>
                <w:lang w:val="pt-BR"/>
              </w:rPr>
              <w:t>0</w:t>
            </w:r>
          </w:p>
        </w:tc>
        <w:tc>
          <w:tcPr>
            <w:tcW w:w="292" w:type="pct"/>
          </w:tcPr>
          <w:p w:rsidR="00000000" w:rsidRDefault="00000000">
            <w:pPr>
              <w:spacing w:before="80" w:after="80"/>
              <w:ind w:right="170"/>
              <w:jc w:val="right"/>
              <w:rPr>
                <w:sz w:val="20"/>
                <w:lang w:val="pt-BR"/>
              </w:rPr>
            </w:pPr>
            <w:r>
              <w:rPr>
                <w:sz w:val="20"/>
                <w:szCs w:val="20"/>
                <w:lang w:val="pt-BR"/>
              </w:rPr>
              <w:t>0</w:t>
            </w:r>
          </w:p>
        </w:tc>
        <w:tc>
          <w:tcPr>
            <w:tcW w:w="331" w:type="pct"/>
          </w:tcPr>
          <w:p w:rsidR="00000000" w:rsidRDefault="00000000">
            <w:pPr>
              <w:spacing w:before="80" w:after="80"/>
              <w:ind w:right="170"/>
              <w:jc w:val="right"/>
              <w:rPr>
                <w:sz w:val="20"/>
                <w:szCs w:val="20"/>
                <w:lang w:val="pt-BR"/>
              </w:rPr>
            </w:pPr>
            <w:r>
              <w:rPr>
                <w:sz w:val="20"/>
                <w:szCs w:val="20"/>
                <w:lang w:val="pt-BR"/>
              </w:rPr>
              <w:t>I</w:t>
            </w:r>
          </w:p>
        </w:tc>
        <w:tc>
          <w:tcPr>
            <w:tcW w:w="417" w:type="pct"/>
          </w:tcPr>
          <w:p w:rsidR="00000000" w:rsidRDefault="00000000">
            <w:pPr>
              <w:spacing w:before="80" w:after="80"/>
              <w:ind w:right="170"/>
              <w:jc w:val="right"/>
              <w:rPr>
                <w:sz w:val="20"/>
                <w:szCs w:val="20"/>
                <w:lang w:val="fr-FR"/>
              </w:rPr>
            </w:pPr>
            <w:r>
              <w:rPr>
                <w:sz w:val="20"/>
                <w:szCs w:val="20"/>
                <w:lang w:val="fr-FR"/>
              </w:rPr>
              <w:t>3 707</w:t>
            </w:r>
          </w:p>
        </w:tc>
        <w:tc>
          <w:tcPr>
            <w:tcW w:w="354" w:type="pct"/>
          </w:tcPr>
          <w:p w:rsidR="00000000" w:rsidRDefault="00000000">
            <w:pPr>
              <w:spacing w:before="80" w:after="80"/>
              <w:ind w:right="170"/>
              <w:jc w:val="right"/>
              <w:rPr>
                <w:sz w:val="20"/>
                <w:szCs w:val="20"/>
                <w:lang w:val="fr-FR"/>
              </w:rPr>
            </w:pPr>
            <w:r>
              <w:rPr>
                <w:sz w:val="20"/>
                <w:szCs w:val="20"/>
                <w:lang w:val="fr-FR"/>
              </w:rPr>
              <w:t>57</w:t>
            </w:r>
          </w:p>
        </w:tc>
        <w:tc>
          <w:tcPr>
            <w:tcW w:w="351" w:type="pct"/>
          </w:tcPr>
          <w:p w:rsidR="00000000" w:rsidRDefault="00000000">
            <w:pPr>
              <w:spacing w:before="80" w:after="80"/>
              <w:ind w:right="170"/>
              <w:jc w:val="right"/>
              <w:rPr>
                <w:sz w:val="20"/>
                <w:szCs w:val="20"/>
                <w:lang w:val="fr-FR"/>
              </w:rPr>
            </w:pPr>
            <w:r>
              <w:rPr>
                <w:sz w:val="20"/>
                <w:szCs w:val="20"/>
                <w:lang w:val="fr-FR"/>
              </w:rPr>
              <w:t>15.4</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FR"/>
              </w:rPr>
            </w:pPr>
            <w:r>
              <w:rPr>
                <w:sz w:val="20"/>
                <w:szCs w:val="20"/>
                <w:lang w:val="fr-FR"/>
              </w:rPr>
              <w:t>Haut Paraná</w:t>
            </w:r>
          </w:p>
        </w:tc>
        <w:tc>
          <w:tcPr>
            <w:tcW w:w="448" w:type="pct"/>
          </w:tcPr>
          <w:p w:rsidR="00000000" w:rsidRDefault="00000000">
            <w:pPr>
              <w:spacing w:before="80" w:after="80"/>
              <w:ind w:right="170"/>
              <w:jc w:val="right"/>
              <w:rPr>
                <w:sz w:val="20"/>
                <w:szCs w:val="20"/>
                <w:lang w:val="fr-FR"/>
              </w:rPr>
            </w:pPr>
            <w:r>
              <w:rPr>
                <w:sz w:val="20"/>
                <w:szCs w:val="20"/>
                <w:lang w:val="fr-FR"/>
              </w:rPr>
              <w:t>4 558</w:t>
            </w:r>
          </w:p>
        </w:tc>
        <w:tc>
          <w:tcPr>
            <w:tcW w:w="354" w:type="pct"/>
          </w:tcPr>
          <w:p w:rsidR="00000000" w:rsidRDefault="00000000">
            <w:pPr>
              <w:spacing w:before="80" w:after="80"/>
              <w:ind w:right="170"/>
              <w:jc w:val="right"/>
              <w:rPr>
                <w:sz w:val="20"/>
                <w:szCs w:val="20"/>
                <w:lang w:val="fr-FR"/>
              </w:rPr>
            </w:pPr>
            <w:r>
              <w:rPr>
                <w:sz w:val="20"/>
                <w:szCs w:val="20"/>
                <w:lang w:val="fr-FR"/>
              </w:rPr>
              <w:t>121</w:t>
            </w:r>
          </w:p>
        </w:tc>
        <w:tc>
          <w:tcPr>
            <w:tcW w:w="355" w:type="pct"/>
          </w:tcPr>
          <w:p w:rsidR="00000000" w:rsidRDefault="00000000">
            <w:pPr>
              <w:spacing w:before="80" w:after="80"/>
              <w:ind w:right="170"/>
              <w:jc w:val="right"/>
              <w:rPr>
                <w:sz w:val="20"/>
                <w:szCs w:val="20"/>
                <w:lang w:val="fr-FR"/>
              </w:rPr>
            </w:pPr>
            <w:r>
              <w:rPr>
                <w:sz w:val="20"/>
                <w:szCs w:val="20"/>
                <w:lang w:val="fr-FR"/>
              </w:rPr>
              <w:t>26.5</w:t>
            </w:r>
          </w:p>
        </w:tc>
        <w:tc>
          <w:tcPr>
            <w:tcW w:w="417" w:type="pct"/>
          </w:tcPr>
          <w:p w:rsidR="00000000" w:rsidRDefault="00000000">
            <w:pPr>
              <w:spacing w:before="80" w:after="80"/>
              <w:ind w:right="170"/>
              <w:jc w:val="right"/>
              <w:rPr>
                <w:sz w:val="20"/>
                <w:szCs w:val="20"/>
                <w:lang w:val="fr-FR"/>
              </w:rPr>
            </w:pPr>
            <w:r>
              <w:rPr>
                <w:sz w:val="20"/>
                <w:szCs w:val="20"/>
                <w:lang w:val="fr-FR"/>
              </w:rPr>
              <w:t>4 378</w:t>
            </w:r>
          </w:p>
        </w:tc>
        <w:tc>
          <w:tcPr>
            <w:tcW w:w="292" w:type="pct"/>
          </w:tcPr>
          <w:p w:rsidR="00000000" w:rsidRDefault="00000000">
            <w:pPr>
              <w:spacing w:before="80" w:after="80"/>
              <w:ind w:right="170"/>
              <w:jc w:val="right"/>
              <w:rPr>
                <w:sz w:val="20"/>
                <w:szCs w:val="20"/>
                <w:lang w:val="fr-FR"/>
              </w:rPr>
            </w:pPr>
            <w:r>
              <w:rPr>
                <w:sz w:val="20"/>
                <w:szCs w:val="20"/>
                <w:lang w:val="fr-FR"/>
              </w:rPr>
              <w:t>123</w:t>
            </w:r>
          </w:p>
        </w:tc>
        <w:tc>
          <w:tcPr>
            <w:tcW w:w="331" w:type="pct"/>
          </w:tcPr>
          <w:p w:rsidR="00000000" w:rsidRDefault="00000000">
            <w:pPr>
              <w:spacing w:before="80" w:after="80"/>
              <w:ind w:right="170"/>
              <w:jc w:val="right"/>
              <w:rPr>
                <w:sz w:val="20"/>
                <w:szCs w:val="20"/>
                <w:lang w:val="fr-FR"/>
              </w:rPr>
            </w:pPr>
            <w:r>
              <w:rPr>
                <w:sz w:val="20"/>
                <w:szCs w:val="20"/>
                <w:lang w:val="fr-FR"/>
              </w:rPr>
              <w:t>28.1</w:t>
            </w:r>
          </w:p>
        </w:tc>
        <w:tc>
          <w:tcPr>
            <w:tcW w:w="344" w:type="pct"/>
          </w:tcPr>
          <w:p w:rsidR="00000000" w:rsidRDefault="00000000">
            <w:pPr>
              <w:spacing w:before="80" w:after="80"/>
              <w:ind w:right="170"/>
              <w:jc w:val="right"/>
              <w:rPr>
                <w:sz w:val="20"/>
                <w:szCs w:val="20"/>
                <w:lang w:val="fr-FR"/>
              </w:rPr>
            </w:pPr>
            <w:r>
              <w:rPr>
                <w:sz w:val="20"/>
                <w:szCs w:val="20"/>
                <w:lang w:val="fr-FR"/>
              </w:rPr>
              <w:t>1</w:t>
            </w:r>
          </w:p>
        </w:tc>
        <w:tc>
          <w:tcPr>
            <w:tcW w:w="292" w:type="pct"/>
          </w:tcPr>
          <w:p w:rsidR="00000000" w:rsidRDefault="00000000">
            <w:pPr>
              <w:spacing w:before="80" w:after="80"/>
              <w:ind w:right="170"/>
              <w:jc w:val="right"/>
              <w:rPr>
                <w:sz w:val="20"/>
                <w:lang w:val="fr-FR"/>
              </w:rPr>
            </w:pPr>
            <w:r>
              <w:rPr>
                <w:sz w:val="20"/>
                <w:lang w:val="fr-FR"/>
              </w:rPr>
              <w:t>2</w:t>
            </w:r>
          </w:p>
        </w:tc>
        <w:tc>
          <w:tcPr>
            <w:tcW w:w="331" w:type="pct"/>
          </w:tcPr>
          <w:p w:rsidR="00000000" w:rsidRDefault="00000000">
            <w:pPr>
              <w:spacing w:before="80" w:after="80"/>
              <w:ind w:right="170"/>
              <w:jc w:val="right"/>
              <w:rPr>
                <w:sz w:val="20"/>
                <w:szCs w:val="20"/>
                <w:lang w:val="fr-FR"/>
              </w:rPr>
            </w:pPr>
            <w:r>
              <w:rPr>
                <w:sz w:val="20"/>
                <w:szCs w:val="20"/>
                <w:lang w:val="fr-FR"/>
              </w:rPr>
              <w:t>C</w:t>
            </w:r>
          </w:p>
        </w:tc>
        <w:tc>
          <w:tcPr>
            <w:tcW w:w="417" w:type="pct"/>
          </w:tcPr>
          <w:p w:rsidR="00000000" w:rsidRDefault="00000000">
            <w:pPr>
              <w:spacing w:before="80" w:after="80"/>
              <w:ind w:right="170"/>
              <w:jc w:val="right"/>
              <w:rPr>
                <w:sz w:val="20"/>
                <w:szCs w:val="20"/>
                <w:lang w:val="pt-BR"/>
              </w:rPr>
            </w:pPr>
            <w:r>
              <w:rPr>
                <w:sz w:val="20"/>
                <w:szCs w:val="20"/>
                <w:lang w:val="pt-BR"/>
              </w:rPr>
              <w:t>8 937</w:t>
            </w:r>
          </w:p>
        </w:tc>
        <w:tc>
          <w:tcPr>
            <w:tcW w:w="354" w:type="pct"/>
          </w:tcPr>
          <w:p w:rsidR="00000000" w:rsidRDefault="00000000">
            <w:pPr>
              <w:spacing w:before="80" w:after="80"/>
              <w:ind w:right="170"/>
              <w:jc w:val="right"/>
              <w:rPr>
                <w:sz w:val="20"/>
                <w:szCs w:val="20"/>
                <w:lang w:val="pt-BR"/>
              </w:rPr>
            </w:pPr>
            <w:r>
              <w:rPr>
                <w:sz w:val="20"/>
                <w:szCs w:val="20"/>
                <w:lang w:val="pt-BR"/>
              </w:rPr>
              <w:t>246</w:t>
            </w:r>
          </w:p>
        </w:tc>
        <w:tc>
          <w:tcPr>
            <w:tcW w:w="351" w:type="pct"/>
          </w:tcPr>
          <w:p w:rsidR="00000000" w:rsidRDefault="00000000">
            <w:pPr>
              <w:spacing w:before="80" w:after="80"/>
              <w:ind w:right="170"/>
              <w:jc w:val="right"/>
              <w:rPr>
                <w:sz w:val="20"/>
                <w:szCs w:val="20"/>
                <w:lang w:val="pt-BR"/>
              </w:rPr>
            </w:pPr>
            <w:r>
              <w:rPr>
                <w:sz w:val="20"/>
                <w:szCs w:val="20"/>
                <w:lang w:val="pt-BR"/>
              </w:rPr>
              <w:t>27.5</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pt-BR"/>
              </w:rPr>
            </w:pPr>
            <w:r>
              <w:rPr>
                <w:sz w:val="20"/>
                <w:szCs w:val="20"/>
                <w:lang w:val="pt-BR"/>
              </w:rPr>
              <w:t>Central</w:t>
            </w:r>
          </w:p>
        </w:tc>
        <w:tc>
          <w:tcPr>
            <w:tcW w:w="448" w:type="pct"/>
          </w:tcPr>
          <w:p w:rsidR="00000000" w:rsidRDefault="00000000">
            <w:pPr>
              <w:spacing w:before="80" w:after="80"/>
              <w:ind w:right="170"/>
              <w:jc w:val="right"/>
              <w:rPr>
                <w:sz w:val="20"/>
                <w:szCs w:val="20"/>
                <w:lang w:val="pt-BR"/>
              </w:rPr>
            </w:pPr>
            <w:r>
              <w:rPr>
                <w:sz w:val="20"/>
                <w:szCs w:val="20"/>
                <w:lang w:val="pt-BR"/>
              </w:rPr>
              <w:t>12 972</w:t>
            </w:r>
          </w:p>
        </w:tc>
        <w:tc>
          <w:tcPr>
            <w:tcW w:w="354" w:type="pct"/>
          </w:tcPr>
          <w:p w:rsidR="00000000" w:rsidRDefault="00000000">
            <w:pPr>
              <w:spacing w:before="80" w:after="80"/>
              <w:ind w:right="170"/>
              <w:jc w:val="right"/>
              <w:rPr>
                <w:sz w:val="20"/>
                <w:szCs w:val="20"/>
                <w:lang w:val="pt-BR"/>
              </w:rPr>
            </w:pPr>
            <w:r>
              <w:rPr>
                <w:sz w:val="20"/>
                <w:szCs w:val="20"/>
                <w:lang w:val="pt-BR"/>
              </w:rPr>
              <w:t>225</w:t>
            </w:r>
          </w:p>
        </w:tc>
        <w:tc>
          <w:tcPr>
            <w:tcW w:w="355" w:type="pct"/>
          </w:tcPr>
          <w:p w:rsidR="00000000" w:rsidRDefault="00000000">
            <w:pPr>
              <w:spacing w:before="80" w:after="80"/>
              <w:ind w:right="170"/>
              <w:jc w:val="right"/>
              <w:rPr>
                <w:sz w:val="20"/>
                <w:szCs w:val="20"/>
                <w:lang w:val="pt-BR"/>
              </w:rPr>
            </w:pPr>
            <w:r>
              <w:rPr>
                <w:sz w:val="20"/>
                <w:szCs w:val="20"/>
                <w:lang w:val="pt-BR"/>
              </w:rPr>
              <w:t>17.3</w:t>
            </w:r>
          </w:p>
        </w:tc>
        <w:tc>
          <w:tcPr>
            <w:tcW w:w="417" w:type="pct"/>
          </w:tcPr>
          <w:p w:rsidR="00000000" w:rsidRDefault="00000000">
            <w:pPr>
              <w:spacing w:before="80" w:after="80"/>
              <w:ind w:right="170"/>
              <w:jc w:val="right"/>
              <w:rPr>
                <w:sz w:val="20"/>
                <w:szCs w:val="20"/>
                <w:lang w:val="pt-BR"/>
              </w:rPr>
            </w:pPr>
            <w:r>
              <w:rPr>
                <w:sz w:val="20"/>
                <w:szCs w:val="20"/>
                <w:lang w:val="pt-BR"/>
              </w:rPr>
              <w:t>12 573</w:t>
            </w:r>
          </w:p>
        </w:tc>
        <w:tc>
          <w:tcPr>
            <w:tcW w:w="292" w:type="pct"/>
          </w:tcPr>
          <w:p w:rsidR="00000000" w:rsidRDefault="00000000">
            <w:pPr>
              <w:spacing w:before="80" w:after="80"/>
              <w:ind w:right="170"/>
              <w:jc w:val="right"/>
              <w:rPr>
                <w:sz w:val="20"/>
                <w:szCs w:val="20"/>
                <w:lang w:val="pt-BR"/>
              </w:rPr>
            </w:pPr>
            <w:r>
              <w:rPr>
                <w:sz w:val="20"/>
                <w:szCs w:val="20"/>
                <w:lang w:val="pt-BR"/>
              </w:rPr>
              <w:t>173</w:t>
            </w:r>
          </w:p>
        </w:tc>
        <w:tc>
          <w:tcPr>
            <w:tcW w:w="331" w:type="pct"/>
          </w:tcPr>
          <w:p w:rsidR="00000000" w:rsidRDefault="00000000">
            <w:pPr>
              <w:spacing w:before="80" w:after="80"/>
              <w:ind w:right="170"/>
              <w:jc w:val="right"/>
              <w:rPr>
                <w:sz w:val="20"/>
                <w:szCs w:val="20"/>
                <w:lang w:val="pt-BR"/>
              </w:rPr>
            </w:pPr>
            <w:r>
              <w:rPr>
                <w:sz w:val="20"/>
                <w:szCs w:val="20"/>
                <w:lang w:val="pt-BR"/>
              </w:rPr>
              <w:t>13.8</w:t>
            </w:r>
          </w:p>
        </w:tc>
        <w:tc>
          <w:tcPr>
            <w:tcW w:w="344" w:type="pct"/>
          </w:tcPr>
          <w:p w:rsidR="00000000" w:rsidRDefault="00000000">
            <w:pPr>
              <w:spacing w:before="80" w:after="80"/>
              <w:ind w:right="170"/>
              <w:jc w:val="right"/>
              <w:rPr>
                <w:sz w:val="20"/>
                <w:szCs w:val="20"/>
                <w:lang w:val="pt-BR"/>
              </w:rPr>
            </w:pPr>
            <w:r>
              <w:rPr>
                <w:sz w:val="20"/>
                <w:szCs w:val="20"/>
                <w:lang w:val="pt-BR"/>
              </w:rPr>
              <w:t>2</w:t>
            </w:r>
          </w:p>
        </w:tc>
        <w:tc>
          <w:tcPr>
            <w:tcW w:w="292" w:type="pct"/>
          </w:tcPr>
          <w:p w:rsidR="00000000" w:rsidRDefault="00000000">
            <w:pPr>
              <w:spacing w:before="80" w:after="80"/>
              <w:ind w:right="170"/>
              <w:jc w:val="right"/>
              <w:rPr>
                <w:sz w:val="20"/>
                <w:lang w:val="pt-BR"/>
              </w:rPr>
            </w:pPr>
            <w:r>
              <w:rPr>
                <w:sz w:val="20"/>
                <w:szCs w:val="20"/>
                <w:lang w:val="pt-BR"/>
              </w:rPr>
              <w:t>0</w:t>
            </w:r>
          </w:p>
        </w:tc>
        <w:tc>
          <w:tcPr>
            <w:tcW w:w="331" w:type="pct"/>
          </w:tcPr>
          <w:p w:rsidR="00000000" w:rsidRDefault="00000000">
            <w:pPr>
              <w:spacing w:before="80" w:after="80"/>
              <w:ind w:right="170"/>
              <w:jc w:val="right"/>
              <w:rPr>
                <w:sz w:val="20"/>
                <w:szCs w:val="20"/>
                <w:lang w:val="pt-BR"/>
              </w:rPr>
            </w:pPr>
            <w:r>
              <w:rPr>
                <w:sz w:val="20"/>
                <w:szCs w:val="20"/>
                <w:lang w:val="pt-BR"/>
              </w:rPr>
              <w:t>A</w:t>
            </w:r>
          </w:p>
        </w:tc>
        <w:tc>
          <w:tcPr>
            <w:tcW w:w="417" w:type="pct"/>
          </w:tcPr>
          <w:p w:rsidR="00000000" w:rsidRDefault="00000000">
            <w:pPr>
              <w:spacing w:before="80" w:after="80"/>
              <w:ind w:right="170"/>
              <w:jc w:val="right"/>
              <w:rPr>
                <w:sz w:val="20"/>
                <w:szCs w:val="20"/>
                <w:lang w:val="pt-BR"/>
              </w:rPr>
            </w:pPr>
            <w:r>
              <w:rPr>
                <w:sz w:val="20"/>
                <w:szCs w:val="20"/>
                <w:lang w:val="pt-BR"/>
              </w:rPr>
              <w:t>25 557</w:t>
            </w:r>
          </w:p>
        </w:tc>
        <w:tc>
          <w:tcPr>
            <w:tcW w:w="354" w:type="pct"/>
          </w:tcPr>
          <w:p w:rsidR="00000000" w:rsidRDefault="00000000">
            <w:pPr>
              <w:spacing w:before="80" w:after="80"/>
              <w:ind w:right="170"/>
              <w:jc w:val="right"/>
              <w:rPr>
                <w:sz w:val="20"/>
                <w:szCs w:val="20"/>
                <w:lang w:val="pt-BR"/>
              </w:rPr>
            </w:pPr>
            <w:r>
              <w:rPr>
                <w:sz w:val="20"/>
                <w:szCs w:val="20"/>
                <w:lang w:val="pt-BR"/>
              </w:rPr>
              <w:t>398</w:t>
            </w:r>
          </w:p>
        </w:tc>
        <w:tc>
          <w:tcPr>
            <w:tcW w:w="351" w:type="pct"/>
          </w:tcPr>
          <w:p w:rsidR="00000000" w:rsidRDefault="00000000">
            <w:pPr>
              <w:spacing w:before="80" w:after="80"/>
              <w:ind w:right="170"/>
              <w:jc w:val="right"/>
              <w:rPr>
                <w:sz w:val="20"/>
                <w:szCs w:val="20"/>
                <w:lang w:val="pt-BR"/>
              </w:rPr>
            </w:pPr>
            <w:r>
              <w:rPr>
                <w:sz w:val="20"/>
                <w:szCs w:val="20"/>
                <w:lang w:val="pt-BR"/>
              </w:rPr>
              <w:t>15.6</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pt-BR"/>
              </w:rPr>
            </w:pPr>
            <w:r>
              <w:rPr>
                <w:sz w:val="20"/>
                <w:szCs w:val="20"/>
                <w:lang w:val="pt-BR"/>
              </w:rPr>
              <w:t>Ñeembucú</w:t>
            </w:r>
          </w:p>
        </w:tc>
        <w:tc>
          <w:tcPr>
            <w:tcW w:w="448" w:type="pct"/>
          </w:tcPr>
          <w:p w:rsidR="00000000" w:rsidRDefault="00000000">
            <w:pPr>
              <w:spacing w:before="80" w:after="80"/>
              <w:ind w:right="170"/>
              <w:jc w:val="right"/>
              <w:rPr>
                <w:sz w:val="20"/>
                <w:szCs w:val="20"/>
                <w:lang w:val="en-US"/>
              </w:rPr>
            </w:pPr>
            <w:r>
              <w:rPr>
                <w:sz w:val="20"/>
                <w:szCs w:val="20"/>
                <w:lang w:val="en-US"/>
              </w:rPr>
              <w:t>542</w:t>
            </w:r>
          </w:p>
        </w:tc>
        <w:tc>
          <w:tcPr>
            <w:tcW w:w="354" w:type="pct"/>
          </w:tcPr>
          <w:p w:rsidR="00000000" w:rsidRDefault="00000000">
            <w:pPr>
              <w:spacing w:before="80" w:after="80"/>
              <w:ind w:right="170"/>
              <w:jc w:val="right"/>
              <w:rPr>
                <w:sz w:val="20"/>
                <w:szCs w:val="20"/>
                <w:lang w:val="en-US"/>
              </w:rPr>
            </w:pPr>
            <w:r>
              <w:rPr>
                <w:sz w:val="20"/>
                <w:szCs w:val="20"/>
                <w:lang w:val="en-US"/>
              </w:rPr>
              <w:t>9</w:t>
            </w:r>
          </w:p>
        </w:tc>
        <w:tc>
          <w:tcPr>
            <w:tcW w:w="355" w:type="pct"/>
          </w:tcPr>
          <w:p w:rsidR="00000000" w:rsidRDefault="00000000">
            <w:pPr>
              <w:spacing w:before="80" w:after="80"/>
              <w:ind w:right="170"/>
              <w:jc w:val="right"/>
              <w:rPr>
                <w:sz w:val="20"/>
                <w:szCs w:val="20"/>
                <w:lang w:val="en-US"/>
              </w:rPr>
            </w:pPr>
            <w:r>
              <w:rPr>
                <w:sz w:val="20"/>
                <w:szCs w:val="20"/>
                <w:lang w:val="en-US"/>
              </w:rPr>
              <w:t>16.6</w:t>
            </w:r>
          </w:p>
        </w:tc>
        <w:tc>
          <w:tcPr>
            <w:tcW w:w="417" w:type="pct"/>
          </w:tcPr>
          <w:p w:rsidR="00000000" w:rsidRDefault="00000000">
            <w:pPr>
              <w:spacing w:before="80" w:after="80"/>
              <w:ind w:right="170"/>
              <w:jc w:val="right"/>
              <w:rPr>
                <w:sz w:val="20"/>
                <w:szCs w:val="20"/>
                <w:lang w:val="en-US"/>
              </w:rPr>
            </w:pPr>
            <w:r>
              <w:rPr>
                <w:sz w:val="20"/>
                <w:szCs w:val="20"/>
                <w:lang w:val="en-US"/>
              </w:rPr>
              <w:t>543</w:t>
            </w:r>
          </w:p>
        </w:tc>
        <w:tc>
          <w:tcPr>
            <w:tcW w:w="292" w:type="pct"/>
          </w:tcPr>
          <w:p w:rsidR="00000000" w:rsidRDefault="00000000">
            <w:pPr>
              <w:spacing w:before="80" w:after="80"/>
              <w:ind w:right="170"/>
              <w:jc w:val="right"/>
              <w:rPr>
                <w:sz w:val="20"/>
                <w:szCs w:val="20"/>
                <w:lang w:val="en-US"/>
              </w:rPr>
            </w:pPr>
            <w:r>
              <w:rPr>
                <w:sz w:val="20"/>
                <w:szCs w:val="20"/>
                <w:lang w:val="en-US"/>
              </w:rPr>
              <w:t>11</w:t>
            </w:r>
          </w:p>
        </w:tc>
        <w:tc>
          <w:tcPr>
            <w:tcW w:w="331" w:type="pct"/>
          </w:tcPr>
          <w:p w:rsidR="00000000" w:rsidRDefault="00000000">
            <w:pPr>
              <w:spacing w:before="80" w:after="80"/>
              <w:ind w:right="170"/>
              <w:jc w:val="right"/>
              <w:rPr>
                <w:sz w:val="20"/>
                <w:szCs w:val="20"/>
                <w:lang w:val="en-US"/>
              </w:rPr>
            </w:pPr>
            <w:r>
              <w:rPr>
                <w:sz w:val="20"/>
                <w:szCs w:val="20"/>
                <w:lang w:val="en-US"/>
              </w:rPr>
              <w:t>20.3</w:t>
            </w:r>
          </w:p>
        </w:tc>
        <w:tc>
          <w:tcPr>
            <w:tcW w:w="344" w:type="pct"/>
          </w:tcPr>
          <w:p w:rsidR="00000000" w:rsidRDefault="00000000">
            <w:pPr>
              <w:spacing w:before="80" w:after="80"/>
              <w:ind w:right="170"/>
              <w:jc w:val="right"/>
              <w:rPr>
                <w:sz w:val="20"/>
                <w:szCs w:val="20"/>
                <w:lang w:val="en-US"/>
              </w:rPr>
            </w:pPr>
            <w:r>
              <w:rPr>
                <w:sz w:val="20"/>
                <w:szCs w:val="20"/>
                <w:lang w:val="en-US"/>
              </w:rPr>
              <w:t>0</w:t>
            </w:r>
          </w:p>
        </w:tc>
        <w:tc>
          <w:tcPr>
            <w:tcW w:w="292" w:type="pct"/>
          </w:tcPr>
          <w:p w:rsidR="00000000" w:rsidRDefault="00000000">
            <w:pPr>
              <w:spacing w:before="80" w:after="80"/>
              <w:ind w:right="170"/>
              <w:jc w:val="right"/>
              <w:rPr>
                <w:sz w:val="20"/>
                <w:lang w:val="en-US"/>
              </w:rPr>
            </w:pPr>
            <w:r>
              <w:rPr>
                <w:sz w:val="20"/>
                <w:szCs w:val="20"/>
                <w:lang w:val="en-US"/>
              </w:rPr>
              <w:t>0</w:t>
            </w:r>
          </w:p>
        </w:tc>
        <w:tc>
          <w:tcPr>
            <w:tcW w:w="331" w:type="pct"/>
          </w:tcPr>
          <w:p w:rsidR="00000000" w:rsidRDefault="00000000">
            <w:pPr>
              <w:spacing w:before="80" w:after="80"/>
              <w:ind w:right="170"/>
              <w:jc w:val="right"/>
              <w:rPr>
                <w:sz w:val="20"/>
                <w:szCs w:val="20"/>
                <w:lang w:val="en-US"/>
              </w:rPr>
            </w:pPr>
            <w:r>
              <w:rPr>
                <w:sz w:val="20"/>
                <w:szCs w:val="20"/>
                <w:lang w:val="en-US"/>
              </w:rPr>
              <w:t>B</w:t>
            </w:r>
          </w:p>
        </w:tc>
        <w:tc>
          <w:tcPr>
            <w:tcW w:w="417" w:type="pct"/>
          </w:tcPr>
          <w:p w:rsidR="00000000" w:rsidRDefault="00000000">
            <w:pPr>
              <w:spacing w:before="80" w:after="80"/>
              <w:ind w:right="170"/>
              <w:jc w:val="right"/>
              <w:rPr>
                <w:sz w:val="20"/>
                <w:szCs w:val="20"/>
                <w:lang w:val="en-US"/>
              </w:rPr>
            </w:pPr>
            <w:r>
              <w:rPr>
                <w:sz w:val="20"/>
                <w:szCs w:val="20"/>
                <w:lang w:val="en-US"/>
              </w:rPr>
              <w:t>1 085</w:t>
            </w:r>
          </w:p>
        </w:tc>
        <w:tc>
          <w:tcPr>
            <w:tcW w:w="354" w:type="pct"/>
          </w:tcPr>
          <w:p w:rsidR="00000000" w:rsidRDefault="00000000">
            <w:pPr>
              <w:spacing w:before="80" w:after="80"/>
              <w:ind w:right="170"/>
              <w:jc w:val="right"/>
              <w:rPr>
                <w:sz w:val="20"/>
                <w:szCs w:val="20"/>
                <w:lang w:val="en-US"/>
              </w:rPr>
            </w:pPr>
            <w:r>
              <w:rPr>
                <w:sz w:val="20"/>
                <w:szCs w:val="20"/>
                <w:lang w:val="en-US"/>
              </w:rPr>
              <w:t>20</w:t>
            </w:r>
          </w:p>
        </w:tc>
        <w:tc>
          <w:tcPr>
            <w:tcW w:w="351" w:type="pct"/>
          </w:tcPr>
          <w:p w:rsidR="00000000" w:rsidRDefault="00000000">
            <w:pPr>
              <w:spacing w:before="80" w:after="80"/>
              <w:ind w:right="170"/>
              <w:jc w:val="right"/>
              <w:rPr>
                <w:sz w:val="20"/>
                <w:szCs w:val="20"/>
                <w:lang w:val="en-US"/>
              </w:rPr>
            </w:pPr>
            <w:r>
              <w:rPr>
                <w:sz w:val="20"/>
                <w:szCs w:val="20"/>
                <w:lang w:val="en-US"/>
              </w:rPr>
              <w:t>18.4</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en-US"/>
              </w:rPr>
            </w:pPr>
            <w:r>
              <w:rPr>
                <w:sz w:val="20"/>
                <w:szCs w:val="20"/>
                <w:lang w:val="en-US"/>
              </w:rPr>
              <w:t>Amambay</w:t>
            </w:r>
          </w:p>
        </w:tc>
        <w:tc>
          <w:tcPr>
            <w:tcW w:w="448" w:type="pct"/>
          </w:tcPr>
          <w:p w:rsidR="00000000" w:rsidRDefault="00000000">
            <w:pPr>
              <w:spacing w:before="80" w:after="80"/>
              <w:ind w:right="170"/>
              <w:jc w:val="right"/>
              <w:rPr>
                <w:sz w:val="20"/>
                <w:szCs w:val="20"/>
                <w:lang w:val="en-US"/>
              </w:rPr>
            </w:pPr>
            <w:r>
              <w:rPr>
                <w:sz w:val="20"/>
                <w:szCs w:val="20"/>
                <w:lang w:val="en-US"/>
              </w:rPr>
              <w:t>721</w:t>
            </w:r>
          </w:p>
        </w:tc>
        <w:tc>
          <w:tcPr>
            <w:tcW w:w="354" w:type="pct"/>
          </w:tcPr>
          <w:p w:rsidR="00000000" w:rsidRDefault="00000000">
            <w:pPr>
              <w:spacing w:before="80" w:after="80"/>
              <w:ind w:right="170"/>
              <w:jc w:val="right"/>
              <w:rPr>
                <w:sz w:val="20"/>
                <w:szCs w:val="20"/>
                <w:lang w:val="en-US"/>
              </w:rPr>
            </w:pPr>
            <w:r>
              <w:rPr>
                <w:sz w:val="20"/>
                <w:szCs w:val="20"/>
                <w:lang w:val="en-US"/>
              </w:rPr>
              <w:t>17</w:t>
            </w:r>
          </w:p>
        </w:tc>
        <w:tc>
          <w:tcPr>
            <w:tcW w:w="355" w:type="pct"/>
          </w:tcPr>
          <w:p w:rsidR="00000000" w:rsidRDefault="00000000">
            <w:pPr>
              <w:spacing w:before="80" w:after="80"/>
              <w:ind w:right="170"/>
              <w:jc w:val="right"/>
              <w:rPr>
                <w:sz w:val="20"/>
                <w:szCs w:val="20"/>
                <w:lang w:val="en-US"/>
              </w:rPr>
            </w:pPr>
            <w:r>
              <w:rPr>
                <w:sz w:val="20"/>
                <w:szCs w:val="20"/>
                <w:lang w:val="en-US"/>
              </w:rPr>
              <w:t>23.6</w:t>
            </w:r>
          </w:p>
        </w:tc>
        <w:tc>
          <w:tcPr>
            <w:tcW w:w="417" w:type="pct"/>
          </w:tcPr>
          <w:p w:rsidR="00000000" w:rsidRDefault="00000000">
            <w:pPr>
              <w:spacing w:before="80" w:after="80"/>
              <w:ind w:right="170"/>
              <w:jc w:val="right"/>
              <w:rPr>
                <w:sz w:val="20"/>
                <w:szCs w:val="20"/>
                <w:lang w:val="en-US"/>
              </w:rPr>
            </w:pPr>
            <w:r>
              <w:rPr>
                <w:sz w:val="20"/>
                <w:szCs w:val="20"/>
                <w:lang w:val="en-US"/>
              </w:rPr>
              <w:t>637</w:t>
            </w:r>
          </w:p>
        </w:tc>
        <w:tc>
          <w:tcPr>
            <w:tcW w:w="292" w:type="pct"/>
          </w:tcPr>
          <w:p w:rsidR="00000000" w:rsidRDefault="00000000">
            <w:pPr>
              <w:spacing w:before="80" w:after="80"/>
              <w:ind w:right="170"/>
              <w:jc w:val="right"/>
              <w:rPr>
                <w:sz w:val="20"/>
                <w:szCs w:val="20"/>
                <w:lang w:val="en-US"/>
              </w:rPr>
            </w:pPr>
            <w:r>
              <w:rPr>
                <w:sz w:val="20"/>
                <w:szCs w:val="20"/>
                <w:lang w:val="en-US"/>
              </w:rPr>
              <w:t>22</w:t>
            </w:r>
          </w:p>
        </w:tc>
        <w:tc>
          <w:tcPr>
            <w:tcW w:w="331" w:type="pct"/>
          </w:tcPr>
          <w:p w:rsidR="00000000" w:rsidRDefault="00000000">
            <w:pPr>
              <w:spacing w:before="80" w:after="80"/>
              <w:ind w:right="170"/>
              <w:jc w:val="right"/>
              <w:rPr>
                <w:sz w:val="20"/>
                <w:szCs w:val="20"/>
                <w:lang w:val="en-US"/>
              </w:rPr>
            </w:pPr>
            <w:r>
              <w:rPr>
                <w:sz w:val="20"/>
                <w:szCs w:val="20"/>
                <w:lang w:val="en-US"/>
              </w:rPr>
              <w:t>34.5</w:t>
            </w:r>
          </w:p>
        </w:tc>
        <w:tc>
          <w:tcPr>
            <w:tcW w:w="344" w:type="pct"/>
          </w:tcPr>
          <w:p w:rsidR="00000000" w:rsidRDefault="00000000">
            <w:pPr>
              <w:spacing w:before="80" w:after="80"/>
              <w:ind w:right="170"/>
              <w:jc w:val="right"/>
              <w:rPr>
                <w:sz w:val="20"/>
                <w:szCs w:val="20"/>
                <w:lang w:val="en-US"/>
              </w:rPr>
            </w:pPr>
            <w:r>
              <w:rPr>
                <w:sz w:val="20"/>
                <w:szCs w:val="20"/>
                <w:lang w:val="en-US"/>
              </w:rPr>
              <w:t>0</w:t>
            </w:r>
          </w:p>
        </w:tc>
        <w:tc>
          <w:tcPr>
            <w:tcW w:w="292" w:type="pct"/>
          </w:tcPr>
          <w:p w:rsidR="00000000" w:rsidRDefault="00000000">
            <w:pPr>
              <w:spacing w:before="80" w:after="80"/>
              <w:ind w:right="170"/>
              <w:jc w:val="right"/>
              <w:rPr>
                <w:sz w:val="20"/>
                <w:lang w:val="en-US"/>
              </w:rPr>
            </w:pPr>
            <w:r>
              <w:rPr>
                <w:sz w:val="20"/>
                <w:szCs w:val="20"/>
                <w:lang w:val="en-US"/>
              </w:rPr>
              <w:t>0</w:t>
            </w:r>
          </w:p>
        </w:tc>
        <w:tc>
          <w:tcPr>
            <w:tcW w:w="331" w:type="pct"/>
          </w:tcPr>
          <w:p w:rsidR="00000000" w:rsidRDefault="00000000">
            <w:pPr>
              <w:spacing w:before="80" w:after="80"/>
              <w:ind w:right="170"/>
              <w:jc w:val="right"/>
              <w:rPr>
                <w:sz w:val="20"/>
                <w:szCs w:val="20"/>
                <w:lang w:val="en-US"/>
              </w:rPr>
            </w:pPr>
            <w:r>
              <w:rPr>
                <w:sz w:val="20"/>
                <w:szCs w:val="20"/>
                <w:lang w:val="en-US"/>
              </w:rPr>
              <w:t>L</w:t>
            </w:r>
          </w:p>
        </w:tc>
        <w:tc>
          <w:tcPr>
            <w:tcW w:w="417" w:type="pct"/>
          </w:tcPr>
          <w:p w:rsidR="00000000" w:rsidRDefault="00000000">
            <w:pPr>
              <w:spacing w:before="80" w:after="80"/>
              <w:ind w:right="170"/>
              <w:jc w:val="right"/>
              <w:rPr>
                <w:sz w:val="20"/>
                <w:szCs w:val="20"/>
                <w:lang w:val="pt-BR"/>
              </w:rPr>
            </w:pPr>
            <w:r>
              <w:rPr>
                <w:sz w:val="20"/>
                <w:szCs w:val="20"/>
                <w:lang w:val="pt-BR"/>
              </w:rPr>
              <w:t>1 358</w:t>
            </w:r>
          </w:p>
        </w:tc>
        <w:tc>
          <w:tcPr>
            <w:tcW w:w="354" w:type="pct"/>
          </w:tcPr>
          <w:p w:rsidR="00000000" w:rsidRDefault="00000000">
            <w:pPr>
              <w:spacing w:before="80" w:after="80"/>
              <w:ind w:right="170"/>
              <w:jc w:val="right"/>
              <w:rPr>
                <w:sz w:val="20"/>
                <w:szCs w:val="20"/>
                <w:lang w:val="pt-BR"/>
              </w:rPr>
            </w:pPr>
            <w:r>
              <w:rPr>
                <w:sz w:val="20"/>
                <w:szCs w:val="20"/>
                <w:lang w:val="pt-BR"/>
              </w:rPr>
              <w:t>39</w:t>
            </w:r>
          </w:p>
        </w:tc>
        <w:tc>
          <w:tcPr>
            <w:tcW w:w="351" w:type="pct"/>
          </w:tcPr>
          <w:p w:rsidR="00000000" w:rsidRDefault="00000000">
            <w:pPr>
              <w:spacing w:before="80" w:after="80"/>
              <w:ind w:right="170"/>
              <w:jc w:val="right"/>
              <w:rPr>
                <w:sz w:val="20"/>
                <w:szCs w:val="20"/>
                <w:lang w:val="pt-BR"/>
              </w:rPr>
            </w:pPr>
            <w:r>
              <w:rPr>
                <w:sz w:val="20"/>
                <w:szCs w:val="20"/>
                <w:lang w:val="pt-BR"/>
              </w:rPr>
              <w:t>28.7</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pt-BR"/>
              </w:rPr>
            </w:pPr>
            <w:r>
              <w:rPr>
                <w:sz w:val="20"/>
                <w:szCs w:val="20"/>
                <w:lang w:val="pt-BR"/>
              </w:rPr>
              <w:t>Canindeyú</w:t>
            </w:r>
          </w:p>
        </w:tc>
        <w:tc>
          <w:tcPr>
            <w:tcW w:w="448" w:type="pct"/>
          </w:tcPr>
          <w:p w:rsidR="00000000" w:rsidRDefault="00000000">
            <w:pPr>
              <w:spacing w:before="80" w:after="80"/>
              <w:ind w:right="170"/>
              <w:jc w:val="right"/>
              <w:rPr>
                <w:sz w:val="20"/>
                <w:szCs w:val="20"/>
                <w:lang w:val="pt-BR"/>
              </w:rPr>
            </w:pPr>
            <w:r>
              <w:rPr>
                <w:sz w:val="20"/>
                <w:szCs w:val="20"/>
                <w:lang w:val="pt-BR"/>
              </w:rPr>
              <w:t>775</w:t>
            </w:r>
          </w:p>
        </w:tc>
        <w:tc>
          <w:tcPr>
            <w:tcW w:w="354" w:type="pct"/>
          </w:tcPr>
          <w:p w:rsidR="00000000" w:rsidRDefault="00000000">
            <w:pPr>
              <w:spacing w:before="80" w:after="80"/>
              <w:ind w:right="170"/>
              <w:jc w:val="right"/>
              <w:rPr>
                <w:sz w:val="20"/>
                <w:szCs w:val="20"/>
                <w:lang w:val="pt-BR"/>
              </w:rPr>
            </w:pPr>
            <w:r>
              <w:rPr>
                <w:sz w:val="20"/>
                <w:szCs w:val="20"/>
                <w:lang w:val="pt-BR"/>
              </w:rPr>
              <w:t>19</w:t>
            </w:r>
          </w:p>
        </w:tc>
        <w:tc>
          <w:tcPr>
            <w:tcW w:w="355" w:type="pct"/>
          </w:tcPr>
          <w:p w:rsidR="00000000" w:rsidRDefault="00000000">
            <w:pPr>
              <w:spacing w:before="80" w:after="80"/>
              <w:ind w:right="170"/>
              <w:jc w:val="right"/>
              <w:rPr>
                <w:sz w:val="20"/>
                <w:szCs w:val="20"/>
                <w:lang w:val="pt-BR"/>
              </w:rPr>
            </w:pPr>
            <w:r>
              <w:rPr>
                <w:sz w:val="20"/>
                <w:szCs w:val="20"/>
                <w:lang w:val="pt-BR"/>
              </w:rPr>
              <w:t>24.5</w:t>
            </w:r>
          </w:p>
        </w:tc>
        <w:tc>
          <w:tcPr>
            <w:tcW w:w="417" w:type="pct"/>
          </w:tcPr>
          <w:p w:rsidR="00000000" w:rsidRDefault="00000000">
            <w:pPr>
              <w:spacing w:before="80" w:after="80"/>
              <w:ind w:right="170"/>
              <w:jc w:val="right"/>
              <w:rPr>
                <w:sz w:val="20"/>
                <w:szCs w:val="20"/>
                <w:lang w:val="pt-BR"/>
              </w:rPr>
            </w:pPr>
            <w:r>
              <w:rPr>
                <w:sz w:val="20"/>
                <w:szCs w:val="20"/>
                <w:lang w:val="pt-BR"/>
              </w:rPr>
              <w:t>754</w:t>
            </w:r>
          </w:p>
        </w:tc>
        <w:tc>
          <w:tcPr>
            <w:tcW w:w="292" w:type="pct"/>
          </w:tcPr>
          <w:p w:rsidR="00000000" w:rsidRDefault="00000000">
            <w:pPr>
              <w:spacing w:before="80" w:after="80"/>
              <w:ind w:right="170"/>
              <w:jc w:val="right"/>
              <w:rPr>
                <w:sz w:val="20"/>
                <w:szCs w:val="20"/>
                <w:lang w:val="pt-BR"/>
              </w:rPr>
            </w:pPr>
            <w:r>
              <w:rPr>
                <w:sz w:val="20"/>
                <w:szCs w:val="20"/>
                <w:lang w:val="pt-BR"/>
              </w:rPr>
              <w:t>12</w:t>
            </w:r>
          </w:p>
        </w:tc>
        <w:tc>
          <w:tcPr>
            <w:tcW w:w="331" w:type="pct"/>
          </w:tcPr>
          <w:p w:rsidR="00000000" w:rsidRDefault="00000000">
            <w:pPr>
              <w:spacing w:before="80" w:after="80"/>
              <w:ind w:right="170"/>
              <w:jc w:val="right"/>
              <w:rPr>
                <w:sz w:val="20"/>
                <w:szCs w:val="20"/>
                <w:lang w:val="pt-BR"/>
              </w:rPr>
            </w:pPr>
            <w:r>
              <w:rPr>
                <w:sz w:val="20"/>
                <w:szCs w:val="20"/>
                <w:lang w:val="pt-BR"/>
              </w:rPr>
              <w:t>15.9</w:t>
            </w:r>
          </w:p>
        </w:tc>
        <w:tc>
          <w:tcPr>
            <w:tcW w:w="344" w:type="pct"/>
          </w:tcPr>
          <w:p w:rsidR="00000000" w:rsidRDefault="00000000">
            <w:pPr>
              <w:spacing w:before="80" w:after="80"/>
              <w:ind w:right="170"/>
              <w:jc w:val="right"/>
              <w:rPr>
                <w:sz w:val="20"/>
                <w:szCs w:val="20"/>
                <w:lang w:val="pt-BR"/>
              </w:rPr>
            </w:pPr>
            <w:r>
              <w:rPr>
                <w:sz w:val="20"/>
                <w:szCs w:val="20"/>
                <w:lang w:val="pt-BR"/>
              </w:rPr>
              <w:t>0</w:t>
            </w:r>
          </w:p>
        </w:tc>
        <w:tc>
          <w:tcPr>
            <w:tcW w:w="292" w:type="pct"/>
          </w:tcPr>
          <w:p w:rsidR="00000000" w:rsidRDefault="00000000">
            <w:pPr>
              <w:spacing w:before="80" w:after="80"/>
              <w:ind w:right="170"/>
              <w:jc w:val="right"/>
              <w:rPr>
                <w:sz w:val="20"/>
                <w:lang w:val="pt-BR"/>
              </w:rPr>
            </w:pPr>
            <w:r>
              <w:rPr>
                <w:sz w:val="20"/>
                <w:szCs w:val="20"/>
                <w:lang w:val="pt-BR"/>
              </w:rPr>
              <w:t>0</w:t>
            </w:r>
          </w:p>
        </w:tc>
        <w:tc>
          <w:tcPr>
            <w:tcW w:w="331" w:type="pct"/>
          </w:tcPr>
          <w:p w:rsidR="00000000" w:rsidRDefault="00000000">
            <w:pPr>
              <w:spacing w:before="80" w:after="80"/>
              <w:ind w:right="170"/>
              <w:jc w:val="right"/>
              <w:rPr>
                <w:sz w:val="20"/>
                <w:szCs w:val="20"/>
                <w:lang w:val="pt-BR"/>
              </w:rPr>
            </w:pPr>
            <w:r>
              <w:rPr>
                <w:sz w:val="20"/>
                <w:szCs w:val="20"/>
                <w:lang w:val="pt-BR"/>
              </w:rPr>
              <w:t>E</w:t>
            </w:r>
          </w:p>
        </w:tc>
        <w:tc>
          <w:tcPr>
            <w:tcW w:w="417" w:type="pct"/>
          </w:tcPr>
          <w:p w:rsidR="00000000" w:rsidRDefault="00000000">
            <w:pPr>
              <w:spacing w:before="80" w:after="80"/>
              <w:ind w:right="170"/>
              <w:jc w:val="right"/>
              <w:rPr>
                <w:sz w:val="20"/>
                <w:szCs w:val="20"/>
                <w:lang w:val="pt-BR"/>
              </w:rPr>
            </w:pPr>
            <w:r>
              <w:rPr>
                <w:sz w:val="20"/>
                <w:szCs w:val="20"/>
                <w:lang w:val="pt-BR"/>
              </w:rPr>
              <w:t>1 529</w:t>
            </w:r>
          </w:p>
        </w:tc>
        <w:tc>
          <w:tcPr>
            <w:tcW w:w="354" w:type="pct"/>
          </w:tcPr>
          <w:p w:rsidR="00000000" w:rsidRDefault="00000000">
            <w:pPr>
              <w:spacing w:before="80" w:after="80"/>
              <w:ind w:right="170"/>
              <w:jc w:val="right"/>
              <w:rPr>
                <w:sz w:val="20"/>
                <w:szCs w:val="20"/>
                <w:lang w:val="pt-BR"/>
              </w:rPr>
            </w:pPr>
            <w:r>
              <w:rPr>
                <w:sz w:val="20"/>
                <w:szCs w:val="20"/>
                <w:lang w:val="pt-BR"/>
              </w:rPr>
              <w:t>31</w:t>
            </w:r>
          </w:p>
        </w:tc>
        <w:tc>
          <w:tcPr>
            <w:tcW w:w="351" w:type="pct"/>
          </w:tcPr>
          <w:p w:rsidR="00000000" w:rsidRDefault="00000000">
            <w:pPr>
              <w:spacing w:before="80" w:after="80"/>
              <w:ind w:right="170"/>
              <w:jc w:val="right"/>
              <w:rPr>
                <w:sz w:val="20"/>
                <w:szCs w:val="20"/>
                <w:lang w:val="pt-BR"/>
              </w:rPr>
            </w:pPr>
            <w:r>
              <w:rPr>
                <w:sz w:val="20"/>
                <w:szCs w:val="20"/>
                <w:lang w:val="pt-BR"/>
              </w:rPr>
              <w:t>20.3</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pt-BR"/>
              </w:rPr>
            </w:pPr>
            <w:r>
              <w:rPr>
                <w:sz w:val="20"/>
                <w:szCs w:val="20"/>
                <w:lang w:val="pt-BR"/>
              </w:rPr>
              <w:t>Presidente Hayes</w:t>
            </w:r>
          </w:p>
        </w:tc>
        <w:tc>
          <w:tcPr>
            <w:tcW w:w="448" w:type="pct"/>
            <w:vAlign w:val="bottom"/>
          </w:tcPr>
          <w:p w:rsidR="00000000" w:rsidRDefault="00000000">
            <w:pPr>
              <w:spacing w:before="80" w:after="80"/>
              <w:ind w:right="170"/>
              <w:jc w:val="right"/>
              <w:rPr>
                <w:sz w:val="20"/>
                <w:szCs w:val="20"/>
                <w:lang w:val="en-US"/>
              </w:rPr>
            </w:pPr>
            <w:r>
              <w:rPr>
                <w:sz w:val="20"/>
                <w:szCs w:val="20"/>
                <w:lang w:val="en-US"/>
              </w:rPr>
              <w:t>682</w:t>
            </w:r>
          </w:p>
        </w:tc>
        <w:tc>
          <w:tcPr>
            <w:tcW w:w="354" w:type="pct"/>
            <w:vAlign w:val="bottom"/>
          </w:tcPr>
          <w:p w:rsidR="00000000" w:rsidRDefault="00000000">
            <w:pPr>
              <w:spacing w:before="80" w:after="80"/>
              <w:ind w:right="170"/>
              <w:jc w:val="right"/>
              <w:rPr>
                <w:sz w:val="20"/>
                <w:szCs w:val="20"/>
                <w:lang w:val="en-US"/>
              </w:rPr>
            </w:pPr>
            <w:r>
              <w:rPr>
                <w:sz w:val="20"/>
                <w:szCs w:val="20"/>
                <w:lang w:val="en-US"/>
              </w:rPr>
              <w:t>15</w:t>
            </w:r>
          </w:p>
        </w:tc>
        <w:tc>
          <w:tcPr>
            <w:tcW w:w="355" w:type="pct"/>
            <w:vAlign w:val="bottom"/>
          </w:tcPr>
          <w:p w:rsidR="00000000" w:rsidRDefault="00000000">
            <w:pPr>
              <w:spacing w:before="80" w:after="80"/>
              <w:ind w:right="170"/>
              <w:jc w:val="right"/>
              <w:rPr>
                <w:sz w:val="20"/>
                <w:szCs w:val="20"/>
                <w:lang w:val="en-US"/>
              </w:rPr>
            </w:pPr>
            <w:r>
              <w:rPr>
                <w:sz w:val="20"/>
                <w:szCs w:val="20"/>
                <w:lang w:val="en-US"/>
              </w:rPr>
              <w:t>22.0</w:t>
            </w:r>
          </w:p>
        </w:tc>
        <w:tc>
          <w:tcPr>
            <w:tcW w:w="417" w:type="pct"/>
            <w:vAlign w:val="bottom"/>
          </w:tcPr>
          <w:p w:rsidR="00000000" w:rsidRDefault="00000000">
            <w:pPr>
              <w:spacing w:before="80" w:after="80"/>
              <w:ind w:right="170"/>
              <w:jc w:val="right"/>
              <w:rPr>
                <w:sz w:val="20"/>
                <w:szCs w:val="20"/>
                <w:lang w:val="en-US"/>
              </w:rPr>
            </w:pPr>
            <w:r>
              <w:rPr>
                <w:sz w:val="20"/>
                <w:szCs w:val="20"/>
                <w:lang w:val="en-US"/>
              </w:rPr>
              <w:t>613</w:t>
            </w:r>
          </w:p>
        </w:tc>
        <w:tc>
          <w:tcPr>
            <w:tcW w:w="292" w:type="pct"/>
            <w:vAlign w:val="bottom"/>
          </w:tcPr>
          <w:p w:rsidR="00000000" w:rsidRDefault="00000000">
            <w:pPr>
              <w:spacing w:before="80" w:after="80"/>
              <w:ind w:right="170"/>
              <w:jc w:val="right"/>
              <w:rPr>
                <w:sz w:val="20"/>
                <w:szCs w:val="20"/>
                <w:lang w:val="en-US"/>
              </w:rPr>
            </w:pPr>
            <w:r>
              <w:rPr>
                <w:sz w:val="20"/>
                <w:szCs w:val="20"/>
                <w:lang w:val="en-US"/>
              </w:rPr>
              <w:t>14</w:t>
            </w:r>
          </w:p>
        </w:tc>
        <w:tc>
          <w:tcPr>
            <w:tcW w:w="331" w:type="pct"/>
            <w:vAlign w:val="bottom"/>
          </w:tcPr>
          <w:p w:rsidR="00000000" w:rsidRDefault="00000000">
            <w:pPr>
              <w:spacing w:before="80" w:after="80"/>
              <w:ind w:right="170"/>
              <w:jc w:val="right"/>
              <w:rPr>
                <w:sz w:val="20"/>
                <w:szCs w:val="20"/>
                <w:lang w:val="en-US"/>
              </w:rPr>
            </w:pPr>
            <w:r>
              <w:rPr>
                <w:sz w:val="20"/>
                <w:szCs w:val="20"/>
                <w:lang w:val="en-US"/>
              </w:rPr>
              <w:t>22.8</w:t>
            </w:r>
          </w:p>
        </w:tc>
        <w:tc>
          <w:tcPr>
            <w:tcW w:w="344" w:type="pct"/>
            <w:vAlign w:val="bottom"/>
          </w:tcPr>
          <w:p w:rsidR="00000000" w:rsidRDefault="00000000">
            <w:pPr>
              <w:spacing w:before="80" w:after="80"/>
              <w:ind w:right="170"/>
              <w:jc w:val="right"/>
              <w:rPr>
                <w:sz w:val="20"/>
                <w:szCs w:val="20"/>
                <w:lang w:val="en-US"/>
              </w:rPr>
            </w:pPr>
            <w:r>
              <w:rPr>
                <w:sz w:val="20"/>
                <w:szCs w:val="20"/>
                <w:lang w:val="en-US"/>
              </w:rPr>
              <w:t>0</w:t>
            </w:r>
          </w:p>
        </w:tc>
        <w:tc>
          <w:tcPr>
            <w:tcW w:w="292" w:type="pct"/>
            <w:vAlign w:val="bottom"/>
          </w:tcPr>
          <w:p w:rsidR="00000000" w:rsidRDefault="00000000">
            <w:pPr>
              <w:spacing w:before="80" w:after="80"/>
              <w:ind w:right="170"/>
              <w:jc w:val="right"/>
              <w:rPr>
                <w:sz w:val="20"/>
                <w:lang w:val="en-US"/>
              </w:rPr>
            </w:pPr>
            <w:r>
              <w:rPr>
                <w:sz w:val="20"/>
                <w:szCs w:val="20"/>
                <w:lang w:val="en-US"/>
              </w:rPr>
              <w:t>0</w:t>
            </w:r>
          </w:p>
        </w:tc>
        <w:tc>
          <w:tcPr>
            <w:tcW w:w="331" w:type="pct"/>
            <w:vAlign w:val="bottom"/>
          </w:tcPr>
          <w:p w:rsidR="00000000" w:rsidRDefault="00000000">
            <w:pPr>
              <w:spacing w:before="80" w:after="80"/>
              <w:ind w:right="170"/>
              <w:jc w:val="right"/>
              <w:rPr>
                <w:sz w:val="20"/>
                <w:lang w:val="en-US"/>
              </w:rPr>
            </w:pPr>
            <w:r>
              <w:rPr>
                <w:b/>
                <w:bCs/>
                <w:sz w:val="20"/>
                <w:szCs w:val="20"/>
                <w:vertAlign w:val="superscript"/>
                <w:lang w:val="en-US"/>
              </w:rPr>
              <w:t>*</w:t>
            </w:r>
          </w:p>
        </w:tc>
        <w:tc>
          <w:tcPr>
            <w:tcW w:w="417" w:type="pct"/>
            <w:vAlign w:val="bottom"/>
          </w:tcPr>
          <w:p w:rsidR="00000000" w:rsidRDefault="00000000">
            <w:pPr>
              <w:spacing w:before="80" w:after="80"/>
              <w:ind w:right="170"/>
              <w:jc w:val="right"/>
              <w:rPr>
                <w:sz w:val="20"/>
                <w:szCs w:val="20"/>
                <w:lang w:val="en-US"/>
              </w:rPr>
            </w:pPr>
            <w:r>
              <w:rPr>
                <w:sz w:val="20"/>
                <w:szCs w:val="20"/>
                <w:lang w:val="en-US"/>
              </w:rPr>
              <w:t>1 295</w:t>
            </w:r>
          </w:p>
        </w:tc>
        <w:tc>
          <w:tcPr>
            <w:tcW w:w="354" w:type="pct"/>
            <w:vAlign w:val="bottom"/>
          </w:tcPr>
          <w:p w:rsidR="00000000" w:rsidRDefault="00000000">
            <w:pPr>
              <w:spacing w:before="80" w:after="80"/>
              <w:ind w:right="170"/>
              <w:jc w:val="right"/>
              <w:rPr>
                <w:sz w:val="20"/>
                <w:szCs w:val="20"/>
                <w:lang w:val="en-US"/>
              </w:rPr>
            </w:pPr>
            <w:r>
              <w:rPr>
                <w:sz w:val="20"/>
                <w:szCs w:val="20"/>
                <w:lang w:val="en-US"/>
              </w:rPr>
              <w:t>29</w:t>
            </w:r>
          </w:p>
        </w:tc>
        <w:tc>
          <w:tcPr>
            <w:tcW w:w="351" w:type="pct"/>
            <w:vAlign w:val="bottom"/>
          </w:tcPr>
          <w:p w:rsidR="00000000" w:rsidRDefault="00000000">
            <w:pPr>
              <w:spacing w:before="80" w:after="80"/>
              <w:ind w:right="170"/>
              <w:jc w:val="right"/>
              <w:rPr>
                <w:sz w:val="20"/>
                <w:szCs w:val="20"/>
                <w:lang w:val="en-US"/>
              </w:rPr>
            </w:pPr>
            <w:r>
              <w:rPr>
                <w:sz w:val="20"/>
                <w:szCs w:val="20"/>
                <w:lang w:val="en-US"/>
              </w:rPr>
              <w:t>22.4</w:t>
            </w:r>
          </w:p>
        </w:tc>
      </w:tr>
      <w:tr w:rsidR="00000000">
        <w:tblPrEx>
          <w:tblCellMar>
            <w:top w:w="0" w:type="dxa"/>
            <w:bottom w:w="0" w:type="dxa"/>
          </w:tblCellMar>
        </w:tblPrEx>
        <w:trPr>
          <w:jc w:val="center"/>
        </w:trPr>
        <w:tc>
          <w:tcPr>
            <w:tcW w:w="714" w:type="pct"/>
          </w:tcPr>
          <w:p w:rsidR="00000000" w:rsidRDefault="00000000">
            <w:pPr>
              <w:spacing w:before="80" w:after="80"/>
              <w:ind w:right="170"/>
              <w:rPr>
                <w:spacing w:val="-4"/>
                <w:sz w:val="20"/>
                <w:szCs w:val="20"/>
                <w:lang w:val="en-US"/>
              </w:rPr>
            </w:pPr>
            <w:r>
              <w:rPr>
                <w:spacing w:val="-4"/>
                <w:sz w:val="20"/>
                <w:szCs w:val="20"/>
                <w:lang w:val="en-US"/>
              </w:rPr>
              <w:t>Haut Paraguay</w:t>
            </w:r>
          </w:p>
        </w:tc>
        <w:tc>
          <w:tcPr>
            <w:tcW w:w="448" w:type="pct"/>
            <w:vAlign w:val="bottom"/>
          </w:tcPr>
          <w:p w:rsidR="00000000" w:rsidRDefault="00000000">
            <w:pPr>
              <w:spacing w:before="80" w:after="80"/>
              <w:ind w:right="170"/>
              <w:jc w:val="right"/>
              <w:rPr>
                <w:sz w:val="20"/>
                <w:szCs w:val="20"/>
                <w:lang w:val="en-US"/>
              </w:rPr>
            </w:pPr>
            <w:r>
              <w:rPr>
                <w:sz w:val="20"/>
                <w:szCs w:val="20"/>
                <w:lang w:val="en-US"/>
              </w:rPr>
              <w:t>98</w:t>
            </w:r>
          </w:p>
        </w:tc>
        <w:tc>
          <w:tcPr>
            <w:tcW w:w="354" w:type="pct"/>
            <w:vAlign w:val="bottom"/>
          </w:tcPr>
          <w:p w:rsidR="00000000" w:rsidRDefault="00000000">
            <w:pPr>
              <w:spacing w:before="80" w:after="80"/>
              <w:ind w:right="170"/>
              <w:jc w:val="right"/>
              <w:rPr>
                <w:sz w:val="20"/>
                <w:szCs w:val="20"/>
                <w:lang w:val="en-US"/>
              </w:rPr>
            </w:pPr>
            <w:r>
              <w:rPr>
                <w:sz w:val="20"/>
                <w:szCs w:val="20"/>
                <w:lang w:val="en-US"/>
              </w:rPr>
              <w:t>3</w:t>
            </w:r>
          </w:p>
        </w:tc>
        <w:tc>
          <w:tcPr>
            <w:tcW w:w="355" w:type="pct"/>
            <w:vAlign w:val="bottom"/>
          </w:tcPr>
          <w:p w:rsidR="00000000" w:rsidRDefault="00000000">
            <w:pPr>
              <w:spacing w:before="80" w:after="80"/>
              <w:ind w:right="170"/>
              <w:jc w:val="right"/>
              <w:rPr>
                <w:sz w:val="20"/>
                <w:szCs w:val="20"/>
                <w:lang w:val="en-US"/>
              </w:rPr>
            </w:pPr>
            <w:r>
              <w:rPr>
                <w:sz w:val="20"/>
                <w:szCs w:val="20"/>
                <w:lang w:val="en-US"/>
              </w:rPr>
              <w:t>30.6</w:t>
            </w:r>
          </w:p>
        </w:tc>
        <w:tc>
          <w:tcPr>
            <w:tcW w:w="417" w:type="pct"/>
            <w:vAlign w:val="bottom"/>
          </w:tcPr>
          <w:p w:rsidR="00000000" w:rsidRDefault="00000000">
            <w:pPr>
              <w:spacing w:before="80" w:after="80"/>
              <w:ind w:right="170"/>
              <w:jc w:val="right"/>
              <w:rPr>
                <w:sz w:val="20"/>
                <w:szCs w:val="20"/>
                <w:lang w:val="en-US"/>
              </w:rPr>
            </w:pPr>
            <w:r>
              <w:rPr>
                <w:sz w:val="20"/>
                <w:szCs w:val="20"/>
                <w:lang w:val="en-US"/>
              </w:rPr>
              <w:t>94</w:t>
            </w:r>
          </w:p>
        </w:tc>
        <w:tc>
          <w:tcPr>
            <w:tcW w:w="292" w:type="pct"/>
            <w:vAlign w:val="bottom"/>
          </w:tcPr>
          <w:p w:rsidR="00000000" w:rsidRDefault="00000000">
            <w:pPr>
              <w:spacing w:before="80" w:after="80"/>
              <w:ind w:right="170"/>
              <w:jc w:val="right"/>
              <w:rPr>
                <w:sz w:val="20"/>
                <w:szCs w:val="20"/>
                <w:lang w:val="en-US"/>
              </w:rPr>
            </w:pPr>
            <w:r>
              <w:rPr>
                <w:sz w:val="20"/>
                <w:szCs w:val="20"/>
                <w:lang w:val="en-US"/>
              </w:rPr>
              <w:t>0</w:t>
            </w:r>
          </w:p>
        </w:tc>
        <w:tc>
          <w:tcPr>
            <w:tcW w:w="331" w:type="pct"/>
            <w:vAlign w:val="bottom"/>
          </w:tcPr>
          <w:p w:rsidR="00000000" w:rsidRDefault="00000000">
            <w:pPr>
              <w:spacing w:before="80" w:after="80"/>
              <w:ind w:right="170"/>
              <w:jc w:val="right"/>
              <w:rPr>
                <w:sz w:val="20"/>
                <w:szCs w:val="20"/>
                <w:lang w:val="en-US"/>
              </w:rPr>
            </w:pPr>
            <w:r>
              <w:rPr>
                <w:sz w:val="20"/>
                <w:szCs w:val="20"/>
                <w:lang w:val="en-US"/>
              </w:rPr>
              <w:t>0.0</w:t>
            </w:r>
          </w:p>
        </w:tc>
        <w:tc>
          <w:tcPr>
            <w:tcW w:w="344" w:type="pct"/>
            <w:vAlign w:val="bottom"/>
          </w:tcPr>
          <w:p w:rsidR="00000000" w:rsidRDefault="00000000">
            <w:pPr>
              <w:spacing w:before="80" w:after="80"/>
              <w:ind w:right="170"/>
              <w:jc w:val="right"/>
              <w:rPr>
                <w:sz w:val="20"/>
                <w:szCs w:val="20"/>
                <w:lang w:val="en-US"/>
              </w:rPr>
            </w:pPr>
            <w:r>
              <w:rPr>
                <w:sz w:val="20"/>
                <w:szCs w:val="20"/>
                <w:lang w:val="en-US"/>
              </w:rPr>
              <w:t>0</w:t>
            </w:r>
          </w:p>
        </w:tc>
        <w:tc>
          <w:tcPr>
            <w:tcW w:w="292" w:type="pct"/>
            <w:vAlign w:val="bottom"/>
          </w:tcPr>
          <w:p w:rsidR="00000000" w:rsidRDefault="00000000">
            <w:pPr>
              <w:spacing w:before="80" w:after="80"/>
              <w:ind w:right="170"/>
              <w:jc w:val="right"/>
              <w:rPr>
                <w:sz w:val="20"/>
                <w:lang w:val="en-US"/>
              </w:rPr>
            </w:pPr>
            <w:r>
              <w:rPr>
                <w:sz w:val="20"/>
                <w:szCs w:val="20"/>
                <w:lang w:val="en-US"/>
              </w:rPr>
              <w:t>0</w:t>
            </w:r>
          </w:p>
        </w:tc>
        <w:tc>
          <w:tcPr>
            <w:tcW w:w="331" w:type="pct"/>
          </w:tcPr>
          <w:p w:rsidR="00000000" w:rsidRDefault="00000000">
            <w:pPr>
              <w:spacing w:before="80" w:after="80"/>
              <w:ind w:right="170"/>
              <w:jc w:val="right"/>
              <w:rPr>
                <w:sz w:val="20"/>
                <w:lang w:val="en-US"/>
              </w:rPr>
            </w:pPr>
            <w:r>
              <w:rPr>
                <w:b/>
                <w:bCs/>
                <w:sz w:val="20"/>
                <w:szCs w:val="20"/>
                <w:vertAlign w:val="superscript"/>
                <w:lang w:val="en-US"/>
              </w:rPr>
              <w:t>*</w:t>
            </w:r>
          </w:p>
        </w:tc>
        <w:tc>
          <w:tcPr>
            <w:tcW w:w="417" w:type="pct"/>
            <w:vAlign w:val="bottom"/>
          </w:tcPr>
          <w:p w:rsidR="00000000" w:rsidRDefault="00000000">
            <w:pPr>
              <w:spacing w:before="80" w:after="80"/>
              <w:ind w:right="170"/>
              <w:jc w:val="right"/>
              <w:rPr>
                <w:sz w:val="20"/>
                <w:szCs w:val="20"/>
                <w:lang w:val="en-US"/>
              </w:rPr>
            </w:pPr>
            <w:r>
              <w:rPr>
                <w:sz w:val="20"/>
                <w:szCs w:val="20"/>
                <w:lang w:val="en-US"/>
              </w:rPr>
              <w:t>192</w:t>
            </w:r>
          </w:p>
        </w:tc>
        <w:tc>
          <w:tcPr>
            <w:tcW w:w="354" w:type="pct"/>
            <w:vAlign w:val="bottom"/>
          </w:tcPr>
          <w:p w:rsidR="00000000" w:rsidRDefault="00000000">
            <w:pPr>
              <w:spacing w:before="80" w:after="80"/>
              <w:ind w:right="170"/>
              <w:jc w:val="right"/>
              <w:rPr>
                <w:sz w:val="20"/>
                <w:szCs w:val="20"/>
                <w:lang w:val="en-US"/>
              </w:rPr>
            </w:pPr>
            <w:r>
              <w:rPr>
                <w:sz w:val="20"/>
                <w:szCs w:val="20"/>
                <w:lang w:val="en-US"/>
              </w:rPr>
              <w:t>3</w:t>
            </w:r>
          </w:p>
        </w:tc>
        <w:tc>
          <w:tcPr>
            <w:tcW w:w="351" w:type="pct"/>
            <w:vAlign w:val="bottom"/>
          </w:tcPr>
          <w:p w:rsidR="00000000" w:rsidRDefault="00000000">
            <w:pPr>
              <w:spacing w:before="80" w:after="80"/>
              <w:ind w:right="170"/>
              <w:jc w:val="right"/>
              <w:rPr>
                <w:sz w:val="20"/>
                <w:szCs w:val="20"/>
                <w:lang w:val="en-US"/>
              </w:rPr>
            </w:pPr>
            <w:r>
              <w:rPr>
                <w:sz w:val="20"/>
                <w:szCs w:val="20"/>
                <w:lang w:val="en-US"/>
              </w:rPr>
              <w:t>15.6</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en-US"/>
              </w:rPr>
            </w:pPr>
            <w:r>
              <w:rPr>
                <w:sz w:val="20"/>
                <w:szCs w:val="20"/>
                <w:lang w:val="en-US"/>
              </w:rPr>
              <w:t>Boquerón</w:t>
            </w:r>
          </w:p>
        </w:tc>
        <w:tc>
          <w:tcPr>
            <w:tcW w:w="448" w:type="pct"/>
          </w:tcPr>
          <w:p w:rsidR="00000000" w:rsidRDefault="00000000">
            <w:pPr>
              <w:spacing w:before="80" w:after="80"/>
              <w:ind w:right="170"/>
              <w:jc w:val="right"/>
              <w:rPr>
                <w:sz w:val="20"/>
                <w:szCs w:val="20"/>
                <w:lang w:val="en-US"/>
              </w:rPr>
            </w:pPr>
            <w:r>
              <w:rPr>
                <w:sz w:val="20"/>
                <w:szCs w:val="20"/>
                <w:lang w:val="en-US"/>
              </w:rPr>
              <w:t>380</w:t>
            </w:r>
          </w:p>
        </w:tc>
        <w:tc>
          <w:tcPr>
            <w:tcW w:w="354" w:type="pct"/>
          </w:tcPr>
          <w:p w:rsidR="00000000" w:rsidRDefault="00000000">
            <w:pPr>
              <w:spacing w:before="80" w:after="80"/>
              <w:ind w:right="170"/>
              <w:jc w:val="right"/>
              <w:rPr>
                <w:sz w:val="20"/>
                <w:szCs w:val="20"/>
                <w:lang w:val="en-US"/>
              </w:rPr>
            </w:pPr>
            <w:r>
              <w:rPr>
                <w:sz w:val="20"/>
                <w:szCs w:val="20"/>
                <w:lang w:val="en-US"/>
              </w:rPr>
              <w:t>6</w:t>
            </w:r>
          </w:p>
        </w:tc>
        <w:tc>
          <w:tcPr>
            <w:tcW w:w="355" w:type="pct"/>
          </w:tcPr>
          <w:p w:rsidR="00000000" w:rsidRDefault="00000000">
            <w:pPr>
              <w:spacing w:before="80" w:after="80"/>
              <w:ind w:right="170"/>
              <w:jc w:val="right"/>
              <w:rPr>
                <w:sz w:val="20"/>
                <w:szCs w:val="20"/>
                <w:lang w:val="en-US"/>
              </w:rPr>
            </w:pPr>
            <w:r>
              <w:rPr>
                <w:sz w:val="20"/>
                <w:szCs w:val="20"/>
                <w:lang w:val="en-US"/>
              </w:rPr>
              <w:t>15.8</w:t>
            </w:r>
          </w:p>
        </w:tc>
        <w:tc>
          <w:tcPr>
            <w:tcW w:w="417" w:type="pct"/>
          </w:tcPr>
          <w:p w:rsidR="00000000" w:rsidRDefault="00000000">
            <w:pPr>
              <w:spacing w:before="80" w:after="80"/>
              <w:ind w:right="170"/>
              <w:jc w:val="right"/>
              <w:rPr>
                <w:sz w:val="20"/>
                <w:szCs w:val="20"/>
                <w:lang w:val="en-US"/>
              </w:rPr>
            </w:pPr>
            <w:r>
              <w:rPr>
                <w:sz w:val="20"/>
                <w:szCs w:val="20"/>
                <w:lang w:val="en-US"/>
              </w:rPr>
              <w:t>305</w:t>
            </w:r>
          </w:p>
        </w:tc>
        <w:tc>
          <w:tcPr>
            <w:tcW w:w="292" w:type="pct"/>
          </w:tcPr>
          <w:p w:rsidR="00000000" w:rsidRDefault="00000000">
            <w:pPr>
              <w:spacing w:before="80" w:after="80"/>
              <w:ind w:right="170"/>
              <w:jc w:val="right"/>
              <w:rPr>
                <w:sz w:val="20"/>
                <w:szCs w:val="20"/>
                <w:lang w:val="en-US"/>
              </w:rPr>
            </w:pPr>
            <w:r>
              <w:rPr>
                <w:sz w:val="20"/>
                <w:szCs w:val="20"/>
                <w:lang w:val="en-US"/>
              </w:rPr>
              <w:t>7</w:t>
            </w:r>
          </w:p>
        </w:tc>
        <w:tc>
          <w:tcPr>
            <w:tcW w:w="331" w:type="pct"/>
          </w:tcPr>
          <w:p w:rsidR="00000000" w:rsidRDefault="00000000">
            <w:pPr>
              <w:spacing w:before="80" w:after="80"/>
              <w:ind w:right="170"/>
              <w:jc w:val="right"/>
              <w:rPr>
                <w:sz w:val="20"/>
                <w:szCs w:val="20"/>
                <w:lang w:val="en-US"/>
              </w:rPr>
            </w:pPr>
            <w:r>
              <w:rPr>
                <w:sz w:val="20"/>
                <w:szCs w:val="20"/>
                <w:lang w:val="en-US"/>
              </w:rPr>
              <w:t>23.0</w:t>
            </w:r>
          </w:p>
        </w:tc>
        <w:tc>
          <w:tcPr>
            <w:tcW w:w="344" w:type="pct"/>
          </w:tcPr>
          <w:p w:rsidR="00000000" w:rsidRDefault="00000000">
            <w:pPr>
              <w:spacing w:before="80" w:after="80"/>
              <w:ind w:right="170"/>
              <w:jc w:val="right"/>
              <w:rPr>
                <w:sz w:val="20"/>
                <w:szCs w:val="20"/>
                <w:lang w:val="en-US"/>
              </w:rPr>
            </w:pPr>
            <w:r>
              <w:rPr>
                <w:sz w:val="20"/>
                <w:szCs w:val="20"/>
                <w:lang w:val="en-US"/>
              </w:rPr>
              <w:t>0</w:t>
            </w:r>
          </w:p>
        </w:tc>
        <w:tc>
          <w:tcPr>
            <w:tcW w:w="292" w:type="pct"/>
          </w:tcPr>
          <w:p w:rsidR="00000000" w:rsidRDefault="00000000">
            <w:pPr>
              <w:spacing w:before="80" w:after="80"/>
              <w:ind w:right="170"/>
              <w:jc w:val="right"/>
              <w:rPr>
                <w:sz w:val="20"/>
                <w:lang w:val="en-US"/>
              </w:rPr>
            </w:pPr>
            <w:r>
              <w:rPr>
                <w:sz w:val="20"/>
                <w:szCs w:val="20"/>
                <w:lang w:val="en-US"/>
              </w:rPr>
              <w:t>0</w:t>
            </w:r>
          </w:p>
        </w:tc>
        <w:tc>
          <w:tcPr>
            <w:tcW w:w="331" w:type="pct"/>
          </w:tcPr>
          <w:p w:rsidR="00000000" w:rsidRDefault="00000000">
            <w:pPr>
              <w:spacing w:before="80" w:after="80"/>
              <w:ind w:right="170"/>
              <w:jc w:val="right"/>
              <w:rPr>
                <w:sz w:val="20"/>
                <w:lang w:val="en-US"/>
              </w:rPr>
            </w:pPr>
            <w:r>
              <w:rPr>
                <w:b/>
                <w:bCs/>
                <w:sz w:val="20"/>
                <w:szCs w:val="20"/>
                <w:vertAlign w:val="superscript"/>
                <w:lang w:val="en-US"/>
              </w:rPr>
              <w:t>*</w:t>
            </w:r>
          </w:p>
        </w:tc>
        <w:tc>
          <w:tcPr>
            <w:tcW w:w="417" w:type="pct"/>
          </w:tcPr>
          <w:p w:rsidR="00000000" w:rsidRDefault="00000000">
            <w:pPr>
              <w:spacing w:before="80" w:after="80"/>
              <w:ind w:right="170"/>
              <w:jc w:val="right"/>
              <w:rPr>
                <w:sz w:val="20"/>
                <w:szCs w:val="20"/>
                <w:lang w:val="en-US"/>
              </w:rPr>
            </w:pPr>
            <w:r>
              <w:rPr>
                <w:sz w:val="20"/>
                <w:szCs w:val="20"/>
                <w:lang w:val="en-US"/>
              </w:rPr>
              <w:t>685</w:t>
            </w:r>
          </w:p>
        </w:tc>
        <w:tc>
          <w:tcPr>
            <w:tcW w:w="354" w:type="pct"/>
          </w:tcPr>
          <w:p w:rsidR="00000000" w:rsidRDefault="00000000">
            <w:pPr>
              <w:spacing w:before="80" w:after="80"/>
              <w:ind w:right="170"/>
              <w:jc w:val="right"/>
              <w:rPr>
                <w:sz w:val="20"/>
                <w:szCs w:val="20"/>
                <w:lang w:val="en-US"/>
              </w:rPr>
            </w:pPr>
            <w:r>
              <w:rPr>
                <w:sz w:val="20"/>
                <w:szCs w:val="20"/>
                <w:lang w:val="en-US"/>
              </w:rPr>
              <w:t>13</w:t>
            </w:r>
          </w:p>
        </w:tc>
        <w:tc>
          <w:tcPr>
            <w:tcW w:w="351" w:type="pct"/>
          </w:tcPr>
          <w:p w:rsidR="00000000" w:rsidRDefault="00000000">
            <w:pPr>
              <w:spacing w:before="80" w:after="80"/>
              <w:ind w:right="170"/>
              <w:jc w:val="right"/>
              <w:rPr>
                <w:sz w:val="20"/>
                <w:szCs w:val="20"/>
                <w:lang w:val="en-US"/>
              </w:rPr>
            </w:pPr>
            <w:r>
              <w:rPr>
                <w:sz w:val="20"/>
                <w:szCs w:val="20"/>
                <w:lang w:val="en-US"/>
              </w:rPr>
              <w:t>19.0</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en-US"/>
              </w:rPr>
            </w:pPr>
            <w:r>
              <w:rPr>
                <w:sz w:val="20"/>
                <w:szCs w:val="20"/>
                <w:lang w:val="en-US"/>
              </w:rPr>
              <w:t>Asunción</w:t>
            </w:r>
          </w:p>
        </w:tc>
        <w:tc>
          <w:tcPr>
            <w:tcW w:w="448" w:type="pct"/>
          </w:tcPr>
          <w:p w:rsidR="00000000" w:rsidRDefault="00000000">
            <w:pPr>
              <w:spacing w:before="80" w:after="80"/>
              <w:ind w:right="170"/>
              <w:jc w:val="right"/>
              <w:rPr>
                <w:sz w:val="20"/>
                <w:szCs w:val="20"/>
                <w:lang w:val="en-US"/>
              </w:rPr>
            </w:pPr>
            <w:r>
              <w:rPr>
                <w:sz w:val="20"/>
                <w:szCs w:val="20"/>
                <w:lang w:val="en-US"/>
              </w:rPr>
              <w:t>4 506</w:t>
            </w:r>
          </w:p>
        </w:tc>
        <w:tc>
          <w:tcPr>
            <w:tcW w:w="354" w:type="pct"/>
          </w:tcPr>
          <w:p w:rsidR="00000000" w:rsidRDefault="00000000">
            <w:pPr>
              <w:spacing w:before="80" w:after="80"/>
              <w:ind w:right="170"/>
              <w:jc w:val="right"/>
              <w:rPr>
                <w:sz w:val="20"/>
                <w:szCs w:val="20"/>
                <w:lang w:val="en-US"/>
              </w:rPr>
            </w:pPr>
            <w:r>
              <w:rPr>
                <w:sz w:val="20"/>
                <w:szCs w:val="20"/>
                <w:lang w:val="en-US"/>
              </w:rPr>
              <w:t>79</w:t>
            </w:r>
          </w:p>
        </w:tc>
        <w:tc>
          <w:tcPr>
            <w:tcW w:w="355" w:type="pct"/>
          </w:tcPr>
          <w:p w:rsidR="00000000" w:rsidRDefault="00000000">
            <w:pPr>
              <w:spacing w:before="80" w:after="80"/>
              <w:ind w:right="170"/>
              <w:jc w:val="right"/>
              <w:rPr>
                <w:sz w:val="20"/>
                <w:szCs w:val="20"/>
                <w:lang w:val="en-US"/>
              </w:rPr>
            </w:pPr>
            <w:r>
              <w:rPr>
                <w:sz w:val="20"/>
                <w:szCs w:val="20"/>
                <w:lang w:val="en-US"/>
              </w:rPr>
              <w:t>17.5</w:t>
            </w:r>
          </w:p>
        </w:tc>
        <w:tc>
          <w:tcPr>
            <w:tcW w:w="417" w:type="pct"/>
          </w:tcPr>
          <w:p w:rsidR="00000000" w:rsidRDefault="00000000">
            <w:pPr>
              <w:spacing w:before="80" w:after="80"/>
              <w:ind w:right="170"/>
              <w:jc w:val="right"/>
              <w:rPr>
                <w:sz w:val="20"/>
                <w:szCs w:val="20"/>
                <w:lang w:val="en-US"/>
              </w:rPr>
            </w:pPr>
            <w:r>
              <w:rPr>
                <w:sz w:val="20"/>
                <w:szCs w:val="20"/>
                <w:lang w:val="en-US"/>
              </w:rPr>
              <w:t>4 242</w:t>
            </w:r>
          </w:p>
        </w:tc>
        <w:tc>
          <w:tcPr>
            <w:tcW w:w="292" w:type="pct"/>
          </w:tcPr>
          <w:p w:rsidR="00000000" w:rsidRDefault="00000000">
            <w:pPr>
              <w:spacing w:before="80" w:after="80"/>
              <w:ind w:right="170"/>
              <w:jc w:val="right"/>
              <w:rPr>
                <w:sz w:val="20"/>
                <w:szCs w:val="20"/>
                <w:lang w:val="en-US"/>
              </w:rPr>
            </w:pPr>
            <w:r>
              <w:rPr>
                <w:sz w:val="20"/>
                <w:szCs w:val="20"/>
                <w:lang w:val="en-US"/>
              </w:rPr>
              <w:t>61</w:t>
            </w:r>
          </w:p>
        </w:tc>
        <w:tc>
          <w:tcPr>
            <w:tcW w:w="331" w:type="pct"/>
          </w:tcPr>
          <w:p w:rsidR="00000000" w:rsidRDefault="00000000">
            <w:pPr>
              <w:spacing w:before="80" w:after="80"/>
              <w:ind w:right="170"/>
              <w:jc w:val="right"/>
              <w:rPr>
                <w:sz w:val="20"/>
                <w:szCs w:val="20"/>
                <w:lang w:val="en-US"/>
              </w:rPr>
            </w:pPr>
            <w:r>
              <w:rPr>
                <w:sz w:val="20"/>
                <w:szCs w:val="20"/>
                <w:lang w:val="en-US"/>
              </w:rPr>
              <w:t>14.4</w:t>
            </w:r>
          </w:p>
        </w:tc>
        <w:tc>
          <w:tcPr>
            <w:tcW w:w="344" w:type="pct"/>
          </w:tcPr>
          <w:p w:rsidR="00000000" w:rsidRDefault="00000000">
            <w:pPr>
              <w:spacing w:before="80" w:after="80"/>
              <w:ind w:right="170"/>
              <w:jc w:val="right"/>
              <w:rPr>
                <w:sz w:val="20"/>
                <w:szCs w:val="20"/>
                <w:lang w:val="en-US"/>
              </w:rPr>
            </w:pPr>
            <w:r>
              <w:rPr>
                <w:sz w:val="20"/>
                <w:szCs w:val="20"/>
                <w:lang w:val="en-US"/>
              </w:rPr>
              <w:t>1</w:t>
            </w:r>
          </w:p>
        </w:tc>
        <w:tc>
          <w:tcPr>
            <w:tcW w:w="292" w:type="pct"/>
          </w:tcPr>
          <w:p w:rsidR="00000000" w:rsidRDefault="00000000">
            <w:pPr>
              <w:spacing w:before="80" w:after="80"/>
              <w:ind w:right="170"/>
              <w:jc w:val="right"/>
              <w:rPr>
                <w:sz w:val="20"/>
                <w:lang w:val="en-US"/>
              </w:rPr>
            </w:pPr>
            <w:r>
              <w:rPr>
                <w:sz w:val="20"/>
                <w:szCs w:val="20"/>
                <w:lang w:val="en-US"/>
              </w:rPr>
              <w:t>0</w:t>
            </w:r>
          </w:p>
        </w:tc>
        <w:tc>
          <w:tcPr>
            <w:tcW w:w="331" w:type="pct"/>
          </w:tcPr>
          <w:p w:rsidR="00000000" w:rsidRDefault="00000000">
            <w:pPr>
              <w:spacing w:before="80" w:after="80"/>
              <w:ind w:right="170"/>
              <w:jc w:val="right"/>
              <w:rPr>
                <w:sz w:val="20"/>
                <w:lang w:val="en-US"/>
              </w:rPr>
            </w:pPr>
            <w:r>
              <w:rPr>
                <w:b/>
                <w:bCs/>
                <w:sz w:val="20"/>
                <w:szCs w:val="20"/>
                <w:vertAlign w:val="superscript"/>
                <w:lang w:val="en-US"/>
              </w:rPr>
              <w:t>*</w:t>
            </w:r>
          </w:p>
        </w:tc>
        <w:tc>
          <w:tcPr>
            <w:tcW w:w="417" w:type="pct"/>
          </w:tcPr>
          <w:p w:rsidR="00000000" w:rsidRDefault="00000000">
            <w:pPr>
              <w:spacing w:before="80" w:after="80"/>
              <w:ind w:right="170"/>
              <w:jc w:val="right"/>
              <w:rPr>
                <w:sz w:val="20"/>
                <w:szCs w:val="20"/>
                <w:lang w:val="en-US"/>
              </w:rPr>
            </w:pPr>
            <w:r>
              <w:rPr>
                <w:sz w:val="20"/>
                <w:szCs w:val="20"/>
                <w:lang w:val="en-US"/>
              </w:rPr>
              <w:t>8 749</w:t>
            </w:r>
          </w:p>
        </w:tc>
        <w:tc>
          <w:tcPr>
            <w:tcW w:w="354" w:type="pct"/>
          </w:tcPr>
          <w:p w:rsidR="00000000" w:rsidRDefault="00000000">
            <w:pPr>
              <w:spacing w:before="80" w:after="80"/>
              <w:ind w:right="170"/>
              <w:jc w:val="right"/>
              <w:rPr>
                <w:sz w:val="20"/>
                <w:szCs w:val="20"/>
                <w:lang w:val="en-US"/>
              </w:rPr>
            </w:pPr>
            <w:r>
              <w:rPr>
                <w:sz w:val="20"/>
                <w:szCs w:val="20"/>
                <w:lang w:val="en-US"/>
              </w:rPr>
              <w:t>140</w:t>
            </w:r>
          </w:p>
        </w:tc>
        <w:tc>
          <w:tcPr>
            <w:tcW w:w="351" w:type="pct"/>
          </w:tcPr>
          <w:p w:rsidR="00000000" w:rsidRDefault="00000000">
            <w:pPr>
              <w:spacing w:before="80" w:after="80"/>
              <w:ind w:right="170"/>
              <w:jc w:val="right"/>
              <w:rPr>
                <w:sz w:val="20"/>
                <w:szCs w:val="20"/>
                <w:lang w:val="en-US"/>
              </w:rPr>
            </w:pPr>
            <w:r>
              <w:rPr>
                <w:sz w:val="20"/>
                <w:szCs w:val="20"/>
                <w:lang w:val="en-US"/>
              </w:rPr>
              <w:t>16.0</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en-US"/>
              </w:rPr>
            </w:pPr>
            <w:r>
              <w:rPr>
                <w:sz w:val="20"/>
              </w:rPr>
              <w:t>Aliens</w:t>
            </w:r>
          </w:p>
        </w:tc>
        <w:tc>
          <w:tcPr>
            <w:tcW w:w="448" w:type="pct"/>
          </w:tcPr>
          <w:p w:rsidR="00000000" w:rsidRDefault="00000000">
            <w:pPr>
              <w:spacing w:before="80" w:after="80"/>
              <w:ind w:right="170"/>
              <w:jc w:val="right"/>
              <w:rPr>
                <w:sz w:val="20"/>
                <w:szCs w:val="20"/>
              </w:rPr>
            </w:pPr>
            <w:r>
              <w:rPr>
                <w:sz w:val="20"/>
                <w:szCs w:val="20"/>
              </w:rPr>
              <w:t>11</w:t>
            </w:r>
          </w:p>
        </w:tc>
        <w:tc>
          <w:tcPr>
            <w:tcW w:w="354" w:type="pct"/>
          </w:tcPr>
          <w:p w:rsidR="00000000" w:rsidRDefault="00000000">
            <w:pPr>
              <w:spacing w:before="80" w:after="80"/>
              <w:ind w:right="170"/>
              <w:jc w:val="right"/>
              <w:rPr>
                <w:sz w:val="20"/>
                <w:szCs w:val="20"/>
              </w:rPr>
            </w:pPr>
            <w:r>
              <w:rPr>
                <w:sz w:val="20"/>
                <w:szCs w:val="20"/>
              </w:rPr>
              <w:t>3</w:t>
            </w:r>
          </w:p>
        </w:tc>
        <w:tc>
          <w:tcPr>
            <w:tcW w:w="355" w:type="pct"/>
          </w:tcPr>
          <w:p w:rsidR="00000000" w:rsidRDefault="00000000">
            <w:pPr>
              <w:spacing w:before="80" w:after="80"/>
              <w:ind w:right="170"/>
              <w:jc w:val="right"/>
              <w:rPr>
                <w:sz w:val="20"/>
                <w:szCs w:val="20"/>
              </w:rPr>
            </w:pPr>
            <w:r>
              <w:rPr>
                <w:sz w:val="20"/>
                <w:szCs w:val="20"/>
              </w:rPr>
              <w:t>272.7</w:t>
            </w:r>
          </w:p>
        </w:tc>
        <w:tc>
          <w:tcPr>
            <w:tcW w:w="417" w:type="pct"/>
          </w:tcPr>
          <w:p w:rsidR="00000000" w:rsidRDefault="00000000">
            <w:pPr>
              <w:spacing w:before="80" w:after="80"/>
              <w:ind w:right="170"/>
              <w:jc w:val="right"/>
              <w:rPr>
                <w:sz w:val="20"/>
                <w:szCs w:val="20"/>
              </w:rPr>
            </w:pPr>
            <w:r>
              <w:rPr>
                <w:sz w:val="20"/>
                <w:szCs w:val="20"/>
              </w:rPr>
              <w:t>12</w:t>
            </w:r>
          </w:p>
        </w:tc>
        <w:tc>
          <w:tcPr>
            <w:tcW w:w="292" w:type="pct"/>
          </w:tcPr>
          <w:p w:rsidR="00000000" w:rsidRDefault="00000000">
            <w:pPr>
              <w:spacing w:before="80" w:after="80"/>
              <w:ind w:right="170"/>
              <w:jc w:val="right"/>
              <w:rPr>
                <w:sz w:val="20"/>
                <w:szCs w:val="20"/>
              </w:rPr>
            </w:pPr>
            <w:r>
              <w:rPr>
                <w:sz w:val="20"/>
                <w:szCs w:val="20"/>
              </w:rPr>
              <w:t>0</w:t>
            </w:r>
          </w:p>
        </w:tc>
        <w:tc>
          <w:tcPr>
            <w:tcW w:w="331" w:type="pct"/>
          </w:tcPr>
          <w:p w:rsidR="00000000" w:rsidRDefault="00000000">
            <w:pPr>
              <w:spacing w:before="80" w:after="80"/>
              <w:ind w:right="170"/>
              <w:jc w:val="right"/>
              <w:rPr>
                <w:sz w:val="20"/>
                <w:szCs w:val="20"/>
              </w:rPr>
            </w:pPr>
            <w:r>
              <w:rPr>
                <w:sz w:val="20"/>
                <w:szCs w:val="20"/>
              </w:rPr>
              <w:t>0.0</w:t>
            </w:r>
          </w:p>
        </w:tc>
        <w:tc>
          <w:tcPr>
            <w:tcW w:w="344" w:type="pct"/>
          </w:tcPr>
          <w:p w:rsidR="00000000" w:rsidRDefault="00000000">
            <w:pPr>
              <w:spacing w:before="80" w:after="80"/>
              <w:ind w:right="170"/>
              <w:jc w:val="right"/>
              <w:rPr>
                <w:sz w:val="20"/>
                <w:szCs w:val="20"/>
              </w:rPr>
            </w:pPr>
            <w:r>
              <w:rPr>
                <w:sz w:val="20"/>
                <w:szCs w:val="20"/>
              </w:rPr>
              <w:t>0</w:t>
            </w:r>
          </w:p>
        </w:tc>
        <w:tc>
          <w:tcPr>
            <w:tcW w:w="292" w:type="pct"/>
          </w:tcPr>
          <w:p w:rsidR="00000000" w:rsidRDefault="00000000">
            <w:pPr>
              <w:spacing w:before="80" w:after="80"/>
              <w:ind w:right="170"/>
              <w:jc w:val="right"/>
              <w:rPr>
                <w:sz w:val="20"/>
              </w:rPr>
            </w:pPr>
            <w:r>
              <w:rPr>
                <w:sz w:val="20"/>
                <w:szCs w:val="20"/>
              </w:rPr>
              <w:t>0</w:t>
            </w:r>
          </w:p>
        </w:tc>
        <w:tc>
          <w:tcPr>
            <w:tcW w:w="331" w:type="pct"/>
          </w:tcPr>
          <w:p w:rsidR="00000000" w:rsidRDefault="00000000">
            <w:pPr>
              <w:spacing w:before="80" w:after="80"/>
              <w:ind w:right="170"/>
              <w:jc w:val="right"/>
              <w:rPr>
                <w:sz w:val="20"/>
              </w:rPr>
            </w:pPr>
            <w:r>
              <w:rPr>
                <w:b/>
                <w:bCs/>
                <w:sz w:val="20"/>
                <w:szCs w:val="20"/>
                <w:vertAlign w:val="superscript"/>
              </w:rPr>
              <w:t>*</w:t>
            </w:r>
          </w:p>
        </w:tc>
        <w:tc>
          <w:tcPr>
            <w:tcW w:w="417" w:type="pct"/>
          </w:tcPr>
          <w:p w:rsidR="00000000" w:rsidRDefault="00000000">
            <w:pPr>
              <w:spacing w:before="80" w:after="80"/>
              <w:ind w:right="170"/>
              <w:jc w:val="right"/>
              <w:rPr>
                <w:sz w:val="20"/>
                <w:szCs w:val="20"/>
              </w:rPr>
            </w:pPr>
            <w:r>
              <w:rPr>
                <w:sz w:val="20"/>
                <w:szCs w:val="20"/>
              </w:rPr>
              <w:t>23</w:t>
            </w:r>
          </w:p>
        </w:tc>
        <w:tc>
          <w:tcPr>
            <w:tcW w:w="354" w:type="pct"/>
          </w:tcPr>
          <w:p w:rsidR="00000000" w:rsidRDefault="00000000">
            <w:pPr>
              <w:spacing w:before="80" w:after="80"/>
              <w:ind w:right="170"/>
              <w:jc w:val="right"/>
              <w:rPr>
                <w:sz w:val="20"/>
                <w:szCs w:val="20"/>
              </w:rPr>
            </w:pPr>
            <w:r>
              <w:rPr>
                <w:sz w:val="20"/>
                <w:szCs w:val="20"/>
              </w:rPr>
              <w:t>3</w:t>
            </w:r>
          </w:p>
        </w:tc>
        <w:tc>
          <w:tcPr>
            <w:tcW w:w="351" w:type="pct"/>
          </w:tcPr>
          <w:p w:rsidR="00000000" w:rsidRDefault="00000000">
            <w:pPr>
              <w:spacing w:before="80" w:after="80"/>
              <w:ind w:right="170"/>
              <w:jc w:val="right"/>
              <w:rPr>
                <w:sz w:val="20"/>
                <w:szCs w:val="20"/>
              </w:rPr>
            </w:pPr>
            <w:r>
              <w:rPr>
                <w:sz w:val="20"/>
                <w:szCs w:val="20"/>
              </w:rPr>
              <w:t>130.4</w:t>
            </w:r>
          </w:p>
        </w:tc>
      </w:tr>
      <w:tr w:rsidR="00000000">
        <w:tblPrEx>
          <w:tblCellMar>
            <w:top w:w="0" w:type="dxa"/>
            <w:bottom w:w="0" w:type="dxa"/>
          </w:tblCellMar>
        </w:tblPrEx>
        <w:trPr>
          <w:jc w:val="center"/>
        </w:trPr>
        <w:tc>
          <w:tcPr>
            <w:tcW w:w="714" w:type="pct"/>
            <w:tcBorders>
              <w:bottom w:val="single" w:sz="4" w:space="0" w:color="auto"/>
            </w:tcBorders>
          </w:tcPr>
          <w:p w:rsidR="00000000" w:rsidRDefault="00000000">
            <w:pPr>
              <w:spacing w:before="80" w:after="80"/>
              <w:ind w:right="170"/>
              <w:rPr>
                <w:sz w:val="20"/>
                <w:szCs w:val="20"/>
              </w:rPr>
            </w:pPr>
            <w:r>
              <w:rPr>
                <w:sz w:val="20"/>
              </w:rPr>
              <w:t>Whole country</w:t>
            </w:r>
          </w:p>
        </w:tc>
        <w:tc>
          <w:tcPr>
            <w:tcW w:w="448" w:type="pct"/>
            <w:tcBorders>
              <w:bottom w:val="single" w:sz="4" w:space="0" w:color="auto"/>
            </w:tcBorders>
          </w:tcPr>
          <w:p w:rsidR="00000000" w:rsidRDefault="00000000">
            <w:pPr>
              <w:spacing w:before="80" w:after="80"/>
              <w:ind w:right="170"/>
              <w:jc w:val="right"/>
              <w:rPr>
                <w:sz w:val="20"/>
                <w:szCs w:val="20"/>
              </w:rPr>
            </w:pPr>
            <w:r>
              <w:rPr>
                <w:sz w:val="20"/>
                <w:szCs w:val="20"/>
              </w:rPr>
              <w:t>55 046</w:t>
            </w:r>
          </w:p>
        </w:tc>
        <w:tc>
          <w:tcPr>
            <w:tcW w:w="354" w:type="pct"/>
            <w:tcBorders>
              <w:bottom w:val="single" w:sz="4" w:space="0" w:color="auto"/>
            </w:tcBorders>
          </w:tcPr>
          <w:p w:rsidR="00000000" w:rsidRDefault="00000000">
            <w:pPr>
              <w:spacing w:before="80" w:after="80"/>
              <w:ind w:right="170"/>
              <w:jc w:val="right"/>
              <w:rPr>
                <w:sz w:val="20"/>
                <w:szCs w:val="20"/>
              </w:rPr>
            </w:pPr>
            <w:r>
              <w:rPr>
                <w:sz w:val="20"/>
                <w:szCs w:val="20"/>
              </w:rPr>
              <w:t>1 257</w:t>
            </w:r>
          </w:p>
        </w:tc>
        <w:tc>
          <w:tcPr>
            <w:tcW w:w="355" w:type="pct"/>
            <w:tcBorders>
              <w:bottom w:val="single" w:sz="4" w:space="0" w:color="auto"/>
            </w:tcBorders>
          </w:tcPr>
          <w:p w:rsidR="00000000" w:rsidRDefault="00000000">
            <w:pPr>
              <w:spacing w:before="80" w:after="80"/>
              <w:ind w:right="170"/>
              <w:jc w:val="right"/>
              <w:rPr>
                <w:sz w:val="20"/>
                <w:szCs w:val="20"/>
              </w:rPr>
            </w:pPr>
            <w:r>
              <w:rPr>
                <w:sz w:val="20"/>
                <w:szCs w:val="20"/>
              </w:rPr>
              <w:t>20.9</w:t>
            </w:r>
          </w:p>
        </w:tc>
        <w:tc>
          <w:tcPr>
            <w:tcW w:w="417" w:type="pct"/>
            <w:tcBorders>
              <w:bottom w:val="single" w:sz="4" w:space="0" w:color="auto"/>
            </w:tcBorders>
          </w:tcPr>
          <w:p w:rsidR="00000000" w:rsidRDefault="00000000">
            <w:pPr>
              <w:spacing w:before="80" w:after="80"/>
              <w:ind w:right="170"/>
              <w:jc w:val="right"/>
              <w:rPr>
                <w:sz w:val="20"/>
                <w:szCs w:val="20"/>
              </w:rPr>
            </w:pPr>
            <w:r>
              <w:rPr>
                <w:sz w:val="20"/>
                <w:szCs w:val="20"/>
              </w:rPr>
              <w:t>42 574</w:t>
            </w:r>
          </w:p>
        </w:tc>
        <w:tc>
          <w:tcPr>
            <w:tcW w:w="292" w:type="pct"/>
            <w:tcBorders>
              <w:bottom w:val="single" w:sz="4" w:space="0" w:color="auto"/>
            </w:tcBorders>
          </w:tcPr>
          <w:p w:rsidR="00000000" w:rsidRDefault="00000000">
            <w:pPr>
              <w:spacing w:before="80" w:after="80"/>
              <w:ind w:right="170"/>
              <w:jc w:val="right"/>
              <w:rPr>
                <w:sz w:val="20"/>
                <w:szCs w:val="20"/>
              </w:rPr>
            </w:pPr>
            <w:r>
              <w:rPr>
                <w:sz w:val="20"/>
                <w:szCs w:val="20"/>
              </w:rPr>
              <w:t>426</w:t>
            </w:r>
          </w:p>
        </w:tc>
        <w:tc>
          <w:tcPr>
            <w:tcW w:w="331" w:type="pct"/>
            <w:tcBorders>
              <w:bottom w:val="single" w:sz="4" w:space="0" w:color="auto"/>
            </w:tcBorders>
          </w:tcPr>
          <w:p w:rsidR="00000000" w:rsidRDefault="00000000">
            <w:pPr>
              <w:spacing w:before="80" w:after="80"/>
              <w:ind w:right="170"/>
              <w:jc w:val="right"/>
              <w:rPr>
                <w:sz w:val="20"/>
                <w:szCs w:val="20"/>
              </w:rPr>
            </w:pPr>
            <w:r>
              <w:rPr>
                <w:sz w:val="20"/>
                <w:szCs w:val="20"/>
              </w:rPr>
              <w:t>13.4</w:t>
            </w:r>
          </w:p>
        </w:tc>
        <w:tc>
          <w:tcPr>
            <w:tcW w:w="344" w:type="pct"/>
            <w:tcBorders>
              <w:bottom w:val="single" w:sz="4" w:space="0" w:color="auto"/>
            </w:tcBorders>
          </w:tcPr>
          <w:p w:rsidR="00000000" w:rsidRDefault="00000000">
            <w:pPr>
              <w:spacing w:before="80" w:after="80"/>
              <w:ind w:right="170"/>
              <w:jc w:val="right"/>
              <w:rPr>
                <w:sz w:val="20"/>
                <w:szCs w:val="20"/>
              </w:rPr>
            </w:pPr>
            <w:r>
              <w:rPr>
                <w:sz w:val="20"/>
                <w:szCs w:val="20"/>
              </w:rPr>
              <w:t>6</w:t>
            </w:r>
          </w:p>
        </w:tc>
        <w:tc>
          <w:tcPr>
            <w:tcW w:w="292" w:type="pct"/>
            <w:tcBorders>
              <w:bottom w:val="single" w:sz="4" w:space="0" w:color="auto"/>
            </w:tcBorders>
          </w:tcPr>
          <w:p w:rsidR="00000000" w:rsidRDefault="00000000">
            <w:pPr>
              <w:spacing w:before="80" w:after="80"/>
              <w:ind w:right="170"/>
              <w:jc w:val="right"/>
              <w:rPr>
                <w:sz w:val="20"/>
                <w:szCs w:val="20"/>
              </w:rPr>
            </w:pPr>
            <w:r>
              <w:rPr>
                <w:sz w:val="20"/>
                <w:szCs w:val="20"/>
              </w:rPr>
              <w:t>2</w:t>
            </w:r>
          </w:p>
        </w:tc>
        <w:tc>
          <w:tcPr>
            <w:tcW w:w="331" w:type="pct"/>
            <w:tcBorders>
              <w:bottom w:val="single" w:sz="4" w:space="0" w:color="auto"/>
            </w:tcBorders>
          </w:tcPr>
          <w:p w:rsidR="00000000" w:rsidRDefault="00000000">
            <w:pPr>
              <w:spacing w:before="80" w:after="80"/>
              <w:ind w:right="170"/>
              <w:jc w:val="right"/>
              <w:rPr>
                <w:sz w:val="20"/>
              </w:rPr>
            </w:pPr>
            <w:r>
              <w:rPr>
                <w:b/>
                <w:bCs/>
                <w:sz w:val="20"/>
                <w:szCs w:val="20"/>
                <w:vertAlign w:val="superscript"/>
              </w:rPr>
              <w:t>*</w:t>
            </w:r>
          </w:p>
        </w:tc>
        <w:tc>
          <w:tcPr>
            <w:tcW w:w="417" w:type="pct"/>
            <w:tcBorders>
              <w:bottom w:val="single" w:sz="4" w:space="0" w:color="auto"/>
            </w:tcBorders>
          </w:tcPr>
          <w:p w:rsidR="00000000" w:rsidRDefault="00000000">
            <w:pPr>
              <w:spacing w:before="80" w:after="80"/>
              <w:ind w:right="170"/>
              <w:jc w:val="right"/>
              <w:rPr>
                <w:sz w:val="20"/>
                <w:szCs w:val="20"/>
              </w:rPr>
            </w:pPr>
            <w:r>
              <w:rPr>
                <w:sz w:val="20"/>
                <w:szCs w:val="20"/>
              </w:rPr>
              <w:t>86 739</w:t>
            </w:r>
          </w:p>
        </w:tc>
        <w:tc>
          <w:tcPr>
            <w:tcW w:w="354" w:type="pct"/>
            <w:tcBorders>
              <w:bottom w:val="single" w:sz="4" w:space="0" w:color="auto"/>
            </w:tcBorders>
          </w:tcPr>
          <w:p w:rsidR="00000000" w:rsidRDefault="00000000">
            <w:pPr>
              <w:spacing w:before="80" w:after="80"/>
              <w:ind w:right="170"/>
              <w:jc w:val="right"/>
              <w:rPr>
                <w:sz w:val="20"/>
                <w:szCs w:val="20"/>
              </w:rPr>
            </w:pPr>
            <w:r>
              <w:rPr>
                <w:sz w:val="20"/>
                <w:szCs w:val="20"/>
              </w:rPr>
              <w:t>1 683</w:t>
            </w:r>
          </w:p>
        </w:tc>
        <w:tc>
          <w:tcPr>
            <w:tcW w:w="351" w:type="pct"/>
            <w:tcBorders>
              <w:bottom w:val="single" w:sz="4" w:space="0" w:color="auto"/>
            </w:tcBorders>
          </w:tcPr>
          <w:p w:rsidR="00000000" w:rsidRDefault="00000000">
            <w:pPr>
              <w:spacing w:before="80" w:after="80"/>
              <w:ind w:right="170"/>
              <w:jc w:val="right"/>
              <w:rPr>
                <w:sz w:val="20"/>
                <w:szCs w:val="20"/>
              </w:rPr>
            </w:pPr>
            <w:r>
              <w:rPr>
                <w:sz w:val="20"/>
                <w:szCs w:val="20"/>
              </w:rPr>
              <w:t>19.4</w:t>
            </w:r>
          </w:p>
        </w:tc>
      </w:tr>
    </w:tbl>
    <w:p w:rsidR="00000000" w:rsidRDefault="00000000">
      <w:pPr>
        <w:spacing w:before="120"/>
        <w:ind w:firstLine="567"/>
      </w:pPr>
      <w:r>
        <w:rPr>
          <w:i/>
          <w:iCs/>
          <w:sz w:val="20"/>
        </w:rPr>
        <w:t>Source:</w:t>
      </w:r>
      <w:r>
        <w:rPr>
          <w:sz w:val="20"/>
        </w:rPr>
        <w:t xml:space="preserve"> </w:t>
      </w:r>
      <w:r>
        <w:rPr>
          <w:sz w:val="20"/>
          <w:szCs w:val="20"/>
        </w:rPr>
        <w:t>Live births and child deaths registered, MSP and BS.</w:t>
      </w:r>
    </w:p>
    <w:p w:rsidR="00000000" w:rsidRDefault="00000000">
      <w:pPr>
        <w:spacing w:after="240"/>
      </w:pPr>
    </w:p>
    <w:p w:rsidR="00000000" w:rsidRDefault="00000000">
      <w:pPr>
        <w:spacing w:after="240"/>
        <w:jc w:val="center"/>
        <w:rPr>
          <w:sz w:val="28"/>
        </w:rPr>
      </w:pPr>
      <w:r>
        <w:br w:type="page"/>
      </w:r>
      <w:r>
        <w:rPr>
          <w:b/>
          <w:bCs/>
          <w:sz w:val="22"/>
          <w:szCs w:val="20"/>
        </w:rPr>
        <w:t>Paraguay: Infant mortality by cause (rate recorded per 1,000 live births), 2003</w:t>
      </w:r>
    </w:p>
    <w:tbl>
      <w:tblPr>
        <w:tblW w:w="5008" w:type="pct"/>
        <w:tblInd w:w="-24" w:type="dxa"/>
        <w:tblLayout w:type="fixed"/>
        <w:tblCellMar>
          <w:left w:w="0" w:type="dxa"/>
          <w:right w:w="0" w:type="dxa"/>
        </w:tblCellMar>
        <w:tblLook w:val="0000" w:firstRow="0" w:lastRow="0" w:firstColumn="0" w:lastColumn="0" w:noHBand="0" w:noVBand="0"/>
      </w:tblPr>
      <w:tblGrid>
        <w:gridCol w:w="5523"/>
        <w:gridCol w:w="1396"/>
        <w:gridCol w:w="1232"/>
        <w:gridCol w:w="1293"/>
      </w:tblGrid>
      <w:tr w:rsidR="00000000">
        <w:tc>
          <w:tcPr>
            <w:tcW w:w="5523" w:type="dxa"/>
            <w:tcBorders>
              <w:top w:val="single" w:sz="4" w:space="0" w:color="auto"/>
              <w:bottom w:val="single" w:sz="4" w:space="0" w:color="auto"/>
            </w:tcBorders>
            <w:noWrap/>
            <w:vAlign w:val="center"/>
          </w:tcPr>
          <w:p w:rsidR="00000000" w:rsidRDefault="00000000">
            <w:pPr>
              <w:pStyle w:val="Heading4"/>
              <w:rPr>
                <w:lang w:val="fr-FR"/>
              </w:rPr>
            </w:pPr>
            <w:r>
              <w:rPr>
                <w:lang w:val="fr-FR"/>
              </w:rPr>
              <w:t>Cause</w:t>
            </w:r>
          </w:p>
        </w:tc>
        <w:tc>
          <w:tcPr>
            <w:tcW w:w="1396" w:type="dxa"/>
            <w:tcBorders>
              <w:top w:val="single" w:sz="4" w:space="0" w:color="auto"/>
              <w:bottom w:val="single" w:sz="4" w:space="0" w:color="auto"/>
            </w:tcBorders>
            <w:vAlign w:val="center"/>
          </w:tcPr>
          <w:p w:rsidR="00000000" w:rsidRDefault="00000000">
            <w:pPr>
              <w:spacing w:before="80" w:after="80"/>
              <w:jc w:val="center"/>
              <w:rPr>
                <w:b/>
                <w:bCs/>
                <w:i/>
                <w:iCs/>
                <w:sz w:val="20"/>
                <w:szCs w:val="20"/>
                <w:lang w:val="fr-FR"/>
              </w:rPr>
            </w:pPr>
            <w:r>
              <w:rPr>
                <w:b/>
                <w:bCs/>
                <w:i/>
                <w:iCs/>
                <w:sz w:val="20"/>
                <w:szCs w:val="20"/>
                <w:lang w:val="fr-FR"/>
              </w:rPr>
              <w:t>Infant deaths</w:t>
            </w:r>
          </w:p>
        </w:tc>
        <w:tc>
          <w:tcPr>
            <w:tcW w:w="1232" w:type="dxa"/>
            <w:tcBorders>
              <w:top w:val="single" w:sz="4" w:space="0" w:color="auto"/>
              <w:bottom w:val="single" w:sz="4" w:space="0" w:color="auto"/>
            </w:tcBorders>
            <w:noWrap/>
            <w:vAlign w:val="center"/>
          </w:tcPr>
          <w:p w:rsidR="00000000" w:rsidRDefault="00000000">
            <w:pPr>
              <w:spacing w:before="80" w:after="80"/>
              <w:jc w:val="center"/>
              <w:rPr>
                <w:b/>
                <w:bCs/>
                <w:i/>
                <w:iCs/>
                <w:sz w:val="20"/>
                <w:szCs w:val="20"/>
              </w:rPr>
            </w:pPr>
            <w:r>
              <w:rPr>
                <w:b/>
                <w:bCs/>
                <w:i/>
                <w:iCs/>
                <w:sz w:val="20"/>
                <w:szCs w:val="20"/>
              </w:rPr>
              <w:t>(%)</w:t>
            </w:r>
          </w:p>
        </w:tc>
        <w:tc>
          <w:tcPr>
            <w:tcW w:w="1293" w:type="dxa"/>
            <w:tcBorders>
              <w:top w:val="single" w:sz="4" w:space="0" w:color="auto"/>
              <w:bottom w:val="single" w:sz="4" w:space="0" w:color="auto"/>
            </w:tcBorders>
            <w:noWrap/>
            <w:vAlign w:val="center"/>
          </w:tcPr>
          <w:p w:rsidR="00000000" w:rsidRDefault="00000000">
            <w:pPr>
              <w:spacing w:before="80" w:after="80"/>
              <w:jc w:val="center"/>
              <w:rPr>
                <w:b/>
                <w:bCs/>
                <w:i/>
                <w:iCs/>
                <w:sz w:val="20"/>
                <w:szCs w:val="20"/>
              </w:rPr>
            </w:pPr>
            <w:r>
              <w:rPr>
                <w:b/>
                <w:bCs/>
                <w:i/>
                <w:iCs/>
                <w:sz w:val="20"/>
                <w:szCs w:val="20"/>
              </w:rPr>
              <w:t>Rate</w:t>
            </w:r>
          </w:p>
        </w:tc>
      </w:tr>
      <w:tr w:rsidR="00000000">
        <w:tc>
          <w:tcPr>
            <w:tcW w:w="5523" w:type="dxa"/>
            <w:tcBorders>
              <w:top w:val="single" w:sz="4" w:space="0" w:color="auto"/>
            </w:tcBorders>
            <w:noWrap/>
            <w:vAlign w:val="bottom"/>
          </w:tcPr>
          <w:p w:rsidR="00000000" w:rsidRDefault="00000000">
            <w:pPr>
              <w:tabs>
                <w:tab w:val="left" w:pos="340"/>
              </w:tabs>
              <w:spacing w:before="80" w:after="80"/>
              <w:rPr>
                <w:sz w:val="20"/>
                <w:szCs w:val="20"/>
              </w:rPr>
            </w:pPr>
            <w:r>
              <w:rPr>
                <w:sz w:val="20"/>
                <w:szCs w:val="20"/>
              </w:rPr>
              <w:t>1.</w:t>
            </w:r>
            <w:r>
              <w:rPr>
                <w:sz w:val="20"/>
                <w:szCs w:val="20"/>
              </w:rPr>
              <w:tab/>
              <w:t>Injuries sustained at birth (P01-P03; P10-P15 ;P20-P28)</w:t>
            </w:r>
          </w:p>
        </w:tc>
        <w:tc>
          <w:tcPr>
            <w:tcW w:w="1396" w:type="dxa"/>
            <w:tcBorders>
              <w:top w:val="single" w:sz="4" w:space="0" w:color="auto"/>
            </w:tcBorders>
            <w:noWrap/>
            <w:vAlign w:val="bottom"/>
          </w:tcPr>
          <w:p w:rsidR="00000000" w:rsidRDefault="00000000">
            <w:pPr>
              <w:spacing w:before="80" w:after="80"/>
              <w:ind w:right="567"/>
              <w:jc w:val="right"/>
              <w:rPr>
                <w:sz w:val="20"/>
                <w:szCs w:val="20"/>
              </w:rPr>
            </w:pPr>
            <w:r>
              <w:rPr>
                <w:sz w:val="20"/>
                <w:szCs w:val="20"/>
              </w:rPr>
              <w:t>381</w:t>
            </w:r>
          </w:p>
        </w:tc>
        <w:tc>
          <w:tcPr>
            <w:tcW w:w="1232" w:type="dxa"/>
            <w:tcBorders>
              <w:top w:val="single" w:sz="4" w:space="0" w:color="auto"/>
            </w:tcBorders>
            <w:noWrap/>
            <w:vAlign w:val="bottom"/>
          </w:tcPr>
          <w:p w:rsidR="00000000" w:rsidRDefault="00000000">
            <w:pPr>
              <w:spacing w:before="80" w:after="80"/>
              <w:ind w:right="567"/>
              <w:jc w:val="right"/>
              <w:rPr>
                <w:sz w:val="20"/>
                <w:szCs w:val="20"/>
              </w:rPr>
            </w:pPr>
            <w:r>
              <w:rPr>
                <w:sz w:val="20"/>
                <w:szCs w:val="20"/>
              </w:rPr>
              <w:t>22.6</w:t>
            </w:r>
          </w:p>
        </w:tc>
        <w:tc>
          <w:tcPr>
            <w:tcW w:w="1293" w:type="dxa"/>
            <w:tcBorders>
              <w:top w:val="single" w:sz="4" w:space="0" w:color="auto"/>
            </w:tcBorders>
            <w:noWrap/>
            <w:vAlign w:val="bottom"/>
          </w:tcPr>
          <w:p w:rsidR="00000000" w:rsidRDefault="00000000">
            <w:pPr>
              <w:spacing w:before="80" w:after="80"/>
              <w:ind w:right="567"/>
              <w:jc w:val="right"/>
              <w:rPr>
                <w:sz w:val="20"/>
                <w:szCs w:val="20"/>
              </w:rPr>
            </w:pPr>
            <w:r>
              <w:rPr>
                <w:sz w:val="20"/>
                <w:szCs w:val="20"/>
              </w:rPr>
              <w:t>4.4</w:t>
            </w:r>
          </w:p>
        </w:tc>
      </w:tr>
      <w:tr w:rsidR="00000000">
        <w:tc>
          <w:tcPr>
            <w:tcW w:w="5523" w:type="dxa"/>
            <w:noWrap/>
            <w:vAlign w:val="bottom"/>
          </w:tcPr>
          <w:p w:rsidR="00000000" w:rsidRDefault="00000000">
            <w:pPr>
              <w:tabs>
                <w:tab w:val="left" w:pos="340"/>
              </w:tabs>
              <w:spacing w:before="80" w:after="80"/>
              <w:rPr>
                <w:sz w:val="20"/>
                <w:szCs w:val="20"/>
              </w:rPr>
            </w:pPr>
            <w:r>
              <w:rPr>
                <w:sz w:val="20"/>
                <w:szCs w:val="20"/>
              </w:rPr>
              <w:t>2.</w:t>
            </w:r>
            <w:r>
              <w:rPr>
                <w:sz w:val="20"/>
                <w:szCs w:val="20"/>
              </w:rPr>
              <w:tab/>
              <w:t>Neonatal infections (A40-A41; P35-P39)</w:t>
            </w:r>
          </w:p>
        </w:tc>
        <w:tc>
          <w:tcPr>
            <w:tcW w:w="1396" w:type="dxa"/>
            <w:noWrap/>
            <w:vAlign w:val="bottom"/>
          </w:tcPr>
          <w:p w:rsidR="00000000" w:rsidRDefault="00000000">
            <w:pPr>
              <w:spacing w:before="80" w:after="80"/>
              <w:ind w:right="567"/>
              <w:jc w:val="right"/>
              <w:rPr>
                <w:sz w:val="20"/>
                <w:szCs w:val="20"/>
              </w:rPr>
            </w:pPr>
            <w:r>
              <w:rPr>
                <w:sz w:val="20"/>
                <w:szCs w:val="20"/>
              </w:rPr>
              <w:t>271</w:t>
            </w:r>
          </w:p>
        </w:tc>
        <w:tc>
          <w:tcPr>
            <w:tcW w:w="1232" w:type="dxa"/>
            <w:noWrap/>
            <w:vAlign w:val="bottom"/>
          </w:tcPr>
          <w:p w:rsidR="00000000" w:rsidRDefault="00000000">
            <w:pPr>
              <w:spacing w:before="80" w:after="80"/>
              <w:ind w:right="567"/>
              <w:jc w:val="right"/>
              <w:rPr>
                <w:sz w:val="20"/>
                <w:szCs w:val="20"/>
              </w:rPr>
            </w:pPr>
            <w:r>
              <w:rPr>
                <w:sz w:val="20"/>
                <w:szCs w:val="20"/>
              </w:rPr>
              <w:t>16.1</w:t>
            </w:r>
          </w:p>
        </w:tc>
        <w:tc>
          <w:tcPr>
            <w:tcW w:w="1293" w:type="dxa"/>
            <w:noWrap/>
            <w:vAlign w:val="bottom"/>
          </w:tcPr>
          <w:p w:rsidR="00000000" w:rsidRDefault="00000000">
            <w:pPr>
              <w:spacing w:before="80" w:after="80"/>
              <w:ind w:right="567"/>
              <w:jc w:val="right"/>
              <w:rPr>
                <w:sz w:val="20"/>
                <w:szCs w:val="20"/>
              </w:rPr>
            </w:pPr>
            <w:r>
              <w:rPr>
                <w:sz w:val="20"/>
                <w:szCs w:val="20"/>
              </w:rPr>
              <w:t>3.1</w:t>
            </w:r>
          </w:p>
        </w:tc>
      </w:tr>
      <w:tr w:rsidR="00000000">
        <w:tc>
          <w:tcPr>
            <w:tcW w:w="5523" w:type="dxa"/>
            <w:noWrap/>
            <w:vAlign w:val="bottom"/>
          </w:tcPr>
          <w:p w:rsidR="00000000" w:rsidRDefault="00000000">
            <w:pPr>
              <w:tabs>
                <w:tab w:val="left" w:pos="340"/>
              </w:tabs>
              <w:spacing w:before="80" w:after="80"/>
              <w:rPr>
                <w:sz w:val="20"/>
                <w:szCs w:val="20"/>
              </w:rPr>
            </w:pPr>
            <w:r>
              <w:rPr>
                <w:sz w:val="20"/>
                <w:szCs w:val="20"/>
              </w:rPr>
              <w:t>3.</w:t>
            </w:r>
            <w:r>
              <w:rPr>
                <w:sz w:val="20"/>
                <w:szCs w:val="20"/>
              </w:rPr>
              <w:tab/>
              <w:t>Congenital malformations (Q00-Q99)</w:t>
            </w:r>
          </w:p>
        </w:tc>
        <w:tc>
          <w:tcPr>
            <w:tcW w:w="1396" w:type="dxa"/>
            <w:noWrap/>
            <w:vAlign w:val="bottom"/>
          </w:tcPr>
          <w:p w:rsidR="00000000" w:rsidRDefault="00000000">
            <w:pPr>
              <w:spacing w:before="80" w:after="80"/>
              <w:ind w:right="567"/>
              <w:jc w:val="right"/>
              <w:rPr>
                <w:sz w:val="20"/>
                <w:szCs w:val="20"/>
              </w:rPr>
            </w:pPr>
            <w:r>
              <w:rPr>
                <w:sz w:val="20"/>
                <w:szCs w:val="20"/>
              </w:rPr>
              <w:t>217</w:t>
            </w:r>
          </w:p>
        </w:tc>
        <w:tc>
          <w:tcPr>
            <w:tcW w:w="1232" w:type="dxa"/>
            <w:noWrap/>
            <w:vAlign w:val="bottom"/>
          </w:tcPr>
          <w:p w:rsidR="00000000" w:rsidRDefault="00000000">
            <w:pPr>
              <w:spacing w:before="80" w:after="80"/>
              <w:ind w:right="567"/>
              <w:jc w:val="right"/>
              <w:rPr>
                <w:sz w:val="20"/>
                <w:szCs w:val="20"/>
              </w:rPr>
            </w:pPr>
            <w:r>
              <w:rPr>
                <w:sz w:val="20"/>
                <w:szCs w:val="20"/>
              </w:rPr>
              <w:t>12.9</w:t>
            </w:r>
          </w:p>
        </w:tc>
        <w:tc>
          <w:tcPr>
            <w:tcW w:w="1293" w:type="dxa"/>
            <w:noWrap/>
            <w:vAlign w:val="bottom"/>
          </w:tcPr>
          <w:p w:rsidR="00000000" w:rsidRDefault="00000000">
            <w:pPr>
              <w:spacing w:before="80" w:after="80"/>
              <w:ind w:right="567"/>
              <w:jc w:val="right"/>
              <w:rPr>
                <w:sz w:val="20"/>
                <w:szCs w:val="20"/>
              </w:rPr>
            </w:pPr>
            <w:r>
              <w:rPr>
                <w:sz w:val="20"/>
                <w:szCs w:val="20"/>
              </w:rPr>
              <w:t>2.5</w:t>
            </w:r>
          </w:p>
        </w:tc>
      </w:tr>
      <w:tr w:rsidR="00000000">
        <w:tc>
          <w:tcPr>
            <w:tcW w:w="5523" w:type="dxa"/>
            <w:noWrap/>
            <w:vAlign w:val="bottom"/>
          </w:tcPr>
          <w:p w:rsidR="00000000" w:rsidRDefault="00000000">
            <w:pPr>
              <w:tabs>
                <w:tab w:val="left" w:pos="340"/>
              </w:tabs>
              <w:spacing w:before="80" w:after="80"/>
              <w:rPr>
                <w:sz w:val="20"/>
                <w:szCs w:val="20"/>
              </w:rPr>
            </w:pPr>
            <w:r>
              <w:rPr>
                <w:sz w:val="20"/>
                <w:szCs w:val="20"/>
              </w:rPr>
              <w:t>4.</w:t>
            </w:r>
            <w:r>
              <w:rPr>
                <w:sz w:val="20"/>
                <w:szCs w:val="20"/>
              </w:rPr>
              <w:tab/>
              <w:t>Premature birth (P05;P07)</w:t>
            </w:r>
          </w:p>
        </w:tc>
        <w:tc>
          <w:tcPr>
            <w:tcW w:w="1396" w:type="dxa"/>
            <w:noWrap/>
            <w:vAlign w:val="bottom"/>
          </w:tcPr>
          <w:p w:rsidR="00000000" w:rsidRDefault="00000000">
            <w:pPr>
              <w:spacing w:before="80" w:after="80"/>
              <w:ind w:right="567"/>
              <w:jc w:val="right"/>
              <w:rPr>
                <w:sz w:val="20"/>
                <w:szCs w:val="20"/>
              </w:rPr>
            </w:pPr>
            <w:r>
              <w:rPr>
                <w:sz w:val="20"/>
                <w:szCs w:val="20"/>
              </w:rPr>
              <w:t>162</w:t>
            </w:r>
          </w:p>
        </w:tc>
        <w:tc>
          <w:tcPr>
            <w:tcW w:w="1232" w:type="dxa"/>
            <w:noWrap/>
            <w:vAlign w:val="bottom"/>
          </w:tcPr>
          <w:p w:rsidR="00000000" w:rsidRDefault="00000000">
            <w:pPr>
              <w:spacing w:before="80" w:after="80"/>
              <w:ind w:right="567"/>
              <w:jc w:val="right"/>
              <w:rPr>
                <w:sz w:val="20"/>
                <w:szCs w:val="20"/>
              </w:rPr>
            </w:pPr>
            <w:r>
              <w:rPr>
                <w:sz w:val="20"/>
                <w:szCs w:val="20"/>
              </w:rPr>
              <w:t>9.6</w:t>
            </w:r>
          </w:p>
        </w:tc>
        <w:tc>
          <w:tcPr>
            <w:tcW w:w="1293" w:type="dxa"/>
            <w:noWrap/>
            <w:vAlign w:val="bottom"/>
          </w:tcPr>
          <w:p w:rsidR="00000000" w:rsidRDefault="00000000">
            <w:pPr>
              <w:spacing w:before="80" w:after="80"/>
              <w:ind w:right="567"/>
              <w:jc w:val="right"/>
              <w:rPr>
                <w:sz w:val="20"/>
                <w:szCs w:val="20"/>
              </w:rPr>
            </w:pPr>
            <w:r>
              <w:rPr>
                <w:sz w:val="20"/>
                <w:szCs w:val="20"/>
              </w:rPr>
              <w:t>1.9</w:t>
            </w:r>
          </w:p>
        </w:tc>
      </w:tr>
      <w:tr w:rsidR="00000000">
        <w:tc>
          <w:tcPr>
            <w:tcW w:w="5523" w:type="dxa"/>
            <w:noWrap/>
            <w:vAlign w:val="bottom"/>
          </w:tcPr>
          <w:p w:rsidR="00000000" w:rsidRDefault="00000000">
            <w:pPr>
              <w:tabs>
                <w:tab w:val="left" w:pos="340"/>
              </w:tabs>
              <w:spacing w:before="80" w:after="80"/>
              <w:rPr>
                <w:sz w:val="20"/>
                <w:szCs w:val="20"/>
              </w:rPr>
            </w:pPr>
            <w:r>
              <w:rPr>
                <w:sz w:val="20"/>
                <w:szCs w:val="20"/>
              </w:rPr>
              <w:t>5.</w:t>
            </w:r>
            <w:r>
              <w:rPr>
                <w:sz w:val="20"/>
                <w:szCs w:val="20"/>
              </w:rPr>
              <w:tab/>
              <w:t>Pneumonia and influenza (J10.0; J11.0; J12-J16; J18)</w:t>
            </w:r>
          </w:p>
        </w:tc>
        <w:tc>
          <w:tcPr>
            <w:tcW w:w="1396" w:type="dxa"/>
            <w:noWrap/>
            <w:vAlign w:val="bottom"/>
          </w:tcPr>
          <w:p w:rsidR="00000000" w:rsidRDefault="00000000">
            <w:pPr>
              <w:spacing w:before="80" w:after="80"/>
              <w:ind w:right="567"/>
              <w:jc w:val="right"/>
              <w:rPr>
                <w:sz w:val="20"/>
                <w:szCs w:val="20"/>
                <w:lang w:val="pt-BR"/>
              </w:rPr>
            </w:pPr>
            <w:r>
              <w:rPr>
                <w:sz w:val="20"/>
                <w:szCs w:val="20"/>
                <w:lang w:val="pt-BR"/>
              </w:rPr>
              <w:t>136</w:t>
            </w:r>
          </w:p>
        </w:tc>
        <w:tc>
          <w:tcPr>
            <w:tcW w:w="1232" w:type="dxa"/>
            <w:noWrap/>
            <w:vAlign w:val="bottom"/>
          </w:tcPr>
          <w:p w:rsidR="00000000" w:rsidRDefault="00000000">
            <w:pPr>
              <w:spacing w:before="80" w:after="80"/>
              <w:ind w:right="567"/>
              <w:jc w:val="right"/>
              <w:rPr>
                <w:sz w:val="20"/>
                <w:szCs w:val="20"/>
                <w:lang w:val="pt-BR"/>
              </w:rPr>
            </w:pPr>
            <w:r>
              <w:rPr>
                <w:sz w:val="20"/>
                <w:szCs w:val="20"/>
                <w:lang w:val="pt-BR"/>
              </w:rPr>
              <w:t>8.1</w:t>
            </w:r>
          </w:p>
        </w:tc>
        <w:tc>
          <w:tcPr>
            <w:tcW w:w="1293" w:type="dxa"/>
            <w:noWrap/>
            <w:vAlign w:val="bottom"/>
          </w:tcPr>
          <w:p w:rsidR="00000000" w:rsidRDefault="00000000">
            <w:pPr>
              <w:spacing w:before="80" w:after="80"/>
              <w:ind w:right="567"/>
              <w:jc w:val="right"/>
              <w:rPr>
                <w:sz w:val="20"/>
                <w:szCs w:val="20"/>
                <w:lang w:val="pt-BR"/>
              </w:rPr>
            </w:pPr>
            <w:r>
              <w:rPr>
                <w:sz w:val="20"/>
                <w:szCs w:val="20"/>
                <w:lang w:val="pt-BR"/>
              </w:rPr>
              <w:t>1.6</w:t>
            </w:r>
          </w:p>
        </w:tc>
      </w:tr>
      <w:tr w:rsidR="00000000">
        <w:tc>
          <w:tcPr>
            <w:tcW w:w="5523" w:type="dxa"/>
            <w:noWrap/>
            <w:vAlign w:val="bottom"/>
          </w:tcPr>
          <w:p w:rsidR="00000000" w:rsidRDefault="00000000">
            <w:pPr>
              <w:tabs>
                <w:tab w:val="left" w:pos="340"/>
              </w:tabs>
              <w:spacing w:before="80" w:after="80"/>
              <w:rPr>
                <w:sz w:val="20"/>
                <w:szCs w:val="20"/>
                <w:lang w:val="pt-BR"/>
              </w:rPr>
            </w:pPr>
            <w:r>
              <w:rPr>
                <w:sz w:val="20"/>
                <w:szCs w:val="20"/>
                <w:lang w:val="pt-BR"/>
              </w:rPr>
              <w:t>6.</w:t>
            </w:r>
            <w:r>
              <w:rPr>
                <w:sz w:val="20"/>
                <w:szCs w:val="20"/>
                <w:lang w:val="pt-BR"/>
              </w:rPr>
              <w:tab/>
              <w:t>Diarrhoea (A02-A09; K50-K52)</w:t>
            </w:r>
          </w:p>
        </w:tc>
        <w:tc>
          <w:tcPr>
            <w:tcW w:w="1396" w:type="dxa"/>
            <w:noWrap/>
            <w:vAlign w:val="bottom"/>
          </w:tcPr>
          <w:p w:rsidR="00000000" w:rsidRDefault="00000000">
            <w:pPr>
              <w:spacing w:before="80" w:after="80"/>
              <w:ind w:right="567"/>
              <w:jc w:val="right"/>
              <w:rPr>
                <w:sz w:val="20"/>
                <w:szCs w:val="20"/>
                <w:lang w:val="pt-BR"/>
              </w:rPr>
            </w:pPr>
            <w:r>
              <w:rPr>
                <w:sz w:val="20"/>
                <w:szCs w:val="20"/>
                <w:lang w:val="pt-BR"/>
              </w:rPr>
              <w:t>94</w:t>
            </w:r>
          </w:p>
        </w:tc>
        <w:tc>
          <w:tcPr>
            <w:tcW w:w="1232" w:type="dxa"/>
            <w:noWrap/>
            <w:vAlign w:val="bottom"/>
          </w:tcPr>
          <w:p w:rsidR="00000000" w:rsidRDefault="00000000">
            <w:pPr>
              <w:spacing w:before="80" w:after="80"/>
              <w:ind w:right="567"/>
              <w:jc w:val="right"/>
              <w:rPr>
                <w:sz w:val="20"/>
                <w:szCs w:val="20"/>
                <w:lang w:val="pt-BR"/>
              </w:rPr>
            </w:pPr>
            <w:r>
              <w:rPr>
                <w:sz w:val="20"/>
                <w:szCs w:val="20"/>
                <w:lang w:val="pt-BR"/>
              </w:rPr>
              <w:t>5.6</w:t>
            </w:r>
          </w:p>
        </w:tc>
        <w:tc>
          <w:tcPr>
            <w:tcW w:w="1293" w:type="dxa"/>
            <w:noWrap/>
            <w:vAlign w:val="bottom"/>
          </w:tcPr>
          <w:p w:rsidR="00000000" w:rsidRDefault="00000000">
            <w:pPr>
              <w:spacing w:before="80" w:after="80"/>
              <w:ind w:right="567"/>
              <w:jc w:val="right"/>
              <w:rPr>
                <w:sz w:val="20"/>
                <w:szCs w:val="20"/>
                <w:lang w:val="pt-BR"/>
              </w:rPr>
            </w:pPr>
            <w:r>
              <w:rPr>
                <w:sz w:val="20"/>
                <w:szCs w:val="20"/>
                <w:lang w:val="pt-BR"/>
              </w:rPr>
              <w:t>1.1</w:t>
            </w:r>
          </w:p>
        </w:tc>
      </w:tr>
      <w:tr w:rsidR="00000000">
        <w:tc>
          <w:tcPr>
            <w:tcW w:w="5523" w:type="dxa"/>
            <w:vAlign w:val="bottom"/>
          </w:tcPr>
          <w:p w:rsidR="00000000" w:rsidRDefault="00000000">
            <w:pPr>
              <w:tabs>
                <w:tab w:val="left" w:pos="340"/>
              </w:tabs>
              <w:spacing w:before="80" w:after="80"/>
              <w:ind w:left="340" w:hanging="340"/>
              <w:rPr>
                <w:sz w:val="20"/>
                <w:szCs w:val="20"/>
                <w:lang w:val="pt-BR"/>
              </w:rPr>
            </w:pPr>
            <w:r>
              <w:rPr>
                <w:sz w:val="20"/>
                <w:szCs w:val="20"/>
                <w:lang w:val="pt-BR"/>
              </w:rPr>
              <w:t>7.</w:t>
            </w:r>
            <w:r>
              <w:rPr>
                <w:sz w:val="20"/>
                <w:szCs w:val="20"/>
                <w:lang w:val="pt-BR"/>
              </w:rPr>
              <w:tab/>
              <w:t>Nutritonal diseases and anaemias (D50-D64; E40-E46; E50-E64)</w:t>
            </w:r>
          </w:p>
        </w:tc>
        <w:tc>
          <w:tcPr>
            <w:tcW w:w="1396" w:type="dxa"/>
            <w:noWrap/>
            <w:vAlign w:val="bottom"/>
          </w:tcPr>
          <w:p w:rsidR="00000000" w:rsidRDefault="00000000">
            <w:pPr>
              <w:spacing w:before="80" w:after="80"/>
              <w:ind w:right="567"/>
              <w:jc w:val="right"/>
              <w:rPr>
                <w:sz w:val="20"/>
                <w:szCs w:val="20"/>
                <w:lang w:val="nl-NL"/>
              </w:rPr>
            </w:pPr>
            <w:r>
              <w:rPr>
                <w:sz w:val="20"/>
                <w:szCs w:val="20"/>
                <w:lang w:val="nl-NL"/>
              </w:rPr>
              <w:t>36</w:t>
            </w:r>
          </w:p>
        </w:tc>
        <w:tc>
          <w:tcPr>
            <w:tcW w:w="1232" w:type="dxa"/>
            <w:noWrap/>
            <w:vAlign w:val="bottom"/>
          </w:tcPr>
          <w:p w:rsidR="00000000" w:rsidRDefault="00000000">
            <w:pPr>
              <w:spacing w:before="80" w:after="80"/>
              <w:ind w:right="567"/>
              <w:jc w:val="right"/>
              <w:rPr>
                <w:sz w:val="20"/>
                <w:szCs w:val="20"/>
                <w:lang w:val="nl-NL"/>
              </w:rPr>
            </w:pPr>
            <w:r>
              <w:rPr>
                <w:sz w:val="20"/>
                <w:szCs w:val="20"/>
                <w:lang w:val="nl-NL"/>
              </w:rPr>
              <w:t>2.1</w:t>
            </w:r>
          </w:p>
        </w:tc>
        <w:tc>
          <w:tcPr>
            <w:tcW w:w="1293" w:type="dxa"/>
            <w:noWrap/>
            <w:vAlign w:val="bottom"/>
          </w:tcPr>
          <w:p w:rsidR="00000000" w:rsidRDefault="00000000">
            <w:pPr>
              <w:spacing w:before="80" w:after="80"/>
              <w:ind w:right="567"/>
              <w:jc w:val="right"/>
              <w:rPr>
                <w:sz w:val="20"/>
                <w:szCs w:val="20"/>
                <w:lang w:val="nl-NL"/>
              </w:rPr>
            </w:pPr>
            <w:r>
              <w:rPr>
                <w:sz w:val="20"/>
                <w:szCs w:val="20"/>
                <w:lang w:val="nl-NL"/>
              </w:rPr>
              <w:t>0.4</w:t>
            </w:r>
          </w:p>
        </w:tc>
      </w:tr>
      <w:tr w:rsidR="00000000">
        <w:tc>
          <w:tcPr>
            <w:tcW w:w="5523" w:type="dxa"/>
            <w:noWrap/>
            <w:vAlign w:val="bottom"/>
          </w:tcPr>
          <w:p w:rsidR="00000000" w:rsidRDefault="00000000">
            <w:pPr>
              <w:tabs>
                <w:tab w:val="left" w:pos="340"/>
              </w:tabs>
              <w:spacing w:before="80" w:after="80"/>
              <w:rPr>
                <w:sz w:val="20"/>
                <w:szCs w:val="20"/>
                <w:lang w:val="nl-NL"/>
              </w:rPr>
            </w:pPr>
            <w:r>
              <w:rPr>
                <w:sz w:val="20"/>
                <w:szCs w:val="20"/>
                <w:lang w:val="nl-NL"/>
              </w:rPr>
              <w:t>8.</w:t>
            </w:r>
            <w:r>
              <w:rPr>
                <w:sz w:val="20"/>
                <w:szCs w:val="20"/>
                <w:lang w:val="nl-NL"/>
              </w:rPr>
              <w:tab/>
              <w:t>Meningitis (G00;G03)</w:t>
            </w:r>
          </w:p>
        </w:tc>
        <w:tc>
          <w:tcPr>
            <w:tcW w:w="1396" w:type="dxa"/>
            <w:noWrap/>
            <w:vAlign w:val="bottom"/>
          </w:tcPr>
          <w:p w:rsidR="00000000" w:rsidRDefault="00000000">
            <w:pPr>
              <w:spacing w:before="80" w:after="80"/>
              <w:ind w:right="567"/>
              <w:jc w:val="right"/>
              <w:rPr>
                <w:sz w:val="20"/>
                <w:szCs w:val="20"/>
                <w:lang w:val="pt-BR"/>
              </w:rPr>
            </w:pPr>
            <w:r>
              <w:rPr>
                <w:sz w:val="20"/>
                <w:szCs w:val="20"/>
                <w:lang w:val="pt-BR"/>
              </w:rPr>
              <w:t>28</w:t>
            </w:r>
          </w:p>
        </w:tc>
        <w:tc>
          <w:tcPr>
            <w:tcW w:w="1232" w:type="dxa"/>
            <w:noWrap/>
            <w:vAlign w:val="bottom"/>
          </w:tcPr>
          <w:p w:rsidR="00000000" w:rsidRDefault="00000000">
            <w:pPr>
              <w:spacing w:before="80" w:after="80"/>
              <w:ind w:right="567"/>
              <w:jc w:val="right"/>
              <w:rPr>
                <w:sz w:val="20"/>
                <w:szCs w:val="20"/>
                <w:lang w:val="pt-BR"/>
              </w:rPr>
            </w:pPr>
            <w:r>
              <w:rPr>
                <w:sz w:val="20"/>
                <w:szCs w:val="20"/>
                <w:lang w:val="pt-BR"/>
              </w:rPr>
              <w:t>1.7</w:t>
            </w:r>
          </w:p>
        </w:tc>
        <w:tc>
          <w:tcPr>
            <w:tcW w:w="1293" w:type="dxa"/>
            <w:noWrap/>
            <w:vAlign w:val="bottom"/>
          </w:tcPr>
          <w:p w:rsidR="00000000" w:rsidRDefault="00000000">
            <w:pPr>
              <w:spacing w:before="80" w:after="80"/>
              <w:ind w:right="567"/>
              <w:jc w:val="right"/>
              <w:rPr>
                <w:sz w:val="20"/>
                <w:szCs w:val="20"/>
                <w:lang w:val="pt-BR"/>
              </w:rPr>
            </w:pPr>
            <w:r>
              <w:rPr>
                <w:sz w:val="20"/>
                <w:szCs w:val="20"/>
                <w:lang w:val="pt-BR"/>
              </w:rPr>
              <w:t>0.3</w:t>
            </w:r>
          </w:p>
        </w:tc>
      </w:tr>
      <w:tr w:rsidR="00000000">
        <w:tc>
          <w:tcPr>
            <w:tcW w:w="5523" w:type="dxa"/>
            <w:noWrap/>
            <w:vAlign w:val="bottom"/>
          </w:tcPr>
          <w:p w:rsidR="00000000" w:rsidRDefault="00000000">
            <w:pPr>
              <w:tabs>
                <w:tab w:val="left" w:pos="340"/>
              </w:tabs>
              <w:spacing w:before="80" w:after="80"/>
              <w:rPr>
                <w:sz w:val="20"/>
                <w:szCs w:val="20"/>
                <w:lang w:val="pt-BR"/>
              </w:rPr>
            </w:pPr>
            <w:r>
              <w:rPr>
                <w:sz w:val="20"/>
                <w:szCs w:val="20"/>
                <w:lang w:val="pt-BR"/>
              </w:rPr>
              <w:t>9.</w:t>
            </w:r>
            <w:r>
              <w:rPr>
                <w:sz w:val="20"/>
                <w:szCs w:val="20"/>
                <w:lang w:val="pt-BR"/>
              </w:rPr>
              <w:tab/>
              <w:t>Neonatal tetanus (A33;A35)</w:t>
            </w:r>
          </w:p>
        </w:tc>
        <w:tc>
          <w:tcPr>
            <w:tcW w:w="1396" w:type="dxa"/>
            <w:noWrap/>
            <w:vAlign w:val="bottom"/>
          </w:tcPr>
          <w:p w:rsidR="00000000" w:rsidRDefault="00000000">
            <w:pPr>
              <w:spacing w:before="80" w:after="80"/>
              <w:ind w:right="567"/>
              <w:jc w:val="right"/>
              <w:rPr>
                <w:sz w:val="20"/>
                <w:szCs w:val="20"/>
              </w:rPr>
            </w:pPr>
            <w:r>
              <w:rPr>
                <w:sz w:val="20"/>
                <w:szCs w:val="20"/>
              </w:rPr>
              <w:t>3</w:t>
            </w:r>
          </w:p>
        </w:tc>
        <w:tc>
          <w:tcPr>
            <w:tcW w:w="1232" w:type="dxa"/>
            <w:noWrap/>
            <w:vAlign w:val="bottom"/>
          </w:tcPr>
          <w:p w:rsidR="00000000" w:rsidRDefault="00000000">
            <w:pPr>
              <w:spacing w:before="80" w:after="80"/>
              <w:ind w:right="567"/>
              <w:jc w:val="right"/>
              <w:rPr>
                <w:sz w:val="20"/>
                <w:szCs w:val="20"/>
              </w:rPr>
            </w:pPr>
            <w:r>
              <w:rPr>
                <w:sz w:val="20"/>
                <w:szCs w:val="20"/>
              </w:rPr>
              <w:t>0.2</w:t>
            </w:r>
          </w:p>
        </w:tc>
        <w:tc>
          <w:tcPr>
            <w:tcW w:w="1293" w:type="dxa"/>
            <w:noWrap/>
            <w:vAlign w:val="bottom"/>
          </w:tcPr>
          <w:p w:rsidR="00000000" w:rsidRDefault="00000000">
            <w:pPr>
              <w:spacing w:before="80" w:after="80"/>
              <w:ind w:right="567"/>
              <w:jc w:val="right"/>
              <w:rPr>
                <w:sz w:val="20"/>
                <w:szCs w:val="20"/>
              </w:rPr>
            </w:pPr>
            <w:r>
              <w:rPr>
                <w:sz w:val="20"/>
                <w:szCs w:val="20"/>
              </w:rPr>
              <w:t>0.0</w:t>
            </w:r>
          </w:p>
        </w:tc>
      </w:tr>
      <w:tr w:rsidR="00000000">
        <w:tc>
          <w:tcPr>
            <w:tcW w:w="5523" w:type="dxa"/>
            <w:vAlign w:val="bottom"/>
          </w:tcPr>
          <w:p w:rsidR="00000000" w:rsidRDefault="00000000">
            <w:pPr>
              <w:tabs>
                <w:tab w:val="left" w:pos="340"/>
              </w:tabs>
              <w:spacing w:before="80" w:after="80"/>
              <w:ind w:left="340" w:hanging="340"/>
              <w:rPr>
                <w:sz w:val="20"/>
                <w:szCs w:val="20"/>
              </w:rPr>
            </w:pPr>
            <w:r>
              <w:rPr>
                <w:sz w:val="20"/>
                <w:szCs w:val="20"/>
              </w:rPr>
              <w:t>10.</w:t>
            </w:r>
            <w:r>
              <w:rPr>
                <w:sz w:val="20"/>
                <w:szCs w:val="20"/>
              </w:rPr>
              <w:tab/>
              <w:t>Abnormal clinical and laboratory symptoms, signs and discoveries, not elsewhere classified (R00-R99)</w:t>
            </w:r>
          </w:p>
        </w:tc>
        <w:tc>
          <w:tcPr>
            <w:tcW w:w="1396" w:type="dxa"/>
            <w:noWrap/>
            <w:vAlign w:val="bottom"/>
          </w:tcPr>
          <w:p w:rsidR="00000000" w:rsidRDefault="00000000">
            <w:pPr>
              <w:spacing w:before="80" w:after="80"/>
              <w:ind w:right="567"/>
              <w:jc w:val="right"/>
              <w:rPr>
                <w:sz w:val="20"/>
                <w:szCs w:val="20"/>
              </w:rPr>
            </w:pPr>
            <w:r>
              <w:rPr>
                <w:sz w:val="20"/>
                <w:szCs w:val="20"/>
              </w:rPr>
              <w:t>83</w:t>
            </w:r>
          </w:p>
        </w:tc>
        <w:tc>
          <w:tcPr>
            <w:tcW w:w="1232" w:type="dxa"/>
            <w:noWrap/>
            <w:vAlign w:val="bottom"/>
          </w:tcPr>
          <w:p w:rsidR="00000000" w:rsidRDefault="00000000">
            <w:pPr>
              <w:spacing w:before="80" w:after="80"/>
              <w:ind w:right="567"/>
              <w:jc w:val="right"/>
              <w:rPr>
                <w:sz w:val="20"/>
                <w:szCs w:val="20"/>
              </w:rPr>
            </w:pPr>
            <w:r>
              <w:rPr>
                <w:sz w:val="20"/>
                <w:szCs w:val="20"/>
              </w:rPr>
              <w:t>4.9</w:t>
            </w:r>
          </w:p>
        </w:tc>
        <w:tc>
          <w:tcPr>
            <w:tcW w:w="1293" w:type="dxa"/>
            <w:noWrap/>
            <w:vAlign w:val="bottom"/>
          </w:tcPr>
          <w:p w:rsidR="00000000" w:rsidRDefault="00000000">
            <w:pPr>
              <w:spacing w:before="80" w:after="80"/>
              <w:ind w:right="567"/>
              <w:jc w:val="right"/>
              <w:rPr>
                <w:sz w:val="20"/>
                <w:szCs w:val="20"/>
              </w:rPr>
            </w:pPr>
            <w:r>
              <w:rPr>
                <w:sz w:val="20"/>
                <w:szCs w:val="20"/>
              </w:rPr>
              <w:t>1.0</w:t>
            </w:r>
          </w:p>
        </w:tc>
      </w:tr>
      <w:tr w:rsidR="00000000">
        <w:tc>
          <w:tcPr>
            <w:tcW w:w="5523" w:type="dxa"/>
            <w:noWrap/>
            <w:vAlign w:val="bottom"/>
          </w:tcPr>
          <w:p w:rsidR="00000000" w:rsidRDefault="00000000">
            <w:pPr>
              <w:tabs>
                <w:tab w:val="left" w:pos="340"/>
              </w:tabs>
              <w:spacing w:before="80" w:after="80"/>
              <w:rPr>
                <w:sz w:val="20"/>
                <w:szCs w:val="20"/>
              </w:rPr>
            </w:pPr>
            <w:r>
              <w:rPr>
                <w:sz w:val="20"/>
                <w:szCs w:val="20"/>
              </w:rPr>
              <w:t>11.</w:t>
            </w:r>
            <w:r>
              <w:rPr>
                <w:sz w:val="20"/>
                <w:szCs w:val="20"/>
              </w:rPr>
              <w:tab/>
              <w:t>Other causes</w:t>
            </w:r>
          </w:p>
        </w:tc>
        <w:tc>
          <w:tcPr>
            <w:tcW w:w="1396" w:type="dxa"/>
            <w:noWrap/>
            <w:vAlign w:val="bottom"/>
          </w:tcPr>
          <w:p w:rsidR="00000000" w:rsidRDefault="00000000">
            <w:pPr>
              <w:spacing w:before="80" w:after="80"/>
              <w:ind w:right="567"/>
              <w:jc w:val="right"/>
              <w:rPr>
                <w:sz w:val="20"/>
                <w:szCs w:val="20"/>
              </w:rPr>
            </w:pPr>
            <w:r>
              <w:rPr>
                <w:sz w:val="20"/>
                <w:szCs w:val="20"/>
              </w:rPr>
              <w:t>272</w:t>
            </w:r>
          </w:p>
        </w:tc>
        <w:tc>
          <w:tcPr>
            <w:tcW w:w="1232" w:type="dxa"/>
            <w:noWrap/>
            <w:vAlign w:val="bottom"/>
          </w:tcPr>
          <w:p w:rsidR="00000000" w:rsidRDefault="00000000">
            <w:pPr>
              <w:spacing w:before="80" w:after="80"/>
              <w:ind w:right="567"/>
              <w:jc w:val="right"/>
              <w:rPr>
                <w:sz w:val="20"/>
                <w:szCs w:val="20"/>
              </w:rPr>
            </w:pPr>
            <w:r>
              <w:rPr>
                <w:sz w:val="20"/>
                <w:szCs w:val="20"/>
              </w:rPr>
              <w:t>16.2</w:t>
            </w:r>
          </w:p>
        </w:tc>
        <w:tc>
          <w:tcPr>
            <w:tcW w:w="1293" w:type="dxa"/>
            <w:noWrap/>
            <w:vAlign w:val="bottom"/>
          </w:tcPr>
          <w:p w:rsidR="00000000" w:rsidRDefault="00000000">
            <w:pPr>
              <w:spacing w:before="80" w:after="80"/>
              <w:ind w:right="567"/>
              <w:jc w:val="right"/>
              <w:rPr>
                <w:sz w:val="20"/>
                <w:szCs w:val="20"/>
              </w:rPr>
            </w:pPr>
            <w:r>
              <w:rPr>
                <w:sz w:val="20"/>
                <w:szCs w:val="20"/>
              </w:rPr>
              <w:t>3.1</w:t>
            </w:r>
          </w:p>
        </w:tc>
      </w:tr>
      <w:tr w:rsidR="00000000">
        <w:tc>
          <w:tcPr>
            <w:tcW w:w="5523" w:type="dxa"/>
            <w:tcBorders>
              <w:bottom w:val="single" w:sz="4" w:space="0" w:color="auto"/>
            </w:tcBorders>
            <w:noWrap/>
            <w:vAlign w:val="bottom"/>
          </w:tcPr>
          <w:p w:rsidR="00000000" w:rsidRDefault="00000000">
            <w:pPr>
              <w:spacing w:before="80" w:after="80"/>
              <w:rPr>
                <w:b/>
                <w:bCs/>
                <w:sz w:val="20"/>
                <w:szCs w:val="20"/>
              </w:rPr>
            </w:pPr>
            <w:r>
              <w:rPr>
                <w:b/>
                <w:bCs/>
                <w:sz w:val="20"/>
                <w:szCs w:val="20"/>
              </w:rPr>
              <w:t xml:space="preserve">Total </w:t>
            </w:r>
          </w:p>
        </w:tc>
        <w:tc>
          <w:tcPr>
            <w:tcW w:w="1396" w:type="dxa"/>
            <w:tcBorders>
              <w:bottom w:val="single" w:sz="4" w:space="0" w:color="auto"/>
            </w:tcBorders>
            <w:noWrap/>
            <w:vAlign w:val="bottom"/>
          </w:tcPr>
          <w:p w:rsidR="00000000" w:rsidRDefault="00000000">
            <w:pPr>
              <w:spacing w:before="80" w:after="80"/>
              <w:ind w:right="567"/>
              <w:jc w:val="right"/>
              <w:rPr>
                <w:b/>
                <w:bCs/>
                <w:sz w:val="20"/>
                <w:szCs w:val="20"/>
              </w:rPr>
            </w:pPr>
            <w:r>
              <w:rPr>
                <w:b/>
                <w:bCs/>
                <w:sz w:val="20"/>
                <w:szCs w:val="20"/>
              </w:rPr>
              <w:t>1 683</w:t>
            </w:r>
          </w:p>
        </w:tc>
        <w:tc>
          <w:tcPr>
            <w:tcW w:w="1232" w:type="dxa"/>
            <w:tcBorders>
              <w:bottom w:val="single" w:sz="4" w:space="0" w:color="auto"/>
            </w:tcBorders>
            <w:noWrap/>
            <w:vAlign w:val="bottom"/>
          </w:tcPr>
          <w:p w:rsidR="00000000" w:rsidRDefault="00000000">
            <w:pPr>
              <w:spacing w:before="80" w:after="80"/>
              <w:ind w:right="567"/>
              <w:jc w:val="right"/>
              <w:rPr>
                <w:b/>
                <w:bCs/>
                <w:sz w:val="20"/>
                <w:szCs w:val="20"/>
              </w:rPr>
            </w:pPr>
            <w:r>
              <w:rPr>
                <w:b/>
                <w:bCs/>
                <w:sz w:val="20"/>
                <w:szCs w:val="20"/>
              </w:rPr>
              <w:t>100.0</w:t>
            </w:r>
          </w:p>
        </w:tc>
        <w:tc>
          <w:tcPr>
            <w:tcW w:w="1293" w:type="dxa"/>
            <w:tcBorders>
              <w:bottom w:val="single" w:sz="4" w:space="0" w:color="auto"/>
            </w:tcBorders>
            <w:noWrap/>
            <w:vAlign w:val="bottom"/>
          </w:tcPr>
          <w:p w:rsidR="00000000" w:rsidRDefault="00000000">
            <w:pPr>
              <w:spacing w:before="80" w:after="80"/>
              <w:ind w:right="567"/>
              <w:jc w:val="right"/>
              <w:rPr>
                <w:b/>
                <w:bCs/>
                <w:sz w:val="20"/>
                <w:szCs w:val="20"/>
              </w:rPr>
            </w:pPr>
            <w:r>
              <w:rPr>
                <w:b/>
                <w:bCs/>
                <w:sz w:val="20"/>
                <w:szCs w:val="20"/>
              </w:rPr>
              <w:t>19.4</w:t>
            </w:r>
          </w:p>
        </w:tc>
      </w:tr>
    </w:tbl>
    <w:p w:rsidR="00000000" w:rsidRDefault="00000000">
      <w:pPr>
        <w:spacing w:before="120" w:after="80"/>
        <w:ind w:firstLine="567"/>
        <w:rPr>
          <w:sz w:val="20"/>
          <w:szCs w:val="20"/>
        </w:rPr>
      </w:pPr>
      <w:r>
        <w:rPr>
          <w:sz w:val="20"/>
          <w:szCs w:val="20"/>
        </w:rPr>
        <w:t>Live births registered in 2003: 86,739.</w:t>
      </w:r>
    </w:p>
    <w:p w:rsidR="00000000" w:rsidRDefault="00000000">
      <w:pPr>
        <w:spacing w:after="240"/>
        <w:ind w:firstLine="567"/>
      </w:pPr>
      <w:r>
        <w:rPr>
          <w:i/>
          <w:iCs/>
          <w:sz w:val="20"/>
          <w:szCs w:val="20"/>
        </w:rPr>
        <w:t>Source :</w:t>
      </w:r>
      <w:r>
        <w:rPr>
          <w:sz w:val="20"/>
          <w:szCs w:val="20"/>
        </w:rPr>
        <w:t xml:space="preserve"> Certificates of registered deaths: Biostatistics dept. .M.S.P. &amp; B.S.</w:t>
      </w:r>
    </w:p>
    <w:p w:rsidR="00000000" w:rsidRDefault="00000000">
      <w:pPr>
        <w:spacing w:after="240"/>
      </w:pPr>
      <w:r>
        <w:rPr>
          <w:b/>
          <w:bCs/>
        </w:rPr>
        <w:t>4.</w:t>
      </w:r>
      <w:r>
        <w:rPr>
          <w:b/>
          <w:bCs/>
        </w:rPr>
        <w:tab/>
        <w:t>Infant health</w:t>
      </w:r>
    </w:p>
    <w:p w:rsidR="00000000" w:rsidRDefault="00000000">
      <w:pPr>
        <w:spacing w:after="240"/>
      </w:pPr>
      <w:r>
        <w:t>471.</w:t>
      </w:r>
      <w:r>
        <w:tab/>
        <w:t xml:space="preserve">The pattern of coverage of vaccination, like all biological factors in Paraguay, shows considerable swings over the years 1995-2000. Since 2001 the results have been more homogeneous, those attained in 2001 being somewhat higher. In 2002 and 2003 levels of 86 per cent were achieved for pentavalent vaccination and OPV and 90 per cent for BCG and SPR. Coverage of infants under 1 year of age with pentavalent vaccination in 2005 was 86 per cent (127,465 infants under age 1 received their third dose of pentavalent vaccine). In the same year coverage of SPR vaccination of infants under 1 year of age was 91 per cent (130,295 infants under age 1 vaccinated with SPR). During the National Vaccination Campaign the entire population between ages 5 and 39 was vaccinated with SR (3,761,308 persons vaccinated). </w:t>
      </w:r>
    </w:p>
    <w:p w:rsidR="00000000" w:rsidRDefault="00000000">
      <w:pPr>
        <w:spacing w:after="240"/>
        <w:jc w:val="center"/>
        <w:rPr>
          <w:sz w:val="22"/>
        </w:rPr>
      </w:pPr>
      <w:r>
        <w:br w:type="page"/>
      </w:r>
      <w:r>
        <w:rPr>
          <w:b/>
          <w:bCs/>
          <w:sz w:val="22"/>
        </w:rPr>
        <w:t>Vaccination coverage, 1995-2003</w:t>
      </w:r>
    </w:p>
    <w:p w:rsidR="00000000" w:rsidRDefault="00000000">
      <w:pPr>
        <w:spacing w:after="240"/>
        <w:jc w:val="center"/>
        <w:rPr>
          <w:b/>
          <w:bCs/>
        </w:rPr>
      </w:pPr>
      <w:r>
        <w:rPr>
          <w:b/>
          <w:bCs/>
          <w:noProof/>
          <w:sz w:val="20"/>
          <w:lang w:val="fr-FR" w:eastAsia="fr-FR"/>
        </w:rPr>
        <w:pict>
          <v:shape id="_x0000_s2910" type="#_x0000_t202" style="position:absolute;left:0;text-align:left;margin-left:64.7pt;margin-top:159.25pt;width:22.25pt;height:9.7pt;z-index:95" stroked="f">
            <v:textbox inset="0,0,0,0">
              <w:txbxContent>
                <w:p w:rsidR="00000000" w:rsidRDefault="00000000">
                  <w:pPr>
                    <w:pStyle w:val="FootnoteText"/>
                    <w:rPr>
                      <w:sz w:val="16"/>
                      <w:szCs w:val="24"/>
                      <w:lang w:val="pt-BR"/>
                    </w:rPr>
                  </w:pPr>
                  <w:r>
                    <w:rPr>
                      <w:sz w:val="16"/>
                      <w:szCs w:val="24"/>
                      <w:lang w:val="pt-BR"/>
                    </w:rPr>
                    <w:t>OPV</w:t>
                  </w:r>
                </w:p>
              </w:txbxContent>
            </v:textbox>
          </v:shape>
        </w:pict>
      </w:r>
      <w:r>
        <w:rPr>
          <w:b/>
          <w:bCs/>
          <w:noProof/>
          <w:sz w:val="20"/>
          <w:lang w:val="fr-FR" w:eastAsia="fr-FR"/>
        </w:rPr>
        <w:pict>
          <v:shape id="_x0000_s2909" type="#_x0000_t202" style="position:absolute;left:0;text-align:left;margin-left:65.05pt;margin-top:146.6pt;width:22.25pt;height:9.7pt;z-index:94" stroked="f">
            <v:textbox inset="0,0,0,0">
              <w:txbxContent>
                <w:p w:rsidR="00000000" w:rsidRDefault="00000000">
                  <w:pPr>
                    <w:pStyle w:val="FootnoteText"/>
                    <w:rPr>
                      <w:sz w:val="16"/>
                      <w:szCs w:val="24"/>
                      <w:lang w:val="pt-BR"/>
                    </w:rPr>
                  </w:pPr>
                  <w:r>
                    <w:rPr>
                      <w:sz w:val="16"/>
                      <w:szCs w:val="24"/>
                      <w:lang w:val="pt-BR"/>
                    </w:rPr>
                    <w:t>DPT</w:t>
                  </w:r>
                </w:p>
              </w:txbxContent>
            </v:textbox>
          </v:shape>
        </w:pict>
      </w:r>
      <w:r>
        <w:pict>
          <v:shape id="_x0000_i1055" type="#_x0000_t75" style="width:424.5pt;height:208.5pt" o:allowoverlap="f">
            <v:imagedata r:id="rId65" o:title="" croptop="11084f"/>
          </v:shape>
        </w:pict>
      </w:r>
    </w:p>
    <w:p w:rsidR="00000000" w:rsidRDefault="00000000">
      <w:pPr>
        <w:spacing w:after="240"/>
      </w:pPr>
      <w:r>
        <w:rPr>
          <w:b/>
          <w:bCs/>
        </w:rPr>
        <w:t>4.1.</w:t>
      </w:r>
      <w:r>
        <w:rPr>
          <w:b/>
          <w:bCs/>
        </w:rPr>
        <w:tab/>
        <w:t>Immunization of children under five years of age</w:t>
      </w:r>
    </w:p>
    <w:p w:rsidR="00000000" w:rsidRDefault="00000000">
      <w:pPr>
        <w:spacing w:after="240"/>
      </w:pPr>
      <w:r>
        <w:rPr>
          <w:lang w:val="en-US"/>
        </w:rPr>
        <w:t>472</w:t>
      </w:r>
      <w:r>
        <w:t>.</w:t>
      </w:r>
      <w:r>
        <w:tab/>
        <w:t xml:space="preserve">The diseases preventable by vaccination include measles, pertussis, tetanus, diphtheria, poliomyelitis and tuberculosis. In the ENDSSR 2004 a child is recorded as having had a complete course of vaccination if he or she has received one dose of BCG and measles vaccine, three doses of polio vaccine and 3 of DPT. In ENDSSR 2004 the criterion includes the pentavalent vaccination in combination with DPT, mainly on account of shortcomings in the recording of the information and SPR as a substitute for or complement to vaccination against measles. </w:t>
      </w:r>
    </w:p>
    <w:p w:rsidR="00000000" w:rsidRDefault="00000000">
      <w:pPr>
        <w:spacing w:after="240"/>
        <w:jc w:val="center"/>
        <w:rPr>
          <w:smallCaps/>
          <w:sz w:val="22"/>
        </w:rPr>
      </w:pPr>
      <w:r>
        <w:rPr>
          <w:smallCaps/>
          <w:sz w:val="22"/>
        </w:rPr>
        <w:t>Graph</w:t>
      </w:r>
    </w:p>
    <w:p w:rsidR="00000000" w:rsidRDefault="00000000">
      <w:pPr>
        <w:pStyle w:val="xl46"/>
        <w:spacing w:before="0" w:beforeAutospacing="0" w:after="240" w:afterAutospacing="0"/>
        <w:rPr>
          <w:rFonts w:ascii="Times New Roman" w:eastAsia="Times New Roman" w:hAnsi="Times New Roman" w:cs="Times New Roman"/>
          <w:szCs w:val="24"/>
          <w:lang w:val="en-GB" w:eastAsia="en-US"/>
        </w:rPr>
      </w:pPr>
      <w:r>
        <w:rPr>
          <w:rFonts w:ascii="Times New Roman" w:eastAsia="Times New Roman" w:hAnsi="Times New Roman" w:cs="Times New Roman"/>
          <w:szCs w:val="24"/>
          <w:lang w:val="en-GB" w:eastAsia="en-US"/>
        </w:rPr>
        <w:t>Coverage of complete course of immunization with the four vaccinations (BCG, DPT, polio and measles) combined among children aged 12-23 months, by area,</w:t>
      </w:r>
      <w:r>
        <w:rPr>
          <w:rFonts w:ascii="Times New Roman" w:eastAsia="Times New Roman" w:hAnsi="Times New Roman" w:cs="Times New Roman"/>
          <w:szCs w:val="24"/>
          <w:lang w:val="en-GB" w:eastAsia="en-US"/>
        </w:rPr>
        <w:br/>
        <w:t>according to ENDSR 95/96 and ENDSSR 2004.</w:t>
      </w:r>
    </w:p>
    <w:p w:rsidR="00000000" w:rsidRDefault="00000000">
      <w:pPr>
        <w:spacing w:after="240"/>
        <w:jc w:val="center"/>
        <w:rPr>
          <w:b/>
        </w:rPr>
      </w:pPr>
      <w:r>
        <w:rPr>
          <w:noProof/>
          <w:sz w:val="20"/>
          <w:lang w:val="fr-FR" w:eastAsia="fr-FR"/>
        </w:rPr>
        <w:pict>
          <v:shape id="_x0000_s2920" type="#_x0000_t202" style="position:absolute;left:0;text-align:left;margin-left:288.1pt;margin-top:177.85pt;width:73.5pt;height:15.3pt;z-index:104" stroked="f">
            <v:textbox style="mso-next-textbox:#_x0000_s2920" inset="0,0,0,0">
              <w:txbxContent>
                <w:p w:rsidR="00000000" w:rsidRDefault="00000000">
                  <w:pPr>
                    <w:jc w:val="center"/>
                    <w:rPr>
                      <w:b/>
                      <w:bCs/>
                      <w:sz w:val="18"/>
                    </w:rPr>
                  </w:pPr>
                  <w:r>
                    <w:rPr>
                      <w:b/>
                      <w:bCs/>
                      <w:sz w:val="18"/>
                    </w:rPr>
                    <w:t>ENDSSR 95/96</w:t>
                  </w:r>
                </w:p>
              </w:txbxContent>
            </v:textbox>
          </v:shape>
        </w:pict>
      </w:r>
      <w:r>
        <w:rPr>
          <w:noProof/>
          <w:sz w:val="20"/>
          <w:lang w:val="fr-FR" w:eastAsia="fr-FR"/>
        </w:rPr>
        <w:pict>
          <v:shape id="_x0000_s2919" type="#_x0000_t202" style="position:absolute;left:0;text-align:left;margin-left:182.05pt;margin-top:176.85pt;width:73.5pt;height:15.3pt;z-index:103" stroked="f">
            <v:textbox inset="0,0,0,0">
              <w:txbxContent>
                <w:p w:rsidR="00000000" w:rsidRDefault="00000000">
                  <w:pPr>
                    <w:jc w:val="center"/>
                    <w:rPr>
                      <w:b/>
                      <w:bCs/>
                      <w:sz w:val="18"/>
                    </w:rPr>
                  </w:pPr>
                  <w:r>
                    <w:rPr>
                      <w:b/>
                      <w:bCs/>
                      <w:sz w:val="18"/>
                    </w:rPr>
                    <w:t>ENDSSR 2004</w:t>
                  </w:r>
                </w:p>
              </w:txbxContent>
            </v:textbox>
          </v:shape>
        </w:pict>
      </w:r>
      <w:r>
        <w:rPr>
          <w:noProof/>
          <w:sz w:val="20"/>
          <w:lang w:val="fr-FR" w:eastAsia="fr-FR"/>
        </w:rPr>
        <w:pict>
          <v:shape id="_x0000_s2917" type="#_x0000_t202" style="position:absolute;left:0;text-align:left;margin-left:292.15pt;margin-top:122.25pt;width:36pt;height:12.1pt;z-index:101" stroked="f">
            <v:textbox inset="0,0,0,0">
              <w:txbxContent>
                <w:p w:rsidR="00000000" w:rsidRDefault="00000000">
                  <w:pPr>
                    <w:jc w:val="center"/>
                    <w:rPr>
                      <w:b/>
                      <w:bCs/>
                      <w:sz w:val="18"/>
                    </w:rPr>
                  </w:pPr>
                  <w:r>
                    <w:rPr>
                      <w:b/>
                      <w:bCs/>
                      <w:sz w:val="18"/>
                    </w:rPr>
                    <w:t>42.8</w:t>
                  </w:r>
                </w:p>
              </w:txbxContent>
            </v:textbox>
          </v:shape>
        </w:pict>
      </w:r>
      <w:r>
        <w:rPr>
          <w:noProof/>
          <w:sz w:val="20"/>
          <w:lang w:val="fr-FR" w:eastAsia="fr-FR"/>
        </w:rPr>
        <w:pict>
          <v:shape id="_x0000_s2918" type="#_x0000_t202" style="position:absolute;left:0;text-align:left;margin-left:364.5pt;margin-top:136.75pt;width:36pt;height:12.1pt;z-index:102" stroked="f">
            <v:textbox inset="0,0,0,0">
              <w:txbxContent>
                <w:p w:rsidR="00000000" w:rsidRDefault="00000000">
                  <w:pPr>
                    <w:jc w:val="center"/>
                    <w:rPr>
                      <w:b/>
                      <w:bCs/>
                      <w:sz w:val="18"/>
                    </w:rPr>
                  </w:pPr>
                  <w:r>
                    <w:rPr>
                      <w:b/>
                      <w:bCs/>
                      <w:sz w:val="18"/>
                    </w:rPr>
                    <w:t>60.4</w:t>
                  </w:r>
                </w:p>
              </w:txbxContent>
            </v:textbox>
          </v:shape>
        </w:pict>
      </w:r>
      <w:r>
        <w:rPr>
          <w:noProof/>
          <w:sz w:val="20"/>
          <w:lang w:val="fr-FR" w:eastAsia="fr-FR"/>
        </w:rPr>
        <w:pict>
          <v:shape id="_x0000_s2915" type="#_x0000_t202" style="position:absolute;left:0;text-align:left;margin-left:348.9pt;margin-top:68.85pt;width:36pt;height:12.1pt;z-index:99" stroked="f">
            <v:textbox inset="0,0,0,0">
              <w:txbxContent>
                <w:p w:rsidR="00000000" w:rsidRDefault="00000000">
                  <w:pPr>
                    <w:jc w:val="center"/>
                    <w:rPr>
                      <w:b/>
                      <w:bCs/>
                      <w:sz w:val="18"/>
                    </w:rPr>
                  </w:pPr>
                  <w:r>
                    <w:rPr>
                      <w:b/>
                      <w:bCs/>
                      <w:sz w:val="18"/>
                    </w:rPr>
                    <w:t>59.4</w:t>
                  </w:r>
                </w:p>
              </w:txbxContent>
            </v:textbox>
          </v:shape>
        </w:pict>
      </w:r>
      <w:r>
        <w:rPr>
          <w:noProof/>
          <w:sz w:val="20"/>
          <w:lang w:val="fr-FR" w:eastAsia="fr-FR"/>
        </w:rPr>
        <w:pict>
          <v:shape id="_x0000_s2916" type="#_x0000_t202" style="position:absolute;left:0;text-align:left;margin-left:369.45pt;margin-top:82pt;width:36pt;height:12.1pt;z-index:100" stroked="f">
            <v:textbox inset="0,0,0,0">
              <w:txbxContent>
                <w:p w:rsidR="00000000" w:rsidRDefault="00000000">
                  <w:pPr>
                    <w:jc w:val="center"/>
                    <w:rPr>
                      <w:b/>
                      <w:bCs/>
                      <w:sz w:val="18"/>
                    </w:rPr>
                  </w:pPr>
                  <w:r>
                    <w:rPr>
                      <w:b/>
                      <w:bCs/>
                      <w:sz w:val="18"/>
                    </w:rPr>
                    <w:t>65.8</w:t>
                  </w:r>
                </w:p>
              </w:txbxContent>
            </v:textbox>
          </v:shape>
        </w:pict>
      </w:r>
      <w:r>
        <w:rPr>
          <w:noProof/>
          <w:sz w:val="20"/>
          <w:lang w:val="fr-FR" w:eastAsia="fr-FR"/>
        </w:rPr>
        <w:pict>
          <v:shape id="_x0000_s2914" type="#_x0000_t202" style="position:absolute;left:0;text-align:left;margin-left:369.25pt;margin-top:32.25pt;width:36pt;height:12.1pt;z-index:98" stroked="f">
            <v:textbox inset="0,0,0,0">
              <w:txbxContent>
                <w:p w:rsidR="00000000" w:rsidRDefault="00000000">
                  <w:pPr>
                    <w:jc w:val="center"/>
                    <w:rPr>
                      <w:b/>
                      <w:bCs/>
                      <w:sz w:val="18"/>
                    </w:rPr>
                  </w:pPr>
                  <w:r>
                    <w:rPr>
                      <w:b/>
                      <w:bCs/>
                      <w:sz w:val="18"/>
                    </w:rPr>
                    <w:t>65.2</w:t>
                  </w:r>
                </w:p>
              </w:txbxContent>
            </v:textbox>
          </v:shape>
        </w:pict>
      </w:r>
      <w:r>
        <w:rPr>
          <w:noProof/>
          <w:sz w:val="20"/>
          <w:lang w:val="fr-FR" w:eastAsia="fr-FR"/>
        </w:rPr>
        <w:pict>
          <v:shape id="_x0000_s2913" type="#_x0000_t202" style="position:absolute;left:0;text-align:left;margin-left:315.55pt;margin-top:16.45pt;width:36pt;height:12.1pt;z-index:97" stroked="f">
            <v:textbox style="mso-next-textbox:#_x0000_s2913" inset="0,0,0,0">
              <w:txbxContent>
                <w:p w:rsidR="00000000" w:rsidRDefault="00000000">
                  <w:pPr>
                    <w:jc w:val="center"/>
                    <w:rPr>
                      <w:b/>
                      <w:bCs/>
                      <w:sz w:val="18"/>
                    </w:rPr>
                  </w:pPr>
                  <w:r>
                    <w:rPr>
                      <w:b/>
                      <w:bCs/>
                      <w:sz w:val="18"/>
                    </w:rPr>
                    <w:t>49.8</w:t>
                  </w:r>
                </w:p>
              </w:txbxContent>
            </v:textbox>
          </v:shape>
        </w:pict>
      </w:r>
      <w:r>
        <w:rPr>
          <w:noProof/>
          <w:sz w:val="20"/>
          <w:lang w:val="fr-FR" w:eastAsia="fr-FR"/>
        </w:rPr>
        <w:pict>
          <v:shape id="_x0000_s2912" type="#_x0000_t202" style="position:absolute;left:0;text-align:left;margin-left:60.05pt;margin-top:10.85pt;width:72.7pt;height:161.8pt;z-index:96" stroked="f">
            <v:textbox inset="0,0,0,0">
              <w:txbxContent>
                <w:p w:rsidR="00000000" w:rsidRDefault="00000000">
                  <w:pPr>
                    <w:jc w:val="right"/>
                    <w:rPr>
                      <w:sz w:val="28"/>
                    </w:rPr>
                  </w:pPr>
                </w:p>
                <w:p w:rsidR="00000000" w:rsidRDefault="00000000">
                  <w:pPr>
                    <w:spacing w:after="80"/>
                    <w:jc w:val="right"/>
                    <w:rPr>
                      <w:b/>
                      <w:sz w:val="18"/>
                      <w:szCs w:val="18"/>
                      <w:lang w:val="fr-FR"/>
                    </w:rPr>
                  </w:pPr>
                  <w:r>
                    <w:rPr>
                      <w:b/>
                      <w:sz w:val="18"/>
                      <w:szCs w:val="18"/>
                      <w:lang w:val="fr-FR"/>
                    </w:rPr>
                    <w:t>Total</w:t>
                  </w:r>
                </w:p>
                <w:p w:rsidR="00000000" w:rsidRDefault="00000000">
                  <w:pPr>
                    <w:spacing w:after="80"/>
                    <w:jc w:val="right"/>
                    <w:rPr>
                      <w:b/>
                      <w:sz w:val="18"/>
                      <w:szCs w:val="18"/>
                      <w:lang w:val="fr-FR"/>
                    </w:rPr>
                  </w:pPr>
                </w:p>
                <w:p w:rsidR="00000000" w:rsidRDefault="00000000">
                  <w:pPr>
                    <w:spacing w:after="80"/>
                    <w:jc w:val="right"/>
                    <w:rPr>
                      <w:b/>
                      <w:sz w:val="18"/>
                      <w:szCs w:val="18"/>
                      <w:lang w:val="fr-FR"/>
                    </w:rPr>
                  </w:pPr>
                </w:p>
                <w:p w:rsidR="00000000" w:rsidRDefault="00000000">
                  <w:pPr>
                    <w:spacing w:after="80"/>
                    <w:jc w:val="right"/>
                    <w:rPr>
                      <w:b/>
                      <w:sz w:val="14"/>
                      <w:szCs w:val="18"/>
                      <w:lang w:val="fr-FR"/>
                    </w:rPr>
                  </w:pPr>
                </w:p>
                <w:p w:rsidR="00000000" w:rsidRDefault="00000000">
                  <w:pPr>
                    <w:spacing w:after="80"/>
                    <w:jc w:val="right"/>
                    <w:rPr>
                      <w:b/>
                      <w:sz w:val="18"/>
                      <w:szCs w:val="18"/>
                      <w:lang w:val="fr-FR"/>
                    </w:rPr>
                  </w:pPr>
                  <w:r>
                    <w:rPr>
                      <w:b/>
                      <w:sz w:val="18"/>
                      <w:szCs w:val="18"/>
                      <w:lang w:val="fr-FR"/>
                    </w:rPr>
                    <w:t>Urban</w:t>
                  </w:r>
                </w:p>
                <w:p w:rsidR="00000000" w:rsidRDefault="00000000">
                  <w:pPr>
                    <w:jc w:val="right"/>
                    <w:rPr>
                      <w:b/>
                      <w:sz w:val="18"/>
                      <w:szCs w:val="18"/>
                      <w:lang w:val="fr-FR"/>
                    </w:rPr>
                  </w:pPr>
                </w:p>
                <w:p w:rsidR="00000000" w:rsidRDefault="00000000">
                  <w:pPr>
                    <w:jc w:val="right"/>
                    <w:rPr>
                      <w:b/>
                      <w:sz w:val="18"/>
                      <w:szCs w:val="18"/>
                      <w:lang w:val="fr-FR"/>
                    </w:rPr>
                  </w:pPr>
                </w:p>
                <w:p w:rsidR="00000000" w:rsidRDefault="00000000">
                  <w:pPr>
                    <w:jc w:val="right"/>
                    <w:rPr>
                      <w:b/>
                      <w:sz w:val="8"/>
                      <w:szCs w:val="18"/>
                      <w:lang w:val="fr-FR"/>
                    </w:rPr>
                  </w:pPr>
                </w:p>
                <w:p w:rsidR="00000000" w:rsidRDefault="00000000">
                  <w:pPr>
                    <w:jc w:val="right"/>
                    <w:rPr>
                      <w:b/>
                      <w:sz w:val="18"/>
                      <w:szCs w:val="18"/>
                      <w:lang w:val="fr-FR"/>
                    </w:rPr>
                  </w:pPr>
                </w:p>
                <w:p w:rsidR="00000000" w:rsidRDefault="00000000">
                  <w:pPr>
                    <w:jc w:val="right"/>
                    <w:rPr>
                      <w:lang w:val="fr-FR"/>
                    </w:rPr>
                  </w:pPr>
                  <w:r>
                    <w:rPr>
                      <w:b/>
                      <w:sz w:val="18"/>
                      <w:szCs w:val="18"/>
                      <w:lang w:val="fr-FR"/>
                    </w:rPr>
                    <w:t>Rural</w:t>
                  </w:r>
                </w:p>
              </w:txbxContent>
            </v:textbox>
          </v:shape>
        </w:pict>
      </w:r>
      <w:r>
        <w:object w:dxaOrig="7620" w:dyaOrig="5259">
          <v:shape id="_x0000_i1056" type="#_x0000_t75" alt="" style="width:393pt;height:198pt" o:ole="" o:allowoverlap="f">
            <v:imagedata r:id="rId66" o:title="" croptop="12011f" cropbottom="5652f" grayscale="t"/>
          </v:shape>
          <o:OLEObject Type="Embed" ProgID="Word.Picture.8" ShapeID="_x0000_i1056" DrawAspect="Content" ObjectID="_1394904867" r:id="rId67"/>
        </w:object>
      </w:r>
    </w:p>
    <w:p w:rsidR="00000000" w:rsidRDefault="00000000">
      <w:pPr>
        <w:spacing w:after="240"/>
        <w:rPr>
          <w:b/>
        </w:rPr>
      </w:pPr>
      <w:r>
        <w:rPr>
          <w:noProof/>
          <w:sz w:val="20"/>
          <w:lang w:val="fr-FR" w:eastAsia="fr-FR"/>
        </w:rPr>
        <w:pict>
          <v:shape id="_x0000_s2921" type="#_x0000_t202" style="position:absolute;margin-left:79.8pt;margin-top:2.6pt;width:145.95pt;height:17.05pt;z-index:105" stroked="f">
            <v:textbox style="mso-next-textbox:#_x0000_s2921" inset="0,0,0,0">
              <w:txbxContent>
                <w:p w:rsidR="00000000" w:rsidRDefault="00000000">
                  <w:r>
                    <w:rPr>
                      <w:i/>
                      <w:sz w:val="20"/>
                      <w:szCs w:val="18"/>
                    </w:rPr>
                    <w:t>Source</w:t>
                  </w:r>
                  <w:r>
                    <w:rPr>
                      <w:sz w:val="20"/>
                      <w:szCs w:val="18"/>
                    </w:rPr>
                    <w:t xml:space="preserve"> : ENDSSR 1995/1996/2004.</w:t>
                  </w:r>
                </w:p>
              </w:txbxContent>
            </v:textbox>
          </v:shape>
        </w:pict>
      </w:r>
    </w:p>
    <w:p w:rsidR="00000000" w:rsidRDefault="00000000">
      <w:pPr>
        <w:keepNext/>
        <w:spacing w:after="240"/>
        <w:rPr>
          <w:b/>
          <w:bCs/>
        </w:rPr>
      </w:pPr>
      <w:r>
        <w:rPr>
          <w:b/>
          <w:bCs/>
        </w:rPr>
        <w:t>4.2.</w:t>
      </w:r>
      <w:r>
        <w:rPr>
          <w:b/>
          <w:bCs/>
        </w:rPr>
        <w:tab/>
        <w:t>Levels of immunization</w:t>
      </w:r>
    </w:p>
    <w:p w:rsidR="00000000" w:rsidRDefault="00000000">
      <w:pPr>
        <w:keepNext/>
        <w:spacing w:after="240"/>
      </w:pPr>
      <w:r>
        <w:rPr>
          <w:lang w:val="en-US"/>
        </w:rPr>
        <w:t>473</w:t>
      </w:r>
      <w:r>
        <w:t>.</w:t>
      </w:r>
      <w:r>
        <w:tab/>
        <w:t xml:space="preserve">When the results of ENDSSR 2004 are compared with those of ENDSR 95/96 appended to it, the figures for ENDSSR 2004 reveal that nationwide immunization coverage has increased in recent years. The proportion of children aged between 12 and 23 months vaccinated (i.e., who have, according to the statements of the mothers or the annotations in the vaccination booklets, received a full course of the 4 vaccinations combined (BCG, DPT, polio and measles)) is 65.2 per cent. . The rate of coverage is similar in urban (65.8 per cent) and rural (64.4 per cent) areas. In ENDSR 95/96 the rate of coverage of the four vaccines for children aged 12-23 months was 49.8 per cent for the country as a whole and was higher in urban areas (59.4 per cent) than in rural areas (42.8 per cent). </w:t>
      </w:r>
    </w:p>
    <w:p w:rsidR="00000000" w:rsidRDefault="00000000">
      <w:pPr>
        <w:spacing w:after="240"/>
      </w:pPr>
      <w:r>
        <w:rPr>
          <w:b/>
          <w:bCs/>
        </w:rPr>
        <w:t>4.2.1.  Immunization by region and educational and socio-economic level</w:t>
      </w:r>
    </w:p>
    <w:p w:rsidR="00000000" w:rsidRDefault="00000000">
      <w:pPr>
        <w:spacing w:after="240"/>
      </w:pPr>
      <w:r>
        <w:rPr>
          <w:lang w:val="en-US"/>
        </w:rPr>
        <w:t>474</w:t>
      </w:r>
      <w:r>
        <w:t>.</w:t>
      </w:r>
      <w:r>
        <w:tab/>
        <w:t xml:space="preserve">The lowest percentage of full vaccination coverage is to be found in Greater Asunción (61.3 per cent) and the highest (7 percentage points higher) in Centro Sur (68.6 per cent); however, the difference is not significant. Complete courses are more common when the mother is educated or in a higher-level socio-economic stratum. In addition, as the number of doses taken increases, the rate of coverage falls; thus it has been observed that DPT has a 94.9 per cent rate of coverage for the first dose, but that the rate falls to 82.8 per cent for the third (final) dose. The same occurs with the polio vaccine (93.8 per cent for the first dose, 82.2 per cent for the third). BCG and measles are single-dose vaccines; the rates of coverage recorded are 96.1 per cent and 75.2 per cent respectively. </w:t>
      </w:r>
    </w:p>
    <w:p w:rsidR="00000000" w:rsidRDefault="00000000">
      <w:pPr>
        <w:spacing w:after="240"/>
        <w:rPr>
          <w:b/>
          <w:bCs/>
        </w:rPr>
      </w:pPr>
      <w:r>
        <w:rPr>
          <w:b/>
          <w:bCs/>
        </w:rPr>
        <w:t>5.</w:t>
      </w:r>
      <w:r>
        <w:rPr>
          <w:b/>
          <w:bCs/>
        </w:rPr>
        <w:tab/>
        <w:t>Access to basic health services</w:t>
      </w:r>
    </w:p>
    <w:p w:rsidR="00000000" w:rsidRDefault="00000000">
      <w:pPr>
        <w:spacing w:after="240"/>
      </w:pPr>
      <w:r>
        <w:rPr>
          <w:lang w:val="en-US"/>
        </w:rPr>
        <w:t>475</w:t>
      </w:r>
      <w:r>
        <w:t>.</w:t>
      </w:r>
      <w:r>
        <w:tab/>
        <w:t>As regards the proportion of the population at one hour’s travel or journey from a treatment centre who have access to trained personnel for the treatment of common illnesses and injuries and the provision of any of the 20 basic remedies, in 2000-2001, 38.6 per cent of the population suffering from illness or injuries other than minor injuries did not seek assistance; of these, 6.9 per cent refrained for geographical reasons, 3.2 per cent for financial reasons, 56.1 per cent because they treated themselves and the remainder for other reasons.</w:t>
      </w:r>
      <w:r>
        <w:rPr>
          <w:rStyle w:val="FootnoteReference"/>
          <w:b/>
          <w:bCs/>
        </w:rPr>
        <w:footnoteReference w:id="31"/>
      </w:r>
    </w:p>
    <w:p w:rsidR="00000000" w:rsidRDefault="00000000">
      <w:pPr>
        <w:spacing w:after="240"/>
      </w:pPr>
      <w:r>
        <w:rPr>
          <w:lang w:val="en-US"/>
        </w:rPr>
        <w:t>476</w:t>
      </w:r>
      <w:r>
        <w:t>.</w:t>
      </w:r>
      <w:r>
        <w:tab/>
        <w:t>Alternatively, the cost of a journey to the nearest health centre can be measured in terms of time. Thus 17.5 per cent of the sick or injured persons who sought treatment were over 30 minutes from a centre in urban areas and over 60 minutes away in rural areas.</w:t>
      </w:r>
      <w:r>
        <w:rPr>
          <w:rStyle w:val="FootnoteReference"/>
          <w:b/>
          <w:bCs/>
        </w:rPr>
        <w:footnoteReference w:id="32"/>
      </w:r>
      <w:r>
        <w:tab/>
      </w:r>
    </w:p>
    <w:p w:rsidR="00000000" w:rsidRDefault="00000000">
      <w:pPr>
        <w:spacing w:after="240"/>
        <w:jc w:val="center"/>
        <w:rPr>
          <w:b/>
          <w:bCs/>
        </w:rPr>
      </w:pPr>
      <w:r>
        <w:rPr>
          <w:b/>
          <w:bCs/>
        </w:rPr>
        <w:br w:type="page"/>
      </w:r>
      <w:r>
        <w:rPr>
          <w:b/>
          <w:bCs/>
          <w:sz w:val="22"/>
        </w:rPr>
        <w:t>Total population by area of residence, sex, type of consultation,</w:t>
      </w:r>
      <w:r>
        <w:rPr>
          <w:b/>
          <w:bCs/>
          <w:sz w:val="22"/>
        </w:rPr>
        <w:br/>
        <w:t>sickness or injury during the last 90 days</w:t>
      </w:r>
      <w:r>
        <w:rPr>
          <w:rStyle w:val="FootnoteReference"/>
          <w:b/>
          <w:bCs/>
        </w:rPr>
        <w:footnoteReference w:id="33"/>
      </w:r>
    </w:p>
    <w:tbl>
      <w:tblPr>
        <w:tblW w:w="5000" w:type="pct"/>
        <w:tblLayout w:type="fixed"/>
        <w:tblCellMar>
          <w:left w:w="0" w:type="dxa"/>
          <w:right w:w="0" w:type="dxa"/>
        </w:tblCellMar>
        <w:tblLook w:val="0000" w:firstRow="0" w:lastRow="0" w:firstColumn="0" w:lastColumn="0" w:noHBand="0" w:noVBand="0"/>
      </w:tblPr>
      <w:tblGrid>
        <w:gridCol w:w="3604"/>
        <w:gridCol w:w="1827"/>
        <w:gridCol w:w="1827"/>
        <w:gridCol w:w="2171"/>
      </w:tblGrid>
      <w:tr w:rsidR="00000000">
        <w:trPr>
          <w:cantSplit/>
        </w:trPr>
        <w:tc>
          <w:tcPr>
            <w:tcW w:w="3684" w:type="dxa"/>
            <w:vMerge w:val="restart"/>
            <w:tcBorders>
              <w:top w:val="single" w:sz="4" w:space="0" w:color="auto"/>
            </w:tcBorders>
            <w:noWrap/>
            <w:vAlign w:val="bottom"/>
          </w:tcPr>
          <w:p w:rsidR="00000000" w:rsidRDefault="00000000">
            <w:pPr>
              <w:spacing w:before="60" w:after="60"/>
              <w:jc w:val="center"/>
              <w:rPr>
                <w:b/>
                <w:bCs/>
                <w:i/>
                <w:iCs/>
                <w:sz w:val="20"/>
                <w:szCs w:val="20"/>
              </w:rPr>
            </w:pPr>
            <w:r>
              <w:rPr>
                <w:b/>
                <w:bCs/>
                <w:i/>
                <w:iCs/>
                <w:sz w:val="20"/>
                <w:szCs w:val="20"/>
              </w:rPr>
              <w:t>Type of consultation</w:t>
            </w:r>
          </w:p>
        </w:tc>
        <w:tc>
          <w:tcPr>
            <w:tcW w:w="1867" w:type="dxa"/>
            <w:vMerge w:val="restart"/>
            <w:tcBorders>
              <w:top w:val="single" w:sz="4" w:space="0" w:color="auto"/>
              <w:bottom w:val="single" w:sz="4" w:space="0" w:color="auto"/>
            </w:tcBorders>
            <w:noWrap/>
            <w:vAlign w:val="bottom"/>
          </w:tcPr>
          <w:p w:rsidR="00000000" w:rsidRDefault="00000000">
            <w:pPr>
              <w:spacing w:before="60" w:after="60"/>
              <w:jc w:val="center"/>
              <w:rPr>
                <w:b/>
                <w:bCs/>
                <w:i/>
                <w:iCs/>
                <w:sz w:val="20"/>
                <w:szCs w:val="20"/>
              </w:rPr>
            </w:pPr>
            <w:r>
              <w:rPr>
                <w:b/>
                <w:bCs/>
                <w:i/>
                <w:iCs/>
                <w:sz w:val="20"/>
                <w:szCs w:val="20"/>
              </w:rPr>
              <w:t>Total</w:t>
            </w:r>
          </w:p>
        </w:tc>
        <w:tc>
          <w:tcPr>
            <w:tcW w:w="4086" w:type="dxa"/>
            <w:gridSpan w:val="2"/>
            <w:tcBorders>
              <w:top w:val="single" w:sz="4" w:space="0" w:color="auto"/>
              <w:bottom w:val="single" w:sz="4" w:space="0" w:color="auto"/>
            </w:tcBorders>
            <w:noWrap/>
            <w:vAlign w:val="bottom"/>
          </w:tcPr>
          <w:p w:rsidR="00000000" w:rsidRDefault="00000000">
            <w:pPr>
              <w:spacing w:before="60" w:after="60"/>
              <w:jc w:val="center"/>
              <w:rPr>
                <w:b/>
                <w:bCs/>
                <w:i/>
                <w:iCs/>
                <w:sz w:val="20"/>
                <w:szCs w:val="20"/>
              </w:rPr>
            </w:pPr>
            <w:r>
              <w:rPr>
                <w:b/>
                <w:bCs/>
                <w:i/>
                <w:iCs/>
                <w:sz w:val="20"/>
                <w:szCs w:val="20"/>
              </w:rPr>
              <w:t>Area of residence</w:t>
            </w:r>
          </w:p>
        </w:tc>
      </w:tr>
      <w:tr w:rsidR="00000000">
        <w:trPr>
          <w:cantSplit/>
        </w:trPr>
        <w:tc>
          <w:tcPr>
            <w:tcW w:w="3684" w:type="dxa"/>
            <w:vMerge/>
            <w:tcBorders>
              <w:bottom w:val="single" w:sz="4" w:space="0" w:color="auto"/>
            </w:tcBorders>
            <w:noWrap/>
            <w:vAlign w:val="bottom"/>
          </w:tcPr>
          <w:p w:rsidR="00000000" w:rsidRDefault="00000000">
            <w:pPr>
              <w:spacing w:before="60" w:after="60"/>
              <w:jc w:val="center"/>
              <w:rPr>
                <w:i/>
                <w:iCs/>
                <w:sz w:val="20"/>
                <w:szCs w:val="20"/>
              </w:rPr>
            </w:pPr>
          </w:p>
        </w:tc>
        <w:tc>
          <w:tcPr>
            <w:tcW w:w="1867" w:type="dxa"/>
            <w:vMerge/>
            <w:tcBorders>
              <w:top w:val="single" w:sz="4" w:space="0" w:color="auto"/>
              <w:bottom w:val="single" w:sz="4" w:space="0" w:color="auto"/>
            </w:tcBorders>
            <w:vAlign w:val="center"/>
          </w:tcPr>
          <w:p w:rsidR="00000000" w:rsidRDefault="00000000">
            <w:pPr>
              <w:spacing w:before="60" w:after="60"/>
              <w:jc w:val="center"/>
              <w:rPr>
                <w:b/>
                <w:bCs/>
                <w:i/>
                <w:iCs/>
                <w:sz w:val="20"/>
                <w:szCs w:val="20"/>
              </w:rPr>
            </w:pPr>
          </w:p>
        </w:tc>
        <w:tc>
          <w:tcPr>
            <w:tcW w:w="1867" w:type="dxa"/>
            <w:tcBorders>
              <w:top w:val="single" w:sz="4" w:space="0" w:color="auto"/>
              <w:bottom w:val="single" w:sz="4" w:space="0" w:color="auto"/>
            </w:tcBorders>
            <w:noWrap/>
            <w:vAlign w:val="bottom"/>
          </w:tcPr>
          <w:p w:rsidR="00000000" w:rsidRDefault="00000000">
            <w:pPr>
              <w:spacing w:before="60" w:after="60"/>
              <w:jc w:val="center"/>
              <w:rPr>
                <w:b/>
                <w:bCs/>
                <w:i/>
                <w:iCs/>
                <w:sz w:val="20"/>
                <w:szCs w:val="20"/>
              </w:rPr>
            </w:pPr>
            <w:r>
              <w:rPr>
                <w:b/>
                <w:bCs/>
                <w:i/>
                <w:iCs/>
                <w:sz w:val="20"/>
                <w:szCs w:val="20"/>
              </w:rPr>
              <w:t>Urban</w:t>
            </w:r>
          </w:p>
        </w:tc>
        <w:tc>
          <w:tcPr>
            <w:tcW w:w="2219" w:type="dxa"/>
            <w:tcBorders>
              <w:top w:val="single" w:sz="4" w:space="0" w:color="auto"/>
              <w:bottom w:val="single" w:sz="4" w:space="0" w:color="auto"/>
            </w:tcBorders>
            <w:noWrap/>
            <w:vAlign w:val="bottom"/>
          </w:tcPr>
          <w:p w:rsidR="00000000" w:rsidRDefault="00000000">
            <w:pPr>
              <w:spacing w:before="60" w:after="60"/>
              <w:jc w:val="center"/>
              <w:rPr>
                <w:b/>
                <w:bCs/>
                <w:i/>
                <w:iCs/>
                <w:sz w:val="20"/>
                <w:szCs w:val="20"/>
              </w:rPr>
            </w:pPr>
            <w:r>
              <w:rPr>
                <w:b/>
                <w:bCs/>
                <w:i/>
                <w:iCs/>
                <w:sz w:val="20"/>
                <w:szCs w:val="20"/>
              </w:rPr>
              <w:t>Rural</w:t>
            </w:r>
          </w:p>
        </w:tc>
      </w:tr>
      <w:tr w:rsidR="00000000">
        <w:tc>
          <w:tcPr>
            <w:tcW w:w="3684" w:type="dxa"/>
            <w:tcBorders>
              <w:top w:val="single" w:sz="4" w:space="0" w:color="auto"/>
            </w:tcBorders>
            <w:noWrap/>
            <w:vAlign w:val="bottom"/>
          </w:tcPr>
          <w:p w:rsidR="00000000" w:rsidRDefault="00000000">
            <w:pPr>
              <w:spacing w:before="60" w:after="60"/>
              <w:rPr>
                <w:sz w:val="20"/>
                <w:szCs w:val="20"/>
              </w:rPr>
            </w:pPr>
            <w:r>
              <w:rPr>
                <w:sz w:val="20"/>
                <w:szCs w:val="20"/>
              </w:rPr>
              <w:t xml:space="preserve">BOTH SEXES </w:t>
            </w:r>
          </w:p>
        </w:tc>
        <w:tc>
          <w:tcPr>
            <w:tcW w:w="1867" w:type="dxa"/>
            <w:tcBorders>
              <w:top w:val="single" w:sz="4" w:space="0" w:color="auto"/>
            </w:tcBorders>
            <w:noWrap/>
            <w:vAlign w:val="bottom"/>
          </w:tcPr>
          <w:p w:rsidR="00000000" w:rsidRDefault="00000000">
            <w:pPr>
              <w:spacing w:before="60" w:after="60"/>
              <w:ind w:right="624"/>
              <w:jc w:val="right"/>
              <w:rPr>
                <w:sz w:val="20"/>
                <w:szCs w:val="20"/>
              </w:rPr>
            </w:pPr>
            <w:r>
              <w:rPr>
                <w:sz w:val="20"/>
                <w:szCs w:val="20"/>
              </w:rPr>
              <w:t>931 282</w:t>
            </w:r>
          </w:p>
        </w:tc>
        <w:tc>
          <w:tcPr>
            <w:tcW w:w="1867" w:type="dxa"/>
            <w:tcBorders>
              <w:top w:val="single" w:sz="4" w:space="0" w:color="auto"/>
            </w:tcBorders>
            <w:noWrap/>
            <w:vAlign w:val="bottom"/>
          </w:tcPr>
          <w:p w:rsidR="00000000" w:rsidRDefault="00000000">
            <w:pPr>
              <w:spacing w:before="60" w:after="60"/>
              <w:ind w:right="624"/>
              <w:jc w:val="right"/>
              <w:rPr>
                <w:sz w:val="20"/>
                <w:szCs w:val="20"/>
              </w:rPr>
            </w:pPr>
            <w:r>
              <w:rPr>
                <w:sz w:val="20"/>
                <w:szCs w:val="20"/>
              </w:rPr>
              <w:t>426 069</w:t>
            </w:r>
          </w:p>
        </w:tc>
        <w:tc>
          <w:tcPr>
            <w:tcW w:w="2219" w:type="dxa"/>
            <w:tcBorders>
              <w:top w:val="single" w:sz="4" w:space="0" w:color="auto"/>
            </w:tcBorders>
            <w:noWrap/>
            <w:vAlign w:val="bottom"/>
          </w:tcPr>
          <w:p w:rsidR="00000000" w:rsidRDefault="00000000">
            <w:pPr>
              <w:spacing w:before="60" w:after="60"/>
              <w:ind w:right="624"/>
              <w:jc w:val="right"/>
              <w:rPr>
                <w:sz w:val="20"/>
                <w:szCs w:val="20"/>
              </w:rPr>
            </w:pPr>
            <w:r>
              <w:rPr>
                <w:sz w:val="20"/>
                <w:szCs w:val="20"/>
              </w:rPr>
              <w:t>505 213</w:t>
            </w:r>
          </w:p>
        </w:tc>
      </w:tr>
      <w:tr w:rsidR="00000000">
        <w:tc>
          <w:tcPr>
            <w:tcW w:w="3684" w:type="dxa"/>
            <w:noWrap/>
            <w:vAlign w:val="bottom"/>
          </w:tcPr>
          <w:p w:rsidR="00000000" w:rsidRDefault="00000000">
            <w:pPr>
              <w:spacing w:before="60" w:after="60"/>
              <w:ind w:left="227"/>
              <w:rPr>
                <w:sz w:val="20"/>
                <w:szCs w:val="20"/>
              </w:rPr>
            </w:pPr>
            <w:r>
              <w:rPr>
                <w:sz w:val="20"/>
                <w:szCs w:val="20"/>
              </w:rPr>
              <w:t>Injury not serious</w:t>
            </w:r>
          </w:p>
        </w:tc>
        <w:tc>
          <w:tcPr>
            <w:tcW w:w="1867" w:type="dxa"/>
            <w:noWrap/>
            <w:vAlign w:val="bottom"/>
          </w:tcPr>
          <w:p w:rsidR="00000000" w:rsidRDefault="00000000">
            <w:pPr>
              <w:spacing w:before="60" w:after="60"/>
              <w:ind w:right="624"/>
              <w:jc w:val="right"/>
              <w:rPr>
                <w:sz w:val="20"/>
                <w:szCs w:val="20"/>
              </w:rPr>
            </w:pPr>
            <w:r>
              <w:rPr>
                <w:sz w:val="20"/>
                <w:szCs w:val="20"/>
              </w:rPr>
              <w:t>22.1</w:t>
            </w:r>
          </w:p>
        </w:tc>
        <w:tc>
          <w:tcPr>
            <w:tcW w:w="1867" w:type="dxa"/>
            <w:noWrap/>
            <w:vAlign w:val="bottom"/>
          </w:tcPr>
          <w:p w:rsidR="00000000" w:rsidRDefault="00000000">
            <w:pPr>
              <w:spacing w:before="60" w:after="60"/>
              <w:ind w:right="624"/>
              <w:jc w:val="right"/>
              <w:rPr>
                <w:sz w:val="20"/>
                <w:szCs w:val="20"/>
              </w:rPr>
            </w:pPr>
            <w:r>
              <w:rPr>
                <w:sz w:val="20"/>
                <w:szCs w:val="20"/>
              </w:rPr>
              <w:t>27.1</w:t>
            </w:r>
          </w:p>
        </w:tc>
        <w:tc>
          <w:tcPr>
            <w:tcW w:w="2219" w:type="dxa"/>
            <w:noWrap/>
            <w:vAlign w:val="bottom"/>
          </w:tcPr>
          <w:p w:rsidR="00000000" w:rsidRDefault="00000000">
            <w:pPr>
              <w:spacing w:before="60" w:after="60"/>
              <w:ind w:right="624"/>
              <w:jc w:val="right"/>
              <w:rPr>
                <w:sz w:val="20"/>
                <w:szCs w:val="20"/>
              </w:rPr>
            </w:pPr>
            <w:r>
              <w:rPr>
                <w:sz w:val="20"/>
                <w:szCs w:val="20"/>
              </w:rPr>
              <w:t>17.9</w:t>
            </w:r>
          </w:p>
        </w:tc>
      </w:tr>
      <w:tr w:rsidR="00000000">
        <w:tc>
          <w:tcPr>
            <w:tcW w:w="3684" w:type="dxa"/>
            <w:noWrap/>
            <w:vAlign w:val="bottom"/>
          </w:tcPr>
          <w:p w:rsidR="00000000" w:rsidRDefault="00000000">
            <w:pPr>
              <w:spacing w:before="60" w:after="60"/>
              <w:ind w:left="227"/>
              <w:rPr>
                <w:sz w:val="20"/>
                <w:szCs w:val="20"/>
              </w:rPr>
            </w:pPr>
            <w:r>
              <w:rPr>
                <w:sz w:val="20"/>
                <w:szCs w:val="20"/>
              </w:rPr>
              <w:t>No treatment available nearby</w:t>
            </w:r>
          </w:p>
        </w:tc>
        <w:tc>
          <w:tcPr>
            <w:tcW w:w="1867" w:type="dxa"/>
            <w:noWrap/>
            <w:vAlign w:val="bottom"/>
          </w:tcPr>
          <w:p w:rsidR="00000000" w:rsidRDefault="00000000">
            <w:pPr>
              <w:spacing w:before="60" w:after="60"/>
              <w:ind w:right="624"/>
              <w:jc w:val="right"/>
              <w:rPr>
                <w:sz w:val="20"/>
                <w:szCs w:val="20"/>
              </w:rPr>
            </w:pPr>
            <w:r>
              <w:rPr>
                <w:sz w:val="20"/>
                <w:szCs w:val="20"/>
              </w:rPr>
              <w:t>1.4</w:t>
            </w:r>
          </w:p>
        </w:tc>
        <w:tc>
          <w:tcPr>
            <w:tcW w:w="1867" w:type="dxa"/>
            <w:noWrap/>
            <w:vAlign w:val="bottom"/>
          </w:tcPr>
          <w:p w:rsidR="00000000" w:rsidRDefault="00000000">
            <w:pPr>
              <w:spacing w:before="60" w:after="60"/>
              <w:ind w:right="624"/>
              <w:jc w:val="right"/>
              <w:rPr>
                <w:sz w:val="20"/>
                <w:szCs w:val="20"/>
              </w:rPr>
            </w:pPr>
            <w:r>
              <w:rPr>
                <w:sz w:val="20"/>
                <w:szCs w:val="20"/>
              </w:rPr>
              <w:t>0.2</w:t>
            </w:r>
          </w:p>
        </w:tc>
        <w:tc>
          <w:tcPr>
            <w:tcW w:w="2219" w:type="dxa"/>
            <w:noWrap/>
            <w:vAlign w:val="bottom"/>
          </w:tcPr>
          <w:p w:rsidR="00000000" w:rsidRDefault="00000000">
            <w:pPr>
              <w:spacing w:before="60" w:after="60"/>
              <w:ind w:right="624"/>
              <w:jc w:val="right"/>
              <w:rPr>
                <w:sz w:val="20"/>
                <w:szCs w:val="20"/>
              </w:rPr>
            </w:pPr>
            <w:r>
              <w:rPr>
                <w:sz w:val="20"/>
                <w:szCs w:val="20"/>
              </w:rPr>
              <w:t>2.5</w:t>
            </w:r>
          </w:p>
        </w:tc>
      </w:tr>
      <w:tr w:rsidR="00000000">
        <w:tc>
          <w:tcPr>
            <w:tcW w:w="3684" w:type="dxa"/>
            <w:noWrap/>
            <w:vAlign w:val="bottom"/>
          </w:tcPr>
          <w:p w:rsidR="00000000" w:rsidRDefault="00000000">
            <w:pPr>
              <w:spacing w:before="60" w:after="60"/>
              <w:ind w:left="227"/>
              <w:rPr>
                <w:sz w:val="20"/>
                <w:szCs w:val="20"/>
              </w:rPr>
            </w:pPr>
            <w:r>
              <w:rPr>
                <w:sz w:val="20"/>
                <w:szCs w:val="20"/>
              </w:rPr>
              <w:t>Treatment poor</w:t>
            </w:r>
          </w:p>
        </w:tc>
        <w:tc>
          <w:tcPr>
            <w:tcW w:w="1867" w:type="dxa"/>
            <w:noWrap/>
            <w:vAlign w:val="bottom"/>
          </w:tcPr>
          <w:p w:rsidR="00000000" w:rsidRDefault="00000000">
            <w:pPr>
              <w:spacing w:before="60" w:after="60"/>
              <w:ind w:right="624"/>
              <w:jc w:val="right"/>
              <w:rPr>
                <w:sz w:val="20"/>
                <w:szCs w:val="20"/>
              </w:rPr>
            </w:pPr>
            <w:r>
              <w:rPr>
                <w:sz w:val="20"/>
                <w:szCs w:val="20"/>
              </w:rPr>
              <w:t>0.1</w:t>
            </w:r>
          </w:p>
        </w:tc>
        <w:tc>
          <w:tcPr>
            <w:tcW w:w="1867" w:type="dxa"/>
            <w:noWrap/>
            <w:vAlign w:val="bottom"/>
          </w:tcPr>
          <w:p w:rsidR="00000000" w:rsidRDefault="00000000">
            <w:pPr>
              <w:spacing w:before="60" w:after="60"/>
              <w:ind w:right="624"/>
              <w:jc w:val="right"/>
              <w:rPr>
                <w:sz w:val="20"/>
                <w:szCs w:val="20"/>
              </w:rPr>
            </w:pPr>
            <w:r>
              <w:rPr>
                <w:sz w:val="20"/>
                <w:szCs w:val="20"/>
              </w:rPr>
              <w:t>0.0</w:t>
            </w:r>
          </w:p>
        </w:tc>
        <w:tc>
          <w:tcPr>
            <w:tcW w:w="2219" w:type="dxa"/>
            <w:noWrap/>
            <w:vAlign w:val="bottom"/>
          </w:tcPr>
          <w:p w:rsidR="00000000" w:rsidRDefault="00000000">
            <w:pPr>
              <w:spacing w:before="60" w:after="60"/>
              <w:ind w:right="624"/>
              <w:jc w:val="right"/>
              <w:rPr>
                <w:sz w:val="20"/>
                <w:szCs w:val="20"/>
              </w:rPr>
            </w:pPr>
            <w:r>
              <w:rPr>
                <w:sz w:val="20"/>
                <w:szCs w:val="20"/>
              </w:rPr>
              <w:t>0.2</w:t>
            </w:r>
          </w:p>
        </w:tc>
      </w:tr>
      <w:tr w:rsidR="00000000">
        <w:tc>
          <w:tcPr>
            <w:tcW w:w="3684" w:type="dxa"/>
            <w:noWrap/>
            <w:vAlign w:val="bottom"/>
          </w:tcPr>
          <w:p w:rsidR="00000000" w:rsidRDefault="00000000">
            <w:pPr>
              <w:spacing w:before="60" w:after="60"/>
              <w:ind w:left="227"/>
              <w:rPr>
                <w:sz w:val="20"/>
                <w:szCs w:val="20"/>
              </w:rPr>
            </w:pPr>
            <w:r>
              <w:rPr>
                <w:sz w:val="20"/>
                <w:szCs w:val="20"/>
              </w:rPr>
              <w:t>Consultations expensive</w:t>
            </w:r>
          </w:p>
        </w:tc>
        <w:tc>
          <w:tcPr>
            <w:tcW w:w="1867" w:type="dxa"/>
            <w:noWrap/>
            <w:vAlign w:val="bottom"/>
          </w:tcPr>
          <w:p w:rsidR="00000000" w:rsidRDefault="00000000">
            <w:pPr>
              <w:spacing w:before="60" w:after="60"/>
              <w:ind w:right="624"/>
              <w:jc w:val="right"/>
              <w:rPr>
                <w:sz w:val="20"/>
                <w:szCs w:val="20"/>
              </w:rPr>
            </w:pPr>
            <w:r>
              <w:rPr>
                <w:sz w:val="20"/>
                <w:szCs w:val="20"/>
              </w:rPr>
              <w:t>6.5</w:t>
            </w:r>
          </w:p>
        </w:tc>
        <w:tc>
          <w:tcPr>
            <w:tcW w:w="1867" w:type="dxa"/>
            <w:noWrap/>
            <w:vAlign w:val="bottom"/>
          </w:tcPr>
          <w:p w:rsidR="00000000" w:rsidRDefault="00000000">
            <w:pPr>
              <w:spacing w:before="60" w:after="60"/>
              <w:ind w:right="624"/>
              <w:jc w:val="right"/>
              <w:rPr>
                <w:sz w:val="20"/>
                <w:szCs w:val="20"/>
              </w:rPr>
            </w:pPr>
            <w:r>
              <w:rPr>
                <w:sz w:val="20"/>
                <w:szCs w:val="20"/>
              </w:rPr>
              <w:t>4.0</w:t>
            </w:r>
          </w:p>
        </w:tc>
        <w:tc>
          <w:tcPr>
            <w:tcW w:w="2219" w:type="dxa"/>
            <w:noWrap/>
            <w:vAlign w:val="bottom"/>
          </w:tcPr>
          <w:p w:rsidR="00000000" w:rsidRDefault="00000000">
            <w:pPr>
              <w:spacing w:before="60" w:after="60"/>
              <w:ind w:right="624"/>
              <w:jc w:val="right"/>
              <w:rPr>
                <w:sz w:val="20"/>
                <w:szCs w:val="20"/>
              </w:rPr>
            </w:pPr>
            <w:r>
              <w:rPr>
                <w:sz w:val="20"/>
                <w:szCs w:val="20"/>
              </w:rPr>
              <w:t>8.6</w:t>
            </w:r>
          </w:p>
        </w:tc>
      </w:tr>
      <w:tr w:rsidR="00000000">
        <w:tc>
          <w:tcPr>
            <w:tcW w:w="3684" w:type="dxa"/>
            <w:noWrap/>
            <w:vAlign w:val="bottom"/>
          </w:tcPr>
          <w:p w:rsidR="00000000" w:rsidRDefault="00000000">
            <w:pPr>
              <w:spacing w:before="60" w:after="60"/>
              <w:ind w:left="227"/>
              <w:rPr>
                <w:sz w:val="20"/>
                <w:szCs w:val="20"/>
              </w:rPr>
            </w:pPr>
            <w:r>
              <w:rPr>
                <w:sz w:val="20"/>
                <w:szCs w:val="20"/>
              </w:rPr>
              <w:t>No money</w:t>
            </w:r>
          </w:p>
        </w:tc>
        <w:tc>
          <w:tcPr>
            <w:tcW w:w="1867" w:type="dxa"/>
            <w:noWrap/>
            <w:vAlign w:val="bottom"/>
          </w:tcPr>
          <w:p w:rsidR="00000000" w:rsidRDefault="00000000">
            <w:pPr>
              <w:spacing w:before="60" w:after="60"/>
              <w:ind w:right="624"/>
              <w:jc w:val="right"/>
              <w:rPr>
                <w:sz w:val="20"/>
                <w:szCs w:val="20"/>
              </w:rPr>
            </w:pPr>
            <w:r>
              <w:rPr>
                <w:sz w:val="20"/>
                <w:szCs w:val="20"/>
              </w:rPr>
              <w:t>6.5</w:t>
            </w:r>
          </w:p>
        </w:tc>
        <w:tc>
          <w:tcPr>
            <w:tcW w:w="1867" w:type="dxa"/>
            <w:noWrap/>
            <w:vAlign w:val="bottom"/>
          </w:tcPr>
          <w:p w:rsidR="00000000" w:rsidRDefault="00000000">
            <w:pPr>
              <w:spacing w:before="60" w:after="60"/>
              <w:ind w:right="624"/>
              <w:jc w:val="right"/>
              <w:rPr>
                <w:sz w:val="20"/>
                <w:szCs w:val="20"/>
              </w:rPr>
            </w:pPr>
            <w:r>
              <w:rPr>
                <w:sz w:val="20"/>
                <w:szCs w:val="20"/>
              </w:rPr>
              <w:t>4.6</w:t>
            </w:r>
          </w:p>
        </w:tc>
        <w:tc>
          <w:tcPr>
            <w:tcW w:w="2219" w:type="dxa"/>
            <w:noWrap/>
            <w:vAlign w:val="bottom"/>
          </w:tcPr>
          <w:p w:rsidR="00000000" w:rsidRDefault="00000000">
            <w:pPr>
              <w:spacing w:before="60" w:after="60"/>
              <w:ind w:right="624"/>
              <w:jc w:val="right"/>
              <w:rPr>
                <w:sz w:val="20"/>
                <w:szCs w:val="20"/>
              </w:rPr>
            </w:pPr>
            <w:r>
              <w:rPr>
                <w:sz w:val="20"/>
                <w:szCs w:val="20"/>
              </w:rPr>
              <w:t>8.1</w:t>
            </w:r>
          </w:p>
        </w:tc>
      </w:tr>
      <w:tr w:rsidR="00000000">
        <w:tc>
          <w:tcPr>
            <w:tcW w:w="3684" w:type="dxa"/>
            <w:noWrap/>
            <w:vAlign w:val="bottom"/>
          </w:tcPr>
          <w:p w:rsidR="00000000" w:rsidRDefault="00000000">
            <w:pPr>
              <w:spacing w:before="60" w:after="60"/>
              <w:ind w:left="227"/>
              <w:rPr>
                <w:sz w:val="20"/>
                <w:szCs w:val="20"/>
              </w:rPr>
            </w:pPr>
            <w:r>
              <w:rPr>
                <w:sz w:val="20"/>
                <w:szCs w:val="20"/>
              </w:rPr>
              <w:t>No money for medicines.</w:t>
            </w:r>
          </w:p>
        </w:tc>
        <w:tc>
          <w:tcPr>
            <w:tcW w:w="1867" w:type="dxa"/>
            <w:noWrap/>
            <w:vAlign w:val="bottom"/>
          </w:tcPr>
          <w:p w:rsidR="00000000" w:rsidRDefault="00000000">
            <w:pPr>
              <w:spacing w:before="60" w:after="60"/>
              <w:ind w:right="624"/>
              <w:jc w:val="right"/>
              <w:rPr>
                <w:sz w:val="20"/>
                <w:szCs w:val="20"/>
              </w:rPr>
            </w:pPr>
            <w:r>
              <w:rPr>
                <w:sz w:val="20"/>
                <w:szCs w:val="20"/>
              </w:rPr>
              <w:t>2.5</w:t>
            </w:r>
          </w:p>
        </w:tc>
        <w:tc>
          <w:tcPr>
            <w:tcW w:w="1867" w:type="dxa"/>
            <w:noWrap/>
            <w:vAlign w:val="bottom"/>
          </w:tcPr>
          <w:p w:rsidR="00000000" w:rsidRDefault="00000000">
            <w:pPr>
              <w:spacing w:before="60" w:after="60"/>
              <w:ind w:right="624"/>
              <w:jc w:val="right"/>
              <w:rPr>
                <w:sz w:val="20"/>
                <w:szCs w:val="20"/>
              </w:rPr>
            </w:pPr>
            <w:r>
              <w:rPr>
                <w:sz w:val="20"/>
                <w:szCs w:val="20"/>
              </w:rPr>
              <w:t>1.2</w:t>
            </w:r>
          </w:p>
        </w:tc>
        <w:tc>
          <w:tcPr>
            <w:tcW w:w="2219" w:type="dxa"/>
            <w:noWrap/>
            <w:vAlign w:val="bottom"/>
          </w:tcPr>
          <w:p w:rsidR="00000000" w:rsidRDefault="00000000">
            <w:pPr>
              <w:spacing w:before="60" w:after="60"/>
              <w:ind w:right="624"/>
              <w:jc w:val="right"/>
              <w:rPr>
                <w:sz w:val="20"/>
                <w:szCs w:val="20"/>
              </w:rPr>
            </w:pPr>
            <w:r>
              <w:rPr>
                <w:sz w:val="20"/>
                <w:szCs w:val="20"/>
              </w:rPr>
              <w:t>3.5</w:t>
            </w:r>
          </w:p>
        </w:tc>
      </w:tr>
      <w:tr w:rsidR="00000000">
        <w:tc>
          <w:tcPr>
            <w:tcW w:w="3684" w:type="dxa"/>
            <w:noWrap/>
            <w:vAlign w:val="bottom"/>
          </w:tcPr>
          <w:p w:rsidR="00000000" w:rsidRDefault="00000000">
            <w:pPr>
              <w:spacing w:before="60" w:after="60"/>
              <w:ind w:left="227"/>
              <w:rPr>
                <w:sz w:val="20"/>
                <w:szCs w:val="20"/>
              </w:rPr>
            </w:pPr>
            <w:r>
              <w:rPr>
                <w:sz w:val="20"/>
                <w:szCs w:val="20"/>
              </w:rPr>
              <w:t>Self-help medication</w:t>
            </w:r>
          </w:p>
        </w:tc>
        <w:tc>
          <w:tcPr>
            <w:tcW w:w="1867" w:type="dxa"/>
            <w:noWrap/>
            <w:vAlign w:val="bottom"/>
          </w:tcPr>
          <w:p w:rsidR="00000000" w:rsidRDefault="00000000">
            <w:pPr>
              <w:spacing w:before="60" w:after="60"/>
              <w:ind w:right="624"/>
              <w:jc w:val="right"/>
              <w:rPr>
                <w:sz w:val="20"/>
                <w:szCs w:val="20"/>
              </w:rPr>
            </w:pPr>
            <w:r>
              <w:rPr>
                <w:sz w:val="20"/>
                <w:szCs w:val="20"/>
              </w:rPr>
              <w:t>59.2</w:t>
            </w:r>
          </w:p>
        </w:tc>
        <w:tc>
          <w:tcPr>
            <w:tcW w:w="1867" w:type="dxa"/>
            <w:noWrap/>
            <w:vAlign w:val="bottom"/>
          </w:tcPr>
          <w:p w:rsidR="00000000" w:rsidRDefault="00000000">
            <w:pPr>
              <w:spacing w:before="60" w:after="60"/>
              <w:ind w:right="624"/>
              <w:jc w:val="right"/>
              <w:rPr>
                <w:sz w:val="20"/>
                <w:szCs w:val="20"/>
              </w:rPr>
            </w:pPr>
            <w:r>
              <w:rPr>
                <w:sz w:val="20"/>
                <w:szCs w:val="20"/>
              </w:rPr>
              <w:t>61.1</w:t>
            </w:r>
          </w:p>
        </w:tc>
        <w:tc>
          <w:tcPr>
            <w:tcW w:w="2219" w:type="dxa"/>
            <w:noWrap/>
            <w:vAlign w:val="bottom"/>
          </w:tcPr>
          <w:p w:rsidR="00000000" w:rsidRDefault="00000000">
            <w:pPr>
              <w:spacing w:before="60" w:after="60"/>
              <w:ind w:right="624"/>
              <w:jc w:val="right"/>
              <w:rPr>
                <w:sz w:val="20"/>
                <w:szCs w:val="20"/>
              </w:rPr>
            </w:pPr>
            <w:r>
              <w:rPr>
                <w:sz w:val="20"/>
                <w:szCs w:val="20"/>
              </w:rPr>
              <w:t>57.6</w:t>
            </w:r>
          </w:p>
        </w:tc>
      </w:tr>
      <w:tr w:rsidR="00000000">
        <w:tc>
          <w:tcPr>
            <w:tcW w:w="3684" w:type="dxa"/>
            <w:noWrap/>
            <w:vAlign w:val="bottom"/>
          </w:tcPr>
          <w:p w:rsidR="00000000" w:rsidRDefault="00000000">
            <w:pPr>
              <w:spacing w:before="60" w:after="60"/>
              <w:ind w:left="227"/>
              <w:rPr>
                <w:sz w:val="20"/>
                <w:szCs w:val="20"/>
              </w:rPr>
            </w:pPr>
            <w:r>
              <w:rPr>
                <w:sz w:val="20"/>
                <w:szCs w:val="20"/>
              </w:rPr>
              <w:t>No time</w:t>
            </w:r>
          </w:p>
        </w:tc>
        <w:tc>
          <w:tcPr>
            <w:tcW w:w="1867" w:type="dxa"/>
            <w:noWrap/>
            <w:vAlign w:val="bottom"/>
          </w:tcPr>
          <w:p w:rsidR="00000000" w:rsidRDefault="00000000">
            <w:pPr>
              <w:spacing w:before="60" w:after="60"/>
              <w:ind w:right="624"/>
              <w:jc w:val="right"/>
              <w:rPr>
                <w:sz w:val="20"/>
                <w:szCs w:val="20"/>
              </w:rPr>
            </w:pPr>
            <w:r>
              <w:rPr>
                <w:sz w:val="20"/>
                <w:szCs w:val="20"/>
              </w:rPr>
              <w:t>1.3</w:t>
            </w:r>
          </w:p>
        </w:tc>
        <w:tc>
          <w:tcPr>
            <w:tcW w:w="1867" w:type="dxa"/>
            <w:noWrap/>
            <w:vAlign w:val="bottom"/>
          </w:tcPr>
          <w:p w:rsidR="00000000" w:rsidRDefault="00000000">
            <w:pPr>
              <w:spacing w:before="60" w:after="60"/>
              <w:ind w:right="624"/>
              <w:jc w:val="right"/>
              <w:rPr>
                <w:sz w:val="20"/>
                <w:szCs w:val="20"/>
              </w:rPr>
            </w:pPr>
            <w:r>
              <w:rPr>
                <w:sz w:val="20"/>
                <w:szCs w:val="20"/>
              </w:rPr>
              <w:t>1.4</w:t>
            </w:r>
          </w:p>
        </w:tc>
        <w:tc>
          <w:tcPr>
            <w:tcW w:w="2219" w:type="dxa"/>
            <w:noWrap/>
            <w:vAlign w:val="bottom"/>
          </w:tcPr>
          <w:p w:rsidR="00000000" w:rsidRDefault="00000000">
            <w:pPr>
              <w:spacing w:before="60" w:after="60"/>
              <w:ind w:right="624"/>
              <w:jc w:val="right"/>
              <w:rPr>
                <w:sz w:val="20"/>
                <w:szCs w:val="20"/>
              </w:rPr>
            </w:pPr>
            <w:r>
              <w:rPr>
                <w:sz w:val="20"/>
                <w:szCs w:val="20"/>
              </w:rPr>
              <w:t>1.2</w:t>
            </w:r>
          </w:p>
        </w:tc>
      </w:tr>
      <w:tr w:rsidR="00000000">
        <w:tc>
          <w:tcPr>
            <w:tcW w:w="3684" w:type="dxa"/>
            <w:noWrap/>
            <w:vAlign w:val="bottom"/>
          </w:tcPr>
          <w:p w:rsidR="00000000" w:rsidRDefault="00000000">
            <w:pPr>
              <w:spacing w:before="60" w:after="60"/>
              <w:ind w:left="227"/>
              <w:rPr>
                <w:sz w:val="20"/>
                <w:szCs w:val="20"/>
              </w:rPr>
            </w:pPr>
            <w:r>
              <w:rPr>
                <w:sz w:val="20"/>
                <w:szCs w:val="20"/>
              </w:rPr>
              <w:t>Other reasons</w:t>
            </w:r>
          </w:p>
        </w:tc>
        <w:tc>
          <w:tcPr>
            <w:tcW w:w="1867" w:type="dxa"/>
            <w:noWrap/>
            <w:vAlign w:val="bottom"/>
          </w:tcPr>
          <w:p w:rsidR="00000000" w:rsidRDefault="00000000">
            <w:pPr>
              <w:spacing w:before="60" w:after="60"/>
              <w:ind w:right="624"/>
              <w:jc w:val="right"/>
              <w:rPr>
                <w:sz w:val="20"/>
                <w:szCs w:val="20"/>
              </w:rPr>
            </w:pPr>
            <w:r>
              <w:rPr>
                <w:sz w:val="20"/>
                <w:szCs w:val="20"/>
              </w:rPr>
              <w:t>0.3</w:t>
            </w:r>
          </w:p>
        </w:tc>
        <w:tc>
          <w:tcPr>
            <w:tcW w:w="1867" w:type="dxa"/>
            <w:noWrap/>
            <w:vAlign w:val="bottom"/>
          </w:tcPr>
          <w:p w:rsidR="00000000" w:rsidRDefault="00000000">
            <w:pPr>
              <w:spacing w:before="60" w:after="60"/>
              <w:ind w:right="624"/>
              <w:jc w:val="right"/>
              <w:rPr>
                <w:sz w:val="20"/>
                <w:szCs w:val="20"/>
              </w:rPr>
            </w:pPr>
            <w:r>
              <w:rPr>
                <w:sz w:val="20"/>
                <w:szCs w:val="20"/>
              </w:rPr>
              <w:t>0.3</w:t>
            </w:r>
          </w:p>
        </w:tc>
        <w:tc>
          <w:tcPr>
            <w:tcW w:w="2219" w:type="dxa"/>
            <w:noWrap/>
            <w:vAlign w:val="bottom"/>
          </w:tcPr>
          <w:p w:rsidR="00000000" w:rsidRDefault="00000000">
            <w:pPr>
              <w:spacing w:before="60" w:after="60"/>
              <w:ind w:right="624"/>
              <w:jc w:val="right"/>
              <w:rPr>
                <w:sz w:val="20"/>
                <w:szCs w:val="20"/>
              </w:rPr>
            </w:pPr>
            <w:r>
              <w:rPr>
                <w:sz w:val="20"/>
                <w:szCs w:val="20"/>
              </w:rPr>
              <w:t>0.3</w:t>
            </w:r>
          </w:p>
        </w:tc>
      </w:tr>
      <w:tr w:rsidR="00000000">
        <w:tc>
          <w:tcPr>
            <w:tcW w:w="3684" w:type="dxa"/>
            <w:noWrap/>
            <w:vAlign w:val="bottom"/>
          </w:tcPr>
          <w:p w:rsidR="00000000" w:rsidRDefault="00000000">
            <w:pPr>
              <w:spacing w:before="60" w:after="60"/>
              <w:rPr>
                <w:sz w:val="20"/>
                <w:szCs w:val="20"/>
              </w:rPr>
            </w:pPr>
            <w:r>
              <w:rPr>
                <w:sz w:val="20"/>
                <w:szCs w:val="20"/>
              </w:rPr>
              <w:t>MEN</w:t>
            </w:r>
          </w:p>
        </w:tc>
        <w:tc>
          <w:tcPr>
            <w:tcW w:w="1867" w:type="dxa"/>
            <w:noWrap/>
            <w:vAlign w:val="bottom"/>
          </w:tcPr>
          <w:p w:rsidR="00000000" w:rsidRDefault="00000000">
            <w:pPr>
              <w:spacing w:before="60" w:after="60"/>
              <w:ind w:right="624"/>
              <w:jc w:val="right"/>
              <w:rPr>
                <w:sz w:val="20"/>
                <w:szCs w:val="20"/>
              </w:rPr>
            </w:pPr>
            <w:r>
              <w:rPr>
                <w:sz w:val="20"/>
                <w:szCs w:val="20"/>
              </w:rPr>
              <w:t>472 683</w:t>
            </w:r>
          </w:p>
        </w:tc>
        <w:tc>
          <w:tcPr>
            <w:tcW w:w="1867" w:type="dxa"/>
            <w:noWrap/>
            <w:vAlign w:val="bottom"/>
          </w:tcPr>
          <w:p w:rsidR="00000000" w:rsidRDefault="00000000">
            <w:pPr>
              <w:spacing w:before="60" w:after="60"/>
              <w:ind w:right="624"/>
              <w:jc w:val="right"/>
              <w:rPr>
                <w:sz w:val="20"/>
                <w:szCs w:val="20"/>
              </w:rPr>
            </w:pPr>
            <w:r>
              <w:rPr>
                <w:sz w:val="20"/>
                <w:szCs w:val="20"/>
              </w:rPr>
              <w:t>212 465</w:t>
            </w:r>
          </w:p>
        </w:tc>
        <w:tc>
          <w:tcPr>
            <w:tcW w:w="2219" w:type="dxa"/>
            <w:noWrap/>
            <w:vAlign w:val="bottom"/>
          </w:tcPr>
          <w:p w:rsidR="00000000" w:rsidRDefault="00000000">
            <w:pPr>
              <w:spacing w:before="60" w:after="60"/>
              <w:ind w:right="624"/>
              <w:jc w:val="right"/>
              <w:rPr>
                <w:sz w:val="20"/>
                <w:szCs w:val="20"/>
              </w:rPr>
            </w:pPr>
            <w:r>
              <w:rPr>
                <w:sz w:val="20"/>
                <w:szCs w:val="20"/>
              </w:rPr>
              <w:t>260 218</w:t>
            </w:r>
          </w:p>
        </w:tc>
      </w:tr>
      <w:tr w:rsidR="00000000">
        <w:tc>
          <w:tcPr>
            <w:tcW w:w="3684" w:type="dxa"/>
            <w:noWrap/>
            <w:vAlign w:val="bottom"/>
          </w:tcPr>
          <w:p w:rsidR="00000000" w:rsidRDefault="00000000">
            <w:pPr>
              <w:spacing w:before="60" w:after="60"/>
              <w:ind w:left="227"/>
              <w:rPr>
                <w:sz w:val="20"/>
                <w:szCs w:val="20"/>
              </w:rPr>
            </w:pPr>
            <w:r>
              <w:rPr>
                <w:sz w:val="20"/>
                <w:szCs w:val="20"/>
              </w:rPr>
              <w:t>Injury not serious</w:t>
            </w:r>
          </w:p>
        </w:tc>
        <w:tc>
          <w:tcPr>
            <w:tcW w:w="1867" w:type="dxa"/>
            <w:noWrap/>
            <w:vAlign w:val="bottom"/>
          </w:tcPr>
          <w:p w:rsidR="00000000" w:rsidRDefault="00000000">
            <w:pPr>
              <w:spacing w:before="60" w:after="60"/>
              <w:ind w:right="624"/>
              <w:jc w:val="right"/>
              <w:rPr>
                <w:sz w:val="20"/>
                <w:szCs w:val="20"/>
              </w:rPr>
            </w:pPr>
            <w:r>
              <w:rPr>
                <w:sz w:val="20"/>
                <w:szCs w:val="20"/>
              </w:rPr>
              <w:t>23.0</w:t>
            </w:r>
          </w:p>
        </w:tc>
        <w:tc>
          <w:tcPr>
            <w:tcW w:w="1867" w:type="dxa"/>
            <w:noWrap/>
            <w:vAlign w:val="bottom"/>
          </w:tcPr>
          <w:p w:rsidR="00000000" w:rsidRDefault="00000000">
            <w:pPr>
              <w:spacing w:before="60" w:after="60"/>
              <w:ind w:right="624"/>
              <w:jc w:val="right"/>
              <w:rPr>
                <w:sz w:val="20"/>
                <w:szCs w:val="20"/>
              </w:rPr>
            </w:pPr>
            <w:r>
              <w:rPr>
                <w:sz w:val="20"/>
                <w:szCs w:val="20"/>
              </w:rPr>
              <w:t>29.1</w:t>
            </w:r>
          </w:p>
        </w:tc>
        <w:tc>
          <w:tcPr>
            <w:tcW w:w="2219" w:type="dxa"/>
            <w:noWrap/>
            <w:vAlign w:val="bottom"/>
          </w:tcPr>
          <w:p w:rsidR="00000000" w:rsidRDefault="00000000">
            <w:pPr>
              <w:spacing w:before="60" w:after="60"/>
              <w:ind w:right="624"/>
              <w:jc w:val="right"/>
              <w:rPr>
                <w:sz w:val="20"/>
                <w:szCs w:val="20"/>
              </w:rPr>
            </w:pPr>
            <w:r>
              <w:rPr>
                <w:sz w:val="20"/>
                <w:szCs w:val="20"/>
              </w:rPr>
              <w:t>18.0</w:t>
            </w:r>
          </w:p>
        </w:tc>
      </w:tr>
      <w:tr w:rsidR="00000000">
        <w:tc>
          <w:tcPr>
            <w:tcW w:w="3684" w:type="dxa"/>
            <w:noWrap/>
            <w:vAlign w:val="bottom"/>
          </w:tcPr>
          <w:p w:rsidR="00000000" w:rsidRDefault="00000000">
            <w:pPr>
              <w:spacing w:before="60" w:after="60"/>
              <w:ind w:left="227"/>
              <w:rPr>
                <w:sz w:val="20"/>
                <w:szCs w:val="20"/>
              </w:rPr>
            </w:pPr>
            <w:r>
              <w:rPr>
                <w:sz w:val="20"/>
                <w:szCs w:val="20"/>
              </w:rPr>
              <w:t>No treatment available nearby</w:t>
            </w:r>
          </w:p>
        </w:tc>
        <w:tc>
          <w:tcPr>
            <w:tcW w:w="1867" w:type="dxa"/>
            <w:noWrap/>
            <w:vAlign w:val="bottom"/>
          </w:tcPr>
          <w:p w:rsidR="00000000" w:rsidRDefault="00000000">
            <w:pPr>
              <w:spacing w:before="60" w:after="60"/>
              <w:ind w:right="624"/>
              <w:jc w:val="right"/>
              <w:rPr>
                <w:sz w:val="20"/>
                <w:szCs w:val="20"/>
              </w:rPr>
            </w:pPr>
            <w:r>
              <w:rPr>
                <w:sz w:val="20"/>
                <w:szCs w:val="20"/>
              </w:rPr>
              <w:t>1.3</w:t>
            </w:r>
          </w:p>
        </w:tc>
        <w:tc>
          <w:tcPr>
            <w:tcW w:w="1867" w:type="dxa"/>
            <w:noWrap/>
            <w:vAlign w:val="bottom"/>
          </w:tcPr>
          <w:p w:rsidR="00000000" w:rsidRDefault="00000000">
            <w:pPr>
              <w:spacing w:before="60" w:after="60"/>
              <w:ind w:right="624"/>
              <w:jc w:val="right"/>
              <w:rPr>
                <w:sz w:val="20"/>
                <w:szCs w:val="20"/>
              </w:rPr>
            </w:pPr>
            <w:r>
              <w:rPr>
                <w:sz w:val="20"/>
                <w:szCs w:val="20"/>
              </w:rPr>
              <w:t>0.1</w:t>
            </w:r>
          </w:p>
        </w:tc>
        <w:tc>
          <w:tcPr>
            <w:tcW w:w="2219" w:type="dxa"/>
            <w:noWrap/>
            <w:vAlign w:val="bottom"/>
          </w:tcPr>
          <w:p w:rsidR="00000000" w:rsidRDefault="00000000">
            <w:pPr>
              <w:spacing w:before="60" w:after="60"/>
              <w:ind w:right="624"/>
              <w:jc w:val="right"/>
              <w:rPr>
                <w:sz w:val="20"/>
                <w:szCs w:val="20"/>
              </w:rPr>
            </w:pPr>
            <w:r>
              <w:rPr>
                <w:sz w:val="20"/>
                <w:szCs w:val="20"/>
              </w:rPr>
              <w:t>2.2</w:t>
            </w:r>
          </w:p>
        </w:tc>
      </w:tr>
      <w:tr w:rsidR="00000000">
        <w:tc>
          <w:tcPr>
            <w:tcW w:w="3684" w:type="dxa"/>
            <w:noWrap/>
            <w:vAlign w:val="bottom"/>
          </w:tcPr>
          <w:p w:rsidR="00000000" w:rsidRDefault="00000000">
            <w:pPr>
              <w:spacing w:before="60" w:after="60"/>
              <w:ind w:left="227"/>
              <w:rPr>
                <w:sz w:val="20"/>
                <w:szCs w:val="20"/>
              </w:rPr>
            </w:pPr>
            <w:r>
              <w:rPr>
                <w:sz w:val="20"/>
                <w:szCs w:val="20"/>
              </w:rPr>
              <w:t xml:space="preserve">Treatment poor </w:t>
            </w:r>
          </w:p>
        </w:tc>
        <w:tc>
          <w:tcPr>
            <w:tcW w:w="1867" w:type="dxa"/>
            <w:noWrap/>
            <w:vAlign w:val="bottom"/>
          </w:tcPr>
          <w:p w:rsidR="00000000" w:rsidRDefault="00000000">
            <w:pPr>
              <w:spacing w:before="60" w:after="60"/>
              <w:ind w:right="624"/>
              <w:jc w:val="right"/>
              <w:rPr>
                <w:sz w:val="20"/>
                <w:szCs w:val="20"/>
              </w:rPr>
            </w:pPr>
            <w:r>
              <w:rPr>
                <w:sz w:val="20"/>
                <w:szCs w:val="20"/>
              </w:rPr>
              <w:t>0.2</w:t>
            </w:r>
          </w:p>
        </w:tc>
        <w:tc>
          <w:tcPr>
            <w:tcW w:w="1867" w:type="dxa"/>
            <w:noWrap/>
            <w:vAlign w:val="bottom"/>
          </w:tcPr>
          <w:p w:rsidR="00000000" w:rsidRDefault="00000000">
            <w:pPr>
              <w:spacing w:before="60" w:after="60"/>
              <w:ind w:right="624"/>
              <w:jc w:val="right"/>
              <w:rPr>
                <w:sz w:val="20"/>
                <w:szCs w:val="20"/>
              </w:rPr>
            </w:pPr>
            <w:r>
              <w:rPr>
                <w:sz w:val="20"/>
                <w:szCs w:val="20"/>
              </w:rPr>
              <w:t>0.0</w:t>
            </w:r>
          </w:p>
        </w:tc>
        <w:tc>
          <w:tcPr>
            <w:tcW w:w="2219" w:type="dxa"/>
            <w:noWrap/>
            <w:vAlign w:val="bottom"/>
          </w:tcPr>
          <w:p w:rsidR="00000000" w:rsidRDefault="00000000">
            <w:pPr>
              <w:spacing w:before="60" w:after="60"/>
              <w:ind w:right="624"/>
              <w:jc w:val="right"/>
              <w:rPr>
                <w:sz w:val="20"/>
                <w:szCs w:val="20"/>
              </w:rPr>
            </w:pPr>
            <w:r>
              <w:rPr>
                <w:sz w:val="20"/>
                <w:szCs w:val="20"/>
              </w:rPr>
              <w:t>0.3</w:t>
            </w:r>
          </w:p>
        </w:tc>
      </w:tr>
      <w:tr w:rsidR="00000000">
        <w:tc>
          <w:tcPr>
            <w:tcW w:w="3684" w:type="dxa"/>
            <w:noWrap/>
            <w:vAlign w:val="bottom"/>
          </w:tcPr>
          <w:p w:rsidR="00000000" w:rsidRDefault="00000000">
            <w:pPr>
              <w:spacing w:before="60" w:after="60"/>
              <w:ind w:left="227"/>
              <w:rPr>
                <w:sz w:val="20"/>
                <w:szCs w:val="20"/>
              </w:rPr>
            </w:pPr>
            <w:r>
              <w:rPr>
                <w:sz w:val="20"/>
                <w:szCs w:val="20"/>
              </w:rPr>
              <w:t>Consultations expensive</w:t>
            </w:r>
          </w:p>
        </w:tc>
        <w:tc>
          <w:tcPr>
            <w:tcW w:w="1867" w:type="dxa"/>
            <w:noWrap/>
            <w:vAlign w:val="bottom"/>
          </w:tcPr>
          <w:p w:rsidR="00000000" w:rsidRDefault="00000000">
            <w:pPr>
              <w:spacing w:before="60" w:after="60"/>
              <w:ind w:right="624"/>
              <w:jc w:val="right"/>
              <w:rPr>
                <w:sz w:val="20"/>
                <w:szCs w:val="20"/>
              </w:rPr>
            </w:pPr>
            <w:r>
              <w:rPr>
                <w:sz w:val="20"/>
                <w:szCs w:val="20"/>
              </w:rPr>
              <w:t>5.6</w:t>
            </w:r>
          </w:p>
        </w:tc>
        <w:tc>
          <w:tcPr>
            <w:tcW w:w="1867" w:type="dxa"/>
            <w:noWrap/>
            <w:vAlign w:val="bottom"/>
          </w:tcPr>
          <w:p w:rsidR="00000000" w:rsidRDefault="00000000">
            <w:pPr>
              <w:spacing w:before="60" w:after="60"/>
              <w:ind w:right="624"/>
              <w:jc w:val="right"/>
              <w:rPr>
                <w:sz w:val="20"/>
                <w:szCs w:val="20"/>
              </w:rPr>
            </w:pPr>
            <w:r>
              <w:rPr>
                <w:sz w:val="20"/>
                <w:szCs w:val="20"/>
              </w:rPr>
              <w:t>2.6</w:t>
            </w:r>
          </w:p>
        </w:tc>
        <w:tc>
          <w:tcPr>
            <w:tcW w:w="2219" w:type="dxa"/>
            <w:noWrap/>
            <w:vAlign w:val="bottom"/>
          </w:tcPr>
          <w:p w:rsidR="00000000" w:rsidRDefault="00000000">
            <w:pPr>
              <w:spacing w:before="60" w:after="60"/>
              <w:ind w:right="624"/>
              <w:jc w:val="right"/>
              <w:rPr>
                <w:sz w:val="20"/>
                <w:szCs w:val="20"/>
              </w:rPr>
            </w:pPr>
            <w:r>
              <w:rPr>
                <w:sz w:val="20"/>
                <w:szCs w:val="20"/>
              </w:rPr>
              <w:t>8.1</w:t>
            </w:r>
          </w:p>
        </w:tc>
      </w:tr>
      <w:tr w:rsidR="00000000">
        <w:tc>
          <w:tcPr>
            <w:tcW w:w="3684" w:type="dxa"/>
            <w:noWrap/>
            <w:vAlign w:val="bottom"/>
          </w:tcPr>
          <w:p w:rsidR="00000000" w:rsidRDefault="00000000">
            <w:pPr>
              <w:spacing w:before="60" w:after="60"/>
              <w:ind w:left="227"/>
              <w:rPr>
                <w:sz w:val="20"/>
                <w:szCs w:val="20"/>
              </w:rPr>
            </w:pPr>
            <w:r>
              <w:rPr>
                <w:sz w:val="20"/>
                <w:szCs w:val="20"/>
              </w:rPr>
              <w:t>No money</w:t>
            </w:r>
          </w:p>
        </w:tc>
        <w:tc>
          <w:tcPr>
            <w:tcW w:w="1867" w:type="dxa"/>
            <w:noWrap/>
            <w:vAlign w:val="bottom"/>
          </w:tcPr>
          <w:p w:rsidR="00000000" w:rsidRDefault="00000000">
            <w:pPr>
              <w:spacing w:before="60" w:after="60"/>
              <w:ind w:right="624"/>
              <w:jc w:val="right"/>
              <w:rPr>
                <w:sz w:val="20"/>
                <w:szCs w:val="20"/>
              </w:rPr>
            </w:pPr>
            <w:r>
              <w:rPr>
                <w:sz w:val="20"/>
                <w:szCs w:val="20"/>
              </w:rPr>
              <w:t>6.9</w:t>
            </w:r>
          </w:p>
        </w:tc>
        <w:tc>
          <w:tcPr>
            <w:tcW w:w="1867" w:type="dxa"/>
            <w:noWrap/>
            <w:vAlign w:val="bottom"/>
          </w:tcPr>
          <w:p w:rsidR="00000000" w:rsidRDefault="00000000">
            <w:pPr>
              <w:spacing w:before="60" w:after="60"/>
              <w:ind w:right="624"/>
              <w:jc w:val="right"/>
              <w:rPr>
                <w:sz w:val="20"/>
                <w:szCs w:val="20"/>
              </w:rPr>
            </w:pPr>
            <w:r>
              <w:rPr>
                <w:sz w:val="20"/>
                <w:szCs w:val="20"/>
              </w:rPr>
              <w:t>4.5</w:t>
            </w:r>
          </w:p>
        </w:tc>
        <w:tc>
          <w:tcPr>
            <w:tcW w:w="2219" w:type="dxa"/>
            <w:noWrap/>
            <w:vAlign w:val="bottom"/>
          </w:tcPr>
          <w:p w:rsidR="00000000" w:rsidRDefault="00000000">
            <w:pPr>
              <w:spacing w:before="60" w:after="60"/>
              <w:ind w:right="624"/>
              <w:jc w:val="right"/>
              <w:rPr>
                <w:sz w:val="20"/>
                <w:szCs w:val="20"/>
              </w:rPr>
            </w:pPr>
            <w:r>
              <w:rPr>
                <w:sz w:val="20"/>
                <w:szCs w:val="20"/>
              </w:rPr>
              <w:t>8.9</w:t>
            </w:r>
          </w:p>
        </w:tc>
      </w:tr>
      <w:tr w:rsidR="00000000">
        <w:tc>
          <w:tcPr>
            <w:tcW w:w="3684" w:type="dxa"/>
            <w:noWrap/>
            <w:vAlign w:val="bottom"/>
          </w:tcPr>
          <w:p w:rsidR="00000000" w:rsidRDefault="00000000">
            <w:pPr>
              <w:spacing w:before="60" w:after="60"/>
              <w:ind w:left="227"/>
              <w:rPr>
                <w:sz w:val="20"/>
                <w:szCs w:val="20"/>
              </w:rPr>
            </w:pPr>
            <w:r>
              <w:rPr>
                <w:sz w:val="20"/>
                <w:szCs w:val="20"/>
              </w:rPr>
              <w:t>No money for medicines.</w:t>
            </w:r>
          </w:p>
        </w:tc>
        <w:tc>
          <w:tcPr>
            <w:tcW w:w="1867" w:type="dxa"/>
            <w:noWrap/>
            <w:vAlign w:val="bottom"/>
          </w:tcPr>
          <w:p w:rsidR="00000000" w:rsidRDefault="00000000">
            <w:pPr>
              <w:spacing w:before="60" w:after="60"/>
              <w:ind w:right="624"/>
              <w:jc w:val="right"/>
              <w:rPr>
                <w:sz w:val="20"/>
                <w:szCs w:val="20"/>
              </w:rPr>
            </w:pPr>
            <w:r>
              <w:rPr>
                <w:sz w:val="20"/>
                <w:szCs w:val="20"/>
              </w:rPr>
              <w:t>2.5</w:t>
            </w:r>
          </w:p>
        </w:tc>
        <w:tc>
          <w:tcPr>
            <w:tcW w:w="1867" w:type="dxa"/>
            <w:noWrap/>
            <w:vAlign w:val="bottom"/>
          </w:tcPr>
          <w:p w:rsidR="00000000" w:rsidRDefault="00000000">
            <w:pPr>
              <w:spacing w:before="60" w:after="60"/>
              <w:ind w:right="624"/>
              <w:jc w:val="right"/>
              <w:rPr>
                <w:sz w:val="20"/>
                <w:szCs w:val="20"/>
              </w:rPr>
            </w:pPr>
            <w:r>
              <w:rPr>
                <w:sz w:val="20"/>
                <w:szCs w:val="20"/>
              </w:rPr>
              <w:t>1.0</w:t>
            </w:r>
          </w:p>
        </w:tc>
        <w:tc>
          <w:tcPr>
            <w:tcW w:w="2219" w:type="dxa"/>
            <w:noWrap/>
            <w:vAlign w:val="bottom"/>
          </w:tcPr>
          <w:p w:rsidR="00000000" w:rsidRDefault="00000000">
            <w:pPr>
              <w:spacing w:before="60" w:after="60"/>
              <w:ind w:right="624"/>
              <w:jc w:val="right"/>
              <w:rPr>
                <w:sz w:val="20"/>
                <w:szCs w:val="20"/>
              </w:rPr>
            </w:pPr>
            <w:r>
              <w:rPr>
                <w:sz w:val="20"/>
                <w:szCs w:val="20"/>
              </w:rPr>
              <w:t>3.7</w:t>
            </w:r>
          </w:p>
        </w:tc>
      </w:tr>
      <w:tr w:rsidR="00000000">
        <w:tc>
          <w:tcPr>
            <w:tcW w:w="3684" w:type="dxa"/>
            <w:noWrap/>
            <w:vAlign w:val="bottom"/>
          </w:tcPr>
          <w:p w:rsidR="00000000" w:rsidRDefault="00000000">
            <w:pPr>
              <w:spacing w:before="60" w:after="60"/>
              <w:ind w:left="227"/>
              <w:rPr>
                <w:sz w:val="20"/>
                <w:szCs w:val="20"/>
              </w:rPr>
            </w:pPr>
            <w:r>
              <w:rPr>
                <w:sz w:val="20"/>
                <w:szCs w:val="20"/>
              </w:rPr>
              <w:t xml:space="preserve">Self-help medication </w:t>
            </w:r>
          </w:p>
        </w:tc>
        <w:tc>
          <w:tcPr>
            <w:tcW w:w="1867" w:type="dxa"/>
            <w:noWrap/>
            <w:vAlign w:val="bottom"/>
          </w:tcPr>
          <w:p w:rsidR="00000000" w:rsidRDefault="00000000">
            <w:pPr>
              <w:spacing w:before="60" w:after="60"/>
              <w:ind w:right="624"/>
              <w:jc w:val="right"/>
              <w:rPr>
                <w:sz w:val="20"/>
                <w:szCs w:val="20"/>
              </w:rPr>
            </w:pPr>
            <w:r>
              <w:rPr>
                <w:sz w:val="20"/>
                <w:szCs w:val="20"/>
              </w:rPr>
              <w:t>58.7</w:t>
            </w:r>
          </w:p>
        </w:tc>
        <w:tc>
          <w:tcPr>
            <w:tcW w:w="1867" w:type="dxa"/>
            <w:noWrap/>
            <w:vAlign w:val="bottom"/>
          </w:tcPr>
          <w:p w:rsidR="00000000" w:rsidRDefault="00000000">
            <w:pPr>
              <w:spacing w:before="60" w:after="60"/>
              <w:ind w:right="624"/>
              <w:jc w:val="right"/>
              <w:rPr>
                <w:sz w:val="20"/>
                <w:szCs w:val="20"/>
              </w:rPr>
            </w:pPr>
            <w:r>
              <w:rPr>
                <w:sz w:val="20"/>
                <w:szCs w:val="20"/>
              </w:rPr>
              <w:t>60.8</w:t>
            </w:r>
          </w:p>
        </w:tc>
        <w:tc>
          <w:tcPr>
            <w:tcW w:w="2219" w:type="dxa"/>
            <w:noWrap/>
            <w:vAlign w:val="bottom"/>
          </w:tcPr>
          <w:p w:rsidR="00000000" w:rsidRDefault="00000000">
            <w:pPr>
              <w:spacing w:before="60" w:after="60"/>
              <w:ind w:right="624"/>
              <w:jc w:val="right"/>
              <w:rPr>
                <w:sz w:val="20"/>
                <w:szCs w:val="20"/>
              </w:rPr>
            </w:pPr>
            <w:r>
              <w:rPr>
                <w:sz w:val="20"/>
                <w:szCs w:val="20"/>
              </w:rPr>
              <w:t>57.1</w:t>
            </w:r>
          </w:p>
        </w:tc>
      </w:tr>
      <w:tr w:rsidR="00000000">
        <w:tc>
          <w:tcPr>
            <w:tcW w:w="3684" w:type="dxa"/>
            <w:noWrap/>
            <w:vAlign w:val="bottom"/>
          </w:tcPr>
          <w:p w:rsidR="00000000" w:rsidRDefault="00000000">
            <w:pPr>
              <w:spacing w:before="60" w:after="60"/>
              <w:ind w:left="227"/>
              <w:rPr>
                <w:sz w:val="20"/>
                <w:szCs w:val="20"/>
              </w:rPr>
            </w:pPr>
            <w:r>
              <w:rPr>
                <w:sz w:val="20"/>
                <w:szCs w:val="20"/>
              </w:rPr>
              <w:t xml:space="preserve">No time </w:t>
            </w:r>
          </w:p>
        </w:tc>
        <w:tc>
          <w:tcPr>
            <w:tcW w:w="1867" w:type="dxa"/>
            <w:noWrap/>
            <w:vAlign w:val="bottom"/>
          </w:tcPr>
          <w:p w:rsidR="00000000" w:rsidRDefault="00000000">
            <w:pPr>
              <w:spacing w:before="60" w:after="60"/>
              <w:ind w:right="624"/>
              <w:jc w:val="right"/>
              <w:rPr>
                <w:sz w:val="20"/>
                <w:szCs w:val="20"/>
              </w:rPr>
            </w:pPr>
            <w:r>
              <w:rPr>
                <w:sz w:val="20"/>
                <w:szCs w:val="20"/>
              </w:rPr>
              <w:t>1.3</w:t>
            </w:r>
          </w:p>
        </w:tc>
        <w:tc>
          <w:tcPr>
            <w:tcW w:w="1867" w:type="dxa"/>
            <w:noWrap/>
            <w:vAlign w:val="bottom"/>
          </w:tcPr>
          <w:p w:rsidR="00000000" w:rsidRDefault="00000000">
            <w:pPr>
              <w:spacing w:before="60" w:after="60"/>
              <w:ind w:right="624"/>
              <w:jc w:val="right"/>
              <w:rPr>
                <w:sz w:val="20"/>
                <w:szCs w:val="20"/>
              </w:rPr>
            </w:pPr>
            <w:r>
              <w:rPr>
                <w:sz w:val="20"/>
                <w:szCs w:val="20"/>
              </w:rPr>
              <w:t>1.4</w:t>
            </w:r>
          </w:p>
        </w:tc>
        <w:tc>
          <w:tcPr>
            <w:tcW w:w="2219" w:type="dxa"/>
            <w:noWrap/>
            <w:vAlign w:val="bottom"/>
          </w:tcPr>
          <w:p w:rsidR="00000000" w:rsidRDefault="00000000">
            <w:pPr>
              <w:spacing w:before="60" w:after="60"/>
              <w:ind w:right="624"/>
              <w:jc w:val="right"/>
              <w:rPr>
                <w:sz w:val="20"/>
                <w:szCs w:val="20"/>
              </w:rPr>
            </w:pPr>
            <w:r>
              <w:rPr>
                <w:sz w:val="20"/>
                <w:szCs w:val="20"/>
              </w:rPr>
              <w:t>1.3</w:t>
            </w:r>
          </w:p>
        </w:tc>
      </w:tr>
      <w:tr w:rsidR="00000000">
        <w:tc>
          <w:tcPr>
            <w:tcW w:w="3684" w:type="dxa"/>
            <w:noWrap/>
            <w:vAlign w:val="bottom"/>
          </w:tcPr>
          <w:p w:rsidR="00000000" w:rsidRDefault="00000000">
            <w:pPr>
              <w:spacing w:before="60" w:after="60"/>
              <w:ind w:left="227"/>
              <w:rPr>
                <w:sz w:val="20"/>
                <w:szCs w:val="20"/>
              </w:rPr>
            </w:pPr>
            <w:r>
              <w:rPr>
                <w:sz w:val="20"/>
                <w:szCs w:val="20"/>
              </w:rPr>
              <w:t xml:space="preserve">Other reasons </w:t>
            </w:r>
          </w:p>
        </w:tc>
        <w:tc>
          <w:tcPr>
            <w:tcW w:w="1867" w:type="dxa"/>
            <w:noWrap/>
            <w:vAlign w:val="bottom"/>
          </w:tcPr>
          <w:p w:rsidR="00000000" w:rsidRDefault="00000000">
            <w:pPr>
              <w:spacing w:before="60" w:after="60"/>
              <w:ind w:right="624"/>
              <w:jc w:val="right"/>
              <w:rPr>
                <w:sz w:val="20"/>
                <w:szCs w:val="20"/>
              </w:rPr>
            </w:pPr>
            <w:r>
              <w:rPr>
                <w:sz w:val="20"/>
                <w:szCs w:val="20"/>
              </w:rPr>
              <w:t>0.4</w:t>
            </w:r>
          </w:p>
        </w:tc>
        <w:tc>
          <w:tcPr>
            <w:tcW w:w="1867" w:type="dxa"/>
            <w:noWrap/>
            <w:vAlign w:val="bottom"/>
          </w:tcPr>
          <w:p w:rsidR="00000000" w:rsidRDefault="00000000">
            <w:pPr>
              <w:spacing w:before="60" w:after="60"/>
              <w:ind w:right="624"/>
              <w:jc w:val="right"/>
              <w:rPr>
                <w:sz w:val="20"/>
                <w:szCs w:val="20"/>
              </w:rPr>
            </w:pPr>
            <w:r>
              <w:rPr>
                <w:sz w:val="20"/>
                <w:szCs w:val="20"/>
              </w:rPr>
              <w:t>0.4</w:t>
            </w:r>
          </w:p>
        </w:tc>
        <w:tc>
          <w:tcPr>
            <w:tcW w:w="2219" w:type="dxa"/>
            <w:noWrap/>
            <w:vAlign w:val="bottom"/>
          </w:tcPr>
          <w:p w:rsidR="00000000" w:rsidRDefault="00000000">
            <w:pPr>
              <w:spacing w:before="60" w:after="60"/>
              <w:ind w:right="624"/>
              <w:jc w:val="right"/>
              <w:rPr>
                <w:sz w:val="20"/>
                <w:szCs w:val="20"/>
              </w:rPr>
            </w:pPr>
            <w:r>
              <w:rPr>
                <w:sz w:val="20"/>
                <w:szCs w:val="20"/>
              </w:rPr>
              <w:t>0.4</w:t>
            </w:r>
          </w:p>
        </w:tc>
      </w:tr>
      <w:tr w:rsidR="00000000">
        <w:tc>
          <w:tcPr>
            <w:tcW w:w="3684" w:type="dxa"/>
            <w:noWrap/>
            <w:vAlign w:val="bottom"/>
          </w:tcPr>
          <w:p w:rsidR="00000000" w:rsidRDefault="00000000">
            <w:pPr>
              <w:spacing w:before="60" w:after="60"/>
              <w:rPr>
                <w:sz w:val="20"/>
                <w:szCs w:val="20"/>
              </w:rPr>
            </w:pPr>
            <w:r>
              <w:rPr>
                <w:sz w:val="20"/>
                <w:szCs w:val="20"/>
              </w:rPr>
              <w:t xml:space="preserve">WOMEN </w:t>
            </w:r>
          </w:p>
        </w:tc>
        <w:tc>
          <w:tcPr>
            <w:tcW w:w="1867" w:type="dxa"/>
            <w:noWrap/>
            <w:vAlign w:val="bottom"/>
          </w:tcPr>
          <w:p w:rsidR="00000000" w:rsidRDefault="00000000">
            <w:pPr>
              <w:spacing w:before="60" w:after="60"/>
              <w:ind w:right="624"/>
              <w:jc w:val="right"/>
              <w:rPr>
                <w:sz w:val="20"/>
                <w:szCs w:val="20"/>
              </w:rPr>
            </w:pPr>
            <w:r>
              <w:rPr>
                <w:sz w:val="20"/>
                <w:szCs w:val="20"/>
              </w:rPr>
              <w:t>458 599</w:t>
            </w:r>
          </w:p>
        </w:tc>
        <w:tc>
          <w:tcPr>
            <w:tcW w:w="1867" w:type="dxa"/>
            <w:noWrap/>
            <w:vAlign w:val="bottom"/>
          </w:tcPr>
          <w:p w:rsidR="00000000" w:rsidRDefault="00000000">
            <w:pPr>
              <w:spacing w:before="60" w:after="60"/>
              <w:ind w:right="624"/>
              <w:jc w:val="right"/>
              <w:rPr>
                <w:sz w:val="20"/>
                <w:szCs w:val="20"/>
              </w:rPr>
            </w:pPr>
            <w:r>
              <w:rPr>
                <w:sz w:val="20"/>
                <w:szCs w:val="20"/>
              </w:rPr>
              <w:t>213 604</w:t>
            </w:r>
          </w:p>
        </w:tc>
        <w:tc>
          <w:tcPr>
            <w:tcW w:w="2219" w:type="dxa"/>
            <w:noWrap/>
            <w:vAlign w:val="bottom"/>
          </w:tcPr>
          <w:p w:rsidR="00000000" w:rsidRDefault="00000000">
            <w:pPr>
              <w:spacing w:before="60" w:after="60"/>
              <w:ind w:right="624"/>
              <w:jc w:val="right"/>
              <w:rPr>
                <w:sz w:val="20"/>
                <w:szCs w:val="20"/>
              </w:rPr>
            </w:pPr>
            <w:r>
              <w:rPr>
                <w:sz w:val="20"/>
                <w:szCs w:val="20"/>
              </w:rPr>
              <w:t>244 995</w:t>
            </w:r>
          </w:p>
        </w:tc>
      </w:tr>
      <w:tr w:rsidR="00000000">
        <w:tc>
          <w:tcPr>
            <w:tcW w:w="3684" w:type="dxa"/>
            <w:noWrap/>
            <w:vAlign w:val="bottom"/>
          </w:tcPr>
          <w:p w:rsidR="00000000" w:rsidRDefault="00000000">
            <w:pPr>
              <w:spacing w:before="60" w:after="60"/>
              <w:ind w:left="227"/>
              <w:rPr>
                <w:sz w:val="20"/>
                <w:szCs w:val="20"/>
              </w:rPr>
            </w:pPr>
            <w:r>
              <w:rPr>
                <w:sz w:val="20"/>
                <w:szCs w:val="20"/>
              </w:rPr>
              <w:t xml:space="preserve">Injury not serious </w:t>
            </w:r>
          </w:p>
        </w:tc>
        <w:tc>
          <w:tcPr>
            <w:tcW w:w="1867" w:type="dxa"/>
            <w:noWrap/>
            <w:vAlign w:val="bottom"/>
          </w:tcPr>
          <w:p w:rsidR="00000000" w:rsidRDefault="00000000">
            <w:pPr>
              <w:spacing w:before="60" w:after="60"/>
              <w:ind w:right="624"/>
              <w:jc w:val="right"/>
              <w:rPr>
                <w:sz w:val="20"/>
                <w:szCs w:val="20"/>
              </w:rPr>
            </w:pPr>
            <w:r>
              <w:rPr>
                <w:sz w:val="20"/>
                <w:szCs w:val="20"/>
              </w:rPr>
              <w:t>21.2</w:t>
            </w:r>
          </w:p>
        </w:tc>
        <w:tc>
          <w:tcPr>
            <w:tcW w:w="1867" w:type="dxa"/>
            <w:noWrap/>
            <w:vAlign w:val="bottom"/>
          </w:tcPr>
          <w:p w:rsidR="00000000" w:rsidRDefault="00000000">
            <w:pPr>
              <w:spacing w:before="60" w:after="60"/>
              <w:ind w:right="624"/>
              <w:jc w:val="right"/>
              <w:rPr>
                <w:sz w:val="20"/>
                <w:szCs w:val="20"/>
              </w:rPr>
            </w:pPr>
            <w:r>
              <w:rPr>
                <w:sz w:val="20"/>
                <w:szCs w:val="20"/>
              </w:rPr>
              <w:t>25.1</w:t>
            </w:r>
          </w:p>
        </w:tc>
        <w:tc>
          <w:tcPr>
            <w:tcW w:w="2219" w:type="dxa"/>
            <w:noWrap/>
            <w:vAlign w:val="bottom"/>
          </w:tcPr>
          <w:p w:rsidR="00000000" w:rsidRDefault="00000000">
            <w:pPr>
              <w:spacing w:before="60" w:after="60"/>
              <w:ind w:right="624"/>
              <w:jc w:val="right"/>
              <w:rPr>
                <w:sz w:val="20"/>
                <w:szCs w:val="20"/>
              </w:rPr>
            </w:pPr>
            <w:r>
              <w:rPr>
                <w:sz w:val="20"/>
                <w:szCs w:val="20"/>
              </w:rPr>
              <w:t>17.8</w:t>
            </w:r>
          </w:p>
        </w:tc>
      </w:tr>
      <w:tr w:rsidR="00000000">
        <w:tc>
          <w:tcPr>
            <w:tcW w:w="3684" w:type="dxa"/>
            <w:noWrap/>
            <w:vAlign w:val="bottom"/>
          </w:tcPr>
          <w:p w:rsidR="00000000" w:rsidRDefault="00000000">
            <w:pPr>
              <w:spacing w:before="60" w:after="60"/>
              <w:ind w:left="227"/>
              <w:rPr>
                <w:sz w:val="20"/>
                <w:szCs w:val="20"/>
              </w:rPr>
            </w:pPr>
            <w:r>
              <w:rPr>
                <w:sz w:val="20"/>
                <w:szCs w:val="20"/>
              </w:rPr>
              <w:t xml:space="preserve">No treatment available nearby </w:t>
            </w:r>
          </w:p>
        </w:tc>
        <w:tc>
          <w:tcPr>
            <w:tcW w:w="1867" w:type="dxa"/>
            <w:noWrap/>
            <w:vAlign w:val="bottom"/>
          </w:tcPr>
          <w:p w:rsidR="00000000" w:rsidRDefault="00000000">
            <w:pPr>
              <w:spacing w:before="60" w:after="60"/>
              <w:ind w:right="624"/>
              <w:jc w:val="right"/>
              <w:rPr>
                <w:sz w:val="20"/>
                <w:szCs w:val="20"/>
              </w:rPr>
            </w:pPr>
            <w:r>
              <w:rPr>
                <w:sz w:val="20"/>
                <w:szCs w:val="20"/>
              </w:rPr>
              <w:t>1.5</w:t>
            </w:r>
          </w:p>
        </w:tc>
        <w:tc>
          <w:tcPr>
            <w:tcW w:w="1867" w:type="dxa"/>
            <w:noWrap/>
            <w:vAlign w:val="bottom"/>
          </w:tcPr>
          <w:p w:rsidR="00000000" w:rsidRDefault="00000000">
            <w:pPr>
              <w:spacing w:before="60" w:after="60"/>
              <w:ind w:right="624"/>
              <w:jc w:val="right"/>
              <w:rPr>
                <w:sz w:val="20"/>
                <w:szCs w:val="20"/>
              </w:rPr>
            </w:pPr>
            <w:r>
              <w:rPr>
                <w:sz w:val="20"/>
                <w:szCs w:val="20"/>
              </w:rPr>
              <w:t>0.2</w:t>
            </w:r>
          </w:p>
        </w:tc>
        <w:tc>
          <w:tcPr>
            <w:tcW w:w="2219" w:type="dxa"/>
            <w:noWrap/>
            <w:vAlign w:val="bottom"/>
          </w:tcPr>
          <w:p w:rsidR="00000000" w:rsidRDefault="00000000">
            <w:pPr>
              <w:spacing w:before="60" w:after="60"/>
              <w:ind w:right="624"/>
              <w:jc w:val="right"/>
              <w:rPr>
                <w:sz w:val="20"/>
                <w:szCs w:val="20"/>
              </w:rPr>
            </w:pPr>
            <w:r>
              <w:rPr>
                <w:sz w:val="20"/>
                <w:szCs w:val="20"/>
              </w:rPr>
              <w:t>2.7</w:t>
            </w:r>
          </w:p>
        </w:tc>
      </w:tr>
      <w:tr w:rsidR="00000000">
        <w:tc>
          <w:tcPr>
            <w:tcW w:w="3684" w:type="dxa"/>
            <w:noWrap/>
            <w:vAlign w:val="bottom"/>
          </w:tcPr>
          <w:p w:rsidR="00000000" w:rsidRDefault="00000000">
            <w:pPr>
              <w:spacing w:before="60" w:after="60"/>
              <w:ind w:left="227"/>
              <w:rPr>
                <w:sz w:val="20"/>
                <w:szCs w:val="20"/>
              </w:rPr>
            </w:pPr>
            <w:r>
              <w:rPr>
                <w:sz w:val="20"/>
                <w:szCs w:val="20"/>
              </w:rPr>
              <w:t xml:space="preserve">Treatment poor </w:t>
            </w:r>
          </w:p>
        </w:tc>
        <w:tc>
          <w:tcPr>
            <w:tcW w:w="1867" w:type="dxa"/>
            <w:noWrap/>
            <w:vAlign w:val="bottom"/>
          </w:tcPr>
          <w:p w:rsidR="00000000" w:rsidRDefault="00000000">
            <w:pPr>
              <w:spacing w:before="60" w:after="60"/>
              <w:ind w:right="624"/>
              <w:jc w:val="right"/>
              <w:rPr>
                <w:sz w:val="20"/>
                <w:szCs w:val="20"/>
              </w:rPr>
            </w:pPr>
            <w:r>
              <w:rPr>
                <w:sz w:val="20"/>
                <w:szCs w:val="20"/>
              </w:rPr>
              <w:t>0.1</w:t>
            </w:r>
          </w:p>
        </w:tc>
        <w:tc>
          <w:tcPr>
            <w:tcW w:w="1867" w:type="dxa"/>
            <w:noWrap/>
            <w:vAlign w:val="bottom"/>
          </w:tcPr>
          <w:p w:rsidR="00000000" w:rsidRDefault="00000000">
            <w:pPr>
              <w:spacing w:before="60" w:after="60"/>
              <w:ind w:right="624"/>
              <w:jc w:val="right"/>
              <w:rPr>
                <w:sz w:val="20"/>
                <w:szCs w:val="20"/>
              </w:rPr>
            </w:pPr>
            <w:r>
              <w:rPr>
                <w:sz w:val="20"/>
                <w:szCs w:val="20"/>
              </w:rPr>
              <w:t>0.0</w:t>
            </w:r>
          </w:p>
        </w:tc>
        <w:tc>
          <w:tcPr>
            <w:tcW w:w="2219" w:type="dxa"/>
            <w:noWrap/>
            <w:vAlign w:val="bottom"/>
          </w:tcPr>
          <w:p w:rsidR="00000000" w:rsidRDefault="00000000">
            <w:pPr>
              <w:spacing w:before="60" w:after="60"/>
              <w:ind w:right="624"/>
              <w:jc w:val="right"/>
              <w:rPr>
                <w:sz w:val="20"/>
                <w:szCs w:val="20"/>
              </w:rPr>
            </w:pPr>
            <w:r>
              <w:rPr>
                <w:sz w:val="20"/>
                <w:szCs w:val="20"/>
              </w:rPr>
              <w:t>0.1</w:t>
            </w:r>
          </w:p>
        </w:tc>
      </w:tr>
      <w:tr w:rsidR="00000000">
        <w:tc>
          <w:tcPr>
            <w:tcW w:w="3684" w:type="dxa"/>
            <w:noWrap/>
            <w:vAlign w:val="bottom"/>
          </w:tcPr>
          <w:p w:rsidR="00000000" w:rsidRDefault="00000000">
            <w:pPr>
              <w:spacing w:before="60" w:after="60"/>
              <w:ind w:left="227"/>
              <w:rPr>
                <w:sz w:val="20"/>
                <w:szCs w:val="20"/>
              </w:rPr>
            </w:pPr>
            <w:r>
              <w:rPr>
                <w:sz w:val="20"/>
                <w:szCs w:val="20"/>
              </w:rPr>
              <w:t>Consultations expensive</w:t>
            </w:r>
          </w:p>
        </w:tc>
        <w:tc>
          <w:tcPr>
            <w:tcW w:w="1867" w:type="dxa"/>
            <w:noWrap/>
            <w:vAlign w:val="bottom"/>
          </w:tcPr>
          <w:p w:rsidR="00000000" w:rsidRDefault="00000000">
            <w:pPr>
              <w:spacing w:before="60" w:after="60"/>
              <w:ind w:right="624"/>
              <w:jc w:val="right"/>
              <w:rPr>
                <w:sz w:val="20"/>
                <w:szCs w:val="20"/>
              </w:rPr>
            </w:pPr>
            <w:r>
              <w:rPr>
                <w:sz w:val="20"/>
                <w:szCs w:val="20"/>
              </w:rPr>
              <w:t>7.4</w:t>
            </w:r>
          </w:p>
        </w:tc>
        <w:tc>
          <w:tcPr>
            <w:tcW w:w="1867" w:type="dxa"/>
            <w:noWrap/>
            <w:vAlign w:val="bottom"/>
          </w:tcPr>
          <w:p w:rsidR="00000000" w:rsidRDefault="00000000">
            <w:pPr>
              <w:spacing w:before="60" w:after="60"/>
              <w:ind w:right="624"/>
              <w:jc w:val="right"/>
              <w:rPr>
                <w:sz w:val="20"/>
                <w:szCs w:val="20"/>
              </w:rPr>
            </w:pPr>
            <w:r>
              <w:rPr>
                <w:sz w:val="20"/>
                <w:szCs w:val="20"/>
              </w:rPr>
              <w:t>5.3</w:t>
            </w:r>
          </w:p>
        </w:tc>
        <w:tc>
          <w:tcPr>
            <w:tcW w:w="2219" w:type="dxa"/>
            <w:noWrap/>
            <w:vAlign w:val="bottom"/>
          </w:tcPr>
          <w:p w:rsidR="00000000" w:rsidRDefault="00000000">
            <w:pPr>
              <w:spacing w:before="60" w:after="60"/>
              <w:ind w:right="624"/>
              <w:jc w:val="right"/>
              <w:rPr>
                <w:sz w:val="20"/>
                <w:szCs w:val="20"/>
              </w:rPr>
            </w:pPr>
            <w:r>
              <w:rPr>
                <w:sz w:val="20"/>
                <w:szCs w:val="20"/>
              </w:rPr>
              <w:t>9.2</w:t>
            </w:r>
          </w:p>
        </w:tc>
      </w:tr>
      <w:tr w:rsidR="00000000">
        <w:tc>
          <w:tcPr>
            <w:tcW w:w="3684" w:type="dxa"/>
            <w:noWrap/>
            <w:vAlign w:val="bottom"/>
          </w:tcPr>
          <w:p w:rsidR="00000000" w:rsidRDefault="00000000">
            <w:pPr>
              <w:spacing w:before="60" w:after="60"/>
              <w:ind w:left="227"/>
              <w:rPr>
                <w:sz w:val="20"/>
                <w:szCs w:val="20"/>
              </w:rPr>
            </w:pPr>
            <w:r>
              <w:rPr>
                <w:sz w:val="20"/>
                <w:szCs w:val="20"/>
              </w:rPr>
              <w:t>No money</w:t>
            </w:r>
          </w:p>
        </w:tc>
        <w:tc>
          <w:tcPr>
            <w:tcW w:w="1867" w:type="dxa"/>
            <w:noWrap/>
            <w:vAlign w:val="bottom"/>
          </w:tcPr>
          <w:p w:rsidR="00000000" w:rsidRDefault="00000000">
            <w:pPr>
              <w:spacing w:before="60" w:after="60"/>
              <w:ind w:right="624"/>
              <w:jc w:val="right"/>
              <w:rPr>
                <w:sz w:val="20"/>
                <w:szCs w:val="20"/>
              </w:rPr>
            </w:pPr>
            <w:r>
              <w:rPr>
                <w:sz w:val="20"/>
                <w:szCs w:val="20"/>
              </w:rPr>
              <w:t>6.1</w:t>
            </w:r>
          </w:p>
        </w:tc>
        <w:tc>
          <w:tcPr>
            <w:tcW w:w="1867" w:type="dxa"/>
            <w:noWrap/>
            <w:vAlign w:val="bottom"/>
          </w:tcPr>
          <w:p w:rsidR="00000000" w:rsidRDefault="00000000">
            <w:pPr>
              <w:spacing w:before="60" w:after="60"/>
              <w:ind w:right="624"/>
              <w:jc w:val="right"/>
              <w:rPr>
                <w:sz w:val="20"/>
                <w:szCs w:val="20"/>
              </w:rPr>
            </w:pPr>
            <w:r>
              <w:rPr>
                <w:sz w:val="20"/>
                <w:szCs w:val="20"/>
              </w:rPr>
              <w:t>4.8</w:t>
            </w:r>
          </w:p>
        </w:tc>
        <w:tc>
          <w:tcPr>
            <w:tcW w:w="2219" w:type="dxa"/>
            <w:noWrap/>
            <w:vAlign w:val="bottom"/>
          </w:tcPr>
          <w:p w:rsidR="00000000" w:rsidRDefault="00000000">
            <w:pPr>
              <w:spacing w:before="60" w:after="60"/>
              <w:ind w:right="624"/>
              <w:jc w:val="right"/>
              <w:rPr>
                <w:sz w:val="20"/>
                <w:szCs w:val="20"/>
              </w:rPr>
            </w:pPr>
            <w:r>
              <w:rPr>
                <w:sz w:val="20"/>
                <w:szCs w:val="20"/>
              </w:rPr>
              <w:t>7.2</w:t>
            </w:r>
          </w:p>
        </w:tc>
      </w:tr>
      <w:tr w:rsidR="00000000">
        <w:tc>
          <w:tcPr>
            <w:tcW w:w="3684" w:type="dxa"/>
            <w:noWrap/>
            <w:vAlign w:val="bottom"/>
          </w:tcPr>
          <w:p w:rsidR="00000000" w:rsidRDefault="00000000">
            <w:pPr>
              <w:spacing w:before="60" w:after="60"/>
              <w:ind w:left="227"/>
              <w:rPr>
                <w:sz w:val="20"/>
                <w:szCs w:val="20"/>
              </w:rPr>
            </w:pPr>
            <w:r>
              <w:rPr>
                <w:sz w:val="20"/>
                <w:szCs w:val="20"/>
              </w:rPr>
              <w:t>No money for medicines.</w:t>
            </w:r>
          </w:p>
        </w:tc>
        <w:tc>
          <w:tcPr>
            <w:tcW w:w="1867" w:type="dxa"/>
            <w:noWrap/>
            <w:vAlign w:val="bottom"/>
          </w:tcPr>
          <w:p w:rsidR="00000000" w:rsidRDefault="00000000">
            <w:pPr>
              <w:spacing w:before="60" w:after="60"/>
              <w:ind w:right="624"/>
              <w:jc w:val="right"/>
              <w:rPr>
                <w:sz w:val="20"/>
                <w:szCs w:val="20"/>
              </w:rPr>
            </w:pPr>
            <w:r>
              <w:rPr>
                <w:sz w:val="20"/>
                <w:szCs w:val="20"/>
              </w:rPr>
              <w:t>2.5</w:t>
            </w:r>
          </w:p>
        </w:tc>
        <w:tc>
          <w:tcPr>
            <w:tcW w:w="1867" w:type="dxa"/>
            <w:noWrap/>
            <w:vAlign w:val="bottom"/>
          </w:tcPr>
          <w:p w:rsidR="00000000" w:rsidRDefault="00000000">
            <w:pPr>
              <w:spacing w:before="60" w:after="60"/>
              <w:ind w:right="624"/>
              <w:jc w:val="right"/>
              <w:rPr>
                <w:sz w:val="20"/>
                <w:szCs w:val="20"/>
              </w:rPr>
            </w:pPr>
            <w:r>
              <w:rPr>
                <w:sz w:val="20"/>
                <w:szCs w:val="20"/>
              </w:rPr>
              <w:t>1.4</w:t>
            </w:r>
          </w:p>
        </w:tc>
        <w:tc>
          <w:tcPr>
            <w:tcW w:w="2219" w:type="dxa"/>
            <w:noWrap/>
            <w:vAlign w:val="bottom"/>
          </w:tcPr>
          <w:p w:rsidR="00000000" w:rsidRDefault="00000000">
            <w:pPr>
              <w:spacing w:before="60" w:after="60"/>
              <w:ind w:right="624"/>
              <w:jc w:val="right"/>
              <w:rPr>
                <w:sz w:val="20"/>
                <w:szCs w:val="20"/>
              </w:rPr>
            </w:pPr>
            <w:r>
              <w:rPr>
                <w:sz w:val="20"/>
                <w:szCs w:val="20"/>
              </w:rPr>
              <w:t>3.4</w:t>
            </w:r>
          </w:p>
        </w:tc>
      </w:tr>
      <w:tr w:rsidR="00000000">
        <w:tc>
          <w:tcPr>
            <w:tcW w:w="3684" w:type="dxa"/>
            <w:noWrap/>
            <w:vAlign w:val="bottom"/>
          </w:tcPr>
          <w:p w:rsidR="00000000" w:rsidRDefault="00000000">
            <w:pPr>
              <w:spacing w:before="60" w:after="60"/>
              <w:ind w:left="227"/>
              <w:rPr>
                <w:sz w:val="20"/>
                <w:szCs w:val="20"/>
              </w:rPr>
            </w:pPr>
            <w:r>
              <w:rPr>
                <w:sz w:val="20"/>
                <w:szCs w:val="20"/>
              </w:rPr>
              <w:t xml:space="preserve">Self-help medication </w:t>
            </w:r>
          </w:p>
        </w:tc>
        <w:tc>
          <w:tcPr>
            <w:tcW w:w="1867" w:type="dxa"/>
            <w:noWrap/>
            <w:vAlign w:val="bottom"/>
          </w:tcPr>
          <w:p w:rsidR="00000000" w:rsidRDefault="00000000">
            <w:pPr>
              <w:spacing w:before="60" w:after="60"/>
              <w:ind w:right="624"/>
              <w:jc w:val="right"/>
              <w:rPr>
                <w:sz w:val="20"/>
                <w:szCs w:val="20"/>
              </w:rPr>
            </w:pPr>
            <w:r>
              <w:rPr>
                <w:sz w:val="20"/>
                <w:szCs w:val="20"/>
              </w:rPr>
              <w:t>59.7</w:t>
            </w:r>
          </w:p>
        </w:tc>
        <w:tc>
          <w:tcPr>
            <w:tcW w:w="1867" w:type="dxa"/>
            <w:noWrap/>
            <w:vAlign w:val="bottom"/>
          </w:tcPr>
          <w:p w:rsidR="00000000" w:rsidRDefault="00000000">
            <w:pPr>
              <w:spacing w:before="60" w:after="60"/>
              <w:ind w:right="624"/>
              <w:jc w:val="right"/>
              <w:rPr>
                <w:sz w:val="20"/>
                <w:szCs w:val="20"/>
              </w:rPr>
            </w:pPr>
            <w:r>
              <w:rPr>
                <w:sz w:val="20"/>
                <w:szCs w:val="20"/>
              </w:rPr>
              <w:t>61.5</w:t>
            </w:r>
          </w:p>
        </w:tc>
        <w:tc>
          <w:tcPr>
            <w:tcW w:w="2219" w:type="dxa"/>
            <w:noWrap/>
            <w:vAlign w:val="bottom"/>
          </w:tcPr>
          <w:p w:rsidR="00000000" w:rsidRDefault="00000000">
            <w:pPr>
              <w:spacing w:before="60" w:after="60"/>
              <w:ind w:right="624"/>
              <w:jc w:val="right"/>
              <w:rPr>
                <w:sz w:val="20"/>
                <w:szCs w:val="20"/>
              </w:rPr>
            </w:pPr>
            <w:r>
              <w:rPr>
                <w:sz w:val="20"/>
                <w:szCs w:val="20"/>
              </w:rPr>
              <w:t>58.2</w:t>
            </w:r>
          </w:p>
        </w:tc>
      </w:tr>
      <w:tr w:rsidR="00000000">
        <w:tc>
          <w:tcPr>
            <w:tcW w:w="3684" w:type="dxa"/>
            <w:noWrap/>
            <w:vAlign w:val="bottom"/>
          </w:tcPr>
          <w:p w:rsidR="00000000" w:rsidRDefault="00000000">
            <w:pPr>
              <w:spacing w:before="60" w:after="60"/>
              <w:ind w:left="227"/>
              <w:rPr>
                <w:sz w:val="20"/>
                <w:szCs w:val="20"/>
              </w:rPr>
            </w:pPr>
            <w:r>
              <w:rPr>
                <w:sz w:val="20"/>
                <w:szCs w:val="20"/>
              </w:rPr>
              <w:t>No time</w:t>
            </w:r>
          </w:p>
        </w:tc>
        <w:tc>
          <w:tcPr>
            <w:tcW w:w="1867" w:type="dxa"/>
            <w:noWrap/>
            <w:vAlign w:val="bottom"/>
          </w:tcPr>
          <w:p w:rsidR="00000000" w:rsidRDefault="00000000">
            <w:pPr>
              <w:spacing w:before="60" w:after="60"/>
              <w:ind w:right="624"/>
              <w:jc w:val="right"/>
              <w:rPr>
                <w:sz w:val="20"/>
                <w:szCs w:val="20"/>
              </w:rPr>
            </w:pPr>
            <w:r>
              <w:rPr>
                <w:sz w:val="20"/>
                <w:szCs w:val="20"/>
              </w:rPr>
              <w:t>1.3</w:t>
            </w:r>
          </w:p>
        </w:tc>
        <w:tc>
          <w:tcPr>
            <w:tcW w:w="1867" w:type="dxa"/>
            <w:noWrap/>
            <w:vAlign w:val="bottom"/>
          </w:tcPr>
          <w:p w:rsidR="00000000" w:rsidRDefault="00000000">
            <w:pPr>
              <w:spacing w:before="60" w:after="60"/>
              <w:ind w:right="624"/>
              <w:jc w:val="right"/>
              <w:rPr>
                <w:sz w:val="20"/>
                <w:szCs w:val="20"/>
              </w:rPr>
            </w:pPr>
            <w:r>
              <w:rPr>
                <w:sz w:val="20"/>
                <w:szCs w:val="20"/>
              </w:rPr>
              <w:t>1.4</w:t>
            </w:r>
          </w:p>
        </w:tc>
        <w:tc>
          <w:tcPr>
            <w:tcW w:w="2219" w:type="dxa"/>
            <w:noWrap/>
            <w:vAlign w:val="bottom"/>
          </w:tcPr>
          <w:p w:rsidR="00000000" w:rsidRDefault="00000000">
            <w:pPr>
              <w:spacing w:before="60" w:after="60"/>
              <w:ind w:right="624"/>
              <w:jc w:val="right"/>
              <w:rPr>
                <w:sz w:val="20"/>
                <w:szCs w:val="20"/>
              </w:rPr>
            </w:pPr>
            <w:r>
              <w:rPr>
                <w:sz w:val="20"/>
                <w:szCs w:val="20"/>
              </w:rPr>
              <w:t>1.2</w:t>
            </w:r>
          </w:p>
        </w:tc>
      </w:tr>
      <w:tr w:rsidR="00000000">
        <w:tc>
          <w:tcPr>
            <w:tcW w:w="3684" w:type="dxa"/>
            <w:tcBorders>
              <w:bottom w:val="single" w:sz="4" w:space="0" w:color="auto"/>
            </w:tcBorders>
            <w:noWrap/>
            <w:vAlign w:val="bottom"/>
          </w:tcPr>
          <w:p w:rsidR="00000000" w:rsidRDefault="00000000">
            <w:pPr>
              <w:pStyle w:val="FootnoteText"/>
              <w:spacing w:before="60" w:after="60"/>
              <w:ind w:left="227"/>
            </w:pPr>
            <w:r>
              <w:t xml:space="preserve">Other reasons </w:t>
            </w:r>
          </w:p>
        </w:tc>
        <w:tc>
          <w:tcPr>
            <w:tcW w:w="1867" w:type="dxa"/>
            <w:tcBorders>
              <w:bottom w:val="single" w:sz="4" w:space="0" w:color="auto"/>
            </w:tcBorders>
            <w:noWrap/>
            <w:vAlign w:val="bottom"/>
          </w:tcPr>
          <w:p w:rsidR="00000000" w:rsidRDefault="00000000">
            <w:pPr>
              <w:spacing w:before="60" w:after="60"/>
              <w:ind w:right="624"/>
              <w:jc w:val="right"/>
              <w:rPr>
                <w:sz w:val="20"/>
                <w:szCs w:val="20"/>
              </w:rPr>
            </w:pPr>
            <w:r>
              <w:rPr>
                <w:sz w:val="20"/>
                <w:szCs w:val="20"/>
              </w:rPr>
              <w:t>0.2</w:t>
            </w:r>
          </w:p>
        </w:tc>
        <w:tc>
          <w:tcPr>
            <w:tcW w:w="1867" w:type="dxa"/>
            <w:tcBorders>
              <w:bottom w:val="single" w:sz="4" w:space="0" w:color="auto"/>
            </w:tcBorders>
            <w:noWrap/>
            <w:vAlign w:val="bottom"/>
          </w:tcPr>
          <w:p w:rsidR="00000000" w:rsidRDefault="00000000">
            <w:pPr>
              <w:spacing w:before="60" w:after="60"/>
              <w:ind w:right="624"/>
              <w:jc w:val="right"/>
              <w:rPr>
                <w:sz w:val="20"/>
                <w:szCs w:val="20"/>
              </w:rPr>
            </w:pPr>
            <w:r>
              <w:rPr>
                <w:sz w:val="20"/>
                <w:szCs w:val="20"/>
              </w:rPr>
              <w:t>0.2</w:t>
            </w:r>
          </w:p>
        </w:tc>
        <w:tc>
          <w:tcPr>
            <w:tcW w:w="2219" w:type="dxa"/>
            <w:tcBorders>
              <w:bottom w:val="single" w:sz="4" w:space="0" w:color="auto"/>
            </w:tcBorders>
            <w:noWrap/>
            <w:vAlign w:val="bottom"/>
          </w:tcPr>
          <w:p w:rsidR="00000000" w:rsidRDefault="00000000">
            <w:pPr>
              <w:spacing w:before="60" w:after="60"/>
              <w:ind w:right="624"/>
              <w:jc w:val="right"/>
              <w:rPr>
                <w:sz w:val="20"/>
                <w:szCs w:val="20"/>
              </w:rPr>
            </w:pPr>
            <w:r>
              <w:rPr>
                <w:sz w:val="20"/>
                <w:szCs w:val="20"/>
              </w:rPr>
              <w:t>0.2</w:t>
            </w:r>
          </w:p>
        </w:tc>
      </w:tr>
    </w:tbl>
    <w:p w:rsidR="00000000" w:rsidRDefault="00000000">
      <w:pPr>
        <w:spacing w:before="120" w:after="240"/>
        <w:ind w:firstLine="567"/>
      </w:pPr>
      <w:r>
        <w:rPr>
          <w:i/>
          <w:iCs/>
          <w:sz w:val="20"/>
          <w:szCs w:val="20"/>
        </w:rPr>
        <w:t>Source:</w:t>
      </w:r>
      <w:r>
        <w:rPr>
          <w:sz w:val="20"/>
          <w:szCs w:val="20"/>
        </w:rPr>
        <w:t xml:space="preserve"> STP/DGEEC. Permanent household survey, 2004.</w:t>
      </w:r>
    </w:p>
    <w:p w:rsidR="00000000" w:rsidRDefault="00000000">
      <w:pPr>
        <w:spacing w:after="240"/>
      </w:pPr>
      <w:r>
        <w:rPr>
          <w:b/>
          <w:bCs/>
        </w:rPr>
        <w:t>5.1.</w:t>
      </w:r>
      <w:r>
        <w:rPr>
          <w:b/>
          <w:bCs/>
        </w:rPr>
        <w:tab/>
        <w:t>Prenatal care</w:t>
      </w:r>
    </w:p>
    <w:p w:rsidR="00000000" w:rsidRDefault="00000000">
      <w:pPr>
        <w:spacing w:after="200"/>
      </w:pPr>
      <w:r>
        <w:rPr>
          <w:lang w:val="en-US"/>
        </w:rPr>
        <w:t>477</w:t>
      </w:r>
      <w:r>
        <w:t>.</w:t>
      </w:r>
      <w:r>
        <w:tab/>
        <w:t xml:space="preserve">As regards the population groups with access to trained personnel during pregnancy and assisted by that personnel during childbirth, in 92.4 per cent of all cases of births occurring during the period March 1999 – February 2004 the mothers underwent prenatal monitoring at least once. When it is recalled that, according to ENSMI 1998, 88 per cent underwent at least one prenatal monitoring, it is seen that an improvement of six percentage points was achieved in six years. Monitoring of this type are more generalized among mothers with higher education, i.e., 12 years’ or more studies (99.4 per cent), in the most favourable economic circumstances (high socio-economic level, 98.7 per cent), having a first child (97.2 per cent) and living in an urban environment (96.5 per cent). </w:t>
      </w:r>
    </w:p>
    <w:p w:rsidR="00000000" w:rsidRDefault="00000000">
      <w:pPr>
        <w:spacing w:after="200"/>
      </w:pPr>
      <w:r>
        <w:rPr>
          <w:lang w:val="en-US"/>
        </w:rPr>
        <w:t>478</w:t>
      </w:r>
      <w:r>
        <w:t>.</w:t>
      </w:r>
      <w:r>
        <w:tab/>
        <w:t xml:space="preserve">In  Greater Asunción 95.9 per cent of mothers attended monitoring; in Centro Sur the proportion was 97 per cent. It is worth recalling that 83.2 per cent of mothers without education or with up to two years of approved study underwent at least one prenatal check-up. </w:t>
      </w:r>
    </w:p>
    <w:p w:rsidR="00000000" w:rsidRDefault="00000000">
      <w:pPr>
        <w:pStyle w:val="xl46"/>
        <w:spacing w:before="0" w:beforeAutospacing="0" w:after="200" w:afterAutospacing="0"/>
        <w:rPr>
          <w:rFonts w:ascii="Times New Roman" w:eastAsia="Times New Roman" w:hAnsi="Times New Roman" w:cs="Times New Roman"/>
          <w:sz w:val="28"/>
          <w:szCs w:val="20"/>
          <w:lang w:val="en-GB" w:eastAsia="en-US"/>
        </w:rPr>
      </w:pPr>
      <w:bookmarkStart w:id="84" w:name="RANGE!A3:G12"/>
      <w:r>
        <w:rPr>
          <w:rFonts w:ascii="Times New Roman" w:eastAsia="Times New Roman" w:hAnsi="Times New Roman" w:cs="Times New Roman"/>
          <w:szCs w:val="20"/>
          <w:lang w:val="en-GB" w:eastAsia="en-US"/>
        </w:rPr>
        <w:t>National total : Pregnant women aged 15-49 according to prenatal monitoring during current pregnancy and by area of residence</w:t>
      </w:r>
      <w:bookmarkEnd w:id="84"/>
    </w:p>
    <w:tbl>
      <w:tblPr>
        <w:tblW w:w="5000" w:type="pct"/>
        <w:tblLayout w:type="fixed"/>
        <w:tblCellMar>
          <w:left w:w="0" w:type="dxa"/>
          <w:right w:w="0" w:type="dxa"/>
        </w:tblCellMar>
        <w:tblLook w:val="0000" w:firstRow="0" w:lastRow="0" w:firstColumn="0" w:lastColumn="0" w:noHBand="0" w:noVBand="0"/>
      </w:tblPr>
      <w:tblGrid>
        <w:gridCol w:w="2211"/>
        <w:gridCol w:w="1269"/>
        <w:gridCol w:w="1414"/>
        <w:gridCol w:w="1287"/>
        <w:gridCol w:w="1106"/>
        <w:gridCol w:w="1115"/>
        <w:gridCol w:w="1027"/>
      </w:tblGrid>
      <w:tr w:rsidR="00000000">
        <w:trPr>
          <w:cantSplit/>
        </w:trPr>
        <w:tc>
          <w:tcPr>
            <w:tcW w:w="2211" w:type="dxa"/>
            <w:vMerge w:val="restart"/>
            <w:tcBorders>
              <w:top w:val="single" w:sz="4" w:space="0" w:color="auto"/>
            </w:tcBorders>
            <w:vAlign w:val="center"/>
          </w:tcPr>
          <w:p w:rsidR="00000000" w:rsidRDefault="00000000">
            <w:pPr>
              <w:spacing w:before="40" w:after="40"/>
              <w:jc w:val="center"/>
              <w:rPr>
                <w:b/>
                <w:bCs/>
                <w:i/>
                <w:iCs/>
                <w:sz w:val="20"/>
                <w:szCs w:val="20"/>
              </w:rPr>
            </w:pPr>
            <w:r>
              <w:rPr>
                <w:b/>
                <w:bCs/>
                <w:i/>
                <w:iCs/>
                <w:sz w:val="20"/>
                <w:szCs w:val="20"/>
              </w:rPr>
              <w:t>Prenatal monitoring</w:t>
            </w:r>
          </w:p>
        </w:tc>
        <w:tc>
          <w:tcPr>
            <w:tcW w:w="3970" w:type="dxa"/>
            <w:gridSpan w:val="3"/>
            <w:tcBorders>
              <w:top w:val="single" w:sz="4" w:space="0" w:color="auto"/>
            </w:tcBorders>
            <w:vAlign w:val="center"/>
          </w:tcPr>
          <w:p w:rsidR="00000000" w:rsidRDefault="00000000">
            <w:pPr>
              <w:spacing w:before="40" w:after="40"/>
              <w:jc w:val="center"/>
              <w:rPr>
                <w:b/>
                <w:bCs/>
                <w:i/>
                <w:iCs/>
                <w:sz w:val="20"/>
                <w:szCs w:val="20"/>
              </w:rPr>
            </w:pPr>
            <w:r>
              <w:rPr>
                <w:b/>
                <w:bCs/>
                <w:i/>
                <w:iCs/>
                <w:sz w:val="20"/>
                <w:szCs w:val="20"/>
              </w:rPr>
              <w:t>1997/98 (*)</w:t>
            </w:r>
          </w:p>
        </w:tc>
        <w:tc>
          <w:tcPr>
            <w:tcW w:w="3248" w:type="dxa"/>
            <w:gridSpan w:val="3"/>
            <w:tcBorders>
              <w:top w:val="single" w:sz="4" w:space="0" w:color="auto"/>
            </w:tcBorders>
            <w:vAlign w:val="center"/>
          </w:tcPr>
          <w:p w:rsidR="00000000" w:rsidRDefault="00000000">
            <w:pPr>
              <w:spacing w:before="40" w:after="40"/>
              <w:jc w:val="center"/>
              <w:rPr>
                <w:b/>
                <w:bCs/>
                <w:i/>
                <w:iCs/>
                <w:sz w:val="20"/>
                <w:szCs w:val="20"/>
              </w:rPr>
            </w:pPr>
            <w:r>
              <w:rPr>
                <w:b/>
                <w:bCs/>
                <w:i/>
                <w:iCs/>
                <w:sz w:val="20"/>
                <w:szCs w:val="20"/>
              </w:rPr>
              <w:t>2000/01</w:t>
            </w:r>
          </w:p>
        </w:tc>
      </w:tr>
      <w:tr w:rsidR="00000000">
        <w:trPr>
          <w:cantSplit/>
        </w:trPr>
        <w:tc>
          <w:tcPr>
            <w:tcW w:w="2211" w:type="dxa"/>
            <w:vMerge/>
            <w:vAlign w:val="center"/>
          </w:tcPr>
          <w:p w:rsidR="00000000" w:rsidRDefault="00000000">
            <w:pPr>
              <w:spacing w:before="40" w:after="40"/>
              <w:jc w:val="center"/>
              <w:rPr>
                <w:b/>
                <w:bCs/>
                <w:i/>
                <w:iCs/>
                <w:sz w:val="20"/>
                <w:szCs w:val="20"/>
              </w:rPr>
            </w:pPr>
          </w:p>
        </w:tc>
        <w:tc>
          <w:tcPr>
            <w:tcW w:w="1269" w:type="dxa"/>
            <w:vMerge w:val="restart"/>
            <w:tcBorders>
              <w:top w:val="single" w:sz="4" w:space="0" w:color="auto"/>
            </w:tcBorders>
            <w:vAlign w:val="center"/>
          </w:tcPr>
          <w:p w:rsidR="00000000" w:rsidRDefault="00000000">
            <w:pPr>
              <w:pStyle w:val="Heading4"/>
              <w:spacing w:before="40" w:after="40"/>
            </w:pPr>
            <w:r>
              <w:t>Total</w:t>
            </w:r>
          </w:p>
        </w:tc>
        <w:tc>
          <w:tcPr>
            <w:tcW w:w="2701" w:type="dxa"/>
            <w:gridSpan w:val="2"/>
            <w:tcBorders>
              <w:top w:val="single" w:sz="4" w:space="0" w:color="auto"/>
              <w:bottom w:val="single" w:sz="4" w:space="0" w:color="auto"/>
            </w:tcBorders>
            <w:vAlign w:val="center"/>
          </w:tcPr>
          <w:p w:rsidR="00000000" w:rsidRDefault="00000000">
            <w:pPr>
              <w:spacing w:before="40" w:after="40"/>
              <w:jc w:val="center"/>
              <w:rPr>
                <w:b/>
                <w:bCs/>
                <w:i/>
                <w:iCs/>
                <w:sz w:val="20"/>
                <w:szCs w:val="20"/>
              </w:rPr>
            </w:pPr>
            <w:r>
              <w:rPr>
                <w:b/>
                <w:bCs/>
                <w:i/>
                <w:iCs/>
                <w:sz w:val="20"/>
                <w:szCs w:val="20"/>
              </w:rPr>
              <w:t>Area of residence</w:t>
            </w:r>
          </w:p>
        </w:tc>
        <w:tc>
          <w:tcPr>
            <w:tcW w:w="1106" w:type="dxa"/>
            <w:vMerge w:val="restart"/>
            <w:tcBorders>
              <w:top w:val="single" w:sz="4" w:space="0" w:color="auto"/>
            </w:tcBorders>
            <w:vAlign w:val="center"/>
          </w:tcPr>
          <w:p w:rsidR="00000000" w:rsidRDefault="00000000">
            <w:pPr>
              <w:spacing w:before="40" w:after="40"/>
              <w:jc w:val="center"/>
              <w:rPr>
                <w:b/>
                <w:bCs/>
                <w:i/>
                <w:iCs/>
                <w:sz w:val="20"/>
                <w:szCs w:val="20"/>
              </w:rPr>
            </w:pPr>
            <w:r>
              <w:rPr>
                <w:b/>
                <w:bCs/>
                <w:i/>
                <w:iCs/>
                <w:sz w:val="20"/>
                <w:szCs w:val="20"/>
              </w:rPr>
              <w:t>Total</w:t>
            </w:r>
          </w:p>
        </w:tc>
        <w:tc>
          <w:tcPr>
            <w:tcW w:w="2142" w:type="dxa"/>
            <w:gridSpan w:val="2"/>
            <w:tcBorders>
              <w:top w:val="single" w:sz="4" w:space="0" w:color="auto"/>
              <w:bottom w:val="single" w:sz="4" w:space="0" w:color="auto"/>
            </w:tcBorders>
            <w:vAlign w:val="center"/>
          </w:tcPr>
          <w:p w:rsidR="00000000" w:rsidRDefault="00000000">
            <w:pPr>
              <w:spacing w:before="40" w:after="40"/>
              <w:jc w:val="center"/>
              <w:rPr>
                <w:b/>
                <w:bCs/>
                <w:i/>
                <w:iCs/>
                <w:sz w:val="20"/>
                <w:szCs w:val="20"/>
              </w:rPr>
            </w:pPr>
            <w:r>
              <w:rPr>
                <w:b/>
                <w:bCs/>
                <w:i/>
                <w:iCs/>
                <w:sz w:val="20"/>
                <w:szCs w:val="20"/>
              </w:rPr>
              <w:t>Area of residence</w:t>
            </w:r>
          </w:p>
        </w:tc>
      </w:tr>
      <w:tr w:rsidR="00000000">
        <w:trPr>
          <w:cantSplit/>
          <w:trHeight w:val="421"/>
        </w:trPr>
        <w:tc>
          <w:tcPr>
            <w:tcW w:w="2211" w:type="dxa"/>
            <w:vMerge/>
            <w:tcBorders>
              <w:bottom w:val="single" w:sz="4" w:space="0" w:color="auto"/>
            </w:tcBorders>
            <w:vAlign w:val="center"/>
          </w:tcPr>
          <w:p w:rsidR="00000000" w:rsidRDefault="00000000">
            <w:pPr>
              <w:spacing w:before="40" w:after="40"/>
              <w:jc w:val="center"/>
              <w:rPr>
                <w:b/>
                <w:bCs/>
                <w:i/>
                <w:iCs/>
                <w:sz w:val="20"/>
                <w:szCs w:val="20"/>
              </w:rPr>
            </w:pPr>
          </w:p>
        </w:tc>
        <w:tc>
          <w:tcPr>
            <w:tcW w:w="1269" w:type="dxa"/>
            <w:vMerge/>
            <w:tcBorders>
              <w:bottom w:val="single" w:sz="4" w:space="0" w:color="auto"/>
            </w:tcBorders>
            <w:vAlign w:val="center"/>
          </w:tcPr>
          <w:p w:rsidR="00000000" w:rsidRDefault="00000000">
            <w:pPr>
              <w:spacing w:before="40" w:after="40"/>
              <w:jc w:val="center"/>
              <w:rPr>
                <w:b/>
                <w:bCs/>
                <w:i/>
                <w:iCs/>
                <w:sz w:val="20"/>
                <w:szCs w:val="20"/>
              </w:rPr>
            </w:pPr>
          </w:p>
        </w:tc>
        <w:tc>
          <w:tcPr>
            <w:tcW w:w="1414" w:type="dxa"/>
            <w:tcBorders>
              <w:top w:val="single" w:sz="4" w:space="0" w:color="auto"/>
              <w:bottom w:val="single" w:sz="4" w:space="0" w:color="auto"/>
            </w:tcBorders>
            <w:vAlign w:val="center"/>
          </w:tcPr>
          <w:p w:rsidR="00000000" w:rsidRDefault="00000000">
            <w:pPr>
              <w:spacing w:before="40" w:after="40"/>
              <w:jc w:val="center"/>
              <w:rPr>
                <w:b/>
                <w:bCs/>
                <w:i/>
                <w:iCs/>
                <w:sz w:val="20"/>
                <w:szCs w:val="20"/>
              </w:rPr>
            </w:pPr>
            <w:r>
              <w:rPr>
                <w:b/>
                <w:bCs/>
                <w:i/>
                <w:iCs/>
                <w:sz w:val="20"/>
                <w:szCs w:val="20"/>
              </w:rPr>
              <w:t>Urban</w:t>
            </w:r>
          </w:p>
        </w:tc>
        <w:tc>
          <w:tcPr>
            <w:tcW w:w="1287" w:type="dxa"/>
            <w:tcBorders>
              <w:top w:val="single" w:sz="4" w:space="0" w:color="auto"/>
              <w:bottom w:val="single" w:sz="4" w:space="0" w:color="auto"/>
            </w:tcBorders>
            <w:vAlign w:val="center"/>
          </w:tcPr>
          <w:p w:rsidR="00000000" w:rsidRDefault="00000000">
            <w:pPr>
              <w:spacing w:before="40" w:after="40"/>
              <w:jc w:val="center"/>
              <w:rPr>
                <w:b/>
                <w:bCs/>
                <w:i/>
                <w:iCs/>
                <w:sz w:val="20"/>
                <w:szCs w:val="20"/>
              </w:rPr>
            </w:pPr>
            <w:r>
              <w:rPr>
                <w:b/>
                <w:bCs/>
                <w:i/>
                <w:iCs/>
                <w:sz w:val="20"/>
                <w:szCs w:val="20"/>
              </w:rPr>
              <w:t>Rural</w:t>
            </w:r>
          </w:p>
        </w:tc>
        <w:tc>
          <w:tcPr>
            <w:tcW w:w="1106" w:type="dxa"/>
            <w:vMerge/>
            <w:tcBorders>
              <w:bottom w:val="single" w:sz="4" w:space="0" w:color="auto"/>
            </w:tcBorders>
            <w:vAlign w:val="center"/>
          </w:tcPr>
          <w:p w:rsidR="00000000" w:rsidRDefault="00000000">
            <w:pPr>
              <w:spacing w:before="40" w:after="40"/>
              <w:jc w:val="center"/>
              <w:rPr>
                <w:b/>
                <w:bCs/>
                <w:i/>
                <w:iCs/>
                <w:sz w:val="20"/>
                <w:szCs w:val="20"/>
              </w:rPr>
            </w:pPr>
          </w:p>
        </w:tc>
        <w:tc>
          <w:tcPr>
            <w:tcW w:w="1115" w:type="dxa"/>
            <w:tcBorders>
              <w:top w:val="single" w:sz="4" w:space="0" w:color="auto"/>
              <w:bottom w:val="single" w:sz="4" w:space="0" w:color="auto"/>
            </w:tcBorders>
            <w:vAlign w:val="center"/>
          </w:tcPr>
          <w:p w:rsidR="00000000" w:rsidRDefault="00000000">
            <w:pPr>
              <w:spacing w:before="40" w:after="40"/>
              <w:jc w:val="center"/>
              <w:rPr>
                <w:b/>
                <w:bCs/>
                <w:i/>
                <w:iCs/>
                <w:sz w:val="20"/>
                <w:szCs w:val="20"/>
              </w:rPr>
            </w:pPr>
            <w:r>
              <w:rPr>
                <w:b/>
                <w:bCs/>
                <w:i/>
                <w:iCs/>
                <w:sz w:val="20"/>
                <w:szCs w:val="20"/>
              </w:rPr>
              <w:t>Urban</w:t>
            </w:r>
          </w:p>
        </w:tc>
        <w:tc>
          <w:tcPr>
            <w:tcW w:w="1027" w:type="dxa"/>
            <w:tcBorders>
              <w:top w:val="single" w:sz="4" w:space="0" w:color="auto"/>
              <w:bottom w:val="single" w:sz="4" w:space="0" w:color="auto"/>
            </w:tcBorders>
            <w:vAlign w:val="center"/>
          </w:tcPr>
          <w:p w:rsidR="00000000" w:rsidRDefault="00000000">
            <w:pPr>
              <w:spacing w:before="40" w:after="40"/>
              <w:jc w:val="center"/>
              <w:rPr>
                <w:b/>
                <w:bCs/>
                <w:i/>
                <w:iCs/>
                <w:sz w:val="20"/>
                <w:szCs w:val="20"/>
              </w:rPr>
            </w:pPr>
            <w:r>
              <w:rPr>
                <w:b/>
                <w:bCs/>
                <w:i/>
                <w:iCs/>
                <w:sz w:val="20"/>
                <w:szCs w:val="20"/>
              </w:rPr>
              <w:t>Rural</w:t>
            </w:r>
          </w:p>
        </w:tc>
      </w:tr>
      <w:tr w:rsidR="00000000">
        <w:tc>
          <w:tcPr>
            <w:tcW w:w="2211" w:type="dxa"/>
            <w:tcBorders>
              <w:top w:val="single" w:sz="4" w:space="0" w:color="auto"/>
            </w:tcBorders>
            <w:noWrap/>
            <w:vAlign w:val="bottom"/>
          </w:tcPr>
          <w:p w:rsidR="00000000" w:rsidRDefault="00000000">
            <w:pPr>
              <w:spacing w:before="40" w:after="40"/>
              <w:rPr>
                <w:b/>
                <w:bCs/>
                <w:sz w:val="20"/>
                <w:szCs w:val="20"/>
              </w:rPr>
            </w:pPr>
            <w:r>
              <w:rPr>
                <w:b/>
                <w:bCs/>
                <w:sz w:val="20"/>
                <w:szCs w:val="20"/>
              </w:rPr>
              <w:t>Total</w:t>
            </w:r>
          </w:p>
        </w:tc>
        <w:tc>
          <w:tcPr>
            <w:tcW w:w="1269" w:type="dxa"/>
            <w:tcBorders>
              <w:top w:val="single" w:sz="4" w:space="0" w:color="auto"/>
            </w:tcBorders>
            <w:noWrap/>
            <w:vAlign w:val="bottom"/>
          </w:tcPr>
          <w:p w:rsidR="00000000" w:rsidRDefault="00000000">
            <w:pPr>
              <w:spacing w:before="40" w:after="40"/>
              <w:ind w:right="340"/>
              <w:jc w:val="right"/>
              <w:rPr>
                <w:b/>
                <w:bCs/>
                <w:sz w:val="20"/>
                <w:szCs w:val="20"/>
              </w:rPr>
            </w:pPr>
            <w:r>
              <w:rPr>
                <w:b/>
                <w:bCs/>
                <w:sz w:val="20"/>
                <w:szCs w:val="20"/>
              </w:rPr>
              <w:t>73 065</w:t>
            </w:r>
          </w:p>
        </w:tc>
        <w:tc>
          <w:tcPr>
            <w:tcW w:w="1414" w:type="dxa"/>
            <w:tcBorders>
              <w:top w:val="single" w:sz="4" w:space="0" w:color="auto"/>
            </w:tcBorders>
            <w:noWrap/>
            <w:vAlign w:val="bottom"/>
          </w:tcPr>
          <w:p w:rsidR="00000000" w:rsidRDefault="00000000">
            <w:pPr>
              <w:spacing w:before="40" w:after="40"/>
              <w:ind w:right="340"/>
              <w:jc w:val="right"/>
              <w:rPr>
                <w:b/>
                <w:bCs/>
                <w:sz w:val="20"/>
                <w:szCs w:val="20"/>
              </w:rPr>
            </w:pPr>
            <w:r>
              <w:rPr>
                <w:b/>
                <w:bCs/>
                <w:sz w:val="20"/>
                <w:szCs w:val="20"/>
              </w:rPr>
              <w:t>42 374</w:t>
            </w:r>
          </w:p>
        </w:tc>
        <w:tc>
          <w:tcPr>
            <w:tcW w:w="1287" w:type="dxa"/>
            <w:tcBorders>
              <w:top w:val="single" w:sz="4" w:space="0" w:color="auto"/>
            </w:tcBorders>
            <w:noWrap/>
            <w:vAlign w:val="bottom"/>
          </w:tcPr>
          <w:p w:rsidR="00000000" w:rsidRDefault="00000000">
            <w:pPr>
              <w:spacing w:before="40" w:after="40"/>
              <w:ind w:right="340"/>
              <w:jc w:val="right"/>
              <w:rPr>
                <w:b/>
                <w:bCs/>
                <w:sz w:val="20"/>
                <w:szCs w:val="20"/>
              </w:rPr>
            </w:pPr>
            <w:r>
              <w:rPr>
                <w:b/>
                <w:bCs/>
                <w:sz w:val="20"/>
                <w:szCs w:val="20"/>
              </w:rPr>
              <w:t>30 691</w:t>
            </w:r>
          </w:p>
        </w:tc>
        <w:tc>
          <w:tcPr>
            <w:tcW w:w="1106" w:type="dxa"/>
            <w:tcBorders>
              <w:top w:val="single" w:sz="4" w:space="0" w:color="auto"/>
            </w:tcBorders>
            <w:noWrap/>
            <w:vAlign w:val="bottom"/>
          </w:tcPr>
          <w:p w:rsidR="00000000" w:rsidRDefault="00000000">
            <w:pPr>
              <w:spacing w:before="40" w:after="40"/>
              <w:ind w:right="340"/>
              <w:jc w:val="right"/>
              <w:rPr>
                <w:b/>
                <w:bCs/>
                <w:sz w:val="20"/>
                <w:szCs w:val="20"/>
              </w:rPr>
            </w:pPr>
            <w:r>
              <w:rPr>
                <w:b/>
                <w:bCs/>
                <w:sz w:val="20"/>
                <w:szCs w:val="20"/>
              </w:rPr>
              <w:t>54 175</w:t>
            </w:r>
          </w:p>
        </w:tc>
        <w:tc>
          <w:tcPr>
            <w:tcW w:w="1115" w:type="dxa"/>
            <w:tcBorders>
              <w:top w:val="single" w:sz="4" w:space="0" w:color="auto"/>
            </w:tcBorders>
            <w:noWrap/>
            <w:vAlign w:val="bottom"/>
          </w:tcPr>
          <w:p w:rsidR="00000000" w:rsidRDefault="00000000">
            <w:pPr>
              <w:spacing w:before="40" w:after="40"/>
              <w:ind w:right="340"/>
              <w:jc w:val="right"/>
              <w:rPr>
                <w:b/>
                <w:bCs/>
                <w:sz w:val="20"/>
                <w:szCs w:val="20"/>
              </w:rPr>
            </w:pPr>
            <w:r>
              <w:rPr>
                <w:b/>
                <w:bCs/>
                <w:sz w:val="20"/>
                <w:szCs w:val="20"/>
              </w:rPr>
              <w:t>28 228</w:t>
            </w:r>
          </w:p>
        </w:tc>
        <w:tc>
          <w:tcPr>
            <w:tcW w:w="1027" w:type="dxa"/>
            <w:tcBorders>
              <w:top w:val="single" w:sz="4" w:space="0" w:color="auto"/>
            </w:tcBorders>
            <w:noWrap/>
            <w:vAlign w:val="bottom"/>
          </w:tcPr>
          <w:p w:rsidR="00000000" w:rsidRDefault="00000000">
            <w:pPr>
              <w:spacing w:before="40" w:after="40"/>
              <w:ind w:right="340"/>
              <w:jc w:val="right"/>
              <w:rPr>
                <w:b/>
                <w:bCs/>
                <w:sz w:val="20"/>
                <w:szCs w:val="20"/>
              </w:rPr>
            </w:pPr>
            <w:r>
              <w:rPr>
                <w:b/>
                <w:bCs/>
                <w:sz w:val="20"/>
                <w:szCs w:val="20"/>
              </w:rPr>
              <w:t>25 947</w:t>
            </w:r>
          </w:p>
        </w:tc>
      </w:tr>
      <w:tr w:rsidR="00000000">
        <w:tc>
          <w:tcPr>
            <w:tcW w:w="2211" w:type="dxa"/>
            <w:noWrap/>
            <w:vAlign w:val="bottom"/>
          </w:tcPr>
          <w:p w:rsidR="00000000" w:rsidRDefault="00000000">
            <w:pPr>
              <w:spacing w:before="40" w:after="40"/>
              <w:rPr>
                <w:sz w:val="20"/>
                <w:szCs w:val="20"/>
              </w:rPr>
            </w:pPr>
            <w:r>
              <w:rPr>
                <w:sz w:val="20"/>
                <w:szCs w:val="20"/>
              </w:rPr>
              <w:t>Attended</w:t>
            </w:r>
          </w:p>
        </w:tc>
        <w:tc>
          <w:tcPr>
            <w:tcW w:w="1269" w:type="dxa"/>
            <w:noWrap/>
            <w:vAlign w:val="bottom"/>
          </w:tcPr>
          <w:p w:rsidR="00000000" w:rsidRDefault="00000000">
            <w:pPr>
              <w:spacing w:before="40" w:after="40"/>
              <w:ind w:right="340"/>
              <w:jc w:val="right"/>
              <w:rPr>
                <w:sz w:val="20"/>
                <w:szCs w:val="20"/>
              </w:rPr>
            </w:pPr>
            <w:r>
              <w:rPr>
                <w:sz w:val="20"/>
                <w:szCs w:val="20"/>
              </w:rPr>
              <w:t>61.5</w:t>
            </w:r>
          </w:p>
        </w:tc>
        <w:tc>
          <w:tcPr>
            <w:tcW w:w="1414" w:type="dxa"/>
            <w:noWrap/>
            <w:vAlign w:val="bottom"/>
          </w:tcPr>
          <w:p w:rsidR="00000000" w:rsidRDefault="00000000">
            <w:pPr>
              <w:spacing w:before="40" w:after="40"/>
              <w:ind w:right="340"/>
              <w:jc w:val="right"/>
              <w:rPr>
                <w:sz w:val="20"/>
                <w:szCs w:val="20"/>
              </w:rPr>
            </w:pPr>
            <w:r>
              <w:rPr>
                <w:sz w:val="20"/>
                <w:szCs w:val="20"/>
              </w:rPr>
              <w:t>68.4</w:t>
            </w:r>
          </w:p>
        </w:tc>
        <w:tc>
          <w:tcPr>
            <w:tcW w:w="1287" w:type="dxa"/>
            <w:noWrap/>
            <w:vAlign w:val="bottom"/>
          </w:tcPr>
          <w:p w:rsidR="00000000" w:rsidRDefault="00000000">
            <w:pPr>
              <w:spacing w:before="40" w:after="40"/>
              <w:ind w:right="340"/>
              <w:jc w:val="right"/>
              <w:rPr>
                <w:sz w:val="20"/>
                <w:szCs w:val="20"/>
              </w:rPr>
            </w:pPr>
            <w:r>
              <w:rPr>
                <w:sz w:val="20"/>
                <w:szCs w:val="20"/>
              </w:rPr>
              <w:t>51.9</w:t>
            </w:r>
          </w:p>
        </w:tc>
        <w:tc>
          <w:tcPr>
            <w:tcW w:w="1106" w:type="dxa"/>
            <w:noWrap/>
            <w:vAlign w:val="bottom"/>
          </w:tcPr>
          <w:p w:rsidR="00000000" w:rsidRDefault="00000000">
            <w:pPr>
              <w:spacing w:before="40" w:after="40"/>
              <w:ind w:right="340"/>
              <w:jc w:val="right"/>
              <w:rPr>
                <w:sz w:val="20"/>
                <w:szCs w:val="20"/>
              </w:rPr>
            </w:pPr>
            <w:r>
              <w:rPr>
                <w:sz w:val="20"/>
                <w:szCs w:val="20"/>
              </w:rPr>
              <w:t>73.5</w:t>
            </w:r>
          </w:p>
        </w:tc>
        <w:tc>
          <w:tcPr>
            <w:tcW w:w="1115" w:type="dxa"/>
            <w:noWrap/>
            <w:vAlign w:val="bottom"/>
          </w:tcPr>
          <w:p w:rsidR="00000000" w:rsidRDefault="00000000">
            <w:pPr>
              <w:spacing w:before="40" w:after="40"/>
              <w:ind w:right="340"/>
              <w:jc w:val="right"/>
              <w:rPr>
                <w:sz w:val="20"/>
                <w:szCs w:val="20"/>
              </w:rPr>
            </w:pPr>
            <w:r>
              <w:rPr>
                <w:sz w:val="20"/>
                <w:szCs w:val="20"/>
              </w:rPr>
              <w:t>81.6</w:t>
            </w:r>
          </w:p>
        </w:tc>
        <w:tc>
          <w:tcPr>
            <w:tcW w:w="1027" w:type="dxa"/>
            <w:noWrap/>
            <w:vAlign w:val="bottom"/>
          </w:tcPr>
          <w:p w:rsidR="00000000" w:rsidRDefault="00000000">
            <w:pPr>
              <w:spacing w:before="40" w:after="40"/>
              <w:ind w:right="340"/>
              <w:jc w:val="right"/>
              <w:rPr>
                <w:sz w:val="20"/>
                <w:szCs w:val="20"/>
              </w:rPr>
            </w:pPr>
            <w:r>
              <w:rPr>
                <w:sz w:val="20"/>
                <w:szCs w:val="20"/>
              </w:rPr>
              <w:t>64.8</w:t>
            </w:r>
          </w:p>
        </w:tc>
      </w:tr>
      <w:tr w:rsidR="00000000">
        <w:tc>
          <w:tcPr>
            <w:tcW w:w="2211" w:type="dxa"/>
            <w:tcBorders>
              <w:bottom w:val="single" w:sz="4" w:space="0" w:color="auto"/>
            </w:tcBorders>
            <w:noWrap/>
            <w:vAlign w:val="bottom"/>
          </w:tcPr>
          <w:p w:rsidR="00000000" w:rsidRDefault="00000000">
            <w:pPr>
              <w:spacing w:before="40" w:after="40"/>
              <w:rPr>
                <w:sz w:val="20"/>
                <w:szCs w:val="20"/>
              </w:rPr>
            </w:pPr>
            <w:r>
              <w:rPr>
                <w:sz w:val="20"/>
                <w:szCs w:val="20"/>
              </w:rPr>
              <w:t xml:space="preserve">Not attended </w:t>
            </w:r>
          </w:p>
        </w:tc>
        <w:tc>
          <w:tcPr>
            <w:tcW w:w="1269" w:type="dxa"/>
            <w:tcBorders>
              <w:bottom w:val="single" w:sz="4" w:space="0" w:color="auto"/>
            </w:tcBorders>
            <w:noWrap/>
            <w:vAlign w:val="bottom"/>
          </w:tcPr>
          <w:p w:rsidR="00000000" w:rsidRDefault="00000000">
            <w:pPr>
              <w:spacing w:before="40" w:after="40"/>
              <w:ind w:right="340"/>
              <w:jc w:val="right"/>
              <w:rPr>
                <w:sz w:val="20"/>
                <w:szCs w:val="20"/>
              </w:rPr>
            </w:pPr>
            <w:r>
              <w:rPr>
                <w:sz w:val="20"/>
                <w:szCs w:val="20"/>
              </w:rPr>
              <w:t>38.5</w:t>
            </w:r>
          </w:p>
        </w:tc>
        <w:tc>
          <w:tcPr>
            <w:tcW w:w="1414" w:type="dxa"/>
            <w:tcBorders>
              <w:bottom w:val="single" w:sz="4" w:space="0" w:color="auto"/>
            </w:tcBorders>
            <w:noWrap/>
            <w:vAlign w:val="bottom"/>
          </w:tcPr>
          <w:p w:rsidR="00000000" w:rsidRDefault="00000000">
            <w:pPr>
              <w:spacing w:before="40" w:after="40"/>
              <w:ind w:right="340"/>
              <w:jc w:val="right"/>
              <w:rPr>
                <w:sz w:val="20"/>
                <w:szCs w:val="20"/>
              </w:rPr>
            </w:pPr>
            <w:r>
              <w:rPr>
                <w:sz w:val="20"/>
                <w:szCs w:val="20"/>
              </w:rPr>
              <w:t>31.6</w:t>
            </w:r>
          </w:p>
        </w:tc>
        <w:tc>
          <w:tcPr>
            <w:tcW w:w="1287" w:type="dxa"/>
            <w:tcBorders>
              <w:bottom w:val="single" w:sz="4" w:space="0" w:color="auto"/>
            </w:tcBorders>
            <w:noWrap/>
            <w:vAlign w:val="bottom"/>
          </w:tcPr>
          <w:p w:rsidR="00000000" w:rsidRDefault="00000000">
            <w:pPr>
              <w:spacing w:before="40" w:after="40"/>
              <w:ind w:right="340"/>
              <w:jc w:val="right"/>
              <w:rPr>
                <w:sz w:val="20"/>
                <w:szCs w:val="20"/>
              </w:rPr>
            </w:pPr>
            <w:r>
              <w:rPr>
                <w:sz w:val="20"/>
                <w:szCs w:val="20"/>
              </w:rPr>
              <w:t>48.1</w:t>
            </w:r>
          </w:p>
        </w:tc>
        <w:tc>
          <w:tcPr>
            <w:tcW w:w="1106" w:type="dxa"/>
            <w:tcBorders>
              <w:bottom w:val="single" w:sz="4" w:space="0" w:color="auto"/>
            </w:tcBorders>
            <w:noWrap/>
            <w:vAlign w:val="bottom"/>
          </w:tcPr>
          <w:p w:rsidR="00000000" w:rsidRDefault="00000000">
            <w:pPr>
              <w:spacing w:before="40" w:after="40"/>
              <w:ind w:right="340"/>
              <w:jc w:val="right"/>
              <w:rPr>
                <w:sz w:val="20"/>
                <w:szCs w:val="20"/>
              </w:rPr>
            </w:pPr>
            <w:r>
              <w:rPr>
                <w:sz w:val="20"/>
                <w:szCs w:val="20"/>
              </w:rPr>
              <w:t>26.5</w:t>
            </w:r>
          </w:p>
        </w:tc>
        <w:tc>
          <w:tcPr>
            <w:tcW w:w="1115" w:type="dxa"/>
            <w:tcBorders>
              <w:bottom w:val="single" w:sz="4" w:space="0" w:color="auto"/>
            </w:tcBorders>
            <w:noWrap/>
            <w:vAlign w:val="bottom"/>
          </w:tcPr>
          <w:p w:rsidR="00000000" w:rsidRDefault="00000000">
            <w:pPr>
              <w:spacing w:before="40" w:after="40"/>
              <w:ind w:right="340"/>
              <w:jc w:val="right"/>
              <w:rPr>
                <w:sz w:val="20"/>
                <w:szCs w:val="20"/>
              </w:rPr>
            </w:pPr>
            <w:r>
              <w:rPr>
                <w:sz w:val="20"/>
                <w:szCs w:val="20"/>
              </w:rPr>
              <w:t>18.4</w:t>
            </w:r>
          </w:p>
        </w:tc>
        <w:tc>
          <w:tcPr>
            <w:tcW w:w="1027" w:type="dxa"/>
            <w:tcBorders>
              <w:bottom w:val="single" w:sz="4" w:space="0" w:color="auto"/>
            </w:tcBorders>
            <w:noWrap/>
            <w:vAlign w:val="bottom"/>
          </w:tcPr>
          <w:p w:rsidR="00000000" w:rsidRDefault="00000000">
            <w:pPr>
              <w:spacing w:before="40" w:after="40"/>
              <w:ind w:right="340"/>
              <w:jc w:val="right"/>
              <w:rPr>
                <w:sz w:val="20"/>
                <w:szCs w:val="20"/>
              </w:rPr>
            </w:pPr>
            <w:r>
              <w:rPr>
                <w:sz w:val="20"/>
                <w:szCs w:val="20"/>
              </w:rPr>
              <w:t>35.2</w:t>
            </w:r>
          </w:p>
        </w:tc>
      </w:tr>
    </w:tbl>
    <w:p w:rsidR="00000000" w:rsidRDefault="00000000">
      <w:pPr>
        <w:spacing w:before="120" w:after="40"/>
        <w:ind w:firstLine="567"/>
        <w:rPr>
          <w:sz w:val="20"/>
          <w:szCs w:val="16"/>
        </w:rPr>
      </w:pPr>
      <w:r>
        <w:rPr>
          <w:sz w:val="20"/>
          <w:szCs w:val="16"/>
        </w:rPr>
        <w:t>(*) The data in the Integrated Housing Survey (EIH) 1997/98 have been adjusted in the light of the results of the 2000 census.</w:t>
      </w:r>
    </w:p>
    <w:p w:rsidR="00000000" w:rsidRDefault="00000000">
      <w:pPr>
        <w:spacing w:after="240"/>
        <w:ind w:firstLine="567"/>
        <w:rPr>
          <w:sz w:val="20"/>
          <w:szCs w:val="16"/>
          <w:lang w:val="pt-BR"/>
        </w:rPr>
      </w:pPr>
      <w:r>
        <w:rPr>
          <w:i/>
          <w:iCs/>
          <w:sz w:val="20"/>
          <w:szCs w:val="16"/>
          <w:lang w:val="pt-BR"/>
        </w:rPr>
        <w:t xml:space="preserve">Source: </w:t>
      </w:r>
      <w:r>
        <w:rPr>
          <w:sz w:val="20"/>
          <w:szCs w:val="16"/>
          <w:lang w:val="pt-BR"/>
        </w:rPr>
        <w:t>STP/DGEEC. Encuesta Integrada de Hogares (EIH), 1997/98, 2000/01.</w:t>
      </w:r>
    </w:p>
    <w:p w:rsidR="00000000" w:rsidRDefault="00000000">
      <w:pPr>
        <w:spacing w:after="240"/>
        <w:jc w:val="center"/>
        <w:rPr>
          <w:b/>
          <w:bCs/>
          <w:sz w:val="22"/>
        </w:rPr>
      </w:pPr>
      <w:r>
        <w:rPr>
          <w:smallCaps/>
          <w:sz w:val="22"/>
        </w:rPr>
        <w:t>Graph 8.1</w:t>
      </w:r>
    </w:p>
    <w:p w:rsidR="00000000" w:rsidRDefault="00000000">
      <w:pPr>
        <w:pStyle w:val="xl46"/>
        <w:spacing w:before="0" w:beforeAutospacing="0" w:after="240" w:afterAutospacing="0"/>
        <w:rPr>
          <w:rFonts w:ascii="Times New Roman" w:eastAsia="Times New Roman" w:hAnsi="Times New Roman" w:cs="Times New Roman"/>
          <w:szCs w:val="24"/>
          <w:lang w:val="en-GB" w:eastAsia="en-US"/>
        </w:rPr>
      </w:pPr>
      <w:r>
        <w:rPr>
          <w:rFonts w:ascii="Times New Roman" w:eastAsia="Times New Roman" w:hAnsi="Times New Roman" w:cs="Times New Roman"/>
          <w:szCs w:val="24"/>
          <w:lang w:val="en-GB" w:eastAsia="en-US"/>
        </w:rPr>
        <w:t>Percentage distribution of live births during the period March 1999-February 2004 by number of prenatal check-ups (ENDSSR 2004)</w:t>
      </w:r>
    </w:p>
    <w:p w:rsidR="00000000" w:rsidRDefault="00000000">
      <w:pPr>
        <w:spacing w:before="240" w:after="480"/>
        <w:jc w:val="center"/>
        <w:rPr>
          <w:noProof/>
          <w:lang w:eastAsia="es-ES"/>
        </w:rPr>
      </w:pPr>
      <w:r>
        <w:rPr>
          <w:noProof/>
          <w:sz w:val="20"/>
          <w:lang w:val="fr-FR" w:eastAsia="fr-FR"/>
        </w:rPr>
        <w:pict>
          <v:shape id="_x0000_s2927" type="#_x0000_t202" style="position:absolute;left:0;text-align:left;margin-left:65.45pt;margin-top:153.2pt;width:143.25pt;height:27.9pt;z-index:111" stroked="f">
            <v:textbox inset="0,0,0,0">
              <w:txbxContent>
                <w:p w:rsidR="00000000" w:rsidRDefault="00000000">
                  <w:pPr>
                    <w:rPr>
                      <w:sz w:val="28"/>
                      <w:lang w:val="fr-FR"/>
                    </w:rPr>
                  </w:pPr>
                  <w:r>
                    <w:rPr>
                      <w:i/>
                      <w:sz w:val="20"/>
                      <w:szCs w:val="18"/>
                      <w:lang w:val="fr-FR"/>
                    </w:rPr>
                    <w:t xml:space="preserve">Source </w:t>
                  </w:r>
                  <w:r>
                    <w:rPr>
                      <w:sz w:val="20"/>
                      <w:szCs w:val="18"/>
                      <w:lang w:val="fr-FR"/>
                    </w:rPr>
                    <w:t>: Table 8.2.</w:t>
                  </w:r>
                </w:p>
              </w:txbxContent>
            </v:textbox>
          </v:shape>
        </w:pict>
      </w:r>
      <w:r>
        <w:rPr>
          <w:noProof/>
          <w:sz w:val="20"/>
          <w:lang w:val="fr-FR" w:eastAsia="fr-FR"/>
        </w:rPr>
        <w:pict>
          <v:shape id="_x0000_s2926" type="#_x0000_t202" style="position:absolute;left:0;text-align:left;margin-left:286.2pt;margin-top:142.6pt;width:80.65pt;height:27.9pt;z-index:110" stroked="f">
            <v:textbox inset="0,0,0,0">
              <w:txbxContent>
                <w:p w:rsidR="00000000" w:rsidRDefault="00000000">
                  <w:pPr>
                    <w:jc w:val="center"/>
                    <w:rPr>
                      <w:b/>
                      <w:bCs/>
                      <w:sz w:val="22"/>
                    </w:rPr>
                  </w:pPr>
                  <w:r>
                    <w:rPr>
                      <w:b/>
                      <w:bCs/>
                      <w:sz w:val="18"/>
                    </w:rPr>
                    <w:t>No check-ups, 5.8%</w:t>
                  </w:r>
                </w:p>
              </w:txbxContent>
            </v:textbox>
          </v:shape>
        </w:pict>
      </w:r>
      <w:r>
        <w:rPr>
          <w:noProof/>
          <w:sz w:val="20"/>
          <w:lang w:val="fr-FR" w:eastAsia="fr-FR"/>
        </w:rPr>
        <w:pict>
          <v:shape id="_x0000_s2925" type="#_x0000_t202" style="position:absolute;left:0;text-align:left;margin-left:313.25pt;margin-top:111.8pt;width:80.65pt;height:27.9pt;z-index:109" stroked="f">
            <v:textbox inset="0,0,0,0">
              <w:txbxContent>
                <w:p w:rsidR="00000000" w:rsidRDefault="00000000">
                  <w:pPr>
                    <w:jc w:val="center"/>
                    <w:rPr>
                      <w:b/>
                      <w:bCs/>
                      <w:sz w:val="22"/>
                    </w:rPr>
                  </w:pPr>
                  <w:r>
                    <w:rPr>
                      <w:b/>
                      <w:bCs/>
                      <w:sz w:val="18"/>
                    </w:rPr>
                    <w:t>4 check-ups, 7.5%</w:t>
                  </w:r>
                </w:p>
              </w:txbxContent>
            </v:textbox>
          </v:shape>
        </w:pict>
      </w:r>
      <w:r>
        <w:rPr>
          <w:noProof/>
          <w:sz w:val="20"/>
          <w:lang w:val="fr-FR" w:eastAsia="fr-FR"/>
        </w:rPr>
        <w:pict>
          <v:shape id="_x0000_s2924" type="#_x0000_t202" style="position:absolute;left:0;text-align:left;margin-left:326.45pt;margin-top:74.2pt;width:80.65pt;height:27.9pt;z-index:108" stroked="f">
            <v:textbox inset="0,0,0,0">
              <w:txbxContent>
                <w:p w:rsidR="00000000" w:rsidRDefault="00000000">
                  <w:pPr>
                    <w:jc w:val="center"/>
                    <w:rPr>
                      <w:b/>
                      <w:bCs/>
                      <w:sz w:val="22"/>
                    </w:rPr>
                  </w:pPr>
                  <w:r>
                    <w:rPr>
                      <w:b/>
                      <w:bCs/>
                      <w:sz w:val="18"/>
                    </w:rPr>
                    <w:t>2-3 check-ups, 12.5%</w:t>
                  </w:r>
                </w:p>
              </w:txbxContent>
            </v:textbox>
          </v:shape>
        </w:pict>
      </w:r>
      <w:r>
        <w:rPr>
          <w:noProof/>
          <w:sz w:val="20"/>
          <w:lang w:val="fr-FR" w:eastAsia="fr-FR"/>
        </w:rPr>
        <w:pict>
          <v:shape id="_x0000_s2923" type="#_x0000_t202" style="position:absolute;left:0;text-align:left;margin-left:327.25pt;margin-top:44.8pt;width:80.65pt;height:27.45pt;z-index:107" stroked="f">
            <v:textbox inset="0,0,0,0">
              <w:txbxContent>
                <w:p w:rsidR="00000000" w:rsidRDefault="00000000">
                  <w:pPr>
                    <w:jc w:val="center"/>
                    <w:rPr>
                      <w:b/>
                      <w:bCs/>
                      <w:sz w:val="22"/>
                    </w:rPr>
                  </w:pPr>
                  <w:r>
                    <w:rPr>
                      <w:b/>
                      <w:bCs/>
                      <w:sz w:val="18"/>
                    </w:rPr>
                    <w:t>1 check-up, 1.6%</w:t>
                  </w:r>
                </w:p>
              </w:txbxContent>
            </v:textbox>
          </v:shape>
        </w:pict>
      </w:r>
      <w:r>
        <w:rPr>
          <w:noProof/>
          <w:sz w:val="20"/>
          <w:lang w:val="fr-FR" w:eastAsia="fr-FR"/>
        </w:rPr>
        <w:pict>
          <v:shape id="_x0000_s2922" type="#_x0000_t202" style="position:absolute;left:0;text-align:left;margin-left:319.6pt;margin-top:19.8pt;width:80.65pt;height:22.9pt;z-index:106" stroked="f">
            <v:textbox inset="0,0,0,0">
              <w:txbxContent>
                <w:p w:rsidR="00000000" w:rsidRDefault="00000000">
                  <w:pPr>
                    <w:jc w:val="center"/>
                    <w:rPr>
                      <w:b/>
                      <w:bCs/>
                      <w:sz w:val="22"/>
                    </w:rPr>
                  </w:pPr>
                  <w:r>
                    <w:rPr>
                      <w:b/>
                      <w:bCs/>
                      <w:sz w:val="18"/>
                    </w:rPr>
                    <w:t>Not known, 1.3%</w:t>
                  </w:r>
                </w:p>
              </w:txbxContent>
            </v:textbox>
          </v:shape>
        </w:pict>
      </w:r>
      <w:r>
        <w:rPr>
          <w:noProof/>
          <w:sz w:val="20"/>
          <w:lang w:val="fr-FR" w:eastAsia="fr-FR"/>
        </w:rPr>
        <w:pict>
          <v:shape id="_x0000_s2928" type="#_x0000_t202" style="position:absolute;left:0;text-align:left;margin-left:88.05pt;margin-top:24.95pt;width:80.65pt;height:40.45pt;z-index:112" stroked="f">
            <v:textbox inset="0,0,0,0">
              <w:txbxContent>
                <w:p w:rsidR="00000000" w:rsidRDefault="00000000">
                  <w:pPr>
                    <w:jc w:val="center"/>
                    <w:rPr>
                      <w:b/>
                      <w:bCs/>
                      <w:sz w:val="22"/>
                    </w:rPr>
                  </w:pPr>
                  <w:r>
                    <w:rPr>
                      <w:b/>
                      <w:bCs/>
                      <w:sz w:val="18"/>
                    </w:rPr>
                    <w:t>5 or more</w:t>
                  </w:r>
                  <w:r>
                    <w:rPr>
                      <w:b/>
                      <w:bCs/>
                      <w:sz w:val="18"/>
                    </w:rPr>
                    <w:br/>
                    <w:t>check-ups, 71.3%</w:t>
                  </w:r>
                </w:p>
              </w:txbxContent>
            </v:textbox>
          </v:shape>
        </w:pict>
      </w:r>
      <w:bookmarkStart w:id="85" w:name="_MON_1250160237"/>
      <w:bookmarkEnd w:id="85"/>
      <w:r>
        <w:object w:dxaOrig="6766" w:dyaOrig="5075">
          <v:shape id="_x0000_i1057" type="#_x0000_t75" style="width:277.5pt;height:166.5pt" o:ole="">
            <v:imagedata r:id="rId68" o:title="" croptop="13177f" blacklevel="9830f" grayscale="t"/>
          </v:shape>
          <o:OLEObject Type="Embed" ProgID="Word.Picture.8" ShapeID="_x0000_i1057" DrawAspect="Content" ObjectID="_1394904868" r:id="rId69"/>
        </w:object>
      </w:r>
    </w:p>
    <w:p w:rsidR="00000000" w:rsidRDefault="00000000">
      <w:pPr>
        <w:autoSpaceDE w:val="0"/>
        <w:autoSpaceDN w:val="0"/>
        <w:adjustRightInd w:val="0"/>
        <w:jc w:val="center"/>
        <w:rPr>
          <w:b/>
          <w:sz w:val="18"/>
          <w:szCs w:val="18"/>
        </w:rPr>
      </w:pPr>
    </w:p>
    <w:p w:rsidR="00000000" w:rsidRDefault="00000000">
      <w:pPr>
        <w:spacing w:after="240"/>
      </w:pPr>
    </w:p>
    <w:p w:rsidR="00000000" w:rsidRDefault="00000000">
      <w:pPr>
        <w:spacing w:after="240"/>
      </w:pPr>
      <w:r>
        <w:rPr>
          <w:lang w:val="en-US"/>
        </w:rPr>
        <w:t>479</w:t>
      </w:r>
      <w:r>
        <w:t>.</w:t>
      </w:r>
      <w:r>
        <w:tab/>
        <w:t xml:space="preserve">The next table shows the percentage distribution according to the places where the mothers underwent their prenatal check-ups. Countrywide, 71.9 per cent used public-sector services, 18.1 per cent of pregnant women received care in the private sector, 4.2 per cent went elsewhere and 5.8 per cent underwent no check-ups. </w:t>
      </w:r>
    </w:p>
    <w:p w:rsidR="00000000" w:rsidRDefault="00000000">
      <w:pPr>
        <w:spacing w:after="240"/>
      </w:pPr>
      <w:r>
        <w:rPr>
          <w:lang w:val="en-US"/>
        </w:rPr>
        <w:t>480</w:t>
      </w:r>
      <w:r>
        <w:t>.</w:t>
      </w:r>
      <w:r>
        <w:tab/>
        <w:t xml:space="preserve">There were percentage differences, varying from region to region, in the respective levels of coverage by the public and private sectors. Check-ups in the private sector were most frequent in Greater Asunción and Este (25.2 per cent and 23.8 per cent respectively), while in comparison the highest concentrations of check-ups in the public sector were found in Centro Sur (83.7 per cent) and Norte (77.5 per cent). </w:t>
      </w:r>
    </w:p>
    <w:p w:rsidR="00000000" w:rsidRDefault="00000000">
      <w:pPr>
        <w:spacing w:after="240"/>
      </w:pPr>
      <w:r>
        <w:rPr>
          <w:lang w:val="en-US"/>
        </w:rPr>
        <w:t>481</w:t>
      </w:r>
      <w:r>
        <w:t>.</w:t>
      </w:r>
      <w:r>
        <w:tab/>
        <w:t xml:space="preserve">With respect to the language spoken in the home, mothers who usually speak Guaraní at home are the ones who most frequently resort to the public sector for check-ups (79.9 per cent) compared with those who resort to the private sector (7.2 per cent). </w:t>
      </w:r>
    </w:p>
    <w:p w:rsidR="00000000" w:rsidRDefault="00000000">
      <w:pPr>
        <w:spacing w:after="240"/>
      </w:pPr>
      <w:r>
        <w:rPr>
          <w:lang w:val="en-US"/>
        </w:rPr>
        <w:t>482</w:t>
      </w:r>
      <w:r>
        <w:t>.</w:t>
      </w:r>
      <w:r>
        <w:tab/>
        <w:t xml:space="preserve">With regard to socio-economic level, only 6.7 per cent of women in the lowest strata underwent pregnancy monitoring in the private sector, while 25.8 per cent and 52.6 per cent of women in the “high” and “very high” strata respectively used the services of that sector. </w:t>
      </w:r>
    </w:p>
    <w:p w:rsidR="00000000" w:rsidRDefault="00000000">
      <w:pPr>
        <w:spacing w:after="240"/>
      </w:pPr>
      <w:r>
        <w:rPr>
          <w:lang w:val="en-US"/>
        </w:rPr>
        <w:t>483</w:t>
      </w:r>
      <w:r>
        <w:t>.</w:t>
      </w:r>
      <w:r>
        <w:tab/>
        <w:t xml:space="preserve">It is important to mention that one out of ten women between ages 15 and 19 have never undergone any prenatal monitoring. A similar proportion is to be found among women residing in the northern region or who speak only Guaraní in the home. The situation is more unfavourable among women who have had no education or who have only completed the second grade of primary education; one out of six women in these groups has never undergone  prenatal monitoring. </w:t>
      </w:r>
    </w:p>
    <w:p w:rsidR="00000000" w:rsidRDefault="00000000">
      <w:pPr>
        <w:spacing w:after="240"/>
        <w:rPr>
          <w:b/>
          <w:bCs/>
        </w:rPr>
      </w:pPr>
      <w:r>
        <w:rPr>
          <w:b/>
          <w:bCs/>
        </w:rPr>
        <w:t>5.1.1.  Number of prenatal check-ups</w:t>
      </w:r>
    </w:p>
    <w:p w:rsidR="00000000" w:rsidRDefault="00000000">
      <w:pPr>
        <w:spacing w:after="240"/>
      </w:pPr>
      <w:r>
        <w:rPr>
          <w:lang w:val="en-US"/>
        </w:rPr>
        <w:t>484</w:t>
      </w:r>
      <w:r>
        <w:t>.</w:t>
      </w:r>
      <w:r>
        <w:tab/>
        <w:t xml:space="preserve">The “Rules for care during pregnancy, birth and puerperium and of the newly-born”, which are elements in the “Safe Motherhood” initiative of the Ministry of Public Health and Social Welfare, state that the number of minimal check-ups focussed on obstetrical risk should be 6; solely for purposes of comparison with earlier surveys which took into account 5 or more, the latter figure will be considered a sufficient number of check-ups for purposes of analysis. </w:t>
      </w:r>
    </w:p>
    <w:p w:rsidR="00000000" w:rsidRDefault="00000000">
      <w:pPr>
        <w:spacing w:after="240"/>
      </w:pPr>
      <w:r>
        <w:rPr>
          <w:lang w:val="en-US"/>
        </w:rPr>
        <w:t>485</w:t>
      </w:r>
      <w:r>
        <w:t>.</w:t>
      </w:r>
      <w:r>
        <w:tab/>
        <w:t xml:space="preserve">It will be observed from the figure that in 5.8 per cent of births the mothers underwent no prenatal monitoring; 1.6 per cent underwent only one check-up, 12.5 per cent two or three and 7.5 per cent four. In 71.3 per cent of cases the mothers completed the course of five or more check-ups. If these figures for the percentage of births in which the mothers underwent five or more check-ups as shown in ENDSSR 2004 are compared with those in earlier surveys (57.4 per cent) and ENSMI 98 (55.7 per cent) an increase of some 15 percentage points is apparent. </w:t>
      </w:r>
    </w:p>
    <w:p w:rsidR="00000000" w:rsidRDefault="00000000">
      <w:pPr>
        <w:spacing w:after="240"/>
      </w:pPr>
      <w:r>
        <w:rPr>
          <w:lang w:val="en-US"/>
        </w:rPr>
        <w:t>486</w:t>
      </w:r>
      <w:r>
        <w:t>.</w:t>
      </w:r>
      <w:r>
        <w:tab/>
        <w:t xml:space="preserve">The situation in rural areas was less favourable; there only 58.9 per cent of pregnant women underwent a sufficient number of check-ups. According to the data for the different regions, the problem of insufficiency of check-ups is more pressing in the northern region, where only 48.6 per cent of mothers underwent 5 or more check-ups. </w:t>
      </w:r>
    </w:p>
    <w:p w:rsidR="00000000" w:rsidRDefault="00000000">
      <w:pPr>
        <w:spacing w:after="240"/>
        <w:jc w:val="center"/>
        <w:rPr>
          <w:smallCaps/>
          <w:sz w:val="22"/>
        </w:rPr>
      </w:pPr>
      <w:r>
        <w:br w:type="page"/>
      </w:r>
      <w:r>
        <w:rPr>
          <w:smallCaps/>
          <w:sz w:val="22"/>
        </w:rPr>
        <w:t>Graph 8.2</w:t>
      </w:r>
    </w:p>
    <w:p w:rsidR="00000000" w:rsidRDefault="00000000">
      <w:pPr>
        <w:spacing w:after="240"/>
        <w:jc w:val="center"/>
        <w:rPr>
          <w:b/>
          <w:bCs/>
          <w:sz w:val="22"/>
        </w:rPr>
      </w:pPr>
      <w:r>
        <w:rPr>
          <w:b/>
          <w:bCs/>
          <w:sz w:val="22"/>
        </w:rPr>
        <w:t>Percentage of live births taking place in institutions during the period</w:t>
      </w:r>
      <w:r>
        <w:rPr>
          <w:b/>
          <w:bCs/>
          <w:sz w:val="22"/>
        </w:rPr>
        <w:br/>
        <w:t>March 1999 – February 2004, by region (ENDSSR)</w:t>
      </w:r>
    </w:p>
    <w:p w:rsidR="00000000" w:rsidRDefault="00000000">
      <w:pPr>
        <w:pStyle w:val="BodyText"/>
        <w:spacing w:after="80"/>
        <w:jc w:val="center"/>
      </w:pPr>
      <w:r>
        <w:fldChar w:fldCharType="begin"/>
      </w:r>
      <w:r>
        <w:instrText xml:space="preserve"> INCLUDEPICTURE "http://www.cepep.org.py/endssr2004/informe_final/imagen/grafico8_2.gif" \* MERGEFORMATINET </w:instrText>
      </w:r>
      <w:r>
        <w:fldChar w:fldCharType="separate"/>
      </w:r>
      <w:r>
        <w:pict>
          <v:shape id="_x0000_i1058" type="#_x0000_t75" alt="" style="width:363pt;height:177.75pt">
            <v:imagedata r:id="rId70" r:href="rId71" croptop="10769f" cropbottom="4434f" grayscale="t"/>
          </v:shape>
        </w:pict>
      </w:r>
      <w:r>
        <w:fldChar w:fldCharType="end"/>
      </w:r>
    </w:p>
    <w:p w:rsidR="00000000" w:rsidRDefault="00000000">
      <w:pPr>
        <w:spacing w:after="360"/>
        <w:ind w:left="567"/>
        <w:rPr>
          <w:sz w:val="20"/>
        </w:rPr>
      </w:pPr>
      <w:r>
        <w:rPr>
          <w:i/>
          <w:iCs/>
          <w:sz w:val="20"/>
        </w:rPr>
        <w:t>Source:</w:t>
      </w:r>
      <w:r>
        <w:rPr>
          <w:sz w:val="20"/>
        </w:rPr>
        <w:t xml:space="preserve"> ENDSSR 2004.</w:t>
      </w:r>
    </w:p>
    <w:p w:rsidR="00000000" w:rsidRDefault="00000000">
      <w:pPr>
        <w:spacing w:after="240"/>
      </w:pPr>
      <w:r>
        <w:rPr>
          <w:lang w:val="en-US"/>
        </w:rPr>
        <w:t>487</w:t>
      </w:r>
      <w:r>
        <w:t>.</w:t>
      </w:r>
      <w:r>
        <w:tab/>
        <w:t xml:space="preserve">Mothers without education or with not more than two years of studies, and those who have not completed their primary education, with three to five years of studies, are far from reaching adequate levels of prenatal check-ups (5 or more), attaining less than 50 per cent ( 46 per cent for the first group, 49.8 per cent for the second). The situation is similar with mothers who speak only Guaraní (53.2 per cent), mothers at low socio-economic levels (52.6 per cent) and women who have had more than five children (47 per cent). </w:t>
      </w:r>
    </w:p>
    <w:p w:rsidR="00000000" w:rsidRDefault="00000000">
      <w:pPr>
        <w:spacing w:after="240"/>
      </w:pPr>
      <w:r>
        <w:rPr>
          <w:lang w:val="en-US"/>
        </w:rPr>
        <w:t>488</w:t>
      </w:r>
      <w:r>
        <w:t>.</w:t>
      </w:r>
      <w:r>
        <w:tab/>
        <w:t xml:space="preserve">The rules laid down by the Ministry of Public Health and Social Welfare mentioned earlier also contain the requirement that prenatal check-ups be “early”; the first examination must take place during the first three months of pregnancy, i.e., within the first 12 weeks of gestation. The aggregate figures indicate that in only 68.6 per cent of births did women obtain prenatal care during the first three months; one quarter (25.3 per cent) underwent monitoring during the second or third quarters; and 5.8 per cent did not undergo any monitoring  at all. Late attendance for the first check-up (during the second or third quarter) is higher in rural areas (30.9 per cent), in the northern region (34.8 per cent) and among relatively uneducated women (34.4 per cent of  women with 2 years of education or less), in low socio-economic strata (34.4 per cent), women usually speaking Guaraní (33.5 per cent) and women with several children. </w:t>
      </w:r>
    </w:p>
    <w:p w:rsidR="00000000" w:rsidRDefault="00000000">
      <w:pPr>
        <w:tabs>
          <w:tab w:val="left" w:pos="0"/>
        </w:tabs>
        <w:spacing w:after="240"/>
        <w:ind w:left="567"/>
        <w:jc w:val="center"/>
        <w:rPr>
          <w:sz w:val="22"/>
        </w:rPr>
      </w:pPr>
      <w:r>
        <w:rPr>
          <w:bCs/>
          <w:iCs/>
          <w:sz w:val="22"/>
          <w:szCs w:val="18"/>
          <w:lang w:val="en-US"/>
        </w:rPr>
        <w:br w:type="page"/>
      </w:r>
      <w:r>
        <w:rPr>
          <w:sz w:val="22"/>
        </w:rPr>
        <w:t>GRAPH 8.3</w:t>
      </w:r>
    </w:p>
    <w:p w:rsidR="00000000" w:rsidRDefault="00000000">
      <w:pPr>
        <w:tabs>
          <w:tab w:val="left" w:pos="0"/>
        </w:tabs>
        <w:spacing w:after="240"/>
        <w:ind w:left="567"/>
        <w:jc w:val="center"/>
        <w:rPr>
          <w:b/>
          <w:bCs/>
          <w:iCs/>
          <w:sz w:val="20"/>
          <w:szCs w:val="18"/>
          <w:lang w:val="en-US"/>
        </w:rPr>
      </w:pPr>
      <w:r>
        <w:rPr>
          <w:b/>
          <w:bCs/>
          <w:sz w:val="22"/>
        </w:rPr>
        <w:t>Percentage of professionally assisted births in institutions by education and socio-economic level of women (ENDSSR 2004)</w:t>
      </w:r>
    </w:p>
    <w:p w:rsidR="00000000" w:rsidRDefault="00000000">
      <w:pPr>
        <w:pStyle w:val="BodyText"/>
        <w:spacing w:beforeLines="40" w:before="96" w:afterLines="40" w:after="96"/>
        <w:jc w:val="center"/>
      </w:pPr>
      <w:r>
        <w:rPr>
          <w:b/>
          <w:iCs/>
          <w:noProof/>
          <w:sz w:val="20"/>
          <w:szCs w:val="18"/>
          <w:lang w:val="fr-FR" w:eastAsia="fr-FR"/>
        </w:rPr>
        <w:pict>
          <v:shape id="_x0000_s2934" type="#_x0000_t202" style="position:absolute;left:0;text-align:left;margin-left:224.45pt;margin-top:6.4pt;width:34.35pt;height:19.25pt;z-index:118" stroked="f">
            <v:textbox inset="0,0,0,0">
              <w:txbxContent>
                <w:p w:rsidR="00000000" w:rsidRDefault="00000000">
                  <w:pPr>
                    <w:jc w:val="center"/>
                    <w:rPr>
                      <w:b/>
                      <w:bCs/>
                      <w:sz w:val="18"/>
                    </w:rPr>
                  </w:pPr>
                  <w:r>
                    <w:rPr>
                      <w:b/>
                      <w:bCs/>
                      <w:sz w:val="18"/>
                    </w:rPr>
                    <w:t>76.1</w:t>
                  </w:r>
                </w:p>
              </w:txbxContent>
            </v:textbox>
          </v:shape>
        </w:pict>
      </w:r>
      <w:r>
        <w:rPr>
          <w:b/>
          <w:iCs/>
          <w:noProof/>
          <w:sz w:val="20"/>
          <w:szCs w:val="18"/>
          <w:lang w:val="fr-FR" w:eastAsia="fr-FR"/>
        </w:rPr>
        <w:pict>
          <v:shape id="_x0000_s2935" type="#_x0000_t202" style="position:absolute;left:0;text-align:left;margin-left:284.75pt;margin-top:51.4pt;width:34.35pt;height:20.5pt;z-index:119" stroked="f">
            <v:textbox inset="0,0,0,0">
              <w:txbxContent>
                <w:p w:rsidR="00000000" w:rsidRDefault="00000000">
                  <w:pPr>
                    <w:jc w:val="center"/>
                    <w:rPr>
                      <w:b/>
                      <w:bCs/>
                      <w:sz w:val="18"/>
                    </w:rPr>
                  </w:pPr>
                  <w:r>
                    <w:rPr>
                      <w:b/>
                      <w:bCs/>
                      <w:sz w:val="18"/>
                    </w:rPr>
                    <w:t>49.4</w:t>
                  </w:r>
                </w:p>
              </w:txbxContent>
            </v:textbox>
          </v:shape>
        </w:pict>
      </w:r>
      <w:r>
        <w:rPr>
          <w:b/>
          <w:iCs/>
          <w:noProof/>
          <w:sz w:val="20"/>
          <w:szCs w:val="18"/>
          <w:lang w:val="fr-FR" w:eastAsia="fr-FR"/>
        </w:rPr>
        <w:pict>
          <v:shape id="_x0000_s2933" type="#_x0000_t202" style="position:absolute;left:0;text-align:left;margin-left:190.65pt;margin-top:34.2pt;width:34.35pt;height:13.9pt;z-index:117" stroked="f">
            <v:textbox inset="0,0,0,0">
              <w:txbxContent>
                <w:p w:rsidR="00000000" w:rsidRDefault="00000000">
                  <w:pPr>
                    <w:jc w:val="center"/>
                    <w:rPr>
                      <w:b/>
                      <w:bCs/>
                      <w:sz w:val="18"/>
                    </w:rPr>
                  </w:pPr>
                  <w:r>
                    <w:rPr>
                      <w:b/>
                      <w:bCs/>
                      <w:sz w:val="18"/>
                    </w:rPr>
                    <w:t>61.4</w:t>
                  </w:r>
                </w:p>
              </w:txbxContent>
            </v:textbox>
          </v:shape>
        </w:pict>
      </w:r>
      <w:r>
        <w:rPr>
          <w:b/>
          <w:iCs/>
          <w:noProof/>
          <w:sz w:val="20"/>
          <w:szCs w:val="18"/>
          <w:lang w:val="fr-FR" w:eastAsia="fr-FR"/>
        </w:rPr>
        <w:pict>
          <v:shape id="_x0000_s2932" type="#_x0000_t202" style="position:absolute;left:0;text-align:left;margin-left:161.65pt;margin-top:46.7pt;width:34.35pt;height:13.9pt;z-index:116" stroked="f">
            <v:textbox inset="0,0,0,0">
              <w:txbxContent>
                <w:p w:rsidR="00000000" w:rsidRDefault="00000000">
                  <w:pPr>
                    <w:jc w:val="center"/>
                    <w:rPr>
                      <w:b/>
                      <w:bCs/>
                      <w:sz w:val="18"/>
                    </w:rPr>
                  </w:pPr>
                  <w:r>
                    <w:rPr>
                      <w:b/>
                      <w:bCs/>
                      <w:sz w:val="18"/>
                    </w:rPr>
                    <w:t>54.9</w:t>
                  </w:r>
                </w:p>
              </w:txbxContent>
            </v:textbox>
          </v:shape>
        </w:pict>
      </w:r>
      <w:r>
        <w:rPr>
          <w:b/>
          <w:iCs/>
          <w:noProof/>
          <w:sz w:val="20"/>
          <w:szCs w:val="18"/>
          <w:lang w:val="fr-FR" w:eastAsia="fr-FR"/>
        </w:rPr>
        <w:pict>
          <v:shape id="_x0000_s2931" type="#_x0000_t202" style="position:absolute;left:0;text-align:left;margin-left:127.7pt;margin-top:41.5pt;width:34.35pt;height:13.9pt;z-index:115" stroked="f">
            <v:textbox inset="0,0,0,0">
              <w:txbxContent>
                <w:p w:rsidR="00000000" w:rsidRDefault="00000000">
                  <w:pPr>
                    <w:jc w:val="center"/>
                    <w:rPr>
                      <w:b/>
                      <w:bCs/>
                      <w:sz w:val="18"/>
                    </w:rPr>
                  </w:pPr>
                  <w:r>
                    <w:rPr>
                      <w:b/>
                      <w:bCs/>
                      <w:sz w:val="18"/>
                    </w:rPr>
                    <w:t>57.5</w:t>
                  </w:r>
                </w:p>
              </w:txbxContent>
            </v:textbox>
          </v:shape>
        </w:pict>
      </w:r>
      <w:r>
        <w:rPr>
          <w:b/>
          <w:iCs/>
          <w:noProof/>
          <w:sz w:val="20"/>
          <w:szCs w:val="18"/>
          <w:lang w:val="fr-FR" w:eastAsia="fr-FR"/>
        </w:rPr>
        <w:pict>
          <v:shape id="_x0000_s2936" type="#_x0000_t202" style="position:absolute;left:0;text-align:left;margin-left:317.7pt;margin-top:32.5pt;width:34.35pt;height:13.9pt;z-index:120" stroked="f">
            <v:textbox inset="0,0,0,0">
              <w:txbxContent>
                <w:p w:rsidR="00000000" w:rsidRDefault="00000000">
                  <w:pPr>
                    <w:jc w:val="center"/>
                    <w:rPr>
                      <w:b/>
                      <w:bCs/>
                      <w:sz w:val="18"/>
                    </w:rPr>
                  </w:pPr>
                  <w:r>
                    <w:rPr>
                      <w:b/>
                      <w:bCs/>
                      <w:sz w:val="18"/>
                    </w:rPr>
                    <w:t>63.7</w:t>
                  </w:r>
                </w:p>
              </w:txbxContent>
            </v:textbox>
          </v:shape>
        </w:pict>
      </w:r>
      <w:r>
        <w:rPr>
          <w:b/>
          <w:iCs/>
          <w:noProof/>
          <w:sz w:val="20"/>
          <w:szCs w:val="18"/>
          <w:lang w:val="fr-FR" w:eastAsia="fr-FR"/>
        </w:rPr>
        <w:pict>
          <v:shape id="_x0000_s2937" type="#_x0000_t202" style="position:absolute;left:0;text-align:left;margin-left:346.2pt;margin-top:5pt;width:34.35pt;height:13.9pt;z-index:121" stroked="f">
            <v:textbox inset="0,0,0,0">
              <w:txbxContent>
                <w:p w:rsidR="00000000" w:rsidRDefault="00000000">
                  <w:pPr>
                    <w:jc w:val="center"/>
                    <w:rPr>
                      <w:b/>
                      <w:bCs/>
                      <w:sz w:val="18"/>
                    </w:rPr>
                  </w:pPr>
                  <w:r>
                    <w:rPr>
                      <w:b/>
                      <w:bCs/>
                      <w:sz w:val="18"/>
                    </w:rPr>
                    <w:t>78.7</w:t>
                  </w:r>
                </w:p>
              </w:txbxContent>
            </v:textbox>
          </v:shape>
        </w:pict>
      </w:r>
      <w:r>
        <w:rPr>
          <w:b/>
          <w:iCs/>
          <w:noProof/>
          <w:sz w:val="20"/>
          <w:szCs w:val="18"/>
          <w:lang w:val="fr-FR" w:eastAsia="fr-FR"/>
        </w:rPr>
        <w:pict>
          <v:shape id="_x0000_s2930" type="#_x0000_t202" style="position:absolute;left:0;text-align:left;margin-left:94.25pt;margin-top:49.9pt;width:34.35pt;height:13.9pt;z-index:114" stroked="f">
            <v:textbox inset="0,0,0,0">
              <w:txbxContent>
                <w:p w:rsidR="00000000" w:rsidRDefault="00000000">
                  <w:pPr>
                    <w:jc w:val="center"/>
                    <w:rPr>
                      <w:b/>
                      <w:bCs/>
                      <w:sz w:val="18"/>
                    </w:rPr>
                  </w:pPr>
                  <w:r>
                    <w:rPr>
                      <w:b/>
                      <w:bCs/>
                      <w:sz w:val="18"/>
                    </w:rPr>
                    <w:t>50.8</w:t>
                  </w:r>
                </w:p>
              </w:txbxContent>
            </v:textbox>
          </v:shape>
        </w:pict>
      </w:r>
      <w:r>
        <w:rPr>
          <w:noProof/>
          <w:sz w:val="20"/>
          <w:lang w:val="fr-FR" w:eastAsia="fr-FR"/>
        </w:rPr>
        <w:pict>
          <v:shape id="_x0000_s2929" type="#_x0000_t202" style="position:absolute;left:0;text-align:left;margin-left:96.85pt;margin-top:164.1pt;width:308.55pt;height:39.3pt;z-index:113" stroked="f" strokeweight="1.5pt">
            <v:textbox inset="0,0,0,0">
              <w:txbxContent>
                <w:p w:rsidR="00000000" w:rsidRDefault="00000000">
                  <w:pPr>
                    <w:rPr>
                      <w:b/>
                      <w:bCs/>
                      <w:iCs/>
                      <w:sz w:val="18"/>
                      <w:szCs w:val="18"/>
                      <w:lang w:val="en-US"/>
                    </w:rPr>
                  </w:pPr>
                  <w:r>
                    <w:rPr>
                      <w:b/>
                      <w:bCs/>
                      <w:sz w:val="18"/>
                      <w:lang w:val="en-US"/>
                    </w:rPr>
                    <w:t xml:space="preserve">    0-3        3-5          6           7-11   </w:t>
                  </w:r>
                  <w:r>
                    <w:rPr>
                      <w:b/>
                      <w:bCs/>
                      <w:iCs/>
                      <w:sz w:val="18"/>
                      <w:szCs w:val="18"/>
                      <w:lang w:val="en-US"/>
                    </w:rPr>
                    <w:t>12 and over          Low     Mdium    High</w:t>
                  </w:r>
                </w:p>
                <w:p w:rsidR="00000000" w:rsidRDefault="00000000">
                  <w:pPr>
                    <w:pStyle w:val="Heading1"/>
                    <w:spacing w:before="120" w:after="120"/>
                    <w:rPr>
                      <w:rFonts w:ascii="Times New Roman" w:hAnsi="Times New Roman"/>
                      <w:iCs/>
                      <w:sz w:val="18"/>
                    </w:rPr>
                  </w:pPr>
                  <w:r>
                    <w:rPr>
                      <w:rFonts w:ascii="Times New Roman" w:hAnsi="Times New Roman"/>
                      <w:iCs/>
                      <w:sz w:val="18"/>
                    </w:rPr>
                    <w:t xml:space="preserve">                        Education                                              Socio-economic level</w:t>
                  </w:r>
                </w:p>
              </w:txbxContent>
            </v:textbox>
          </v:shape>
        </w:pict>
      </w:r>
      <w:bookmarkStart w:id="86" w:name="_MON_1234681207"/>
      <w:bookmarkStart w:id="87" w:name="_MON_1234681232"/>
      <w:bookmarkStart w:id="88" w:name="_MON_1234681578"/>
      <w:bookmarkStart w:id="89" w:name="_MON_1234681634"/>
      <w:bookmarkStart w:id="90" w:name="_MON_1234681657"/>
      <w:bookmarkStart w:id="91" w:name="_MON_1234681680"/>
      <w:bookmarkStart w:id="92" w:name="_MON_1234694476"/>
      <w:bookmarkStart w:id="93" w:name="_MON_1234696012"/>
      <w:bookmarkStart w:id="94" w:name="_MON_1234696221"/>
      <w:bookmarkStart w:id="95" w:name="_MON_1234699997"/>
      <w:bookmarkStart w:id="96" w:name="_MON_1234703181"/>
      <w:bookmarkStart w:id="97" w:name="_MON_1235999688"/>
      <w:bookmarkStart w:id="98" w:name="_MON_1235999847"/>
      <w:bookmarkStart w:id="99" w:name="_MON_1236000189"/>
      <w:bookmarkStart w:id="100" w:name="_MON_1236067865"/>
      <w:bookmarkStart w:id="101" w:name="_MON_1236074064"/>
      <w:bookmarkStart w:id="102" w:name="_MON_1236511221"/>
      <w:bookmarkStart w:id="103" w:name="_MON_1236511281"/>
      <w:bookmarkStart w:id="104" w:name="_MON_1236511408"/>
      <w:bookmarkStart w:id="105" w:name="_MON_1236511437"/>
      <w:bookmarkStart w:id="106" w:name="_MON_1236511498"/>
      <w:bookmarkStart w:id="107" w:name="_MON_1236511529"/>
      <w:bookmarkStart w:id="108" w:name="_MON_1236511544"/>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object w:dxaOrig="6799" w:dyaOrig="5426">
          <v:shape id="_x0000_i1059" type="#_x0000_t75" alt="" style="width:339.75pt;height:163.5pt" o:ole="">
            <v:imagedata r:id="rId72" o:title="" croptop="11996f" cropbottom="14058f" grayscale="t"/>
          </v:shape>
          <o:OLEObject Type="Embed" ProgID="Word.Picture.8" ShapeID="_x0000_i1059" DrawAspect="Content" ObjectID="_1394904869" r:id="rId73"/>
        </w:object>
      </w:r>
    </w:p>
    <w:p w:rsidR="00000000" w:rsidRDefault="00000000">
      <w:pPr>
        <w:pStyle w:val="BodyText"/>
        <w:spacing w:beforeLines="40" w:before="96" w:afterLines="40" w:after="96"/>
        <w:jc w:val="center"/>
      </w:pPr>
    </w:p>
    <w:p w:rsidR="00000000" w:rsidRDefault="00000000">
      <w:pPr>
        <w:tabs>
          <w:tab w:val="left" w:pos="0"/>
        </w:tabs>
        <w:ind w:left="567"/>
        <w:jc w:val="center"/>
        <w:rPr>
          <w:b/>
          <w:iCs/>
          <w:sz w:val="18"/>
          <w:szCs w:val="18"/>
          <w:lang w:val="fr-FR"/>
        </w:rPr>
      </w:pPr>
      <w:r>
        <w:rPr>
          <w:b/>
          <w:iCs/>
          <w:sz w:val="18"/>
          <w:szCs w:val="18"/>
          <w:lang w:val="fr-FR"/>
        </w:rPr>
        <w:t>Figure 8.3</w:t>
      </w:r>
    </w:p>
    <w:p w:rsidR="00000000" w:rsidRDefault="00000000">
      <w:pPr>
        <w:spacing w:before="280" w:after="240"/>
        <w:ind w:left="567"/>
        <w:rPr>
          <w:iCs/>
          <w:sz w:val="18"/>
          <w:szCs w:val="18"/>
          <w:lang w:val="fr-FR"/>
        </w:rPr>
      </w:pPr>
      <w:r>
        <w:rPr>
          <w:i/>
          <w:iCs/>
          <w:sz w:val="18"/>
          <w:szCs w:val="18"/>
          <w:lang w:val="fr-FR"/>
        </w:rPr>
        <w:t xml:space="preserve">Source </w:t>
      </w:r>
      <w:r>
        <w:rPr>
          <w:iCs/>
          <w:sz w:val="18"/>
          <w:szCs w:val="18"/>
          <w:lang w:val="fr-FR"/>
        </w:rPr>
        <w:t>:  ENDSSR 2004.</w:t>
      </w:r>
    </w:p>
    <w:p w:rsidR="00000000" w:rsidRDefault="00000000">
      <w:pPr>
        <w:spacing w:after="240"/>
      </w:pPr>
      <w:r>
        <w:rPr>
          <w:b/>
          <w:bCs/>
        </w:rPr>
        <w:t>5.1.2.  Anti-tetanus vaccination during pregnancy</w:t>
      </w:r>
    </w:p>
    <w:p w:rsidR="00000000" w:rsidRDefault="00000000">
      <w:pPr>
        <w:spacing w:after="240"/>
      </w:pPr>
      <w:r>
        <w:rPr>
          <w:lang w:val="en-US"/>
        </w:rPr>
        <w:t>489</w:t>
      </w:r>
      <w:r>
        <w:t>.</w:t>
      </w:r>
      <w:r>
        <w:tab/>
        <w:t>For each birth during the period March 1999-February 2004 the mother was asked if she had had an anti-tetanus vaccination during the pregnancy. The information given here derives from the statements of the mothers. Countrywide, ENDSSR established that, during the period referred to, anti-tetanus protection had been given in 93.6 per cent of pregnancies – almost three percentage points higher than the level recorded in ENDSR 95/96.</w:t>
      </w:r>
    </w:p>
    <w:p w:rsidR="00000000" w:rsidRDefault="00000000">
      <w:pPr>
        <w:spacing w:after="240"/>
      </w:pPr>
      <w:r>
        <w:rPr>
          <w:lang w:val="en-US"/>
        </w:rPr>
        <w:t>490</w:t>
      </w:r>
      <w:r>
        <w:t>.</w:t>
      </w:r>
      <w:r>
        <w:tab/>
        <w:t xml:space="preserve">Anti-tetanus vaccination was more common among mothers in urban areas, Greater Asunción and Centro Sur, in all of which a level of 95.1 per cent was attained. The lowest percentage of anti-tetanus vaccination (90.6 per cent) was encountered in ENDSSR 2004 among women speaking only Guaraní. However, in ENDSR 95/96 the lowest percentage of anti-tetanus vaccination (77.6 per cent) was found among women who spoke a language other than Spanish or Guaraní. </w:t>
      </w:r>
    </w:p>
    <w:p w:rsidR="00000000" w:rsidRDefault="00000000">
      <w:pPr>
        <w:spacing w:after="240"/>
      </w:pPr>
      <w:r>
        <w:rPr>
          <w:b/>
          <w:bCs/>
        </w:rPr>
        <w:t>5.1.3.  Place where care given and type of professional assistance received during birth</w:t>
      </w:r>
    </w:p>
    <w:p w:rsidR="00000000" w:rsidRDefault="00000000">
      <w:pPr>
        <w:spacing w:after="240"/>
      </w:pPr>
      <w:r>
        <w:rPr>
          <w:lang w:val="en-US"/>
        </w:rPr>
        <w:t>491</w:t>
      </w:r>
      <w:r>
        <w:t>.</w:t>
      </w:r>
      <w:r>
        <w:tab/>
        <w:t xml:space="preserve">The percentage of births taking place in institutions is still low in Paraguay but has been increasing, from 56.3 per cent in 1998 to 74.1 per cent in 2004. The difference is statistically significant, with a 95 per cent reliability level. As can be seen from the graph, there are regional differences in the percentages of births in institutions, ranging from 92 per cent in  Greater Asunción to 59.9 per cent in the northern region. </w:t>
      </w:r>
    </w:p>
    <w:p w:rsidR="00000000" w:rsidRDefault="00000000">
      <w:pPr>
        <w:spacing w:after="240"/>
      </w:pPr>
      <w:r>
        <w:rPr>
          <w:lang w:val="en-US"/>
        </w:rPr>
        <w:t>492</w:t>
      </w:r>
      <w:r>
        <w:t>.</w:t>
      </w:r>
      <w:r>
        <w:tab/>
        <w:t xml:space="preserve">The births took place in Ministry of Health services (45.1 per cent), private hospitals or clinics (16 per cent), IPSs (7 per cent) and other institutions such as the Red Cross, the hospital for mothers and infants in the Medical Science faculty or military or police hospitals (5.9 per cent). </w:t>
      </w:r>
    </w:p>
    <w:p w:rsidR="00000000" w:rsidRDefault="00000000">
      <w:pPr>
        <w:spacing w:after="240"/>
      </w:pPr>
      <w:r>
        <w:rPr>
          <w:b/>
          <w:bCs/>
        </w:rPr>
        <w:t xml:space="preserve">5.1.4.  Births in institutions </w:t>
      </w:r>
    </w:p>
    <w:p w:rsidR="00000000" w:rsidRDefault="00000000">
      <w:pPr>
        <w:spacing w:after="240"/>
      </w:pPr>
      <w:r>
        <w:rPr>
          <w:lang w:val="en-US"/>
        </w:rPr>
        <w:t>493</w:t>
      </w:r>
      <w:r>
        <w:t>.</w:t>
      </w:r>
      <w:r>
        <w:tab/>
        <w:t xml:space="preserve">Countrywide, 58.1 per cent of births took place in public institutions and 16 per cent in private institutions; adding these two figures together, and as was mentioned earlier, it emerges that nearly three-quarters of all births (74.1 per cent) took place in institutions. Births in institutions were more common in urban areas (84.9 per cent) and in Greater Asunción (92 per cent), among women with secondary or higher education (94.3 per cent), Spanish-speakers (91.3 per cent) and women giving birth for the first time (83.1 per cent). </w:t>
      </w:r>
    </w:p>
    <w:p w:rsidR="00000000" w:rsidRDefault="00000000">
      <w:pPr>
        <w:spacing w:after="240"/>
      </w:pPr>
      <w:r>
        <w:rPr>
          <w:b/>
          <w:bCs/>
        </w:rPr>
        <w:t>5.1.5.  Births at home</w:t>
      </w:r>
    </w:p>
    <w:p w:rsidR="00000000" w:rsidRDefault="00000000">
      <w:pPr>
        <w:spacing w:after="240"/>
      </w:pPr>
      <w:r>
        <w:rPr>
          <w:lang w:val="en-US"/>
        </w:rPr>
        <w:t>494</w:t>
      </w:r>
      <w:r>
        <w:t>.</w:t>
      </w:r>
      <w:r>
        <w:tab/>
        <w:t xml:space="preserve">21.3 per cent of mothers gave birth at home, either with obstetric health professionals (3.1 per cent) or with midwives without formal training (15.8 per cent); the other births at home took place with family members (1.9 per cent) or alone and without assistance (0.5 per cent). Births at home with a midwife are more frequent in rural areas (25.4 per cent), in the northern region (27.6 per cent) and among relatively uneducated women (33.5 per cent) and women of low socio-economic level (28.8 per cent). It should be mentioned that 5.9 per cent of women without education or with two years of education or less gave birth without adequate assistance (i.e., without professional assistance) because they were alone (1.1 per cent) or assisted only by family members (4.8 per cent). </w:t>
      </w:r>
    </w:p>
    <w:p w:rsidR="00000000" w:rsidRDefault="00000000">
      <w:pPr>
        <w:spacing w:after="240"/>
      </w:pPr>
      <w:r>
        <w:rPr>
          <w:b/>
          <w:bCs/>
        </w:rPr>
        <w:t>5.1.6.  Professional assistance during birth</w:t>
      </w:r>
    </w:p>
    <w:p w:rsidR="00000000" w:rsidRDefault="00000000">
      <w:pPr>
        <w:spacing w:after="240"/>
      </w:pPr>
      <w:r>
        <w:rPr>
          <w:lang w:val="en-US"/>
        </w:rPr>
        <w:t>495</w:t>
      </w:r>
      <w:r>
        <w:t>.</w:t>
      </w:r>
      <w:r>
        <w:tab/>
        <w:t xml:space="preserve">Professional assistance during childbirth is provided by physicians (63.2 per cent), professional obstetric nurses (32.9 per cent) and nurses (3.4 per cent). In urban areas approximately 7 out of 10 births in institutions were assisted by physicians, while in rural areas the proportion was only 5 out of 10. The proportion of births assisted by obstetric nurses is significant in rural areas (40.8 per cent) and in specific regions such as the northern region (46.4 per cent) and Centro Sur (37.1 per cent). It will be observed from the graph that the proportion of births assisted by physicians is higher among mothers with more years of study and belonging to high socio-economic strata. </w:t>
      </w:r>
    </w:p>
    <w:p w:rsidR="00000000" w:rsidRDefault="00000000">
      <w:pPr>
        <w:spacing w:after="240"/>
      </w:pPr>
      <w:r>
        <w:rPr>
          <w:lang w:val="en-US"/>
        </w:rPr>
        <w:t>496</w:t>
      </w:r>
      <w:r>
        <w:t>.</w:t>
      </w:r>
      <w:r>
        <w:tab/>
        <w:t xml:space="preserve">The findings of ENDSSR 2004 reveal that 26.9 per cent of all births took place by Caesarean section – an increase of 63 per cent since 1998, during which the proportion was 16.5 per cent. Since 74.1 per cent of births took place in institutions, and that all births by Caesarean section take place in institutions, it follows that 36.3 per cent of births taking place in institutions are by Caesarean section. The percentage of Caesarean births in all live births during the period March 1999 – February 2004 was higher in urban areas (35.9 per cent) than in rural areas (15.6 per cent) – a difference of some 20 percentage points. The proportion of Caesarean births in all births is highest in Greater Asunción (40.7 per cent) and lowest in the northern region (12 per cent). </w:t>
      </w:r>
    </w:p>
    <w:p w:rsidR="00000000" w:rsidRDefault="00000000">
      <w:pPr>
        <w:spacing w:after="240"/>
      </w:pPr>
      <w:r>
        <w:rPr>
          <w:b/>
          <w:bCs/>
        </w:rPr>
        <w:t xml:space="preserve">5.1.7.  Education, socio-economic level and language </w:t>
      </w:r>
    </w:p>
    <w:p w:rsidR="00000000" w:rsidRDefault="00000000">
      <w:pPr>
        <w:spacing w:after="240"/>
      </w:pPr>
      <w:r>
        <w:rPr>
          <w:lang w:val="en-US"/>
        </w:rPr>
        <w:t>497</w:t>
      </w:r>
      <w:r>
        <w:t>.</w:t>
      </w:r>
      <w:r>
        <w:tab/>
        <w:t xml:space="preserve">The proportion of Caesarean births to all live births increases in line with the educational levels of the women, rising from 12.1 per cent among women with 0-2 years of study to 53.4 per cent among those with 12 or more years of education. The proportion of Caesarean births is lowest (12.9 per cent) among women speaking only Guaraní at home, while among those speaking only Spanish the proportion is 43.5 per cent.  </w:t>
      </w:r>
    </w:p>
    <w:p w:rsidR="00000000" w:rsidRDefault="00000000">
      <w:pPr>
        <w:spacing w:after="240"/>
      </w:pPr>
      <w:r>
        <w:rPr>
          <w:lang w:val="en-US"/>
        </w:rPr>
        <w:t>498</w:t>
      </w:r>
      <w:r>
        <w:t>.</w:t>
      </w:r>
      <w:r>
        <w:tab/>
        <w:t xml:space="preserve">As regards economic condition, the proportion of Caesarean births increases with socio-economic level, rising from 11.9 per cent at the lowest level to 52.6 per cent at the highest. </w:t>
      </w:r>
    </w:p>
    <w:p w:rsidR="00000000" w:rsidRDefault="00000000">
      <w:pPr>
        <w:spacing w:after="240"/>
      </w:pPr>
      <w:r>
        <w:rPr>
          <w:lang w:val="en-US"/>
        </w:rPr>
        <w:t>499</w:t>
      </w:r>
      <w:r>
        <w:t>.</w:t>
      </w:r>
      <w:r>
        <w:tab/>
        <w:t>It should be mentioned that the Pan-American Health Organization  (PAHO), in its regional plan of action for the reduction of maternal mortality in the Americas, quoted in PAHO Bulletin, Vol. 110, No. 5, states that efforts will be made to reduce the number of births by Caesarean section to less than 15 per cent of all births.</w:t>
      </w:r>
    </w:p>
    <w:p w:rsidR="00000000" w:rsidRDefault="00000000">
      <w:pPr>
        <w:numPr>
          <w:ilvl w:val="2"/>
          <w:numId w:val="16"/>
        </w:numPr>
        <w:spacing w:after="240"/>
        <w:ind w:left="0" w:firstLine="0"/>
      </w:pPr>
      <w:r>
        <w:rPr>
          <w:b/>
          <w:bCs/>
        </w:rPr>
        <w:t>Post-natal care of mothers</w:t>
      </w:r>
    </w:p>
    <w:p w:rsidR="00000000" w:rsidRDefault="00000000">
      <w:pPr>
        <w:spacing w:after="240"/>
      </w:pPr>
      <w:r>
        <w:rPr>
          <w:lang w:val="en-US"/>
        </w:rPr>
        <w:t>500</w:t>
      </w:r>
      <w:r>
        <w:rPr>
          <w:b/>
          <w:bCs/>
        </w:rPr>
        <w:t>.</w:t>
      </w:r>
      <w:r>
        <w:rPr>
          <w:b/>
          <w:bCs/>
        </w:rPr>
        <w:tab/>
      </w:r>
      <w:r>
        <w:t xml:space="preserve">Post-natal monitoring is of vital importance in the care of reproductive health, since it permits the identification of maternal morbidity due particularly to the conditions of care during the birth and ensure its timely treatment, particularly when the check-up takes place “early” (two weeks after the birth), and in all cases because during the breastfeeding period it permits the provision of advice on family planning methods which are suitable and in accordance with the wishes of the users. </w:t>
      </w:r>
    </w:p>
    <w:p w:rsidR="00000000" w:rsidRDefault="00000000">
      <w:pPr>
        <w:spacing w:after="240"/>
      </w:pPr>
      <w:r>
        <w:rPr>
          <w:lang w:val="en-US"/>
        </w:rPr>
        <w:t>501</w:t>
      </w:r>
      <w:r>
        <w:t>.</w:t>
      </w:r>
      <w:r>
        <w:tab/>
        <w:t xml:space="preserve">With a view to analysing post-natal monitoring of mothers, a random selection was made from among the births occurring five years before the inquiry, using the formula one/child/born/live, covering the period March 1999 – February 2004. In all, 65 per cent of the births were followed up by post-natal monitoring of the mother (77.6 per cent in urban areas and 57.3 per cent in rural areas). Post-natal monitoring took place more frequently among mothers who had given birth in institutions (78.7 per cent) than among women who had given birth at home (31.7 per cent). </w:t>
      </w:r>
    </w:p>
    <w:p w:rsidR="00000000" w:rsidRDefault="00000000">
      <w:pPr>
        <w:spacing w:after="240"/>
      </w:pPr>
      <w:r>
        <w:rPr>
          <w:lang w:val="en-US"/>
        </w:rPr>
        <w:t>502</w:t>
      </w:r>
      <w:r>
        <w:t>.</w:t>
      </w:r>
      <w:r>
        <w:tab/>
        <w:t xml:space="preserve">Of the women who received post-natal monitoring, 21.5 per cent received it in a private institution. This percentage rose with the educational level of the woman, rising from 6.9 per cent among women with 0-5 years of study to 43.2 per cent among those with 12 or more years of study. In 72.8 per cent of cases monitoring took place in a public institution and 5.7 per cent in a midwifery or elsewhere. </w:t>
      </w:r>
    </w:p>
    <w:p w:rsidR="00000000" w:rsidRDefault="00000000">
      <w:pPr>
        <w:spacing w:after="240"/>
      </w:pPr>
      <w:r>
        <w:rPr>
          <w:lang w:val="en-US"/>
        </w:rPr>
        <w:t>503</w:t>
      </w:r>
      <w:r>
        <w:t>.</w:t>
      </w:r>
      <w:r>
        <w:tab/>
        <w:t xml:space="preserve">As regards the timing of post-natal check-ups, 9.4 per cent took place within a week of the birth, 62.1 per cent during the following two weeks and 17.2 per cent during the month following the birth. The women who gave birth in institutions underwent post-natal check-ups earlier than those who had given birth at home. Some 90 per cent of post-natal check-ups in institutions took place within the first month following birth, as compared with 79.4 per cent for births at home during the same period. </w:t>
      </w:r>
    </w:p>
    <w:p w:rsidR="00000000" w:rsidRDefault="00000000">
      <w:pPr>
        <w:spacing w:after="240"/>
      </w:pPr>
      <w:r>
        <w:rPr>
          <w:b/>
          <w:bCs/>
        </w:rPr>
        <w:t>5.2.  Maternal mortality</w:t>
      </w:r>
    </w:p>
    <w:p w:rsidR="00000000" w:rsidRDefault="00000000">
      <w:pPr>
        <w:spacing w:after="240"/>
      </w:pPr>
      <w:r>
        <w:rPr>
          <w:lang w:val="en-US"/>
        </w:rPr>
        <w:t>504</w:t>
      </w:r>
      <w:r>
        <w:t>.</w:t>
      </w:r>
      <w:r>
        <w:tab/>
        <w:t xml:space="preserve">The maternal mortality rate as recorded by the Ministry of Public Health and Social Welfare was 155 per 100,000 live births – a change of 20 from the figure for 2003, which was 174 per 100,000 live births. </w:t>
      </w:r>
    </w:p>
    <w:p w:rsidR="00000000" w:rsidRDefault="00000000">
      <w:pPr>
        <w:spacing w:after="240"/>
      </w:pPr>
      <w:r>
        <w:rPr>
          <w:lang w:val="en-US"/>
        </w:rPr>
        <w:t>505</w:t>
      </w:r>
      <w:r>
        <w:t>.</w:t>
      </w:r>
      <w:r>
        <w:tab/>
        <w:t xml:space="preserve">At present maternal mortality in Paraguay is classified as “moderate”. The data of the Ministry of Public Health and Social Welfare show a high level of mortality which has been coming down during the last 10 years, albeit with considerable variations from year to year. During the last three or four years the process of registration of maternal deaths has been strengthened through the work of the National Maternal Health and Mortality Monitoring  Commission and the efforts of the Ministry of Health to gain a deeper understanding of the problems underlying this situation. It is important to bear in mind that it is estimated that a substantial degree of under-registration of deaths exists and that data and figures may well increase as the system of supervision improves. </w:t>
      </w:r>
    </w:p>
    <w:p w:rsidR="00000000" w:rsidRDefault="00000000">
      <w:pPr>
        <w:spacing w:after="240"/>
      </w:pPr>
      <w:r>
        <w:t>506.</w:t>
      </w:r>
      <w:r>
        <w:tab/>
        <w:t xml:space="preserve">The factors contributing to maternal mortality in Paraguay are principally poverty, lack of education, lack of decent housing, a high fertility rate during the 20 years preceding this report, the fact that the use of family planning is not spreading owing to conditioning factors at educational level, a preference on the part of women to have large numbers of children, thereby ensuring their future welfare, the difficulties of access to health services (in a fragmented healthcare system there is a sector of the population which does not have access to health services and, as a consequence, to adequate mother and child care), and lack of knowledge of reproductive rights – again a consequence of the educational levels of men and women. </w:t>
      </w:r>
    </w:p>
    <w:p w:rsidR="00000000" w:rsidRDefault="00000000">
      <w:pPr>
        <w:spacing w:after="240"/>
      </w:pPr>
      <w:r>
        <w:t>507.</w:t>
      </w:r>
      <w:r>
        <w:tab/>
        <w:t xml:space="preserve">To improve this situation the Monitors on Sexual and Reproductive Health project is being implemented by the Secretariat for Women with the support of UNFPA. Training in sexual and reproductive health has been given to 1,200 men and women monitors, who form a national network covering all the departments in the country. Within this project 68 rural indigenous women in 3 departments of the country have been trained in sexual and reproductive health. </w:t>
      </w:r>
    </w:p>
    <w:p w:rsidR="00000000" w:rsidRDefault="00000000">
      <w:pPr>
        <w:spacing w:after="240"/>
      </w:pPr>
      <w:r>
        <w:t>508.</w:t>
      </w:r>
      <w:r>
        <w:tab/>
        <w:t xml:space="preserve">Through the Equal in Everything campaign the Secretariat for Women has launched a distribution of educational materials concerning prevention of maternal mortality by means of prenatal check-ups and alarm signals and also the prevention of sexually transmissible diseases. The campaign also includes street theatre performances on the prevention of domestic violence and the transmission of STDs such as HIV/AIDS. </w:t>
      </w:r>
      <w:r>
        <w:tab/>
      </w:r>
    </w:p>
    <w:p w:rsidR="00000000" w:rsidRDefault="00000000">
      <w:pPr>
        <w:pStyle w:val="xl46"/>
        <w:spacing w:before="0" w:beforeAutospacing="0" w:after="240" w:afterAutospacing="0"/>
        <w:rPr>
          <w:rFonts w:ascii="Times New Roman" w:eastAsia="Times New Roman" w:hAnsi="Times New Roman" w:cs="Times New Roman"/>
          <w:bCs w:val="0"/>
          <w:szCs w:val="24"/>
          <w:lang w:val="en-GB" w:eastAsia="en-US"/>
        </w:rPr>
      </w:pPr>
      <w:r>
        <w:rPr>
          <w:rFonts w:ascii="Times New Roman" w:eastAsia="Times New Roman" w:hAnsi="Times New Roman" w:cs="Times New Roman"/>
          <w:bCs w:val="0"/>
          <w:szCs w:val="24"/>
          <w:lang w:val="en-GB" w:eastAsia="en-US"/>
        </w:rPr>
        <w:t>Trends in maternal mortality, 1996-2003</w:t>
      </w:r>
    </w:p>
    <w:tbl>
      <w:tblPr>
        <w:tblW w:w="5008" w:type="pct"/>
        <w:jc w:val="center"/>
        <w:tblInd w:w="-16" w:type="dxa"/>
        <w:tblLayout w:type="fixed"/>
        <w:tblCellMar>
          <w:left w:w="0" w:type="dxa"/>
          <w:right w:w="0" w:type="dxa"/>
        </w:tblCellMar>
        <w:tblLook w:val="0000" w:firstRow="0" w:lastRow="0" w:firstColumn="0" w:lastColumn="0" w:noHBand="0" w:noVBand="0"/>
      </w:tblPr>
      <w:tblGrid>
        <w:gridCol w:w="1267"/>
        <w:gridCol w:w="397"/>
        <w:gridCol w:w="671"/>
        <w:gridCol w:w="392"/>
        <w:gridCol w:w="625"/>
        <w:gridCol w:w="392"/>
        <w:gridCol w:w="624"/>
        <w:gridCol w:w="395"/>
        <w:gridCol w:w="624"/>
        <w:gridCol w:w="395"/>
        <w:gridCol w:w="624"/>
        <w:gridCol w:w="395"/>
        <w:gridCol w:w="624"/>
        <w:gridCol w:w="395"/>
        <w:gridCol w:w="605"/>
        <w:gridCol w:w="395"/>
        <w:gridCol w:w="624"/>
      </w:tblGrid>
      <w:tr w:rsidR="00000000">
        <w:trPr>
          <w:cantSplit/>
          <w:jc w:val="center"/>
        </w:trPr>
        <w:tc>
          <w:tcPr>
            <w:tcW w:w="1267" w:type="dxa"/>
            <w:vMerge w:val="restart"/>
            <w:tcBorders>
              <w:top w:val="single" w:sz="4" w:space="0" w:color="auto"/>
            </w:tcBorders>
            <w:noWrap/>
            <w:vAlign w:val="bottom"/>
          </w:tcPr>
          <w:p w:rsidR="00000000" w:rsidRDefault="00000000">
            <w:pPr>
              <w:spacing w:before="80" w:after="80"/>
              <w:jc w:val="center"/>
              <w:rPr>
                <w:b/>
                <w:bCs/>
                <w:i/>
                <w:iCs/>
                <w:sz w:val="18"/>
                <w:szCs w:val="16"/>
              </w:rPr>
            </w:pPr>
            <w:r>
              <w:rPr>
                <w:b/>
                <w:bCs/>
                <w:i/>
                <w:iCs/>
                <w:sz w:val="18"/>
                <w:szCs w:val="16"/>
              </w:rPr>
              <w:t>Causes</w:t>
            </w:r>
          </w:p>
        </w:tc>
        <w:tc>
          <w:tcPr>
            <w:tcW w:w="1068" w:type="dxa"/>
            <w:gridSpan w:val="2"/>
            <w:tcBorders>
              <w:top w:val="single" w:sz="4" w:space="0" w:color="auto"/>
              <w:bottom w:val="single" w:sz="4" w:space="0" w:color="auto"/>
            </w:tcBorders>
            <w:noWrap/>
            <w:vAlign w:val="bottom"/>
          </w:tcPr>
          <w:p w:rsidR="00000000" w:rsidRDefault="00000000">
            <w:pPr>
              <w:spacing w:before="80" w:after="80"/>
              <w:jc w:val="center"/>
              <w:rPr>
                <w:b/>
                <w:bCs/>
                <w:i/>
                <w:iCs/>
                <w:sz w:val="18"/>
                <w:szCs w:val="16"/>
                <w:lang w:val="pt-BR"/>
              </w:rPr>
            </w:pPr>
            <w:r>
              <w:rPr>
                <w:b/>
                <w:bCs/>
                <w:i/>
                <w:iCs/>
                <w:sz w:val="18"/>
                <w:szCs w:val="16"/>
                <w:lang w:val="pt-BR"/>
              </w:rPr>
              <w:t>1996</w:t>
            </w:r>
          </w:p>
        </w:tc>
        <w:tc>
          <w:tcPr>
            <w:tcW w:w="1017" w:type="dxa"/>
            <w:gridSpan w:val="2"/>
            <w:tcBorders>
              <w:top w:val="single" w:sz="4" w:space="0" w:color="auto"/>
              <w:bottom w:val="single" w:sz="4" w:space="0" w:color="auto"/>
            </w:tcBorders>
            <w:noWrap/>
            <w:vAlign w:val="bottom"/>
          </w:tcPr>
          <w:p w:rsidR="00000000" w:rsidRDefault="00000000">
            <w:pPr>
              <w:spacing w:before="80" w:after="80"/>
              <w:jc w:val="center"/>
              <w:rPr>
                <w:b/>
                <w:bCs/>
                <w:i/>
                <w:iCs/>
                <w:sz w:val="18"/>
                <w:szCs w:val="16"/>
                <w:lang w:val="pt-BR"/>
              </w:rPr>
            </w:pPr>
            <w:r>
              <w:rPr>
                <w:b/>
                <w:bCs/>
                <w:i/>
                <w:iCs/>
                <w:sz w:val="18"/>
                <w:szCs w:val="16"/>
                <w:lang w:val="pt-BR"/>
              </w:rPr>
              <w:t>1997</w:t>
            </w:r>
          </w:p>
        </w:tc>
        <w:tc>
          <w:tcPr>
            <w:tcW w:w="1016" w:type="dxa"/>
            <w:gridSpan w:val="2"/>
            <w:tcBorders>
              <w:top w:val="single" w:sz="4" w:space="0" w:color="auto"/>
              <w:bottom w:val="single" w:sz="4" w:space="0" w:color="auto"/>
            </w:tcBorders>
            <w:noWrap/>
            <w:vAlign w:val="bottom"/>
          </w:tcPr>
          <w:p w:rsidR="00000000" w:rsidRDefault="00000000">
            <w:pPr>
              <w:spacing w:before="80" w:after="80"/>
              <w:jc w:val="center"/>
              <w:rPr>
                <w:b/>
                <w:bCs/>
                <w:i/>
                <w:iCs/>
                <w:sz w:val="18"/>
                <w:szCs w:val="16"/>
                <w:lang w:val="pt-BR"/>
              </w:rPr>
            </w:pPr>
            <w:r>
              <w:rPr>
                <w:b/>
                <w:bCs/>
                <w:i/>
                <w:iCs/>
                <w:sz w:val="18"/>
                <w:szCs w:val="16"/>
                <w:lang w:val="pt-BR"/>
              </w:rPr>
              <w:t>1998</w:t>
            </w:r>
          </w:p>
        </w:tc>
        <w:tc>
          <w:tcPr>
            <w:tcW w:w="1019" w:type="dxa"/>
            <w:gridSpan w:val="2"/>
            <w:tcBorders>
              <w:top w:val="single" w:sz="4" w:space="0" w:color="auto"/>
              <w:bottom w:val="single" w:sz="4" w:space="0" w:color="auto"/>
            </w:tcBorders>
            <w:noWrap/>
            <w:vAlign w:val="bottom"/>
          </w:tcPr>
          <w:p w:rsidR="00000000" w:rsidRDefault="00000000">
            <w:pPr>
              <w:spacing w:before="80" w:after="80"/>
              <w:jc w:val="center"/>
              <w:rPr>
                <w:b/>
                <w:bCs/>
                <w:i/>
                <w:iCs/>
                <w:sz w:val="18"/>
                <w:szCs w:val="16"/>
                <w:lang w:val="pt-BR"/>
              </w:rPr>
            </w:pPr>
            <w:r>
              <w:rPr>
                <w:b/>
                <w:bCs/>
                <w:i/>
                <w:iCs/>
                <w:sz w:val="18"/>
                <w:szCs w:val="16"/>
                <w:lang w:val="pt-BR"/>
              </w:rPr>
              <w:t>1999</w:t>
            </w:r>
          </w:p>
        </w:tc>
        <w:tc>
          <w:tcPr>
            <w:tcW w:w="1019" w:type="dxa"/>
            <w:gridSpan w:val="2"/>
            <w:tcBorders>
              <w:top w:val="single" w:sz="4" w:space="0" w:color="auto"/>
              <w:bottom w:val="single" w:sz="4" w:space="0" w:color="auto"/>
            </w:tcBorders>
            <w:noWrap/>
            <w:vAlign w:val="bottom"/>
          </w:tcPr>
          <w:p w:rsidR="00000000" w:rsidRDefault="00000000">
            <w:pPr>
              <w:spacing w:before="80" w:after="80"/>
              <w:jc w:val="center"/>
              <w:rPr>
                <w:b/>
                <w:bCs/>
                <w:i/>
                <w:iCs/>
                <w:sz w:val="18"/>
                <w:szCs w:val="16"/>
                <w:lang w:val="pt-BR"/>
              </w:rPr>
            </w:pPr>
            <w:r>
              <w:rPr>
                <w:b/>
                <w:bCs/>
                <w:i/>
                <w:iCs/>
                <w:sz w:val="18"/>
                <w:szCs w:val="16"/>
                <w:lang w:val="pt-BR"/>
              </w:rPr>
              <w:t>2000</w:t>
            </w:r>
          </w:p>
        </w:tc>
        <w:tc>
          <w:tcPr>
            <w:tcW w:w="1019" w:type="dxa"/>
            <w:gridSpan w:val="2"/>
            <w:tcBorders>
              <w:top w:val="single" w:sz="4" w:space="0" w:color="auto"/>
              <w:bottom w:val="single" w:sz="4" w:space="0" w:color="auto"/>
            </w:tcBorders>
            <w:noWrap/>
            <w:vAlign w:val="bottom"/>
          </w:tcPr>
          <w:p w:rsidR="00000000" w:rsidRDefault="00000000">
            <w:pPr>
              <w:spacing w:before="80" w:after="80"/>
              <w:jc w:val="center"/>
              <w:rPr>
                <w:b/>
                <w:bCs/>
                <w:i/>
                <w:iCs/>
                <w:sz w:val="18"/>
                <w:szCs w:val="16"/>
                <w:lang w:val="pt-BR"/>
              </w:rPr>
            </w:pPr>
            <w:r>
              <w:rPr>
                <w:b/>
                <w:bCs/>
                <w:i/>
                <w:iCs/>
                <w:sz w:val="18"/>
                <w:szCs w:val="16"/>
                <w:lang w:val="pt-BR"/>
              </w:rPr>
              <w:t>2001</w:t>
            </w:r>
          </w:p>
        </w:tc>
        <w:tc>
          <w:tcPr>
            <w:tcW w:w="1000" w:type="dxa"/>
            <w:gridSpan w:val="2"/>
            <w:tcBorders>
              <w:top w:val="single" w:sz="4" w:space="0" w:color="auto"/>
              <w:bottom w:val="single" w:sz="4" w:space="0" w:color="auto"/>
            </w:tcBorders>
            <w:noWrap/>
            <w:vAlign w:val="bottom"/>
          </w:tcPr>
          <w:p w:rsidR="00000000" w:rsidRDefault="00000000">
            <w:pPr>
              <w:spacing w:before="80" w:after="80"/>
              <w:jc w:val="center"/>
              <w:rPr>
                <w:b/>
                <w:bCs/>
                <w:i/>
                <w:iCs/>
                <w:sz w:val="18"/>
                <w:szCs w:val="16"/>
                <w:lang w:val="pt-BR"/>
              </w:rPr>
            </w:pPr>
            <w:r>
              <w:rPr>
                <w:b/>
                <w:bCs/>
                <w:i/>
                <w:iCs/>
                <w:sz w:val="18"/>
                <w:szCs w:val="16"/>
                <w:lang w:val="pt-BR"/>
              </w:rPr>
              <w:t>2002</w:t>
            </w:r>
          </w:p>
        </w:tc>
        <w:tc>
          <w:tcPr>
            <w:tcW w:w="1019" w:type="dxa"/>
            <w:gridSpan w:val="2"/>
            <w:tcBorders>
              <w:top w:val="single" w:sz="4" w:space="0" w:color="auto"/>
              <w:bottom w:val="single" w:sz="4" w:space="0" w:color="auto"/>
            </w:tcBorders>
            <w:noWrap/>
            <w:vAlign w:val="bottom"/>
          </w:tcPr>
          <w:p w:rsidR="00000000" w:rsidRDefault="00000000">
            <w:pPr>
              <w:spacing w:before="80" w:after="80"/>
              <w:jc w:val="center"/>
              <w:rPr>
                <w:b/>
                <w:bCs/>
                <w:i/>
                <w:iCs/>
                <w:sz w:val="18"/>
                <w:szCs w:val="16"/>
                <w:lang w:val="pt-BR"/>
              </w:rPr>
            </w:pPr>
            <w:r>
              <w:rPr>
                <w:b/>
                <w:bCs/>
                <w:i/>
                <w:iCs/>
                <w:sz w:val="18"/>
                <w:szCs w:val="16"/>
                <w:lang w:val="pt-BR"/>
              </w:rPr>
              <w:t>2003</w:t>
            </w:r>
          </w:p>
        </w:tc>
      </w:tr>
      <w:tr w:rsidR="00000000">
        <w:trPr>
          <w:cantSplit/>
          <w:jc w:val="center"/>
        </w:trPr>
        <w:tc>
          <w:tcPr>
            <w:tcW w:w="1267" w:type="dxa"/>
            <w:vMerge/>
            <w:tcBorders>
              <w:bottom w:val="single" w:sz="4" w:space="0" w:color="auto"/>
            </w:tcBorders>
            <w:noWrap/>
            <w:vAlign w:val="bottom"/>
          </w:tcPr>
          <w:p w:rsidR="00000000" w:rsidRDefault="00000000">
            <w:pPr>
              <w:spacing w:before="80" w:after="80"/>
              <w:jc w:val="center"/>
              <w:rPr>
                <w:b/>
                <w:bCs/>
                <w:i/>
                <w:iCs/>
                <w:sz w:val="18"/>
                <w:szCs w:val="16"/>
                <w:lang w:val="pt-BR"/>
              </w:rPr>
            </w:pPr>
          </w:p>
        </w:tc>
        <w:tc>
          <w:tcPr>
            <w:tcW w:w="397" w:type="dxa"/>
            <w:tcBorders>
              <w:top w:val="single" w:sz="4" w:space="0" w:color="auto"/>
              <w:bottom w:val="single" w:sz="4" w:space="0" w:color="auto"/>
            </w:tcBorders>
            <w:noWrap/>
            <w:vAlign w:val="bottom"/>
          </w:tcPr>
          <w:p w:rsidR="00000000" w:rsidRDefault="00000000">
            <w:pPr>
              <w:spacing w:before="80" w:after="80"/>
              <w:jc w:val="center"/>
              <w:rPr>
                <w:b/>
                <w:bCs/>
                <w:i/>
                <w:iCs/>
                <w:sz w:val="18"/>
                <w:szCs w:val="16"/>
                <w:lang w:val="pt-BR"/>
              </w:rPr>
            </w:pPr>
            <w:r>
              <w:rPr>
                <w:b/>
                <w:bCs/>
                <w:i/>
                <w:iCs/>
                <w:sz w:val="18"/>
                <w:szCs w:val="16"/>
                <w:lang w:val="pt-BR"/>
              </w:rPr>
              <w:t>No.</w:t>
            </w:r>
          </w:p>
        </w:tc>
        <w:tc>
          <w:tcPr>
            <w:tcW w:w="671" w:type="dxa"/>
            <w:tcBorders>
              <w:top w:val="single" w:sz="4" w:space="0" w:color="auto"/>
              <w:bottom w:val="single" w:sz="4" w:space="0" w:color="auto"/>
            </w:tcBorders>
            <w:noWrap/>
            <w:vAlign w:val="bottom"/>
          </w:tcPr>
          <w:p w:rsidR="00000000" w:rsidRDefault="00000000">
            <w:pPr>
              <w:spacing w:before="80" w:after="80"/>
              <w:jc w:val="center"/>
              <w:rPr>
                <w:b/>
                <w:bCs/>
                <w:i/>
                <w:iCs/>
                <w:sz w:val="18"/>
                <w:szCs w:val="16"/>
                <w:lang w:val="pt-BR"/>
              </w:rPr>
            </w:pPr>
            <w:r>
              <w:rPr>
                <w:b/>
                <w:bCs/>
                <w:i/>
                <w:iCs/>
                <w:sz w:val="18"/>
                <w:szCs w:val="16"/>
                <w:lang w:val="pt-BR"/>
              </w:rPr>
              <w:t>Rate</w:t>
            </w:r>
          </w:p>
        </w:tc>
        <w:tc>
          <w:tcPr>
            <w:tcW w:w="392" w:type="dxa"/>
            <w:tcBorders>
              <w:top w:val="single" w:sz="4" w:space="0" w:color="auto"/>
              <w:bottom w:val="single" w:sz="4" w:space="0" w:color="auto"/>
            </w:tcBorders>
            <w:noWrap/>
            <w:vAlign w:val="bottom"/>
          </w:tcPr>
          <w:p w:rsidR="00000000" w:rsidRDefault="00000000">
            <w:pPr>
              <w:spacing w:before="80" w:after="80"/>
              <w:jc w:val="center"/>
              <w:rPr>
                <w:b/>
                <w:bCs/>
                <w:i/>
                <w:iCs/>
                <w:sz w:val="18"/>
                <w:szCs w:val="16"/>
                <w:lang w:val="pt-BR"/>
              </w:rPr>
            </w:pPr>
            <w:r>
              <w:rPr>
                <w:b/>
                <w:bCs/>
                <w:i/>
                <w:iCs/>
                <w:sz w:val="18"/>
                <w:szCs w:val="16"/>
                <w:lang w:val="pt-BR"/>
              </w:rPr>
              <w:t>No.</w:t>
            </w:r>
          </w:p>
        </w:tc>
        <w:tc>
          <w:tcPr>
            <w:tcW w:w="625" w:type="dxa"/>
            <w:tcBorders>
              <w:top w:val="single" w:sz="4" w:space="0" w:color="auto"/>
              <w:bottom w:val="single" w:sz="4" w:space="0" w:color="auto"/>
            </w:tcBorders>
            <w:noWrap/>
            <w:vAlign w:val="bottom"/>
          </w:tcPr>
          <w:p w:rsidR="00000000" w:rsidRDefault="00000000">
            <w:pPr>
              <w:spacing w:before="80" w:after="80"/>
              <w:jc w:val="center"/>
              <w:rPr>
                <w:b/>
                <w:bCs/>
                <w:i/>
                <w:iCs/>
                <w:sz w:val="18"/>
                <w:szCs w:val="16"/>
              </w:rPr>
            </w:pPr>
            <w:r>
              <w:rPr>
                <w:b/>
                <w:bCs/>
                <w:i/>
                <w:iCs/>
                <w:sz w:val="18"/>
                <w:szCs w:val="16"/>
              </w:rPr>
              <w:t>Rate</w:t>
            </w:r>
          </w:p>
        </w:tc>
        <w:tc>
          <w:tcPr>
            <w:tcW w:w="392" w:type="dxa"/>
            <w:tcBorders>
              <w:top w:val="single" w:sz="4" w:space="0" w:color="auto"/>
              <w:bottom w:val="single" w:sz="4" w:space="0" w:color="auto"/>
            </w:tcBorders>
            <w:noWrap/>
            <w:vAlign w:val="bottom"/>
          </w:tcPr>
          <w:p w:rsidR="00000000" w:rsidRDefault="00000000">
            <w:pPr>
              <w:spacing w:before="80" w:after="80"/>
              <w:jc w:val="center"/>
              <w:rPr>
                <w:b/>
                <w:bCs/>
                <w:i/>
                <w:iCs/>
                <w:sz w:val="18"/>
                <w:szCs w:val="16"/>
              </w:rPr>
            </w:pPr>
            <w:r>
              <w:rPr>
                <w:b/>
                <w:bCs/>
                <w:i/>
                <w:iCs/>
                <w:sz w:val="18"/>
                <w:szCs w:val="16"/>
              </w:rPr>
              <w:t>No.</w:t>
            </w:r>
          </w:p>
        </w:tc>
        <w:tc>
          <w:tcPr>
            <w:tcW w:w="624" w:type="dxa"/>
            <w:tcBorders>
              <w:top w:val="single" w:sz="4" w:space="0" w:color="auto"/>
              <w:bottom w:val="single" w:sz="4" w:space="0" w:color="auto"/>
            </w:tcBorders>
            <w:noWrap/>
            <w:vAlign w:val="bottom"/>
          </w:tcPr>
          <w:p w:rsidR="00000000" w:rsidRDefault="00000000">
            <w:pPr>
              <w:spacing w:before="80" w:after="80"/>
              <w:jc w:val="center"/>
              <w:rPr>
                <w:b/>
                <w:bCs/>
                <w:i/>
                <w:iCs/>
                <w:sz w:val="18"/>
                <w:szCs w:val="16"/>
              </w:rPr>
            </w:pPr>
            <w:r>
              <w:rPr>
                <w:b/>
                <w:bCs/>
                <w:i/>
                <w:iCs/>
                <w:sz w:val="18"/>
                <w:szCs w:val="16"/>
              </w:rPr>
              <w:t>Rate</w:t>
            </w:r>
          </w:p>
        </w:tc>
        <w:tc>
          <w:tcPr>
            <w:tcW w:w="395" w:type="dxa"/>
            <w:tcBorders>
              <w:top w:val="single" w:sz="4" w:space="0" w:color="auto"/>
              <w:bottom w:val="single" w:sz="4" w:space="0" w:color="auto"/>
            </w:tcBorders>
            <w:noWrap/>
            <w:vAlign w:val="bottom"/>
          </w:tcPr>
          <w:p w:rsidR="00000000" w:rsidRDefault="00000000">
            <w:pPr>
              <w:spacing w:before="80" w:after="80"/>
              <w:jc w:val="center"/>
              <w:rPr>
                <w:b/>
                <w:bCs/>
                <w:i/>
                <w:iCs/>
                <w:sz w:val="18"/>
                <w:szCs w:val="16"/>
              </w:rPr>
            </w:pPr>
            <w:r>
              <w:rPr>
                <w:b/>
                <w:bCs/>
                <w:i/>
                <w:iCs/>
                <w:sz w:val="18"/>
                <w:szCs w:val="16"/>
              </w:rPr>
              <w:t>No.</w:t>
            </w:r>
          </w:p>
        </w:tc>
        <w:tc>
          <w:tcPr>
            <w:tcW w:w="624" w:type="dxa"/>
            <w:tcBorders>
              <w:top w:val="single" w:sz="4" w:space="0" w:color="auto"/>
              <w:bottom w:val="single" w:sz="4" w:space="0" w:color="auto"/>
            </w:tcBorders>
            <w:noWrap/>
            <w:vAlign w:val="bottom"/>
          </w:tcPr>
          <w:p w:rsidR="00000000" w:rsidRDefault="00000000">
            <w:pPr>
              <w:spacing w:before="80" w:after="80"/>
              <w:jc w:val="center"/>
              <w:rPr>
                <w:b/>
                <w:bCs/>
                <w:i/>
                <w:iCs/>
                <w:sz w:val="18"/>
                <w:szCs w:val="16"/>
              </w:rPr>
            </w:pPr>
            <w:r>
              <w:rPr>
                <w:b/>
                <w:bCs/>
                <w:i/>
                <w:iCs/>
                <w:sz w:val="18"/>
                <w:szCs w:val="16"/>
              </w:rPr>
              <w:t>Rate</w:t>
            </w:r>
          </w:p>
        </w:tc>
        <w:tc>
          <w:tcPr>
            <w:tcW w:w="395" w:type="dxa"/>
            <w:tcBorders>
              <w:top w:val="single" w:sz="4" w:space="0" w:color="auto"/>
              <w:bottom w:val="single" w:sz="4" w:space="0" w:color="auto"/>
            </w:tcBorders>
            <w:noWrap/>
            <w:vAlign w:val="bottom"/>
          </w:tcPr>
          <w:p w:rsidR="00000000" w:rsidRDefault="00000000">
            <w:pPr>
              <w:spacing w:before="80" w:after="80"/>
              <w:jc w:val="center"/>
              <w:rPr>
                <w:b/>
                <w:bCs/>
                <w:i/>
                <w:iCs/>
                <w:sz w:val="18"/>
                <w:szCs w:val="16"/>
              </w:rPr>
            </w:pPr>
            <w:r>
              <w:rPr>
                <w:b/>
                <w:bCs/>
                <w:i/>
                <w:iCs/>
                <w:sz w:val="18"/>
                <w:szCs w:val="16"/>
              </w:rPr>
              <w:t>No.</w:t>
            </w:r>
          </w:p>
        </w:tc>
        <w:tc>
          <w:tcPr>
            <w:tcW w:w="624" w:type="dxa"/>
            <w:tcBorders>
              <w:top w:val="single" w:sz="4" w:space="0" w:color="auto"/>
              <w:bottom w:val="single" w:sz="4" w:space="0" w:color="auto"/>
            </w:tcBorders>
            <w:noWrap/>
            <w:vAlign w:val="bottom"/>
          </w:tcPr>
          <w:p w:rsidR="00000000" w:rsidRDefault="00000000">
            <w:pPr>
              <w:spacing w:before="80" w:after="80"/>
              <w:jc w:val="center"/>
              <w:rPr>
                <w:b/>
                <w:bCs/>
                <w:i/>
                <w:iCs/>
                <w:sz w:val="18"/>
                <w:szCs w:val="16"/>
              </w:rPr>
            </w:pPr>
            <w:r>
              <w:rPr>
                <w:b/>
                <w:bCs/>
                <w:i/>
                <w:iCs/>
                <w:sz w:val="18"/>
                <w:szCs w:val="16"/>
              </w:rPr>
              <w:t>Rate</w:t>
            </w:r>
          </w:p>
        </w:tc>
        <w:tc>
          <w:tcPr>
            <w:tcW w:w="395" w:type="dxa"/>
            <w:tcBorders>
              <w:top w:val="single" w:sz="4" w:space="0" w:color="auto"/>
              <w:bottom w:val="single" w:sz="4" w:space="0" w:color="auto"/>
            </w:tcBorders>
            <w:noWrap/>
            <w:vAlign w:val="bottom"/>
          </w:tcPr>
          <w:p w:rsidR="00000000" w:rsidRDefault="00000000">
            <w:pPr>
              <w:spacing w:before="80" w:after="80"/>
              <w:jc w:val="center"/>
              <w:rPr>
                <w:b/>
                <w:bCs/>
                <w:i/>
                <w:iCs/>
                <w:sz w:val="18"/>
                <w:szCs w:val="16"/>
                <w:lang w:val="pt-BR"/>
              </w:rPr>
            </w:pPr>
            <w:r>
              <w:rPr>
                <w:b/>
                <w:bCs/>
                <w:i/>
                <w:iCs/>
                <w:sz w:val="18"/>
                <w:szCs w:val="16"/>
                <w:lang w:val="pt-BR"/>
              </w:rPr>
              <w:t>No.</w:t>
            </w:r>
          </w:p>
        </w:tc>
        <w:tc>
          <w:tcPr>
            <w:tcW w:w="624" w:type="dxa"/>
            <w:tcBorders>
              <w:top w:val="single" w:sz="4" w:space="0" w:color="auto"/>
              <w:bottom w:val="single" w:sz="4" w:space="0" w:color="auto"/>
            </w:tcBorders>
            <w:noWrap/>
            <w:vAlign w:val="bottom"/>
          </w:tcPr>
          <w:p w:rsidR="00000000" w:rsidRDefault="00000000">
            <w:pPr>
              <w:spacing w:before="80" w:after="80"/>
              <w:jc w:val="center"/>
              <w:rPr>
                <w:b/>
                <w:bCs/>
                <w:i/>
                <w:iCs/>
                <w:sz w:val="18"/>
                <w:szCs w:val="16"/>
                <w:lang w:val="pt-BR"/>
              </w:rPr>
            </w:pPr>
            <w:r>
              <w:rPr>
                <w:b/>
                <w:bCs/>
                <w:i/>
                <w:iCs/>
                <w:sz w:val="18"/>
                <w:szCs w:val="16"/>
                <w:lang w:val="pt-BR"/>
              </w:rPr>
              <w:t>Rate</w:t>
            </w:r>
          </w:p>
        </w:tc>
        <w:tc>
          <w:tcPr>
            <w:tcW w:w="395" w:type="dxa"/>
            <w:tcBorders>
              <w:top w:val="single" w:sz="4" w:space="0" w:color="auto"/>
              <w:bottom w:val="single" w:sz="4" w:space="0" w:color="auto"/>
            </w:tcBorders>
            <w:noWrap/>
            <w:vAlign w:val="bottom"/>
          </w:tcPr>
          <w:p w:rsidR="00000000" w:rsidRDefault="00000000">
            <w:pPr>
              <w:spacing w:before="80" w:after="80"/>
              <w:jc w:val="center"/>
              <w:rPr>
                <w:b/>
                <w:bCs/>
                <w:i/>
                <w:iCs/>
                <w:sz w:val="18"/>
                <w:szCs w:val="16"/>
                <w:lang w:val="pt-BR"/>
              </w:rPr>
            </w:pPr>
            <w:r>
              <w:rPr>
                <w:b/>
                <w:bCs/>
                <w:i/>
                <w:iCs/>
                <w:sz w:val="18"/>
                <w:szCs w:val="16"/>
                <w:lang w:val="pt-BR"/>
              </w:rPr>
              <w:t>No.</w:t>
            </w:r>
          </w:p>
        </w:tc>
        <w:tc>
          <w:tcPr>
            <w:tcW w:w="605" w:type="dxa"/>
            <w:tcBorders>
              <w:top w:val="single" w:sz="4" w:space="0" w:color="auto"/>
              <w:bottom w:val="single" w:sz="4" w:space="0" w:color="auto"/>
            </w:tcBorders>
            <w:noWrap/>
            <w:vAlign w:val="bottom"/>
          </w:tcPr>
          <w:p w:rsidR="00000000" w:rsidRDefault="00000000">
            <w:pPr>
              <w:spacing w:before="80" w:after="80"/>
              <w:jc w:val="center"/>
              <w:rPr>
                <w:b/>
                <w:bCs/>
                <w:i/>
                <w:iCs/>
                <w:sz w:val="18"/>
                <w:szCs w:val="16"/>
              </w:rPr>
            </w:pPr>
            <w:r>
              <w:rPr>
                <w:b/>
                <w:bCs/>
                <w:i/>
                <w:iCs/>
                <w:sz w:val="18"/>
                <w:szCs w:val="16"/>
              </w:rPr>
              <w:t>Rate</w:t>
            </w:r>
          </w:p>
        </w:tc>
        <w:tc>
          <w:tcPr>
            <w:tcW w:w="395" w:type="dxa"/>
            <w:tcBorders>
              <w:top w:val="single" w:sz="4" w:space="0" w:color="auto"/>
              <w:bottom w:val="single" w:sz="4" w:space="0" w:color="auto"/>
            </w:tcBorders>
            <w:noWrap/>
            <w:vAlign w:val="bottom"/>
          </w:tcPr>
          <w:p w:rsidR="00000000" w:rsidRDefault="00000000">
            <w:pPr>
              <w:spacing w:before="80" w:after="80"/>
              <w:jc w:val="center"/>
              <w:rPr>
                <w:b/>
                <w:bCs/>
                <w:i/>
                <w:iCs/>
                <w:sz w:val="18"/>
                <w:szCs w:val="16"/>
              </w:rPr>
            </w:pPr>
            <w:r>
              <w:rPr>
                <w:b/>
                <w:bCs/>
                <w:i/>
                <w:iCs/>
                <w:sz w:val="18"/>
                <w:szCs w:val="16"/>
              </w:rPr>
              <w:t>No.</w:t>
            </w:r>
          </w:p>
        </w:tc>
        <w:tc>
          <w:tcPr>
            <w:tcW w:w="624" w:type="dxa"/>
            <w:tcBorders>
              <w:top w:val="single" w:sz="4" w:space="0" w:color="auto"/>
              <w:bottom w:val="single" w:sz="4" w:space="0" w:color="auto"/>
            </w:tcBorders>
            <w:noWrap/>
            <w:vAlign w:val="bottom"/>
          </w:tcPr>
          <w:p w:rsidR="00000000" w:rsidRDefault="00000000">
            <w:pPr>
              <w:spacing w:before="80" w:after="80"/>
              <w:jc w:val="center"/>
              <w:rPr>
                <w:b/>
                <w:bCs/>
                <w:i/>
                <w:iCs/>
                <w:sz w:val="18"/>
                <w:szCs w:val="16"/>
              </w:rPr>
            </w:pPr>
            <w:r>
              <w:rPr>
                <w:b/>
                <w:bCs/>
                <w:i/>
                <w:iCs/>
                <w:sz w:val="18"/>
                <w:szCs w:val="16"/>
              </w:rPr>
              <w:t>Rate</w:t>
            </w:r>
          </w:p>
        </w:tc>
      </w:tr>
      <w:tr w:rsidR="00000000">
        <w:trPr>
          <w:jc w:val="center"/>
        </w:trPr>
        <w:tc>
          <w:tcPr>
            <w:tcW w:w="1267" w:type="dxa"/>
            <w:tcBorders>
              <w:top w:val="single" w:sz="4" w:space="0" w:color="auto"/>
            </w:tcBorders>
            <w:noWrap/>
            <w:vAlign w:val="bottom"/>
          </w:tcPr>
          <w:p w:rsidR="00000000" w:rsidRDefault="00000000">
            <w:pPr>
              <w:spacing w:before="80" w:after="80"/>
              <w:rPr>
                <w:sz w:val="18"/>
                <w:szCs w:val="16"/>
              </w:rPr>
            </w:pPr>
            <w:r>
              <w:rPr>
                <w:sz w:val="18"/>
                <w:szCs w:val="16"/>
              </w:rPr>
              <w:t xml:space="preserve">1.  Abortion </w:t>
            </w:r>
          </w:p>
        </w:tc>
        <w:tc>
          <w:tcPr>
            <w:tcW w:w="397" w:type="dxa"/>
            <w:tcBorders>
              <w:top w:val="single" w:sz="4" w:space="0" w:color="auto"/>
            </w:tcBorders>
            <w:noWrap/>
            <w:vAlign w:val="bottom"/>
          </w:tcPr>
          <w:p w:rsidR="00000000" w:rsidRDefault="00000000">
            <w:pPr>
              <w:spacing w:before="80" w:after="80"/>
              <w:jc w:val="center"/>
              <w:rPr>
                <w:sz w:val="18"/>
                <w:szCs w:val="16"/>
                <w:lang w:val="pt-BR"/>
              </w:rPr>
            </w:pPr>
            <w:r>
              <w:rPr>
                <w:sz w:val="18"/>
                <w:szCs w:val="16"/>
                <w:lang w:val="pt-BR"/>
              </w:rPr>
              <w:t>34</w:t>
            </w:r>
          </w:p>
        </w:tc>
        <w:tc>
          <w:tcPr>
            <w:tcW w:w="671" w:type="dxa"/>
            <w:tcBorders>
              <w:top w:val="single" w:sz="4" w:space="0" w:color="auto"/>
            </w:tcBorders>
            <w:noWrap/>
            <w:vAlign w:val="bottom"/>
          </w:tcPr>
          <w:p w:rsidR="00000000" w:rsidRDefault="00000000">
            <w:pPr>
              <w:spacing w:before="80" w:after="80"/>
              <w:jc w:val="center"/>
              <w:rPr>
                <w:sz w:val="18"/>
                <w:szCs w:val="16"/>
                <w:lang w:val="pt-BR"/>
              </w:rPr>
            </w:pPr>
            <w:r>
              <w:rPr>
                <w:sz w:val="18"/>
                <w:szCs w:val="16"/>
                <w:lang w:val="pt-BR"/>
              </w:rPr>
              <w:t>38.5</w:t>
            </w:r>
          </w:p>
        </w:tc>
        <w:tc>
          <w:tcPr>
            <w:tcW w:w="392" w:type="dxa"/>
            <w:tcBorders>
              <w:top w:val="single" w:sz="4" w:space="0" w:color="auto"/>
            </w:tcBorders>
            <w:noWrap/>
            <w:vAlign w:val="bottom"/>
          </w:tcPr>
          <w:p w:rsidR="00000000" w:rsidRDefault="00000000">
            <w:pPr>
              <w:spacing w:before="80" w:after="80"/>
              <w:jc w:val="center"/>
              <w:rPr>
                <w:sz w:val="18"/>
                <w:szCs w:val="16"/>
                <w:lang w:val="pt-BR"/>
              </w:rPr>
            </w:pPr>
            <w:r>
              <w:rPr>
                <w:sz w:val="18"/>
                <w:szCs w:val="16"/>
                <w:lang w:val="pt-BR"/>
              </w:rPr>
              <w:t>25</w:t>
            </w:r>
          </w:p>
        </w:tc>
        <w:tc>
          <w:tcPr>
            <w:tcW w:w="625" w:type="dxa"/>
            <w:tcBorders>
              <w:top w:val="single" w:sz="4" w:space="0" w:color="auto"/>
            </w:tcBorders>
            <w:noWrap/>
            <w:vAlign w:val="bottom"/>
          </w:tcPr>
          <w:p w:rsidR="00000000" w:rsidRDefault="00000000">
            <w:pPr>
              <w:spacing w:before="80" w:after="80"/>
              <w:jc w:val="center"/>
              <w:rPr>
                <w:sz w:val="18"/>
                <w:szCs w:val="16"/>
                <w:lang w:val="pt-BR"/>
              </w:rPr>
            </w:pPr>
            <w:r>
              <w:rPr>
                <w:sz w:val="18"/>
                <w:szCs w:val="16"/>
                <w:lang w:val="pt-BR"/>
              </w:rPr>
              <w:t>28.3</w:t>
            </w:r>
          </w:p>
        </w:tc>
        <w:tc>
          <w:tcPr>
            <w:tcW w:w="392" w:type="dxa"/>
            <w:tcBorders>
              <w:top w:val="single" w:sz="4" w:space="0" w:color="auto"/>
            </w:tcBorders>
            <w:noWrap/>
            <w:vAlign w:val="bottom"/>
          </w:tcPr>
          <w:p w:rsidR="00000000" w:rsidRDefault="00000000">
            <w:pPr>
              <w:spacing w:before="80" w:after="80"/>
              <w:jc w:val="center"/>
              <w:rPr>
                <w:sz w:val="18"/>
                <w:szCs w:val="16"/>
                <w:lang w:val="pt-BR"/>
              </w:rPr>
            </w:pPr>
            <w:r>
              <w:rPr>
                <w:sz w:val="18"/>
                <w:szCs w:val="16"/>
                <w:lang w:val="pt-BR"/>
              </w:rPr>
              <w:t>16</w:t>
            </w:r>
          </w:p>
        </w:tc>
        <w:tc>
          <w:tcPr>
            <w:tcW w:w="624" w:type="dxa"/>
            <w:tcBorders>
              <w:top w:val="single" w:sz="4" w:space="0" w:color="auto"/>
            </w:tcBorders>
            <w:noWrap/>
            <w:vAlign w:val="bottom"/>
          </w:tcPr>
          <w:p w:rsidR="00000000" w:rsidRDefault="00000000">
            <w:pPr>
              <w:spacing w:before="80" w:after="80"/>
              <w:jc w:val="center"/>
              <w:rPr>
                <w:sz w:val="18"/>
                <w:szCs w:val="16"/>
                <w:lang w:val="pt-BR"/>
              </w:rPr>
            </w:pPr>
            <w:r>
              <w:rPr>
                <w:sz w:val="18"/>
                <w:szCs w:val="16"/>
                <w:lang w:val="pt-BR"/>
              </w:rPr>
              <w:t>18.5</w:t>
            </w:r>
          </w:p>
        </w:tc>
        <w:tc>
          <w:tcPr>
            <w:tcW w:w="395" w:type="dxa"/>
            <w:tcBorders>
              <w:top w:val="single" w:sz="4" w:space="0" w:color="auto"/>
            </w:tcBorders>
            <w:noWrap/>
            <w:vAlign w:val="bottom"/>
          </w:tcPr>
          <w:p w:rsidR="00000000" w:rsidRDefault="00000000">
            <w:pPr>
              <w:spacing w:before="80" w:after="80"/>
              <w:jc w:val="center"/>
              <w:rPr>
                <w:sz w:val="18"/>
                <w:szCs w:val="16"/>
                <w:lang w:val="pt-BR"/>
              </w:rPr>
            </w:pPr>
            <w:r>
              <w:rPr>
                <w:sz w:val="18"/>
                <w:szCs w:val="16"/>
                <w:lang w:val="pt-BR"/>
              </w:rPr>
              <w:t>23</w:t>
            </w:r>
          </w:p>
        </w:tc>
        <w:tc>
          <w:tcPr>
            <w:tcW w:w="624" w:type="dxa"/>
            <w:tcBorders>
              <w:top w:val="single" w:sz="4" w:space="0" w:color="auto"/>
            </w:tcBorders>
            <w:noWrap/>
            <w:vAlign w:val="bottom"/>
          </w:tcPr>
          <w:p w:rsidR="00000000" w:rsidRDefault="00000000">
            <w:pPr>
              <w:spacing w:before="80" w:after="80"/>
              <w:jc w:val="center"/>
              <w:rPr>
                <w:sz w:val="18"/>
                <w:szCs w:val="16"/>
                <w:lang w:val="pt-BR"/>
              </w:rPr>
            </w:pPr>
            <w:r>
              <w:rPr>
                <w:sz w:val="18"/>
                <w:szCs w:val="16"/>
                <w:lang w:val="pt-BR"/>
              </w:rPr>
              <w:t>25.6</w:t>
            </w:r>
          </w:p>
        </w:tc>
        <w:tc>
          <w:tcPr>
            <w:tcW w:w="395" w:type="dxa"/>
            <w:tcBorders>
              <w:top w:val="single" w:sz="4" w:space="0" w:color="auto"/>
            </w:tcBorders>
            <w:noWrap/>
            <w:vAlign w:val="bottom"/>
          </w:tcPr>
          <w:p w:rsidR="00000000" w:rsidRDefault="00000000">
            <w:pPr>
              <w:spacing w:before="80" w:after="80"/>
              <w:jc w:val="center"/>
              <w:rPr>
                <w:sz w:val="18"/>
                <w:szCs w:val="16"/>
                <w:lang w:val="pt-BR"/>
              </w:rPr>
            </w:pPr>
            <w:r>
              <w:rPr>
                <w:sz w:val="18"/>
                <w:szCs w:val="16"/>
                <w:lang w:val="pt-BR"/>
              </w:rPr>
              <w:t>35</w:t>
            </w:r>
          </w:p>
        </w:tc>
        <w:tc>
          <w:tcPr>
            <w:tcW w:w="624" w:type="dxa"/>
            <w:tcBorders>
              <w:top w:val="single" w:sz="4" w:space="0" w:color="auto"/>
            </w:tcBorders>
            <w:noWrap/>
            <w:vAlign w:val="bottom"/>
          </w:tcPr>
          <w:p w:rsidR="00000000" w:rsidRDefault="00000000">
            <w:pPr>
              <w:spacing w:before="80" w:after="80"/>
              <w:jc w:val="center"/>
              <w:rPr>
                <w:sz w:val="18"/>
                <w:szCs w:val="16"/>
                <w:lang w:val="pt-BR"/>
              </w:rPr>
            </w:pPr>
            <w:r>
              <w:rPr>
                <w:sz w:val="18"/>
                <w:szCs w:val="16"/>
                <w:lang w:val="pt-BR"/>
              </w:rPr>
              <w:t>40.7</w:t>
            </w:r>
          </w:p>
        </w:tc>
        <w:tc>
          <w:tcPr>
            <w:tcW w:w="395" w:type="dxa"/>
            <w:tcBorders>
              <w:top w:val="single" w:sz="4" w:space="0" w:color="auto"/>
            </w:tcBorders>
            <w:noWrap/>
            <w:vAlign w:val="bottom"/>
          </w:tcPr>
          <w:p w:rsidR="00000000" w:rsidRDefault="00000000">
            <w:pPr>
              <w:spacing w:before="80" w:after="80"/>
              <w:jc w:val="center"/>
              <w:rPr>
                <w:sz w:val="18"/>
                <w:szCs w:val="16"/>
                <w:lang w:val="pt-BR"/>
              </w:rPr>
            </w:pPr>
            <w:r>
              <w:rPr>
                <w:sz w:val="18"/>
                <w:szCs w:val="16"/>
                <w:lang w:val="pt-BR"/>
              </w:rPr>
              <w:t>32</w:t>
            </w:r>
          </w:p>
        </w:tc>
        <w:tc>
          <w:tcPr>
            <w:tcW w:w="624" w:type="dxa"/>
            <w:tcBorders>
              <w:top w:val="single" w:sz="4" w:space="0" w:color="auto"/>
            </w:tcBorders>
            <w:noWrap/>
            <w:vAlign w:val="bottom"/>
          </w:tcPr>
          <w:p w:rsidR="00000000" w:rsidRDefault="00000000">
            <w:pPr>
              <w:spacing w:before="80" w:after="80"/>
              <w:jc w:val="center"/>
              <w:rPr>
                <w:sz w:val="18"/>
                <w:szCs w:val="16"/>
                <w:lang w:val="pt-BR"/>
              </w:rPr>
            </w:pPr>
            <w:r>
              <w:rPr>
                <w:sz w:val="18"/>
                <w:szCs w:val="16"/>
                <w:lang w:val="pt-BR"/>
              </w:rPr>
              <w:t>38.1</w:t>
            </w:r>
          </w:p>
        </w:tc>
        <w:tc>
          <w:tcPr>
            <w:tcW w:w="395" w:type="dxa"/>
            <w:tcBorders>
              <w:top w:val="single" w:sz="4" w:space="0" w:color="auto"/>
            </w:tcBorders>
            <w:noWrap/>
            <w:vAlign w:val="bottom"/>
          </w:tcPr>
          <w:p w:rsidR="00000000" w:rsidRDefault="00000000">
            <w:pPr>
              <w:spacing w:before="80" w:after="80"/>
              <w:jc w:val="center"/>
              <w:rPr>
                <w:sz w:val="18"/>
                <w:szCs w:val="16"/>
                <w:lang w:val="pt-BR"/>
              </w:rPr>
            </w:pPr>
            <w:r>
              <w:rPr>
                <w:sz w:val="18"/>
                <w:szCs w:val="16"/>
                <w:lang w:val="pt-BR"/>
              </w:rPr>
              <w:t>39</w:t>
            </w:r>
          </w:p>
        </w:tc>
        <w:tc>
          <w:tcPr>
            <w:tcW w:w="605" w:type="dxa"/>
            <w:tcBorders>
              <w:top w:val="single" w:sz="4" w:space="0" w:color="auto"/>
            </w:tcBorders>
            <w:noWrap/>
            <w:vAlign w:val="bottom"/>
          </w:tcPr>
          <w:p w:rsidR="00000000" w:rsidRDefault="00000000">
            <w:pPr>
              <w:spacing w:before="80" w:after="80"/>
              <w:jc w:val="center"/>
              <w:rPr>
                <w:sz w:val="18"/>
                <w:szCs w:val="16"/>
                <w:lang w:val="pt-BR"/>
              </w:rPr>
            </w:pPr>
            <w:r>
              <w:rPr>
                <w:sz w:val="18"/>
                <w:szCs w:val="16"/>
                <w:lang w:val="pt-BR"/>
              </w:rPr>
              <w:t>43.3</w:t>
            </w:r>
          </w:p>
        </w:tc>
        <w:tc>
          <w:tcPr>
            <w:tcW w:w="395" w:type="dxa"/>
            <w:tcBorders>
              <w:top w:val="single" w:sz="4" w:space="0" w:color="auto"/>
            </w:tcBorders>
            <w:noWrap/>
            <w:vAlign w:val="bottom"/>
          </w:tcPr>
          <w:p w:rsidR="00000000" w:rsidRDefault="00000000">
            <w:pPr>
              <w:spacing w:before="80" w:after="80"/>
              <w:jc w:val="center"/>
              <w:rPr>
                <w:sz w:val="18"/>
                <w:szCs w:val="16"/>
                <w:lang w:val="pt-BR"/>
              </w:rPr>
            </w:pPr>
            <w:r>
              <w:rPr>
                <w:sz w:val="18"/>
                <w:szCs w:val="16"/>
                <w:lang w:val="pt-BR"/>
              </w:rPr>
              <w:t>36</w:t>
            </w:r>
          </w:p>
        </w:tc>
        <w:tc>
          <w:tcPr>
            <w:tcW w:w="624" w:type="dxa"/>
            <w:tcBorders>
              <w:top w:val="single" w:sz="4" w:space="0" w:color="auto"/>
            </w:tcBorders>
            <w:noWrap/>
            <w:vAlign w:val="bottom"/>
          </w:tcPr>
          <w:p w:rsidR="00000000" w:rsidRDefault="00000000">
            <w:pPr>
              <w:spacing w:before="80" w:after="80"/>
              <w:jc w:val="center"/>
              <w:rPr>
                <w:sz w:val="18"/>
                <w:szCs w:val="16"/>
                <w:lang w:val="pt-BR"/>
              </w:rPr>
            </w:pPr>
            <w:r>
              <w:rPr>
                <w:sz w:val="18"/>
                <w:szCs w:val="16"/>
                <w:lang w:val="pt-BR"/>
              </w:rPr>
              <w:t>41.5</w:t>
            </w:r>
          </w:p>
        </w:tc>
      </w:tr>
      <w:tr w:rsidR="00000000">
        <w:trPr>
          <w:jc w:val="center"/>
        </w:trPr>
        <w:tc>
          <w:tcPr>
            <w:tcW w:w="1267" w:type="dxa"/>
            <w:noWrap/>
            <w:vAlign w:val="bottom"/>
          </w:tcPr>
          <w:p w:rsidR="00000000" w:rsidRDefault="00000000">
            <w:pPr>
              <w:spacing w:before="80" w:after="80"/>
              <w:rPr>
                <w:sz w:val="18"/>
                <w:szCs w:val="16"/>
                <w:lang w:val="pt-BR"/>
              </w:rPr>
            </w:pPr>
            <w:r>
              <w:rPr>
                <w:sz w:val="18"/>
                <w:szCs w:val="16"/>
                <w:lang w:val="pt-BR"/>
              </w:rPr>
              <w:t>2.  Toxaemia</w:t>
            </w:r>
          </w:p>
        </w:tc>
        <w:tc>
          <w:tcPr>
            <w:tcW w:w="397" w:type="dxa"/>
            <w:noWrap/>
            <w:vAlign w:val="bottom"/>
          </w:tcPr>
          <w:p w:rsidR="00000000" w:rsidRDefault="00000000">
            <w:pPr>
              <w:spacing w:before="80" w:after="80"/>
              <w:jc w:val="center"/>
              <w:rPr>
                <w:sz w:val="18"/>
                <w:szCs w:val="16"/>
                <w:lang w:val="pt-BR"/>
              </w:rPr>
            </w:pPr>
            <w:r>
              <w:rPr>
                <w:sz w:val="18"/>
                <w:szCs w:val="16"/>
                <w:lang w:val="pt-BR"/>
              </w:rPr>
              <w:t>23</w:t>
            </w:r>
          </w:p>
        </w:tc>
        <w:tc>
          <w:tcPr>
            <w:tcW w:w="671" w:type="dxa"/>
            <w:noWrap/>
            <w:vAlign w:val="bottom"/>
          </w:tcPr>
          <w:p w:rsidR="00000000" w:rsidRDefault="00000000">
            <w:pPr>
              <w:spacing w:before="80" w:after="80"/>
              <w:jc w:val="center"/>
              <w:rPr>
                <w:sz w:val="18"/>
                <w:szCs w:val="16"/>
                <w:lang w:val="pt-BR"/>
              </w:rPr>
            </w:pPr>
            <w:r>
              <w:rPr>
                <w:sz w:val="18"/>
                <w:szCs w:val="16"/>
                <w:lang w:val="pt-BR"/>
              </w:rPr>
              <w:t>26.0</w:t>
            </w:r>
          </w:p>
        </w:tc>
        <w:tc>
          <w:tcPr>
            <w:tcW w:w="392" w:type="dxa"/>
            <w:noWrap/>
            <w:vAlign w:val="bottom"/>
          </w:tcPr>
          <w:p w:rsidR="00000000" w:rsidRDefault="00000000">
            <w:pPr>
              <w:spacing w:before="80" w:after="80"/>
              <w:jc w:val="center"/>
              <w:rPr>
                <w:sz w:val="18"/>
                <w:szCs w:val="16"/>
                <w:lang w:val="pt-BR"/>
              </w:rPr>
            </w:pPr>
            <w:r>
              <w:rPr>
                <w:sz w:val="18"/>
                <w:szCs w:val="16"/>
                <w:lang w:val="pt-BR"/>
              </w:rPr>
              <w:t>15</w:t>
            </w:r>
          </w:p>
        </w:tc>
        <w:tc>
          <w:tcPr>
            <w:tcW w:w="625" w:type="dxa"/>
            <w:noWrap/>
            <w:vAlign w:val="bottom"/>
          </w:tcPr>
          <w:p w:rsidR="00000000" w:rsidRDefault="00000000">
            <w:pPr>
              <w:spacing w:before="80" w:after="80"/>
              <w:jc w:val="center"/>
              <w:rPr>
                <w:sz w:val="18"/>
                <w:szCs w:val="16"/>
                <w:lang w:val="pt-BR"/>
              </w:rPr>
            </w:pPr>
            <w:r>
              <w:rPr>
                <w:sz w:val="18"/>
                <w:szCs w:val="16"/>
                <w:lang w:val="pt-BR"/>
              </w:rPr>
              <w:t>17.0</w:t>
            </w:r>
          </w:p>
        </w:tc>
        <w:tc>
          <w:tcPr>
            <w:tcW w:w="392" w:type="dxa"/>
            <w:noWrap/>
            <w:vAlign w:val="bottom"/>
          </w:tcPr>
          <w:p w:rsidR="00000000" w:rsidRDefault="00000000">
            <w:pPr>
              <w:spacing w:before="80" w:after="80"/>
              <w:jc w:val="center"/>
              <w:rPr>
                <w:sz w:val="18"/>
                <w:szCs w:val="16"/>
                <w:lang w:val="pt-BR"/>
              </w:rPr>
            </w:pPr>
            <w:r>
              <w:rPr>
                <w:sz w:val="18"/>
                <w:szCs w:val="16"/>
                <w:lang w:val="pt-BR"/>
              </w:rPr>
              <w:t>23</w:t>
            </w:r>
          </w:p>
        </w:tc>
        <w:tc>
          <w:tcPr>
            <w:tcW w:w="624" w:type="dxa"/>
            <w:noWrap/>
            <w:vAlign w:val="bottom"/>
          </w:tcPr>
          <w:p w:rsidR="00000000" w:rsidRDefault="00000000">
            <w:pPr>
              <w:spacing w:before="80" w:after="80"/>
              <w:jc w:val="center"/>
              <w:rPr>
                <w:sz w:val="18"/>
                <w:szCs w:val="16"/>
                <w:lang w:val="pt-BR"/>
              </w:rPr>
            </w:pPr>
            <w:r>
              <w:rPr>
                <w:sz w:val="18"/>
                <w:szCs w:val="16"/>
                <w:lang w:val="pt-BR"/>
              </w:rPr>
              <w:t>26.6</w:t>
            </w:r>
          </w:p>
        </w:tc>
        <w:tc>
          <w:tcPr>
            <w:tcW w:w="395" w:type="dxa"/>
            <w:noWrap/>
            <w:vAlign w:val="bottom"/>
          </w:tcPr>
          <w:p w:rsidR="00000000" w:rsidRDefault="00000000">
            <w:pPr>
              <w:spacing w:before="80" w:after="80"/>
              <w:jc w:val="center"/>
              <w:rPr>
                <w:sz w:val="18"/>
                <w:szCs w:val="16"/>
                <w:lang w:val="pt-BR"/>
              </w:rPr>
            </w:pPr>
            <w:r>
              <w:rPr>
                <w:sz w:val="18"/>
                <w:szCs w:val="16"/>
                <w:lang w:val="pt-BR"/>
              </w:rPr>
              <w:t>21</w:t>
            </w:r>
          </w:p>
        </w:tc>
        <w:tc>
          <w:tcPr>
            <w:tcW w:w="624" w:type="dxa"/>
            <w:noWrap/>
            <w:vAlign w:val="bottom"/>
          </w:tcPr>
          <w:p w:rsidR="00000000" w:rsidRDefault="00000000">
            <w:pPr>
              <w:spacing w:before="80" w:after="80"/>
              <w:jc w:val="center"/>
              <w:rPr>
                <w:sz w:val="18"/>
                <w:szCs w:val="16"/>
                <w:lang w:val="pt-BR"/>
              </w:rPr>
            </w:pPr>
            <w:r>
              <w:rPr>
                <w:sz w:val="18"/>
                <w:szCs w:val="16"/>
                <w:lang w:val="pt-BR"/>
              </w:rPr>
              <w:t>23.3</w:t>
            </w:r>
          </w:p>
        </w:tc>
        <w:tc>
          <w:tcPr>
            <w:tcW w:w="395" w:type="dxa"/>
            <w:noWrap/>
            <w:vAlign w:val="bottom"/>
          </w:tcPr>
          <w:p w:rsidR="00000000" w:rsidRDefault="00000000">
            <w:pPr>
              <w:spacing w:before="80" w:after="80"/>
              <w:jc w:val="center"/>
              <w:rPr>
                <w:sz w:val="18"/>
                <w:szCs w:val="16"/>
                <w:lang w:val="pt-BR"/>
              </w:rPr>
            </w:pPr>
            <w:r>
              <w:rPr>
                <w:sz w:val="18"/>
                <w:szCs w:val="16"/>
                <w:lang w:val="pt-BR"/>
              </w:rPr>
              <w:t>37</w:t>
            </w:r>
          </w:p>
        </w:tc>
        <w:tc>
          <w:tcPr>
            <w:tcW w:w="624" w:type="dxa"/>
            <w:noWrap/>
            <w:vAlign w:val="bottom"/>
          </w:tcPr>
          <w:p w:rsidR="00000000" w:rsidRDefault="00000000">
            <w:pPr>
              <w:spacing w:before="80" w:after="80"/>
              <w:jc w:val="center"/>
              <w:rPr>
                <w:sz w:val="18"/>
                <w:szCs w:val="16"/>
                <w:lang w:val="pt-BR"/>
              </w:rPr>
            </w:pPr>
            <w:r>
              <w:rPr>
                <w:sz w:val="18"/>
                <w:szCs w:val="16"/>
                <w:lang w:val="pt-BR"/>
              </w:rPr>
              <w:t>43.0</w:t>
            </w:r>
          </w:p>
        </w:tc>
        <w:tc>
          <w:tcPr>
            <w:tcW w:w="395" w:type="dxa"/>
            <w:noWrap/>
            <w:vAlign w:val="bottom"/>
          </w:tcPr>
          <w:p w:rsidR="00000000" w:rsidRDefault="00000000">
            <w:pPr>
              <w:spacing w:before="80" w:after="80"/>
              <w:jc w:val="center"/>
              <w:rPr>
                <w:sz w:val="18"/>
                <w:szCs w:val="16"/>
                <w:lang w:val="pt-BR"/>
              </w:rPr>
            </w:pPr>
            <w:r>
              <w:rPr>
                <w:sz w:val="18"/>
                <w:szCs w:val="16"/>
                <w:lang w:val="pt-BR"/>
              </w:rPr>
              <w:t>20</w:t>
            </w:r>
          </w:p>
        </w:tc>
        <w:tc>
          <w:tcPr>
            <w:tcW w:w="624" w:type="dxa"/>
            <w:noWrap/>
            <w:vAlign w:val="bottom"/>
          </w:tcPr>
          <w:p w:rsidR="00000000" w:rsidRDefault="00000000">
            <w:pPr>
              <w:spacing w:before="80" w:after="80"/>
              <w:jc w:val="center"/>
              <w:rPr>
                <w:sz w:val="18"/>
                <w:szCs w:val="16"/>
                <w:lang w:val="pt-BR"/>
              </w:rPr>
            </w:pPr>
            <w:r>
              <w:rPr>
                <w:sz w:val="18"/>
                <w:szCs w:val="16"/>
                <w:lang w:val="pt-BR"/>
              </w:rPr>
              <w:t>23.8</w:t>
            </w:r>
          </w:p>
        </w:tc>
        <w:tc>
          <w:tcPr>
            <w:tcW w:w="395" w:type="dxa"/>
            <w:noWrap/>
            <w:vAlign w:val="bottom"/>
          </w:tcPr>
          <w:p w:rsidR="00000000" w:rsidRDefault="00000000">
            <w:pPr>
              <w:spacing w:before="80" w:after="80"/>
              <w:jc w:val="center"/>
              <w:rPr>
                <w:sz w:val="18"/>
                <w:szCs w:val="16"/>
                <w:lang w:val="pt-BR"/>
              </w:rPr>
            </w:pPr>
            <w:r>
              <w:rPr>
                <w:sz w:val="18"/>
                <w:szCs w:val="16"/>
                <w:lang w:val="pt-BR"/>
              </w:rPr>
              <w:t>27</w:t>
            </w:r>
          </w:p>
        </w:tc>
        <w:tc>
          <w:tcPr>
            <w:tcW w:w="605" w:type="dxa"/>
            <w:noWrap/>
            <w:vAlign w:val="bottom"/>
          </w:tcPr>
          <w:p w:rsidR="00000000" w:rsidRDefault="00000000">
            <w:pPr>
              <w:spacing w:before="80" w:after="80"/>
              <w:jc w:val="center"/>
              <w:rPr>
                <w:sz w:val="18"/>
                <w:szCs w:val="16"/>
                <w:lang w:val="pt-BR"/>
              </w:rPr>
            </w:pPr>
            <w:r>
              <w:rPr>
                <w:sz w:val="18"/>
                <w:szCs w:val="16"/>
                <w:lang w:val="pt-BR"/>
              </w:rPr>
              <w:t>30.0</w:t>
            </w:r>
          </w:p>
        </w:tc>
        <w:tc>
          <w:tcPr>
            <w:tcW w:w="395" w:type="dxa"/>
            <w:noWrap/>
            <w:vAlign w:val="bottom"/>
          </w:tcPr>
          <w:p w:rsidR="00000000" w:rsidRDefault="00000000">
            <w:pPr>
              <w:spacing w:before="80" w:after="80"/>
              <w:jc w:val="center"/>
              <w:rPr>
                <w:sz w:val="18"/>
                <w:szCs w:val="16"/>
                <w:lang w:val="pt-BR"/>
              </w:rPr>
            </w:pPr>
            <w:r>
              <w:rPr>
                <w:sz w:val="18"/>
                <w:szCs w:val="16"/>
                <w:lang w:val="pt-BR"/>
              </w:rPr>
              <w:t>32</w:t>
            </w:r>
          </w:p>
        </w:tc>
        <w:tc>
          <w:tcPr>
            <w:tcW w:w="624" w:type="dxa"/>
            <w:noWrap/>
            <w:vAlign w:val="bottom"/>
          </w:tcPr>
          <w:p w:rsidR="00000000" w:rsidRDefault="00000000">
            <w:pPr>
              <w:spacing w:before="80" w:after="80"/>
              <w:jc w:val="center"/>
              <w:rPr>
                <w:sz w:val="18"/>
                <w:szCs w:val="16"/>
                <w:lang w:val="pt-BR"/>
              </w:rPr>
            </w:pPr>
            <w:r>
              <w:rPr>
                <w:sz w:val="18"/>
                <w:szCs w:val="16"/>
                <w:lang w:val="pt-BR"/>
              </w:rPr>
              <w:t>36.9</w:t>
            </w:r>
          </w:p>
        </w:tc>
      </w:tr>
      <w:tr w:rsidR="00000000">
        <w:trPr>
          <w:jc w:val="center"/>
        </w:trPr>
        <w:tc>
          <w:tcPr>
            <w:tcW w:w="1267" w:type="dxa"/>
            <w:noWrap/>
            <w:vAlign w:val="bottom"/>
          </w:tcPr>
          <w:p w:rsidR="00000000" w:rsidRDefault="00000000">
            <w:pPr>
              <w:spacing w:before="80" w:after="80"/>
              <w:rPr>
                <w:sz w:val="18"/>
                <w:szCs w:val="16"/>
                <w:lang w:val="pt-BR"/>
              </w:rPr>
            </w:pPr>
            <w:r>
              <w:rPr>
                <w:sz w:val="18"/>
                <w:szCs w:val="16"/>
                <w:lang w:val="pt-BR"/>
              </w:rPr>
              <w:t>3.  Haemorrhage</w:t>
            </w:r>
          </w:p>
        </w:tc>
        <w:tc>
          <w:tcPr>
            <w:tcW w:w="397" w:type="dxa"/>
            <w:noWrap/>
            <w:vAlign w:val="bottom"/>
          </w:tcPr>
          <w:p w:rsidR="00000000" w:rsidRDefault="00000000">
            <w:pPr>
              <w:spacing w:before="80" w:after="80"/>
              <w:jc w:val="center"/>
              <w:rPr>
                <w:sz w:val="18"/>
                <w:szCs w:val="16"/>
                <w:lang w:val="pt-BR"/>
              </w:rPr>
            </w:pPr>
            <w:r>
              <w:rPr>
                <w:sz w:val="18"/>
                <w:szCs w:val="16"/>
                <w:lang w:val="pt-BR"/>
              </w:rPr>
              <w:t>21</w:t>
            </w:r>
          </w:p>
        </w:tc>
        <w:tc>
          <w:tcPr>
            <w:tcW w:w="671" w:type="dxa"/>
            <w:noWrap/>
            <w:vAlign w:val="bottom"/>
          </w:tcPr>
          <w:p w:rsidR="00000000" w:rsidRDefault="00000000">
            <w:pPr>
              <w:spacing w:before="80" w:after="80"/>
              <w:jc w:val="center"/>
              <w:rPr>
                <w:sz w:val="18"/>
                <w:szCs w:val="16"/>
                <w:lang w:val="pt-BR"/>
              </w:rPr>
            </w:pPr>
            <w:r>
              <w:rPr>
                <w:sz w:val="18"/>
                <w:szCs w:val="16"/>
                <w:lang w:val="pt-BR"/>
              </w:rPr>
              <w:t>23.8</w:t>
            </w:r>
          </w:p>
        </w:tc>
        <w:tc>
          <w:tcPr>
            <w:tcW w:w="392" w:type="dxa"/>
            <w:noWrap/>
            <w:vAlign w:val="bottom"/>
          </w:tcPr>
          <w:p w:rsidR="00000000" w:rsidRDefault="00000000">
            <w:pPr>
              <w:spacing w:before="80" w:after="80"/>
              <w:jc w:val="center"/>
              <w:rPr>
                <w:sz w:val="18"/>
                <w:szCs w:val="16"/>
                <w:lang w:val="pt-BR"/>
              </w:rPr>
            </w:pPr>
            <w:r>
              <w:rPr>
                <w:sz w:val="18"/>
                <w:szCs w:val="16"/>
                <w:lang w:val="pt-BR"/>
              </w:rPr>
              <w:t>27</w:t>
            </w:r>
          </w:p>
        </w:tc>
        <w:tc>
          <w:tcPr>
            <w:tcW w:w="625" w:type="dxa"/>
            <w:noWrap/>
            <w:vAlign w:val="bottom"/>
          </w:tcPr>
          <w:p w:rsidR="00000000" w:rsidRDefault="00000000">
            <w:pPr>
              <w:spacing w:before="80" w:after="80"/>
              <w:jc w:val="center"/>
              <w:rPr>
                <w:sz w:val="18"/>
                <w:szCs w:val="16"/>
                <w:lang w:val="pt-BR"/>
              </w:rPr>
            </w:pPr>
            <w:r>
              <w:rPr>
                <w:sz w:val="18"/>
                <w:szCs w:val="16"/>
                <w:lang w:val="pt-BR"/>
              </w:rPr>
              <w:t>30.5</w:t>
            </w:r>
          </w:p>
        </w:tc>
        <w:tc>
          <w:tcPr>
            <w:tcW w:w="392" w:type="dxa"/>
            <w:noWrap/>
            <w:vAlign w:val="bottom"/>
          </w:tcPr>
          <w:p w:rsidR="00000000" w:rsidRDefault="00000000">
            <w:pPr>
              <w:spacing w:before="80" w:after="80"/>
              <w:jc w:val="center"/>
              <w:rPr>
                <w:sz w:val="18"/>
                <w:szCs w:val="16"/>
                <w:lang w:val="pt-BR"/>
              </w:rPr>
            </w:pPr>
            <w:r>
              <w:rPr>
                <w:sz w:val="18"/>
                <w:szCs w:val="16"/>
                <w:lang w:val="pt-BR"/>
              </w:rPr>
              <w:t>25</w:t>
            </w:r>
          </w:p>
        </w:tc>
        <w:tc>
          <w:tcPr>
            <w:tcW w:w="624" w:type="dxa"/>
            <w:noWrap/>
            <w:vAlign w:val="bottom"/>
          </w:tcPr>
          <w:p w:rsidR="00000000" w:rsidRDefault="00000000">
            <w:pPr>
              <w:spacing w:before="80" w:after="80"/>
              <w:jc w:val="center"/>
              <w:rPr>
                <w:sz w:val="18"/>
                <w:szCs w:val="16"/>
                <w:lang w:val="pt-BR"/>
              </w:rPr>
            </w:pPr>
            <w:r>
              <w:rPr>
                <w:sz w:val="18"/>
                <w:szCs w:val="16"/>
                <w:lang w:val="pt-BR"/>
              </w:rPr>
              <w:t>28.9</w:t>
            </w:r>
          </w:p>
        </w:tc>
        <w:tc>
          <w:tcPr>
            <w:tcW w:w="395" w:type="dxa"/>
            <w:noWrap/>
            <w:vAlign w:val="bottom"/>
          </w:tcPr>
          <w:p w:rsidR="00000000" w:rsidRDefault="00000000">
            <w:pPr>
              <w:spacing w:before="80" w:after="80"/>
              <w:jc w:val="center"/>
              <w:rPr>
                <w:sz w:val="18"/>
                <w:szCs w:val="16"/>
                <w:lang w:val="pt-BR"/>
              </w:rPr>
            </w:pPr>
            <w:r>
              <w:rPr>
                <w:sz w:val="18"/>
                <w:szCs w:val="16"/>
                <w:lang w:val="pt-BR"/>
              </w:rPr>
              <w:t>28</w:t>
            </w:r>
          </w:p>
        </w:tc>
        <w:tc>
          <w:tcPr>
            <w:tcW w:w="624" w:type="dxa"/>
            <w:noWrap/>
            <w:vAlign w:val="bottom"/>
          </w:tcPr>
          <w:p w:rsidR="00000000" w:rsidRDefault="00000000">
            <w:pPr>
              <w:spacing w:before="80" w:after="80"/>
              <w:jc w:val="center"/>
              <w:rPr>
                <w:sz w:val="18"/>
                <w:szCs w:val="16"/>
                <w:lang w:val="pt-BR"/>
              </w:rPr>
            </w:pPr>
            <w:r>
              <w:rPr>
                <w:sz w:val="18"/>
                <w:szCs w:val="16"/>
                <w:lang w:val="pt-BR"/>
              </w:rPr>
              <w:t>31.1</w:t>
            </w:r>
          </w:p>
        </w:tc>
        <w:tc>
          <w:tcPr>
            <w:tcW w:w="395" w:type="dxa"/>
            <w:noWrap/>
            <w:vAlign w:val="bottom"/>
          </w:tcPr>
          <w:p w:rsidR="00000000" w:rsidRDefault="00000000">
            <w:pPr>
              <w:spacing w:before="80" w:after="80"/>
              <w:jc w:val="center"/>
              <w:rPr>
                <w:sz w:val="18"/>
                <w:szCs w:val="16"/>
                <w:lang w:val="pt-BR"/>
              </w:rPr>
            </w:pPr>
            <w:r>
              <w:rPr>
                <w:sz w:val="18"/>
                <w:szCs w:val="16"/>
                <w:lang w:val="pt-BR"/>
              </w:rPr>
              <w:t>22</w:t>
            </w:r>
          </w:p>
        </w:tc>
        <w:tc>
          <w:tcPr>
            <w:tcW w:w="624" w:type="dxa"/>
            <w:noWrap/>
            <w:vAlign w:val="bottom"/>
          </w:tcPr>
          <w:p w:rsidR="00000000" w:rsidRDefault="00000000">
            <w:pPr>
              <w:spacing w:before="80" w:after="80"/>
              <w:jc w:val="center"/>
              <w:rPr>
                <w:sz w:val="18"/>
                <w:szCs w:val="16"/>
                <w:lang w:val="pt-BR"/>
              </w:rPr>
            </w:pPr>
            <w:r>
              <w:rPr>
                <w:sz w:val="18"/>
                <w:szCs w:val="16"/>
                <w:lang w:val="pt-BR"/>
              </w:rPr>
              <w:t>25.6</w:t>
            </w:r>
          </w:p>
        </w:tc>
        <w:tc>
          <w:tcPr>
            <w:tcW w:w="395" w:type="dxa"/>
            <w:noWrap/>
            <w:vAlign w:val="bottom"/>
          </w:tcPr>
          <w:p w:rsidR="00000000" w:rsidRDefault="00000000">
            <w:pPr>
              <w:spacing w:before="80" w:after="80"/>
              <w:jc w:val="center"/>
              <w:rPr>
                <w:sz w:val="18"/>
                <w:szCs w:val="16"/>
                <w:lang w:val="pt-BR"/>
              </w:rPr>
            </w:pPr>
            <w:r>
              <w:rPr>
                <w:sz w:val="18"/>
                <w:szCs w:val="16"/>
                <w:lang w:val="pt-BR"/>
              </w:rPr>
              <w:t>33</w:t>
            </w:r>
          </w:p>
        </w:tc>
        <w:tc>
          <w:tcPr>
            <w:tcW w:w="624" w:type="dxa"/>
            <w:noWrap/>
            <w:vAlign w:val="bottom"/>
          </w:tcPr>
          <w:p w:rsidR="00000000" w:rsidRDefault="00000000">
            <w:pPr>
              <w:spacing w:before="80" w:after="80"/>
              <w:jc w:val="center"/>
              <w:rPr>
                <w:sz w:val="18"/>
                <w:szCs w:val="16"/>
                <w:lang w:val="pt-BR"/>
              </w:rPr>
            </w:pPr>
            <w:r>
              <w:rPr>
                <w:sz w:val="18"/>
                <w:szCs w:val="16"/>
                <w:lang w:val="pt-BR"/>
              </w:rPr>
              <w:t>39.3</w:t>
            </w:r>
          </w:p>
        </w:tc>
        <w:tc>
          <w:tcPr>
            <w:tcW w:w="395" w:type="dxa"/>
            <w:noWrap/>
            <w:vAlign w:val="bottom"/>
          </w:tcPr>
          <w:p w:rsidR="00000000" w:rsidRDefault="00000000">
            <w:pPr>
              <w:spacing w:before="80" w:after="80"/>
              <w:jc w:val="center"/>
              <w:rPr>
                <w:sz w:val="18"/>
                <w:szCs w:val="16"/>
                <w:lang w:val="pt-BR"/>
              </w:rPr>
            </w:pPr>
            <w:r>
              <w:rPr>
                <w:sz w:val="18"/>
                <w:szCs w:val="16"/>
                <w:lang w:val="pt-BR"/>
              </w:rPr>
              <w:t>48</w:t>
            </w:r>
          </w:p>
        </w:tc>
        <w:tc>
          <w:tcPr>
            <w:tcW w:w="605" w:type="dxa"/>
            <w:noWrap/>
            <w:vAlign w:val="bottom"/>
          </w:tcPr>
          <w:p w:rsidR="00000000" w:rsidRDefault="00000000">
            <w:pPr>
              <w:spacing w:before="80" w:after="80"/>
              <w:jc w:val="center"/>
              <w:rPr>
                <w:sz w:val="18"/>
                <w:szCs w:val="16"/>
                <w:lang w:val="pt-BR"/>
              </w:rPr>
            </w:pPr>
            <w:r>
              <w:rPr>
                <w:sz w:val="18"/>
                <w:szCs w:val="16"/>
                <w:lang w:val="pt-BR"/>
              </w:rPr>
              <w:t>53.3</w:t>
            </w:r>
          </w:p>
        </w:tc>
        <w:tc>
          <w:tcPr>
            <w:tcW w:w="395" w:type="dxa"/>
            <w:noWrap/>
            <w:vAlign w:val="bottom"/>
          </w:tcPr>
          <w:p w:rsidR="00000000" w:rsidRDefault="00000000">
            <w:pPr>
              <w:spacing w:before="80" w:after="80"/>
              <w:jc w:val="center"/>
              <w:rPr>
                <w:sz w:val="18"/>
                <w:szCs w:val="16"/>
                <w:lang w:val="pt-BR"/>
              </w:rPr>
            </w:pPr>
            <w:r>
              <w:rPr>
                <w:sz w:val="18"/>
                <w:szCs w:val="16"/>
                <w:lang w:val="pt-BR"/>
              </w:rPr>
              <w:t>28</w:t>
            </w:r>
          </w:p>
        </w:tc>
        <w:tc>
          <w:tcPr>
            <w:tcW w:w="624" w:type="dxa"/>
            <w:noWrap/>
            <w:vAlign w:val="bottom"/>
          </w:tcPr>
          <w:p w:rsidR="00000000" w:rsidRDefault="00000000">
            <w:pPr>
              <w:spacing w:before="80" w:after="80"/>
              <w:jc w:val="center"/>
              <w:rPr>
                <w:sz w:val="18"/>
                <w:szCs w:val="16"/>
                <w:lang w:val="pt-BR"/>
              </w:rPr>
            </w:pPr>
            <w:r>
              <w:rPr>
                <w:sz w:val="18"/>
                <w:szCs w:val="16"/>
                <w:lang w:val="pt-BR"/>
              </w:rPr>
              <w:t>32.3</w:t>
            </w:r>
          </w:p>
        </w:tc>
      </w:tr>
      <w:tr w:rsidR="00000000">
        <w:trPr>
          <w:jc w:val="center"/>
        </w:trPr>
        <w:tc>
          <w:tcPr>
            <w:tcW w:w="1267" w:type="dxa"/>
            <w:noWrap/>
            <w:vAlign w:val="bottom"/>
          </w:tcPr>
          <w:p w:rsidR="00000000" w:rsidRDefault="00000000">
            <w:pPr>
              <w:spacing w:before="80" w:after="80"/>
              <w:rPr>
                <w:sz w:val="18"/>
                <w:szCs w:val="16"/>
                <w:lang w:val="pt-BR"/>
              </w:rPr>
            </w:pPr>
            <w:r>
              <w:rPr>
                <w:sz w:val="18"/>
                <w:szCs w:val="16"/>
                <w:lang w:val="pt-BR"/>
              </w:rPr>
              <w:t>4.  Sepsis</w:t>
            </w:r>
          </w:p>
        </w:tc>
        <w:tc>
          <w:tcPr>
            <w:tcW w:w="397" w:type="dxa"/>
            <w:noWrap/>
            <w:vAlign w:val="bottom"/>
          </w:tcPr>
          <w:p w:rsidR="00000000" w:rsidRDefault="00000000">
            <w:pPr>
              <w:spacing w:before="80" w:after="80"/>
              <w:jc w:val="center"/>
              <w:rPr>
                <w:sz w:val="18"/>
                <w:szCs w:val="16"/>
              </w:rPr>
            </w:pPr>
            <w:r>
              <w:rPr>
                <w:sz w:val="18"/>
                <w:szCs w:val="16"/>
              </w:rPr>
              <w:t>10</w:t>
            </w:r>
          </w:p>
        </w:tc>
        <w:tc>
          <w:tcPr>
            <w:tcW w:w="671" w:type="dxa"/>
            <w:noWrap/>
            <w:vAlign w:val="bottom"/>
          </w:tcPr>
          <w:p w:rsidR="00000000" w:rsidRDefault="00000000">
            <w:pPr>
              <w:spacing w:before="80" w:after="80"/>
              <w:jc w:val="center"/>
              <w:rPr>
                <w:sz w:val="18"/>
                <w:szCs w:val="16"/>
              </w:rPr>
            </w:pPr>
            <w:r>
              <w:rPr>
                <w:sz w:val="18"/>
                <w:szCs w:val="16"/>
              </w:rPr>
              <w:t>11.3</w:t>
            </w:r>
          </w:p>
        </w:tc>
        <w:tc>
          <w:tcPr>
            <w:tcW w:w="392" w:type="dxa"/>
            <w:noWrap/>
            <w:vAlign w:val="bottom"/>
          </w:tcPr>
          <w:p w:rsidR="00000000" w:rsidRDefault="00000000">
            <w:pPr>
              <w:spacing w:before="80" w:after="80"/>
              <w:jc w:val="center"/>
              <w:rPr>
                <w:sz w:val="18"/>
                <w:szCs w:val="16"/>
              </w:rPr>
            </w:pPr>
            <w:r>
              <w:rPr>
                <w:sz w:val="18"/>
                <w:szCs w:val="16"/>
              </w:rPr>
              <w:t>7</w:t>
            </w:r>
          </w:p>
        </w:tc>
        <w:tc>
          <w:tcPr>
            <w:tcW w:w="625" w:type="dxa"/>
            <w:noWrap/>
            <w:vAlign w:val="bottom"/>
          </w:tcPr>
          <w:p w:rsidR="00000000" w:rsidRDefault="00000000">
            <w:pPr>
              <w:spacing w:before="80" w:after="80"/>
              <w:jc w:val="center"/>
              <w:rPr>
                <w:sz w:val="18"/>
                <w:szCs w:val="16"/>
              </w:rPr>
            </w:pPr>
            <w:r>
              <w:rPr>
                <w:sz w:val="18"/>
                <w:szCs w:val="16"/>
              </w:rPr>
              <w:t>7.9</w:t>
            </w:r>
          </w:p>
        </w:tc>
        <w:tc>
          <w:tcPr>
            <w:tcW w:w="392" w:type="dxa"/>
            <w:noWrap/>
            <w:vAlign w:val="bottom"/>
          </w:tcPr>
          <w:p w:rsidR="00000000" w:rsidRDefault="00000000">
            <w:pPr>
              <w:spacing w:before="80" w:after="80"/>
              <w:jc w:val="center"/>
              <w:rPr>
                <w:sz w:val="18"/>
                <w:szCs w:val="16"/>
              </w:rPr>
            </w:pPr>
            <w:r>
              <w:rPr>
                <w:sz w:val="18"/>
                <w:szCs w:val="16"/>
              </w:rPr>
              <w:t>12</w:t>
            </w:r>
          </w:p>
        </w:tc>
        <w:tc>
          <w:tcPr>
            <w:tcW w:w="624" w:type="dxa"/>
            <w:noWrap/>
            <w:vAlign w:val="bottom"/>
          </w:tcPr>
          <w:p w:rsidR="00000000" w:rsidRDefault="00000000">
            <w:pPr>
              <w:spacing w:before="80" w:after="80"/>
              <w:jc w:val="center"/>
              <w:rPr>
                <w:sz w:val="18"/>
                <w:szCs w:val="16"/>
              </w:rPr>
            </w:pPr>
            <w:r>
              <w:rPr>
                <w:sz w:val="18"/>
                <w:szCs w:val="16"/>
              </w:rPr>
              <w:t>13.9</w:t>
            </w:r>
          </w:p>
        </w:tc>
        <w:tc>
          <w:tcPr>
            <w:tcW w:w="395" w:type="dxa"/>
            <w:noWrap/>
            <w:vAlign w:val="bottom"/>
          </w:tcPr>
          <w:p w:rsidR="00000000" w:rsidRDefault="00000000">
            <w:pPr>
              <w:spacing w:before="80" w:after="80"/>
              <w:jc w:val="center"/>
              <w:rPr>
                <w:sz w:val="18"/>
                <w:szCs w:val="16"/>
              </w:rPr>
            </w:pPr>
            <w:r>
              <w:rPr>
                <w:sz w:val="18"/>
                <w:szCs w:val="16"/>
              </w:rPr>
              <w:t>11</w:t>
            </w:r>
          </w:p>
        </w:tc>
        <w:tc>
          <w:tcPr>
            <w:tcW w:w="624" w:type="dxa"/>
            <w:noWrap/>
            <w:vAlign w:val="bottom"/>
          </w:tcPr>
          <w:p w:rsidR="00000000" w:rsidRDefault="00000000">
            <w:pPr>
              <w:spacing w:before="80" w:after="80"/>
              <w:jc w:val="center"/>
              <w:rPr>
                <w:sz w:val="18"/>
                <w:szCs w:val="16"/>
              </w:rPr>
            </w:pPr>
            <w:r>
              <w:rPr>
                <w:sz w:val="18"/>
                <w:szCs w:val="16"/>
              </w:rPr>
              <w:t>12.2</w:t>
            </w:r>
          </w:p>
        </w:tc>
        <w:tc>
          <w:tcPr>
            <w:tcW w:w="395" w:type="dxa"/>
            <w:noWrap/>
            <w:vAlign w:val="bottom"/>
          </w:tcPr>
          <w:p w:rsidR="00000000" w:rsidRDefault="00000000">
            <w:pPr>
              <w:spacing w:before="80" w:after="80"/>
              <w:jc w:val="center"/>
              <w:rPr>
                <w:sz w:val="18"/>
                <w:szCs w:val="16"/>
              </w:rPr>
            </w:pPr>
            <w:r>
              <w:rPr>
                <w:sz w:val="18"/>
                <w:szCs w:val="16"/>
              </w:rPr>
              <w:t>15</w:t>
            </w:r>
          </w:p>
        </w:tc>
        <w:tc>
          <w:tcPr>
            <w:tcW w:w="624" w:type="dxa"/>
            <w:noWrap/>
            <w:vAlign w:val="bottom"/>
          </w:tcPr>
          <w:p w:rsidR="00000000" w:rsidRDefault="00000000">
            <w:pPr>
              <w:spacing w:before="80" w:after="80"/>
              <w:jc w:val="center"/>
              <w:rPr>
                <w:sz w:val="18"/>
                <w:szCs w:val="16"/>
              </w:rPr>
            </w:pPr>
            <w:r>
              <w:rPr>
                <w:sz w:val="18"/>
                <w:szCs w:val="16"/>
              </w:rPr>
              <w:t>17.4</w:t>
            </w:r>
          </w:p>
        </w:tc>
        <w:tc>
          <w:tcPr>
            <w:tcW w:w="395" w:type="dxa"/>
            <w:noWrap/>
            <w:vAlign w:val="bottom"/>
          </w:tcPr>
          <w:p w:rsidR="00000000" w:rsidRDefault="00000000">
            <w:pPr>
              <w:spacing w:before="80" w:after="80"/>
              <w:jc w:val="center"/>
              <w:rPr>
                <w:sz w:val="18"/>
                <w:szCs w:val="16"/>
              </w:rPr>
            </w:pPr>
            <w:r>
              <w:rPr>
                <w:sz w:val="18"/>
                <w:szCs w:val="16"/>
              </w:rPr>
              <w:t>22</w:t>
            </w:r>
          </w:p>
        </w:tc>
        <w:tc>
          <w:tcPr>
            <w:tcW w:w="624" w:type="dxa"/>
            <w:noWrap/>
            <w:vAlign w:val="bottom"/>
          </w:tcPr>
          <w:p w:rsidR="00000000" w:rsidRDefault="00000000">
            <w:pPr>
              <w:spacing w:before="80" w:after="80"/>
              <w:jc w:val="center"/>
              <w:rPr>
                <w:sz w:val="18"/>
                <w:szCs w:val="16"/>
              </w:rPr>
            </w:pPr>
            <w:r>
              <w:rPr>
                <w:sz w:val="18"/>
                <w:szCs w:val="16"/>
              </w:rPr>
              <w:t>26.2</w:t>
            </w:r>
          </w:p>
        </w:tc>
        <w:tc>
          <w:tcPr>
            <w:tcW w:w="395" w:type="dxa"/>
            <w:noWrap/>
            <w:vAlign w:val="bottom"/>
          </w:tcPr>
          <w:p w:rsidR="00000000" w:rsidRDefault="00000000">
            <w:pPr>
              <w:spacing w:before="80" w:after="80"/>
              <w:jc w:val="center"/>
              <w:rPr>
                <w:sz w:val="18"/>
                <w:szCs w:val="16"/>
              </w:rPr>
            </w:pPr>
            <w:r>
              <w:rPr>
                <w:sz w:val="18"/>
                <w:szCs w:val="16"/>
              </w:rPr>
              <w:t>19</w:t>
            </w:r>
          </w:p>
        </w:tc>
        <w:tc>
          <w:tcPr>
            <w:tcW w:w="605" w:type="dxa"/>
            <w:noWrap/>
            <w:vAlign w:val="bottom"/>
          </w:tcPr>
          <w:p w:rsidR="00000000" w:rsidRDefault="00000000">
            <w:pPr>
              <w:spacing w:before="80" w:after="80"/>
              <w:jc w:val="center"/>
              <w:rPr>
                <w:sz w:val="18"/>
                <w:szCs w:val="16"/>
              </w:rPr>
            </w:pPr>
            <w:r>
              <w:rPr>
                <w:sz w:val="18"/>
                <w:szCs w:val="16"/>
              </w:rPr>
              <w:t>21.1</w:t>
            </w:r>
          </w:p>
        </w:tc>
        <w:tc>
          <w:tcPr>
            <w:tcW w:w="395" w:type="dxa"/>
            <w:noWrap/>
            <w:vAlign w:val="bottom"/>
          </w:tcPr>
          <w:p w:rsidR="00000000" w:rsidRDefault="00000000">
            <w:pPr>
              <w:spacing w:before="80" w:after="80"/>
              <w:jc w:val="center"/>
              <w:rPr>
                <w:sz w:val="18"/>
                <w:szCs w:val="16"/>
              </w:rPr>
            </w:pPr>
            <w:r>
              <w:rPr>
                <w:sz w:val="18"/>
                <w:szCs w:val="16"/>
              </w:rPr>
              <w:t>16</w:t>
            </w:r>
          </w:p>
        </w:tc>
        <w:tc>
          <w:tcPr>
            <w:tcW w:w="624" w:type="dxa"/>
            <w:noWrap/>
            <w:vAlign w:val="bottom"/>
          </w:tcPr>
          <w:p w:rsidR="00000000" w:rsidRDefault="00000000">
            <w:pPr>
              <w:spacing w:before="80" w:after="80"/>
              <w:jc w:val="center"/>
              <w:rPr>
                <w:sz w:val="18"/>
                <w:szCs w:val="16"/>
              </w:rPr>
            </w:pPr>
            <w:r>
              <w:rPr>
                <w:sz w:val="18"/>
                <w:szCs w:val="16"/>
              </w:rPr>
              <w:t>18.4</w:t>
            </w:r>
          </w:p>
        </w:tc>
      </w:tr>
      <w:tr w:rsidR="00000000">
        <w:trPr>
          <w:jc w:val="center"/>
        </w:trPr>
        <w:tc>
          <w:tcPr>
            <w:tcW w:w="1267" w:type="dxa"/>
            <w:noWrap/>
            <w:vAlign w:val="bottom"/>
          </w:tcPr>
          <w:p w:rsidR="00000000" w:rsidRDefault="00000000">
            <w:pPr>
              <w:spacing w:before="80" w:after="80"/>
              <w:rPr>
                <w:sz w:val="18"/>
                <w:szCs w:val="16"/>
              </w:rPr>
            </w:pPr>
            <w:r>
              <w:rPr>
                <w:sz w:val="18"/>
                <w:szCs w:val="16"/>
              </w:rPr>
              <w:t>5.  Obstetric</w:t>
            </w:r>
            <w:r>
              <w:rPr>
                <w:sz w:val="18"/>
                <w:szCs w:val="16"/>
              </w:rPr>
              <w:br/>
              <w:t xml:space="preserve">      tetanus </w:t>
            </w:r>
          </w:p>
        </w:tc>
        <w:tc>
          <w:tcPr>
            <w:tcW w:w="397" w:type="dxa"/>
            <w:noWrap/>
            <w:vAlign w:val="bottom"/>
          </w:tcPr>
          <w:p w:rsidR="00000000" w:rsidRDefault="00000000">
            <w:pPr>
              <w:spacing w:before="80" w:after="80"/>
              <w:jc w:val="center"/>
              <w:rPr>
                <w:sz w:val="18"/>
                <w:szCs w:val="16"/>
              </w:rPr>
            </w:pPr>
            <w:r>
              <w:rPr>
                <w:sz w:val="18"/>
                <w:szCs w:val="16"/>
              </w:rPr>
              <w:t>0</w:t>
            </w:r>
          </w:p>
        </w:tc>
        <w:tc>
          <w:tcPr>
            <w:tcW w:w="671" w:type="dxa"/>
            <w:noWrap/>
            <w:vAlign w:val="bottom"/>
          </w:tcPr>
          <w:p w:rsidR="00000000" w:rsidRDefault="00000000">
            <w:pPr>
              <w:spacing w:before="80" w:after="80"/>
              <w:jc w:val="center"/>
              <w:rPr>
                <w:sz w:val="18"/>
                <w:szCs w:val="16"/>
              </w:rPr>
            </w:pPr>
            <w:r>
              <w:rPr>
                <w:sz w:val="18"/>
                <w:szCs w:val="16"/>
              </w:rPr>
              <w:t>0.0</w:t>
            </w:r>
          </w:p>
        </w:tc>
        <w:tc>
          <w:tcPr>
            <w:tcW w:w="392" w:type="dxa"/>
            <w:noWrap/>
            <w:vAlign w:val="bottom"/>
          </w:tcPr>
          <w:p w:rsidR="00000000" w:rsidRDefault="00000000">
            <w:pPr>
              <w:spacing w:before="80" w:after="80"/>
              <w:jc w:val="center"/>
              <w:rPr>
                <w:sz w:val="18"/>
                <w:szCs w:val="16"/>
              </w:rPr>
            </w:pPr>
            <w:r>
              <w:rPr>
                <w:sz w:val="18"/>
                <w:szCs w:val="16"/>
              </w:rPr>
              <w:t>1</w:t>
            </w:r>
          </w:p>
        </w:tc>
        <w:tc>
          <w:tcPr>
            <w:tcW w:w="625" w:type="dxa"/>
            <w:noWrap/>
            <w:vAlign w:val="bottom"/>
          </w:tcPr>
          <w:p w:rsidR="00000000" w:rsidRDefault="00000000">
            <w:pPr>
              <w:spacing w:before="80" w:after="80"/>
              <w:jc w:val="center"/>
              <w:rPr>
                <w:sz w:val="18"/>
                <w:szCs w:val="16"/>
              </w:rPr>
            </w:pPr>
            <w:r>
              <w:rPr>
                <w:sz w:val="18"/>
                <w:szCs w:val="16"/>
              </w:rPr>
              <w:t>1.1</w:t>
            </w:r>
          </w:p>
        </w:tc>
        <w:tc>
          <w:tcPr>
            <w:tcW w:w="392" w:type="dxa"/>
            <w:noWrap/>
            <w:vAlign w:val="bottom"/>
          </w:tcPr>
          <w:p w:rsidR="00000000" w:rsidRDefault="00000000">
            <w:pPr>
              <w:spacing w:before="80" w:after="80"/>
              <w:jc w:val="center"/>
              <w:rPr>
                <w:sz w:val="18"/>
                <w:szCs w:val="16"/>
              </w:rPr>
            </w:pPr>
            <w:r>
              <w:rPr>
                <w:sz w:val="18"/>
                <w:szCs w:val="16"/>
              </w:rPr>
              <w:t>0</w:t>
            </w:r>
          </w:p>
        </w:tc>
        <w:tc>
          <w:tcPr>
            <w:tcW w:w="624" w:type="dxa"/>
            <w:noWrap/>
            <w:vAlign w:val="bottom"/>
          </w:tcPr>
          <w:p w:rsidR="00000000" w:rsidRDefault="00000000">
            <w:pPr>
              <w:spacing w:before="80" w:after="80"/>
              <w:jc w:val="center"/>
              <w:rPr>
                <w:sz w:val="18"/>
                <w:szCs w:val="16"/>
              </w:rPr>
            </w:pPr>
            <w:r>
              <w:rPr>
                <w:sz w:val="18"/>
                <w:szCs w:val="16"/>
              </w:rPr>
              <w:t>0.0</w:t>
            </w:r>
          </w:p>
        </w:tc>
        <w:tc>
          <w:tcPr>
            <w:tcW w:w="395" w:type="dxa"/>
            <w:noWrap/>
            <w:vAlign w:val="bottom"/>
          </w:tcPr>
          <w:p w:rsidR="00000000" w:rsidRDefault="00000000">
            <w:pPr>
              <w:spacing w:before="80" w:after="80"/>
              <w:jc w:val="center"/>
              <w:rPr>
                <w:sz w:val="18"/>
                <w:szCs w:val="16"/>
              </w:rPr>
            </w:pPr>
            <w:r>
              <w:rPr>
                <w:sz w:val="18"/>
                <w:szCs w:val="16"/>
              </w:rPr>
              <w:t>0</w:t>
            </w:r>
          </w:p>
        </w:tc>
        <w:tc>
          <w:tcPr>
            <w:tcW w:w="624" w:type="dxa"/>
            <w:noWrap/>
            <w:vAlign w:val="bottom"/>
          </w:tcPr>
          <w:p w:rsidR="00000000" w:rsidRDefault="00000000">
            <w:pPr>
              <w:spacing w:before="80" w:after="80"/>
              <w:jc w:val="center"/>
              <w:rPr>
                <w:sz w:val="18"/>
                <w:szCs w:val="16"/>
              </w:rPr>
            </w:pPr>
            <w:r>
              <w:rPr>
                <w:sz w:val="18"/>
                <w:szCs w:val="16"/>
              </w:rPr>
              <w:t>0.0</w:t>
            </w:r>
          </w:p>
        </w:tc>
        <w:tc>
          <w:tcPr>
            <w:tcW w:w="395" w:type="dxa"/>
            <w:noWrap/>
            <w:vAlign w:val="bottom"/>
          </w:tcPr>
          <w:p w:rsidR="00000000" w:rsidRDefault="00000000">
            <w:pPr>
              <w:spacing w:before="80" w:after="80"/>
              <w:jc w:val="center"/>
              <w:rPr>
                <w:sz w:val="18"/>
                <w:szCs w:val="16"/>
              </w:rPr>
            </w:pPr>
            <w:r>
              <w:rPr>
                <w:sz w:val="18"/>
                <w:szCs w:val="16"/>
              </w:rPr>
              <w:t>0</w:t>
            </w:r>
          </w:p>
        </w:tc>
        <w:tc>
          <w:tcPr>
            <w:tcW w:w="624" w:type="dxa"/>
            <w:noWrap/>
            <w:vAlign w:val="bottom"/>
          </w:tcPr>
          <w:p w:rsidR="00000000" w:rsidRDefault="00000000">
            <w:pPr>
              <w:spacing w:before="80" w:after="80"/>
              <w:jc w:val="center"/>
              <w:rPr>
                <w:sz w:val="18"/>
                <w:szCs w:val="16"/>
              </w:rPr>
            </w:pPr>
            <w:r>
              <w:rPr>
                <w:sz w:val="18"/>
                <w:szCs w:val="16"/>
              </w:rPr>
              <w:t>0.0</w:t>
            </w:r>
          </w:p>
        </w:tc>
        <w:tc>
          <w:tcPr>
            <w:tcW w:w="395" w:type="dxa"/>
            <w:noWrap/>
            <w:vAlign w:val="bottom"/>
          </w:tcPr>
          <w:p w:rsidR="00000000" w:rsidRDefault="00000000">
            <w:pPr>
              <w:spacing w:before="80" w:after="80"/>
              <w:jc w:val="center"/>
              <w:rPr>
                <w:sz w:val="18"/>
                <w:szCs w:val="16"/>
              </w:rPr>
            </w:pPr>
            <w:r>
              <w:rPr>
                <w:sz w:val="18"/>
                <w:szCs w:val="16"/>
              </w:rPr>
              <w:t>0</w:t>
            </w:r>
          </w:p>
        </w:tc>
        <w:tc>
          <w:tcPr>
            <w:tcW w:w="624" w:type="dxa"/>
            <w:noWrap/>
            <w:vAlign w:val="bottom"/>
          </w:tcPr>
          <w:p w:rsidR="00000000" w:rsidRDefault="00000000">
            <w:pPr>
              <w:spacing w:before="80" w:after="80"/>
              <w:jc w:val="center"/>
              <w:rPr>
                <w:sz w:val="18"/>
                <w:szCs w:val="16"/>
              </w:rPr>
            </w:pPr>
            <w:r>
              <w:rPr>
                <w:sz w:val="18"/>
                <w:szCs w:val="16"/>
              </w:rPr>
              <w:t>0.0</w:t>
            </w:r>
          </w:p>
        </w:tc>
        <w:tc>
          <w:tcPr>
            <w:tcW w:w="395" w:type="dxa"/>
            <w:noWrap/>
            <w:vAlign w:val="bottom"/>
          </w:tcPr>
          <w:p w:rsidR="00000000" w:rsidRDefault="00000000">
            <w:pPr>
              <w:spacing w:before="80" w:after="80"/>
              <w:jc w:val="center"/>
              <w:rPr>
                <w:sz w:val="18"/>
                <w:szCs w:val="16"/>
              </w:rPr>
            </w:pPr>
            <w:r>
              <w:rPr>
                <w:sz w:val="18"/>
                <w:szCs w:val="16"/>
              </w:rPr>
              <w:t>0</w:t>
            </w:r>
          </w:p>
        </w:tc>
        <w:tc>
          <w:tcPr>
            <w:tcW w:w="605" w:type="dxa"/>
            <w:noWrap/>
            <w:vAlign w:val="bottom"/>
          </w:tcPr>
          <w:p w:rsidR="00000000" w:rsidRDefault="00000000">
            <w:pPr>
              <w:spacing w:before="80" w:after="80"/>
              <w:jc w:val="center"/>
              <w:rPr>
                <w:sz w:val="18"/>
                <w:szCs w:val="16"/>
              </w:rPr>
            </w:pPr>
            <w:r>
              <w:rPr>
                <w:sz w:val="18"/>
                <w:szCs w:val="16"/>
              </w:rPr>
              <w:t>0.0</w:t>
            </w:r>
          </w:p>
        </w:tc>
        <w:tc>
          <w:tcPr>
            <w:tcW w:w="395" w:type="dxa"/>
            <w:noWrap/>
            <w:vAlign w:val="bottom"/>
          </w:tcPr>
          <w:p w:rsidR="00000000" w:rsidRDefault="00000000">
            <w:pPr>
              <w:spacing w:before="80" w:after="80"/>
              <w:jc w:val="center"/>
              <w:rPr>
                <w:sz w:val="18"/>
                <w:szCs w:val="16"/>
              </w:rPr>
            </w:pPr>
            <w:r>
              <w:rPr>
                <w:sz w:val="18"/>
                <w:szCs w:val="16"/>
              </w:rPr>
              <w:t>0</w:t>
            </w:r>
          </w:p>
        </w:tc>
        <w:tc>
          <w:tcPr>
            <w:tcW w:w="624" w:type="dxa"/>
            <w:noWrap/>
            <w:vAlign w:val="bottom"/>
          </w:tcPr>
          <w:p w:rsidR="00000000" w:rsidRDefault="00000000">
            <w:pPr>
              <w:spacing w:before="80" w:after="80"/>
              <w:jc w:val="center"/>
              <w:rPr>
                <w:sz w:val="18"/>
                <w:szCs w:val="16"/>
              </w:rPr>
            </w:pPr>
            <w:r>
              <w:rPr>
                <w:sz w:val="18"/>
                <w:szCs w:val="16"/>
              </w:rPr>
              <w:t>0.0</w:t>
            </w:r>
          </w:p>
        </w:tc>
      </w:tr>
      <w:tr w:rsidR="00000000">
        <w:trPr>
          <w:jc w:val="center"/>
        </w:trPr>
        <w:tc>
          <w:tcPr>
            <w:tcW w:w="1267" w:type="dxa"/>
            <w:noWrap/>
            <w:vAlign w:val="bottom"/>
          </w:tcPr>
          <w:p w:rsidR="00000000" w:rsidRDefault="00000000">
            <w:pPr>
              <w:spacing w:before="80" w:after="80"/>
              <w:rPr>
                <w:sz w:val="18"/>
                <w:szCs w:val="16"/>
              </w:rPr>
            </w:pPr>
            <w:r>
              <w:rPr>
                <w:sz w:val="18"/>
                <w:szCs w:val="16"/>
              </w:rPr>
              <w:t>6.  AIDS</w:t>
            </w:r>
          </w:p>
        </w:tc>
        <w:tc>
          <w:tcPr>
            <w:tcW w:w="397" w:type="dxa"/>
            <w:noWrap/>
            <w:vAlign w:val="bottom"/>
          </w:tcPr>
          <w:p w:rsidR="00000000" w:rsidRDefault="00000000">
            <w:pPr>
              <w:spacing w:before="80" w:after="80"/>
              <w:jc w:val="center"/>
              <w:rPr>
                <w:sz w:val="18"/>
                <w:szCs w:val="16"/>
              </w:rPr>
            </w:pPr>
            <w:r>
              <w:rPr>
                <w:sz w:val="18"/>
                <w:szCs w:val="16"/>
              </w:rPr>
              <w:t>0</w:t>
            </w:r>
          </w:p>
        </w:tc>
        <w:tc>
          <w:tcPr>
            <w:tcW w:w="671" w:type="dxa"/>
            <w:noWrap/>
            <w:vAlign w:val="bottom"/>
          </w:tcPr>
          <w:p w:rsidR="00000000" w:rsidRDefault="00000000">
            <w:pPr>
              <w:spacing w:before="80" w:after="80"/>
              <w:jc w:val="center"/>
              <w:rPr>
                <w:sz w:val="18"/>
                <w:szCs w:val="16"/>
              </w:rPr>
            </w:pPr>
            <w:r>
              <w:rPr>
                <w:sz w:val="18"/>
                <w:szCs w:val="16"/>
              </w:rPr>
              <w:t>0.0</w:t>
            </w:r>
          </w:p>
        </w:tc>
        <w:tc>
          <w:tcPr>
            <w:tcW w:w="392" w:type="dxa"/>
            <w:noWrap/>
            <w:vAlign w:val="bottom"/>
          </w:tcPr>
          <w:p w:rsidR="00000000" w:rsidRDefault="00000000">
            <w:pPr>
              <w:spacing w:before="80" w:after="80"/>
              <w:jc w:val="center"/>
              <w:rPr>
                <w:sz w:val="18"/>
                <w:szCs w:val="16"/>
              </w:rPr>
            </w:pPr>
            <w:r>
              <w:rPr>
                <w:sz w:val="18"/>
                <w:szCs w:val="16"/>
              </w:rPr>
              <w:t>0</w:t>
            </w:r>
          </w:p>
        </w:tc>
        <w:tc>
          <w:tcPr>
            <w:tcW w:w="625" w:type="dxa"/>
            <w:noWrap/>
            <w:vAlign w:val="bottom"/>
          </w:tcPr>
          <w:p w:rsidR="00000000" w:rsidRDefault="00000000">
            <w:pPr>
              <w:spacing w:before="80" w:after="80"/>
              <w:jc w:val="center"/>
              <w:rPr>
                <w:sz w:val="18"/>
                <w:szCs w:val="16"/>
              </w:rPr>
            </w:pPr>
            <w:r>
              <w:rPr>
                <w:sz w:val="18"/>
                <w:szCs w:val="16"/>
              </w:rPr>
              <w:t>0</w:t>
            </w:r>
          </w:p>
        </w:tc>
        <w:tc>
          <w:tcPr>
            <w:tcW w:w="392" w:type="dxa"/>
            <w:noWrap/>
            <w:vAlign w:val="bottom"/>
          </w:tcPr>
          <w:p w:rsidR="00000000" w:rsidRDefault="00000000">
            <w:pPr>
              <w:spacing w:before="80" w:after="80"/>
              <w:jc w:val="center"/>
              <w:rPr>
                <w:sz w:val="18"/>
                <w:szCs w:val="16"/>
              </w:rPr>
            </w:pPr>
            <w:r>
              <w:rPr>
                <w:sz w:val="18"/>
                <w:szCs w:val="16"/>
              </w:rPr>
              <w:t>0</w:t>
            </w:r>
          </w:p>
        </w:tc>
        <w:tc>
          <w:tcPr>
            <w:tcW w:w="624" w:type="dxa"/>
            <w:noWrap/>
            <w:vAlign w:val="bottom"/>
          </w:tcPr>
          <w:p w:rsidR="00000000" w:rsidRDefault="00000000">
            <w:pPr>
              <w:spacing w:before="80" w:after="80"/>
              <w:jc w:val="center"/>
              <w:rPr>
                <w:sz w:val="18"/>
                <w:szCs w:val="16"/>
              </w:rPr>
            </w:pPr>
            <w:r>
              <w:rPr>
                <w:sz w:val="18"/>
                <w:szCs w:val="16"/>
              </w:rPr>
              <w:t>0</w:t>
            </w:r>
          </w:p>
        </w:tc>
        <w:tc>
          <w:tcPr>
            <w:tcW w:w="395" w:type="dxa"/>
            <w:noWrap/>
            <w:vAlign w:val="bottom"/>
          </w:tcPr>
          <w:p w:rsidR="00000000" w:rsidRDefault="00000000">
            <w:pPr>
              <w:spacing w:before="80" w:after="80"/>
              <w:jc w:val="center"/>
              <w:rPr>
                <w:sz w:val="18"/>
                <w:szCs w:val="16"/>
              </w:rPr>
            </w:pPr>
            <w:r>
              <w:rPr>
                <w:sz w:val="18"/>
                <w:szCs w:val="16"/>
              </w:rPr>
              <w:t>0</w:t>
            </w:r>
          </w:p>
        </w:tc>
        <w:tc>
          <w:tcPr>
            <w:tcW w:w="624" w:type="dxa"/>
            <w:noWrap/>
            <w:vAlign w:val="bottom"/>
          </w:tcPr>
          <w:p w:rsidR="00000000" w:rsidRDefault="00000000">
            <w:pPr>
              <w:spacing w:before="80" w:after="80"/>
              <w:jc w:val="center"/>
              <w:rPr>
                <w:sz w:val="18"/>
                <w:szCs w:val="16"/>
              </w:rPr>
            </w:pPr>
            <w:r>
              <w:rPr>
                <w:sz w:val="18"/>
                <w:szCs w:val="16"/>
              </w:rPr>
              <w:t>0</w:t>
            </w:r>
          </w:p>
        </w:tc>
        <w:tc>
          <w:tcPr>
            <w:tcW w:w="395" w:type="dxa"/>
            <w:noWrap/>
            <w:vAlign w:val="bottom"/>
          </w:tcPr>
          <w:p w:rsidR="00000000" w:rsidRDefault="00000000">
            <w:pPr>
              <w:spacing w:before="80" w:after="80"/>
              <w:jc w:val="center"/>
              <w:rPr>
                <w:sz w:val="18"/>
                <w:szCs w:val="16"/>
              </w:rPr>
            </w:pPr>
            <w:r>
              <w:rPr>
                <w:sz w:val="18"/>
                <w:szCs w:val="16"/>
              </w:rPr>
              <w:t>0</w:t>
            </w:r>
          </w:p>
        </w:tc>
        <w:tc>
          <w:tcPr>
            <w:tcW w:w="624" w:type="dxa"/>
            <w:noWrap/>
            <w:vAlign w:val="bottom"/>
          </w:tcPr>
          <w:p w:rsidR="00000000" w:rsidRDefault="00000000">
            <w:pPr>
              <w:spacing w:before="80" w:after="80"/>
              <w:jc w:val="center"/>
              <w:rPr>
                <w:sz w:val="18"/>
                <w:szCs w:val="16"/>
              </w:rPr>
            </w:pPr>
            <w:r>
              <w:rPr>
                <w:sz w:val="18"/>
                <w:szCs w:val="16"/>
              </w:rPr>
              <w:t>0</w:t>
            </w:r>
          </w:p>
        </w:tc>
        <w:tc>
          <w:tcPr>
            <w:tcW w:w="395" w:type="dxa"/>
            <w:noWrap/>
            <w:vAlign w:val="bottom"/>
          </w:tcPr>
          <w:p w:rsidR="00000000" w:rsidRDefault="00000000">
            <w:pPr>
              <w:spacing w:before="80" w:after="80"/>
              <w:jc w:val="center"/>
              <w:rPr>
                <w:sz w:val="18"/>
                <w:szCs w:val="16"/>
              </w:rPr>
            </w:pPr>
            <w:r>
              <w:rPr>
                <w:sz w:val="18"/>
                <w:szCs w:val="16"/>
              </w:rPr>
              <w:t>2</w:t>
            </w:r>
          </w:p>
        </w:tc>
        <w:tc>
          <w:tcPr>
            <w:tcW w:w="624" w:type="dxa"/>
            <w:noWrap/>
            <w:vAlign w:val="bottom"/>
          </w:tcPr>
          <w:p w:rsidR="00000000" w:rsidRDefault="00000000">
            <w:pPr>
              <w:spacing w:before="80" w:after="80"/>
              <w:jc w:val="center"/>
              <w:rPr>
                <w:sz w:val="18"/>
                <w:szCs w:val="16"/>
              </w:rPr>
            </w:pPr>
            <w:r>
              <w:rPr>
                <w:sz w:val="18"/>
                <w:szCs w:val="16"/>
              </w:rPr>
              <w:t>2.4</w:t>
            </w:r>
          </w:p>
        </w:tc>
        <w:tc>
          <w:tcPr>
            <w:tcW w:w="395" w:type="dxa"/>
            <w:noWrap/>
            <w:vAlign w:val="bottom"/>
          </w:tcPr>
          <w:p w:rsidR="00000000" w:rsidRDefault="00000000">
            <w:pPr>
              <w:spacing w:before="80" w:after="80"/>
              <w:jc w:val="center"/>
              <w:rPr>
                <w:sz w:val="18"/>
                <w:szCs w:val="16"/>
              </w:rPr>
            </w:pPr>
            <w:r>
              <w:rPr>
                <w:sz w:val="18"/>
                <w:szCs w:val="16"/>
              </w:rPr>
              <w:t>0</w:t>
            </w:r>
          </w:p>
        </w:tc>
        <w:tc>
          <w:tcPr>
            <w:tcW w:w="605" w:type="dxa"/>
            <w:noWrap/>
            <w:vAlign w:val="bottom"/>
          </w:tcPr>
          <w:p w:rsidR="00000000" w:rsidRDefault="00000000">
            <w:pPr>
              <w:spacing w:before="80" w:after="80"/>
              <w:jc w:val="center"/>
              <w:rPr>
                <w:sz w:val="18"/>
                <w:szCs w:val="16"/>
              </w:rPr>
            </w:pPr>
            <w:r>
              <w:rPr>
                <w:sz w:val="18"/>
                <w:szCs w:val="16"/>
              </w:rPr>
              <w:t>0.0</w:t>
            </w:r>
          </w:p>
        </w:tc>
        <w:tc>
          <w:tcPr>
            <w:tcW w:w="395" w:type="dxa"/>
            <w:noWrap/>
            <w:vAlign w:val="bottom"/>
          </w:tcPr>
          <w:p w:rsidR="00000000" w:rsidRDefault="00000000">
            <w:pPr>
              <w:spacing w:before="80" w:after="80"/>
              <w:jc w:val="center"/>
              <w:rPr>
                <w:sz w:val="18"/>
                <w:szCs w:val="16"/>
              </w:rPr>
            </w:pPr>
            <w:r>
              <w:rPr>
                <w:sz w:val="18"/>
                <w:szCs w:val="16"/>
              </w:rPr>
              <w:t>0</w:t>
            </w:r>
          </w:p>
        </w:tc>
        <w:tc>
          <w:tcPr>
            <w:tcW w:w="624" w:type="dxa"/>
            <w:noWrap/>
            <w:vAlign w:val="bottom"/>
          </w:tcPr>
          <w:p w:rsidR="00000000" w:rsidRDefault="00000000">
            <w:pPr>
              <w:spacing w:before="80" w:after="80"/>
              <w:jc w:val="center"/>
              <w:rPr>
                <w:sz w:val="18"/>
                <w:szCs w:val="16"/>
              </w:rPr>
            </w:pPr>
            <w:r>
              <w:rPr>
                <w:sz w:val="18"/>
                <w:szCs w:val="16"/>
              </w:rPr>
              <w:t>0.0</w:t>
            </w:r>
          </w:p>
        </w:tc>
      </w:tr>
      <w:tr w:rsidR="00000000">
        <w:trPr>
          <w:jc w:val="center"/>
        </w:trPr>
        <w:tc>
          <w:tcPr>
            <w:tcW w:w="1267" w:type="dxa"/>
            <w:noWrap/>
            <w:vAlign w:val="bottom"/>
          </w:tcPr>
          <w:p w:rsidR="00000000" w:rsidRDefault="00000000">
            <w:pPr>
              <w:spacing w:before="80" w:after="80"/>
              <w:rPr>
                <w:sz w:val="18"/>
                <w:szCs w:val="16"/>
              </w:rPr>
            </w:pPr>
            <w:r>
              <w:rPr>
                <w:sz w:val="18"/>
                <w:szCs w:val="16"/>
              </w:rPr>
              <w:t>7.  Other Compl.</w:t>
            </w:r>
            <w:r>
              <w:rPr>
                <w:sz w:val="18"/>
                <w:szCs w:val="16"/>
              </w:rPr>
              <w:br/>
              <w:t xml:space="preserve">     birth and</w:t>
            </w:r>
            <w:r>
              <w:rPr>
                <w:sz w:val="18"/>
                <w:szCs w:val="16"/>
              </w:rPr>
              <w:br/>
              <w:t xml:space="preserve">     post-natal</w:t>
            </w:r>
          </w:p>
        </w:tc>
        <w:tc>
          <w:tcPr>
            <w:tcW w:w="397" w:type="dxa"/>
            <w:noWrap/>
            <w:vAlign w:val="bottom"/>
          </w:tcPr>
          <w:p w:rsidR="00000000" w:rsidRDefault="00000000">
            <w:pPr>
              <w:spacing w:before="80" w:after="80"/>
              <w:jc w:val="center"/>
              <w:rPr>
                <w:sz w:val="18"/>
                <w:szCs w:val="16"/>
              </w:rPr>
            </w:pPr>
            <w:r>
              <w:rPr>
                <w:sz w:val="18"/>
                <w:szCs w:val="16"/>
              </w:rPr>
              <w:t>21</w:t>
            </w:r>
          </w:p>
        </w:tc>
        <w:tc>
          <w:tcPr>
            <w:tcW w:w="671" w:type="dxa"/>
            <w:noWrap/>
            <w:vAlign w:val="bottom"/>
          </w:tcPr>
          <w:p w:rsidR="00000000" w:rsidRDefault="00000000">
            <w:pPr>
              <w:spacing w:before="80" w:after="80"/>
              <w:jc w:val="center"/>
              <w:rPr>
                <w:sz w:val="18"/>
                <w:szCs w:val="16"/>
              </w:rPr>
            </w:pPr>
            <w:r>
              <w:rPr>
                <w:sz w:val="18"/>
                <w:szCs w:val="16"/>
              </w:rPr>
              <w:t>23.8</w:t>
            </w:r>
          </w:p>
        </w:tc>
        <w:tc>
          <w:tcPr>
            <w:tcW w:w="392" w:type="dxa"/>
            <w:noWrap/>
            <w:vAlign w:val="bottom"/>
          </w:tcPr>
          <w:p w:rsidR="00000000" w:rsidRDefault="00000000">
            <w:pPr>
              <w:spacing w:before="80" w:after="80"/>
              <w:jc w:val="center"/>
              <w:rPr>
                <w:sz w:val="18"/>
                <w:szCs w:val="16"/>
              </w:rPr>
            </w:pPr>
            <w:r>
              <w:rPr>
                <w:sz w:val="18"/>
                <w:szCs w:val="16"/>
              </w:rPr>
              <w:t>15</w:t>
            </w:r>
          </w:p>
        </w:tc>
        <w:tc>
          <w:tcPr>
            <w:tcW w:w="625" w:type="dxa"/>
            <w:noWrap/>
            <w:vAlign w:val="bottom"/>
          </w:tcPr>
          <w:p w:rsidR="00000000" w:rsidRDefault="00000000">
            <w:pPr>
              <w:spacing w:before="80" w:after="80"/>
              <w:jc w:val="center"/>
              <w:rPr>
                <w:sz w:val="18"/>
                <w:szCs w:val="16"/>
              </w:rPr>
            </w:pPr>
            <w:r>
              <w:rPr>
                <w:sz w:val="18"/>
                <w:szCs w:val="16"/>
              </w:rPr>
              <w:t>17.0</w:t>
            </w:r>
          </w:p>
        </w:tc>
        <w:tc>
          <w:tcPr>
            <w:tcW w:w="392" w:type="dxa"/>
            <w:noWrap/>
            <w:vAlign w:val="bottom"/>
          </w:tcPr>
          <w:p w:rsidR="00000000" w:rsidRDefault="00000000">
            <w:pPr>
              <w:spacing w:before="80" w:after="80"/>
              <w:jc w:val="center"/>
              <w:rPr>
                <w:sz w:val="18"/>
                <w:szCs w:val="16"/>
              </w:rPr>
            </w:pPr>
            <w:r>
              <w:rPr>
                <w:sz w:val="18"/>
                <w:szCs w:val="16"/>
              </w:rPr>
              <w:t>20</w:t>
            </w:r>
          </w:p>
        </w:tc>
        <w:tc>
          <w:tcPr>
            <w:tcW w:w="624" w:type="dxa"/>
            <w:noWrap/>
            <w:vAlign w:val="bottom"/>
          </w:tcPr>
          <w:p w:rsidR="00000000" w:rsidRDefault="00000000">
            <w:pPr>
              <w:spacing w:before="80" w:after="80"/>
              <w:jc w:val="center"/>
              <w:rPr>
                <w:sz w:val="18"/>
                <w:szCs w:val="16"/>
              </w:rPr>
            </w:pPr>
            <w:r>
              <w:rPr>
                <w:sz w:val="18"/>
                <w:szCs w:val="16"/>
              </w:rPr>
              <w:t>23.1</w:t>
            </w:r>
          </w:p>
        </w:tc>
        <w:tc>
          <w:tcPr>
            <w:tcW w:w="395" w:type="dxa"/>
            <w:noWrap/>
            <w:vAlign w:val="bottom"/>
          </w:tcPr>
          <w:p w:rsidR="00000000" w:rsidRDefault="00000000">
            <w:pPr>
              <w:spacing w:before="80" w:after="80"/>
              <w:jc w:val="center"/>
              <w:rPr>
                <w:sz w:val="18"/>
                <w:szCs w:val="16"/>
              </w:rPr>
            </w:pPr>
            <w:r>
              <w:rPr>
                <w:sz w:val="18"/>
                <w:szCs w:val="16"/>
              </w:rPr>
              <w:t>20</w:t>
            </w:r>
          </w:p>
        </w:tc>
        <w:tc>
          <w:tcPr>
            <w:tcW w:w="624" w:type="dxa"/>
            <w:noWrap/>
            <w:vAlign w:val="bottom"/>
          </w:tcPr>
          <w:p w:rsidR="00000000" w:rsidRDefault="00000000">
            <w:pPr>
              <w:spacing w:before="80" w:after="80"/>
              <w:jc w:val="center"/>
              <w:rPr>
                <w:sz w:val="18"/>
                <w:szCs w:val="16"/>
              </w:rPr>
            </w:pPr>
            <w:r>
              <w:rPr>
                <w:sz w:val="18"/>
                <w:szCs w:val="16"/>
              </w:rPr>
              <w:t>22.2</w:t>
            </w:r>
          </w:p>
        </w:tc>
        <w:tc>
          <w:tcPr>
            <w:tcW w:w="395" w:type="dxa"/>
            <w:noWrap/>
            <w:vAlign w:val="bottom"/>
          </w:tcPr>
          <w:p w:rsidR="00000000" w:rsidRDefault="00000000">
            <w:pPr>
              <w:spacing w:before="80" w:after="80"/>
              <w:jc w:val="center"/>
              <w:rPr>
                <w:sz w:val="18"/>
                <w:szCs w:val="16"/>
              </w:rPr>
            </w:pPr>
            <w:r>
              <w:rPr>
                <w:sz w:val="18"/>
                <w:szCs w:val="16"/>
              </w:rPr>
              <w:t>32</w:t>
            </w:r>
          </w:p>
        </w:tc>
        <w:tc>
          <w:tcPr>
            <w:tcW w:w="624" w:type="dxa"/>
            <w:noWrap/>
            <w:vAlign w:val="bottom"/>
          </w:tcPr>
          <w:p w:rsidR="00000000" w:rsidRDefault="00000000">
            <w:pPr>
              <w:spacing w:before="80" w:after="80"/>
              <w:jc w:val="center"/>
              <w:rPr>
                <w:sz w:val="18"/>
                <w:szCs w:val="16"/>
              </w:rPr>
            </w:pPr>
            <w:r>
              <w:rPr>
                <w:sz w:val="18"/>
                <w:szCs w:val="16"/>
              </w:rPr>
              <w:t>37.2</w:t>
            </w:r>
          </w:p>
        </w:tc>
        <w:tc>
          <w:tcPr>
            <w:tcW w:w="395" w:type="dxa"/>
            <w:noWrap/>
            <w:vAlign w:val="bottom"/>
          </w:tcPr>
          <w:p w:rsidR="00000000" w:rsidRDefault="00000000">
            <w:pPr>
              <w:spacing w:before="80" w:after="80"/>
              <w:jc w:val="center"/>
              <w:rPr>
                <w:sz w:val="18"/>
                <w:szCs w:val="16"/>
              </w:rPr>
            </w:pPr>
            <w:r>
              <w:rPr>
                <w:sz w:val="18"/>
                <w:szCs w:val="16"/>
              </w:rPr>
              <w:t>25</w:t>
            </w:r>
          </w:p>
        </w:tc>
        <w:tc>
          <w:tcPr>
            <w:tcW w:w="624" w:type="dxa"/>
            <w:noWrap/>
            <w:vAlign w:val="bottom"/>
          </w:tcPr>
          <w:p w:rsidR="00000000" w:rsidRDefault="00000000">
            <w:pPr>
              <w:spacing w:before="80" w:after="80"/>
              <w:jc w:val="center"/>
              <w:rPr>
                <w:sz w:val="18"/>
                <w:szCs w:val="16"/>
              </w:rPr>
            </w:pPr>
            <w:r>
              <w:rPr>
                <w:sz w:val="18"/>
                <w:szCs w:val="16"/>
              </w:rPr>
              <w:t>29,8</w:t>
            </w:r>
          </w:p>
        </w:tc>
        <w:tc>
          <w:tcPr>
            <w:tcW w:w="395" w:type="dxa"/>
            <w:noWrap/>
            <w:vAlign w:val="bottom"/>
          </w:tcPr>
          <w:p w:rsidR="00000000" w:rsidRDefault="00000000">
            <w:pPr>
              <w:spacing w:before="80" w:after="80"/>
              <w:jc w:val="center"/>
              <w:rPr>
                <w:sz w:val="18"/>
                <w:szCs w:val="16"/>
              </w:rPr>
            </w:pPr>
            <w:r>
              <w:rPr>
                <w:sz w:val="18"/>
                <w:szCs w:val="16"/>
              </w:rPr>
              <w:t>31</w:t>
            </w:r>
          </w:p>
        </w:tc>
        <w:tc>
          <w:tcPr>
            <w:tcW w:w="605" w:type="dxa"/>
            <w:noWrap/>
            <w:vAlign w:val="bottom"/>
          </w:tcPr>
          <w:p w:rsidR="00000000" w:rsidRDefault="00000000">
            <w:pPr>
              <w:spacing w:before="80" w:after="80"/>
              <w:jc w:val="center"/>
              <w:rPr>
                <w:sz w:val="18"/>
                <w:szCs w:val="16"/>
              </w:rPr>
            </w:pPr>
            <w:r>
              <w:rPr>
                <w:sz w:val="18"/>
                <w:szCs w:val="16"/>
              </w:rPr>
              <w:t>34,4</w:t>
            </w:r>
          </w:p>
        </w:tc>
        <w:tc>
          <w:tcPr>
            <w:tcW w:w="395" w:type="dxa"/>
            <w:noWrap/>
            <w:vAlign w:val="bottom"/>
          </w:tcPr>
          <w:p w:rsidR="00000000" w:rsidRDefault="00000000">
            <w:pPr>
              <w:spacing w:before="80" w:after="80"/>
              <w:jc w:val="center"/>
              <w:rPr>
                <w:sz w:val="18"/>
                <w:szCs w:val="16"/>
              </w:rPr>
            </w:pPr>
            <w:r>
              <w:rPr>
                <w:sz w:val="18"/>
                <w:szCs w:val="16"/>
              </w:rPr>
              <w:t>39</w:t>
            </w:r>
          </w:p>
        </w:tc>
        <w:tc>
          <w:tcPr>
            <w:tcW w:w="624" w:type="dxa"/>
            <w:noWrap/>
            <w:vAlign w:val="bottom"/>
          </w:tcPr>
          <w:p w:rsidR="00000000" w:rsidRDefault="00000000">
            <w:pPr>
              <w:spacing w:before="80" w:after="80"/>
              <w:jc w:val="center"/>
              <w:rPr>
                <w:sz w:val="18"/>
                <w:szCs w:val="16"/>
              </w:rPr>
            </w:pPr>
            <w:r>
              <w:rPr>
                <w:sz w:val="18"/>
                <w:szCs w:val="16"/>
              </w:rPr>
              <w:t>45,0</w:t>
            </w:r>
          </w:p>
        </w:tc>
      </w:tr>
      <w:tr w:rsidR="00000000">
        <w:trPr>
          <w:jc w:val="center"/>
        </w:trPr>
        <w:tc>
          <w:tcPr>
            <w:tcW w:w="1267" w:type="dxa"/>
            <w:tcBorders>
              <w:bottom w:val="single" w:sz="4" w:space="0" w:color="auto"/>
            </w:tcBorders>
            <w:noWrap/>
            <w:vAlign w:val="bottom"/>
          </w:tcPr>
          <w:p w:rsidR="00000000" w:rsidRDefault="00000000">
            <w:pPr>
              <w:spacing w:before="80" w:after="80"/>
              <w:rPr>
                <w:b/>
                <w:bCs/>
                <w:sz w:val="18"/>
                <w:szCs w:val="16"/>
              </w:rPr>
            </w:pPr>
            <w:r>
              <w:rPr>
                <w:b/>
                <w:bCs/>
                <w:sz w:val="18"/>
                <w:szCs w:val="16"/>
              </w:rPr>
              <w:t xml:space="preserve">TOTAL </w:t>
            </w:r>
          </w:p>
        </w:tc>
        <w:tc>
          <w:tcPr>
            <w:tcW w:w="397" w:type="dxa"/>
            <w:tcBorders>
              <w:bottom w:val="single" w:sz="4" w:space="0" w:color="auto"/>
            </w:tcBorders>
            <w:noWrap/>
            <w:vAlign w:val="bottom"/>
          </w:tcPr>
          <w:p w:rsidR="00000000" w:rsidRDefault="00000000">
            <w:pPr>
              <w:spacing w:before="80" w:after="80"/>
              <w:jc w:val="center"/>
              <w:rPr>
                <w:b/>
                <w:bCs/>
                <w:sz w:val="18"/>
                <w:szCs w:val="16"/>
              </w:rPr>
            </w:pPr>
            <w:r>
              <w:rPr>
                <w:b/>
                <w:bCs/>
                <w:sz w:val="18"/>
                <w:szCs w:val="16"/>
              </w:rPr>
              <w:t>109</w:t>
            </w:r>
          </w:p>
        </w:tc>
        <w:tc>
          <w:tcPr>
            <w:tcW w:w="671" w:type="dxa"/>
            <w:tcBorders>
              <w:bottom w:val="single" w:sz="4" w:space="0" w:color="auto"/>
            </w:tcBorders>
            <w:noWrap/>
            <w:vAlign w:val="bottom"/>
          </w:tcPr>
          <w:p w:rsidR="00000000" w:rsidRDefault="00000000">
            <w:pPr>
              <w:spacing w:before="80" w:after="80"/>
              <w:jc w:val="center"/>
              <w:rPr>
                <w:b/>
                <w:bCs/>
                <w:sz w:val="18"/>
                <w:szCs w:val="16"/>
              </w:rPr>
            </w:pPr>
            <w:r>
              <w:rPr>
                <w:b/>
                <w:bCs/>
                <w:sz w:val="18"/>
                <w:szCs w:val="16"/>
              </w:rPr>
              <w:t>123.3</w:t>
            </w:r>
          </w:p>
        </w:tc>
        <w:tc>
          <w:tcPr>
            <w:tcW w:w="392" w:type="dxa"/>
            <w:tcBorders>
              <w:bottom w:val="single" w:sz="4" w:space="0" w:color="auto"/>
            </w:tcBorders>
            <w:noWrap/>
            <w:vAlign w:val="bottom"/>
          </w:tcPr>
          <w:p w:rsidR="00000000" w:rsidRDefault="00000000">
            <w:pPr>
              <w:spacing w:before="80" w:after="80"/>
              <w:jc w:val="center"/>
              <w:rPr>
                <w:b/>
                <w:bCs/>
                <w:sz w:val="18"/>
                <w:szCs w:val="16"/>
              </w:rPr>
            </w:pPr>
            <w:r>
              <w:rPr>
                <w:b/>
                <w:bCs/>
                <w:sz w:val="18"/>
                <w:szCs w:val="16"/>
              </w:rPr>
              <w:t>90</w:t>
            </w:r>
          </w:p>
        </w:tc>
        <w:tc>
          <w:tcPr>
            <w:tcW w:w="625" w:type="dxa"/>
            <w:tcBorders>
              <w:bottom w:val="single" w:sz="4" w:space="0" w:color="auto"/>
            </w:tcBorders>
            <w:noWrap/>
            <w:vAlign w:val="bottom"/>
          </w:tcPr>
          <w:p w:rsidR="00000000" w:rsidRDefault="00000000">
            <w:pPr>
              <w:spacing w:before="80" w:after="80"/>
              <w:jc w:val="center"/>
              <w:rPr>
                <w:b/>
                <w:bCs/>
                <w:sz w:val="18"/>
                <w:szCs w:val="16"/>
              </w:rPr>
            </w:pPr>
            <w:r>
              <w:rPr>
                <w:b/>
                <w:bCs/>
                <w:sz w:val="18"/>
                <w:szCs w:val="16"/>
              </w:rPr>
              <w:t>101.8</w:t>
            </w:r>
          </w:p>
        </w:tc>
        <w:tc>
          <w:tcPr>
            <w:tcW w:w="392" w:type="dxa"/>
            <w:tcBorders>
              <w:bottom w:val="single" w:sz="4" w:space="0" w:color="auto"/>
            </w:tcBorders>
            <w:noWrap/>
            <w:vAlign w:val="bottom"/>
          </w:tcPr>
          <w:p w:rsidR="00000000" w:rsidRDefault="00000000">
            <w:pPr>
              <w:spacing w:before="80" w:after="80"/>
              <w:jc w:val="center"/>
              <w:rPr>
                <w:b/>
                <w:bCs/>
                <w:sz w:val="18"/>
                <w:szCs w:val="16"/>
              </w:rPr>
            </w:pPr>
            <w:r>
              <w:rPr>
                <w:b/>
                <w:bCs/>
                <w:sz w:val="18"/>
                <w:szCs w:val="16"/>
              </w:rPr>
              <w:t>96</w:t>
            </w:r>
          </w:p>
        </w:tc>
        <w:tc>
          <w:tcPr>
            <w:tcW w:w="624" w:type="dxa"/>
            <w:tcBorders>
              <w:bottom w:val="single" w:sz="4" w:space="0" w:color="auto"/>
            </w:tcBorders>
            <w:noWrap/>
            <w:vAlign w:val="bottom"/>
          </w:tcPr>
          <w:p w:rsidR="00000000" w:rsidRDefault="00000000">
            <w:pPr>
              <w:spacing w:before="80" w:after="80"/>
              <w:jc w:val="center"/>
              <w:rPr>
                <w:b/>
                <w:bCs/>
                <w:sz w:val="18"/>
                <w:szCs w:val="16"/>
              </w:rPr>
            </w:pPr>
            <w:r>
              <w:rPr>
                <w:b/>
                <w:bCs/>
                <w:sz w:val="18"/>
                <w:szCs w:val="16"/>
              </w:rPr>
              <w:t>110.9</w:t>
            </w:r>
          </w:p>
        </w:tc>
        <w:tc>
          <w:tcPr>
            <w:tcW w:w="395" w:type="dxa"/>
            <w:tcBorders>
              <w:bottom w:val="single" w:sz="4" w:space="0" w:color="auto"/>
            </w:tcBorders>
            <w:noWrap/>
            <w:vAlign w:val="bottom"/>
          </w:tcPr>
          <w:p w:rsidR="00000000" w:rsidRDefault="00000000">
            <w:pPr>
              <w:spacing w:before="80" w:after="80"/>
              <w:jc w:val="center"/>
              <w:rPr>
                <w:b/>
                <w:bCs/>
                <w:sz w:val="18"/>
                <w:szCs w:val="16"/>
              </w:rPr>
            </w:pPr>
            <w:r>
              <w:rPr>
                <w:b/>
                <w:bCs/>
                <w:sz w:val="18"/>
                <w:szCs w:val="16"/>
              </w:rPr>
              <w:t>103</w:t>
            </w:r>
          </w:p>
        </w:tc>
        <w:tc>
          <w:tcPr>
            <w:tcW w:w="624" w:type="dxa"/>
            <w:tcBorders>
              <w:bottom w:val="single" w:sz="4" w:space="0" w:color="auto"/>
            </w:tcBorders>
            <w:noWrap/>
            <w:vAlign w:val="bottom"/>
          </w:tcPr>
          <w:p w:rsidR="00000000" w:rsidRDefault="00000000">
            <w:pPr>
              <w:spacing w:before="80" w:after="80"/>
              <w:jc w:val="center"/>
              <w:rPr>
                <w:b/>
                <w:bCs/>
                <w:sz w:val="18"/>
                <w:szCs w:val="16"/>
              </w:rPr>
            </w:pPr>
            <w:r>
              <w:rPr>
                <w:b/>
                <w:bCs/>
                <w:sz w:val="18"/>
                <w:szCs w:val="16"/>
              </w:rPr>
              <w:t>114.4</w:t>
            </w:r>
          </w:p>
        </w:tc>
        <w:tc>
          <w:tcPr>
            <w:tcW w:w="395" w:type="dxa"/>
            <w:tcBorders>
              <w:bottom w:val="single" w:sz="4" w:space="0" w:color="auto"/>
            </w:tcBorders>
            <w:noWrap/>
            <w:vAlign w:val="bottom"/>
          </w:tcPr>
          <w:p w:rsidR="00000000" w:rsidRDefault="00000000">
            <w:pPr>
              <w:spacing w:before="80" w:after="80"/>
              <w:jc w:val="center"/>
              <w:rPr>
                <w:b/>
                <w:bCs/>
                <w:sz w:val="18"/>
                <w:szCs w:val="16"/>
              </w:rPr>
            </w:pPr>
            <w:r>
              <w:rPr>
                <w:b/>
                <w:bCs/>
                <w:sz w:val="18"/>
                <w:szCs w:val="16"/>
              </w:rPr>
              <w:t>141</w:t>
            </w:r>
          </w:p>
        </w:tc>
        <w:tc>
          <w:tcPr>
            <w:tcW w:w="624" w:type="dxa"/>
            <w:tcBorders>
              <w:bottom w:val="single" w:sz="4" w:space="0" w:color="auto"/>
            </w:tcBorders>
            <w:noWrap/>
            <w:vAlign w:val="bottom"/>
          </w:tcPr>
          <w:p w:rsidR="00000000" w:rsidRDefault="00000000">
            <w:pPr>
              <w:spacing w:before="80" w:after="80"/>
              <w:jc w:val="center"/>
              <w:rPr>
                <w:b/>
                <w:bCs/>
                <w:sz w:val="18"/>
                <w:szCs w:val="16"/>
              </w:rPr>
            </w:pPr>
            <w:r>
              <w:rPr>
                <w:b/>
                <w:bCs/>
                <w:sz w:val="18"/>
                <w:szCs w:val="16"/>
              </w:rPr>
              <w:t>164</w:t>
            </w:r>
          </w:p>
        </w:tc>
        <w:tc>
          <w:tcPr>
            <w:tcW w:w="395" w:type="dxa"/>
            <w:tcBorders>
              <w:bottom w:val="single" w:sz="4" w:space="0" w:color="auto"/>
            </w:tcBorders>
            <w:noWrap/>
            <w:vAlign w:val="bottom"/>
          </w:tcPr>
          <w:p w:rsidR="00000000" w:rsidRDefault="00000000">
            <w:pPr>
              <w:spacing w:before="80" w:after="80"/>
              <w:jc w:val="center"/>
              <w:rPr>
                <w:b/>
                <w:bCs/>
                <w:sz w:val="18"/>
                <w:szCs w:val="16"/>
              </w:rPr>
            </w:pPr>
            <w:r>
              <w:rPr>
                <w:b/>
                <w:bCs/>
                <w:sz w:val="18"/>
                <w:szCs w:val="16"/>
              </w:rPr>
              <w:t>134</w:t>
            </w:r>
          </w:p>
        </w:tc>
        <w:tc>
          <w:tcPr>
            <w:tcW w:w="624" w:type="dxa"/>
            <w:tcBorders>
              <w:bottom w:val="single" w:sz="4" w:space="0" w:color="auto"/>
            </w:tcBorders>
            <w:noWrap/>
            <w:vAlign w:val="bottom"/>
          </w:tcPr>
          <w:p w:rsidR="00000000" w:rsidRDefault="00000000">
            <w:pPr>
              <w:spacing w:before="80" w:after="80"/>
              <w:jc w:val="center"/>
              <w:rPr>
                <w:b/>
                <w:bCs/>
                <w:sz w:val="18"/>
                <w:szCs w:val="16"/>
              </w:rPr>
            </w:pPr>
            <w:r>
              <w:rPr>
                <w:b/>
                <w:bCs/>
                <w:sz w:val="18"/>
                <w:szCs w:val="16"/>
              </w:rPr>
              <w:t>159,7</w:t>
            </w:r>
          </w:p>
        </w:tc>
        <w:tc>
          <w:tcPr>
            <w:tcW w:w="395" w:type="dxa"/>
            <w:tcBorders>
              <w:bottom w:val="single" w:sz="4" w:space="0" w:color="auto"/>
            </w:tcBorders>
            <w:noWrap/>
            <w:vAlign w:val="bottom"/>
          </w:tcPr>
          <w:p w:rsidR="00000000" w:rsidRDefault="00000000">
            <w:pPr>
              <w:spacing w:before="80" w:after="80"/>
              <w:jc w:val="center"/>
              <w:rPr>
                <w:b/>
                <w:bCs/>
                <w:sz w:val="18"/>
                <w:szCs w:val="16"/>
              </w:rPr>
            </w:pPr>
            <w:r>
              <w:rPr>
                <w:b/>
                <w:bCs/>
                <w:sz w:val="18"/>
                <w:szCs w:val="16"/>
              </w:rPr>
              <w:t>164</w:t>
            </w:r>
          </w:p>
        </w:tc>
        <w:tc>
          <w:tcPr>
            <w:tcW w:w="605" w:type="dxa"/>
            <w:tcBorders>
              <w:bottom w:val="single" w:sz="4" w:space="0" w:color="auto"/>
            </w:tcBorders>
            <w:noWrap/>
            <w:vAlign w:val="bottom"/>
          </w:tcPr>
          <w:p w:rsidR="00000000" w:rsidRDefault="00000000">
            <w:pPr>
              <w:spacing w:before="80" w:after="80"/>
              <w:jc w:val="center"/>
              <w:rPr>
                <w:b/>
                <w:bCs/>
                <w:sz w:val="18"/>
                <w:szCs w:val="16"/>
              </w:rPr>
            </w:pPr>
            <w:r>
              <w:rPr>
                <w:b/>
                <w:bCs/>
                <w:sz w:val="18"/>
                <w:szCs w:val="16"/>
              </w:rPr>
              <w:t>182,1</w:t>
            </w:r>
          </w:p>
        </w:tc>
        <w:tc>
          <w:tcPr>
            <w:tcW w:w="395" w:type="dxa"/>
            <w:tcBorders>
              <w:bottom w:val="single" w:sz="4" w:space="0" w:color="auto"/>
            </w:tcBorders>
            <w:noWrap/>
            <w:vAlign w:val="bottom"/>
          </w:tcPr>
          <w:p w:rsidR="00000000" w:rsidRDefault="00000000">
            <w:pPr>
              <w:spacing w:before="80" w:after="80"/>
              <w:jc w:val="center"/>
              <w:rPr>
                <w:b/>
                <w:bCs/>
                <w:sz w:val="18"/>
                <w:szCs w:val="16"/>
              </w:rPr>
            </w:pPr>
            <w:r>
              <w:rPr>
                <w:b/>
                <w:bCs/>
                <w:sz w:val="18"/>
                <w:szCs w:val="16"/>
              </w:rPr>
              <w:t>151</w:t>
            </w:r>
          </w:p>
        </w:tc>
        <w:tc>
          <w:tcPr>
            <w:tcW w:w="624" w:type="dxa"/>
            <w:tcBorders>
              <w:bottom w:val="single" w:sz="4" w:space="0" w:color="auto"/>
            </w:tcBorders>
            <w:noWrap/>
            <w:vAlign w:val="bottom"/>
          </w:tcPr>
          <w:p w:rsidR="00000000" w:rsidRDefault="00000000">
            <w:pPr>
              <w:spacing w:before="80" w:after="80"/>
              <w:jc w:val="center"/>
              <w:rPr>
                <w:b/>
                <w:bCs/>
                <w:sz w:val="18"/>
                <w:szCs w:val="16"/>
              </w:rPr>
            </w:pPr>
            <w:r>
              <w:rPr>
                <w:b/>
                <w:bCs/>
                <w:sz w:val="18"/>
                <w:szCs w:val="16"/>
              </w:rPr>
              <w:t>174,1</w:t>
            </w:r>
          </w:p>
        </w:tc>
      </w:tr>
      <w:tr w:rsidR="00000000">
        <w:trPr>
          <w:cantSplit/>
          <w:jc w:val="center"/>
        </w:trPr>
        <w:tc>
          <w:tcPr>
            <w:tcW w:w="1267" w:type="dxa"/>
            <w:vMerge w:val="restart"/>
            <w:tcBorders>
              <w:top w:val="single" w:sz="4" w:space="0" w:color="auto"/>
            </w:tcBorders>
            <w:noWrap/>
            <w:vAlign w:val="center"/>
          </w:tcPr>
          <w:p w:rsidR="00000000" w:rsidRDefault="00000000">
            <w:pPr>
              <w:spacing w:before="80" w:after="80"/>
              <w:rPr>
                <w:b/>
                <w:bCs/>
                <w:sz w:val="18"/>
                <w:szCs w:val="16"/>
              </w:rPr>
            </w:pPr>
            <w:r>
              <w:rPr>
                <w:sz w:val="18"/>
                <w:szCs w:val="16"/>
              </w:rPr>
              <w:t>LIVE BIRTHS</w:t>
            </w:r>
          </w:p>
        </w:tc>
        <w:tc>
          <w:tcPr>
            <w:tcW w:w="1068" w:type="dxa"/>
            <w:gridSpan w:val="2"/>
            <w:tcBorders>
              <w:top w:val="single" w:sz="4" w:space="0" w:color="auto"/>
            </w:tcBorders>
            <w:noWrap/>
            <w:vAlign w:val="bottom"/>
          </w:tcPr>
          <w:p w:rsidR="00000000" w:rsidRDefault="00000000">
            <w:pPr>
              <w:spacing w:before="80" w:after="80"/>
              <w:jc w:val="center"/>
              <w:rPr>
                <w:b/>
                <w:bCs/>
                <w:sz w:val="18"/>
                <w:szCs w:val="16"/>
              </w:rPr>
            </w:pPr>
            <w:r>
              <w:rPr>
                <w:b/>
                <w:bCs/>
                <w:sz w:val="18"/>
                <w:szCs w:val="16"/>
              </w:rPr>
              <w:t>1996</w:t>
            </w:r>
          </w:p>
        </w:tc>
        <w:tc>
          <w:tcPr>
            <w:tcW w:w="1017" w:type="dxa"/>
            <w:gridSpan w:val="2"/>
            <w:tcBorders>
              <w:top w:val="single" w:sz="4" w:space="0" w:color="auto"/>
            </w:tcBorders>
            <w:noWrap/>
            <w:vAlign w:val="bottom"/>
          </w:tcPr>
          <w:p w:rsidR="00000000" w:rsidRDefault="00000000">
            <w:pPr>
              <w:spacing w:before="80" w:after="80"/>
              <w:jc w:val="center"/>
              <w:rPr>
                <w:b/>
                <w:bCs/>
                <w:sz w:val="18"/>
                <w:szCs w:val="16"/>
              </w:rPr>
            </w:pPr>
            <w:r>
              <w:rPr>
                <w:b/>
                <w:bCs/>
                <w:sz w:val="18"/>
                <w:szCs w:val="16"/>
              </w:rPr>
              <w:t>1997</w:t>
            </w:r>
          </w:p>
        </w:tc>
        <w:tc>
          <w:tcPr>
            <w:tcW w:w="1016" w:type="dxa"/>
            <w:gridSpan w:val="2"/>
            <w:tcBorders>
              <w:top w:val="single" w:sz="4" w:space="0" w:color="auto"/>
            </w:tcBorders>
            <w:noWrap/>
            <w:vAlign w:val="bottom"/>
          </w:tcPr>
          <w:p w:rsidR="00000000" w:rsidRDefault="00000000">
            <w:pPr>
              <w:spacing w:before="80" w:after="80"/>
              <w:jc w:val="center"/>
              <w:rPr>
                <w:b/>
                <w:bCs/>
                <w:sz w:val="18"/>
                <w:szCs w:val="16"/>
              </w:rPr>
            </w:pPr>
            <w:r>
              <w:rPr>
                <w:b/>
                <w:bCs/>
                <w:sz w:val="18"/>
                <w:szCs w:val="16"/>
              </w:rPr>
              <w:t>1998</w:t>
            </w:r>
          </w:p>
        </w:tc>
        <w:tc>
          <w:tcPr>
            <w:tcW w:w="1019" w:type="dxa"/>
            <w:gridSpan w:val="2"/>
            <w:tcBorders>
              <w:top w:val="single" w:sz="4" w:space="0" w:color="auto"/>
            </w:tcBorders>
            <w:noWrap/>
            <w:vAlign w:val="bottom"/>
          </w:tcPr>
          <w:p w:rsidR="00000000" w:rsidRDefault="00000000">
            <w:pPr>
              <w:spacing w:before="80" w:after="80"/>
              <w:jc w:val="center"/>
              <w:rPr>
                <w:b/>
                <w:bCs/>
                <w:sz w:val="18"/>
                <w:szCs w:val="16"/>
              </w:rPr>
            </w:pPr>
            <w:r>
              <w:rPr>
                <w:b/>
                <w:bCs/>
                <w:sz w:val="18"/>
                <w:szCs w:val="16"/>
              </w:rPr>
              <w:t>1999</w:t>
            </w:r>
          </w:p>
        </w:tc>
        <w:tc>
          <w:tcPr>
            <w:tcW w:w="1019" w:type="dxa"/>
            <w:gridSpan w:val="2"/>
            <w:tcBorders>
              <w:top w:val="single" w:sz="4" w:space="0" w:color="auto"/>
            </w:tcBorders>
            <w:noWrap/>
            <w:vAlign w:val="bottom"/>
          </w:tcPr>
          <w:p w:rsidR="00000000" w:rsidRDefault="00000000">
            <w:pPr>
              <w:spacing w:before="80" w:after="80"/>
              <w:jc w:val="center"/>
              <w:rPr>
                <w:b/>
                <w:bCs/>
                <w:sz w:val="18"/>
                <w:szCs w:val="16"/>
              </w:rPr>
            </w:pPr>
            <w:r>
              <w:rPr>
                <w:b/>
                <w:bCs/>
                <w:sz w:val="18"/>
                <w:szCs w:val="16"/>
              </w:rPr>
              <w:t>2000</w:t>
            </w:r>
          </w:p>
        </w:tc>
        <w:tc>
          <w:tcPr>
            <w:tcW w:w="1019" w:type="dxa"/>
            <w:gridSpan w:val="2"/>
            <w:tcBorders>
              <w:top w:val="single" w:sz="4" w:space="0" w:color="auto"/>
            </w:tcBorders>
            <w:noWrap/>
            <w:vAlign w:val="bottom"/>
          </w:tcPr>
          <w:p w:rsidR="00000000" w:rsidRDefault="00000000">
            <w:pPr>
              <w:spacing w:before="80" w:after="80"/>
              <w:jc w:val="center"/>
              <w:rPr>
                <w:b/>
                <w:bCs/>
                <w:sz w:val="18"/>
                <w:szCs w:val="16"/>
              </w:rPr>
            </w:pPr>
            <w:r>
              <w:rPr>
                <w:b/>
                <w:bCs/>
                <w:sz w:val="18"/>
                <w:szCs w:val="16"/>
              </w:rPr>
              <w:t>2001</w:t>
            </w:r>
          </w:p>
        </w:tc>
        <w:tc>
          <w:tcPr>
            <w:tcW w:w="1000" w:type="dxa"/>
            <w:gridSpan w:val="2"/>
            <w:tcBorders>
              <w:top w:val="single" w:sz="4" w:space="0" w:color="auto"/>
            </w:tcBorders>
            <w:noWrap/>
            <w:vAlign w:val="bottom"/>
          </w:tcPr>
          <w:p w:rsidR="00000000" w:rsidRDefault="00000000">
            <w:pPr>
              <w:spacing w:before="80" w:after="80"/>
              <w:jc w:val="center"/>
              <w:rPr>
                <w:b/>
                <w:bCs/>
                <w:sz w:val="18"/>
                <w:szCs w:val="16"/>
              </w:rPr>
            </w:pPr>
            <w:r>
              <w:rPr>
                <w:b/>
                <w:bCs/>
                <w:sz w:val="18"/>
                <w:szCs w:val="16"/>
              </w:rPr>
              <w:t>2002</w:t>
            </w:r>
          </w:p>
        </w:tc>
        <w:tc>
          <w:tcPr>
            <w:tcW w:w="1019" w:type="dxa"/>
            <w:gridSpan w:val="2"/>
            <w:tcBorders>
              <w:top w:val="single" w:sz="4" w:space="0" w:color="auto"/>
            </w:tcBorders>
            <w:noWrap/>
            <w:vAlign w:val="bottom"/>
          </w:tcPr>
          <w:p w:rsidR="00000000" w:rsidRDefault="00000000">
            <w:pPr>
              <w:spacing w:before="80" w:after="80"/>
              <w:jc w:val="center"/>
              <w:rPr>
                <w:b/>
                <w:bCs/>
                <w:sz w:val="18"/>
                <w:szCs w:val="16"/>
              </w:rPr>
            </w:pPr>
            <w:r>
              <w:rPr>
                <w:b/>
                <w:bCs/>
                <w:sz w:val="18"/>
                <w:szCs w:val="16"/>
              </w:rPr>
              <w:t>2003</w:t>
            </w:r>
          </w:p>
        </w:tc>
      </w:tr>
      <w:tr w:rsidR="00000000">
        <w:trPr>
          <w:cantSplit/>
          <w:jc w:val="center"/>
        </w:trPr>
        <w:tc>
          <w:tcPr>
            <w:tcW w:w="1267" w:type="dxa"/>
            <w:vMerge/>
            <w:tcBorders>
              <w:bottom w:val="single" w:sz="4" w:space="0" w:color="auto"/>
            </w:tcBorders>
            <w:noWrap/>
            <w:vAlign w:val="bottom"/>
          </w:tcPr>
          <w:p w:rsidR="00000000" w:rsidRDefault="00000000">
            <w:pPr>
              <w:spacing w:before="80" w:after="80"/>
              <w:rPr>
                <w:b/>
                <w:bCs/>
                <w:sz w:val="18"/>
                <w:szCs w:val="16"/>
              </w:rPr>
            </w:pPr>
          </w:p>
        </w:tc>
        <w:tc>
          <w:tcPr>
            <w:tcW w:w="1068" w:type="dxa"/>
            <w:gridSpan w:val="2"/>
            <w:tcBorders>
              <w:bottom w:val="single" w:sz="4" w:space="0" w:color="auto"/>
            </w:tcBorders>
            <w:noWrap/>
            <w:vAlign w:val="bottom"/>
          </w:tcPr>
          <w:p w:rsidR="00000000" w:rsidRDefault="00000000">
            <w:pPr>
              <w:tabs>
                <w:tab w:val="decimal" w:pos="289"/>
              </w:tabs>
              <w:spacing w:before="60" w:after="60"/>
              <w:jc w:val="center"/>
              <w:rPr>
                <w:color w:val="000000"/>
                <w:sz w:val="18"/>
                <w:szCs w:val="16"/>
              </w:rPr>
            </w:pPr>
            <w:r>
              <w:rPr>
                <w:sz w:val="18"/>
              </w:rPr>
              <w:t>88 438</w:t>
            </w:r>
          </w:p>
        </w:tc>
        <w:tc>
          <w:tcPr>
            <w:tcW w:w="1017" w:type="dxa"/>
            <w:gridSpan w:val="2"/>
            <w:tcBorders>
              <w:bottom w:val="single" w:sz="4" w:space="0" w:color="auto"/>
            </w:tcBorders>
            <w:noWrap/>
            <w:vAlign w:val="bottom"/>
          </w:tcPr>
          <w:p w:rsidR="00000000" w:rsidRDefault="00000000">
            <w:pPr>
              <w:tabs>
                <w:tab w:val="decimal" w:pos="245"/>
              </w:tabs>
              <w:spacing w:before="60" w:after="60"/>
              <w:jc w:val="center"/>
              <w:rPr>
                <w:color w:val="000000"/>
                <w:sz w:val="18"/>
                <w:szCs w:val="16"/>
              </w:rPr>
            </w:pPr>
            <w:r>
              <w:rPr>
                <w:color w:val="000000"/>
                <w:sz w:val="18"/>
                <w:szCs w:val="16"/>
              </w:rPr>
              <w:t>88 422</w:t>
            </w:r>
          </w:p>
        </w:tc>
        <w:tc>
          <w:tcPr>
            <w:tcW w:w="1016" w:type="dxa"/>
            <w:gridSpan w:val="2"/>
            <w:tcBorders>
              <w:bottom w:val="single" w:sz="4" w:space="0" w:color="auto"/>
            </w:tcBorders>
            <w:noWrap/>
            <w:vAlign w:val="bottom"/>
          </w:tcPr>
          <w:p w:rsidR="00000000" w:rsidRDefault="00000000">
            <w:pPr>
              <w:tabs>
                <w:tab w:val="decimal" w:pos="255"/>
              </w:tabs>
              <w:spacing w:before="60" w:after="60"/>
              <w:jc w:val="center"/>
              <w:rPr>
                <w:color w:val="000000"/>
                <w:sz w:val="18"/>
                <w:szCs w:val="16"/>
              </w:rPr>
            </w:pPr>
            <w:r>
              <w:rPr>
                <w:color w:val="000000"/>
                <w:sz w:val="18"/>
                <w:szCs w:val="16"/>
              </w:rPr>
              <w:t>86 596</w:t>
            </w:r>
          </w:p>
        </w:tc>
        <w:tc>
          <w:tcPr>
            <w:tcW w:w="1019" w:type="dxa"/>
            <w:gridSpan w:val="2"/>
            <w:tcBorders>
              <w:bottom w:val="single" w:sz="4" w:space="0" w:color="auto"/>
            </w:tcBorders>
            <w:noWrap/>
            <w:vAlign w:val="bottom"/>
          </w:tcPr>
          <w:p w:rsidR="00000000" w:rsidRDefault="00000000">
            <w:pPr>
              <w:tabs>
                <w:tab w:val="decimal" w:pos="255"/>
              </w:tabs>
              <w:spacing w:before="60" w:after="60"/>
              <w:jc w:val="center"/>
              <w:rPr>
                <w:color w:val="000000"/>
                <w:sz w:val="18"/>
                <w:szCs w:val="16"/>
              </w:rPr>
            </w:pPr>
            <w:r>
              <w:rPr>
                <w:color w:val="000000"/>
                <w:sz w:val="18"/>
                <w:szCs w:val="16"/>
              </w:rPr>
              <w:t>90 007</w:t>
            </w:r>
          </w:p>
        </w:tc>
        <w:tc>
          <w:tcPr>
            <w:tcW w:w="1019" w:type="dxa"/>
            <w:gridSpan w:val="2"/>
            <w:tcBorders>
              <w:bottom w:val="single" w:sz="4" w:space="0" w:color="auto"/>
            </w:tcBorders>
            <w:noWrap/>
            <w:vAlign w:val="bottom"/>
          </w:tcPr>
          <w:p w:rsidR="00000000" w:rsidRDefault="00000000">
            <w:pPr>
              <w:tabs>
                <w:tab w:val="decimal" w:pos="249"/>
              </w:tabs>
              <w:spacing w:before="60" w:after="60"/>
              <w:jc w:val="center"/>
              <w:rPr>
                <w:color w:val="000000"/>
                <w:sz w:val="18"/>
                <w:szCs w:val="16"/>
              </w:rPr>
            </w:pPr>
            <w:r>
              <w:rPr>
                <w:sz w:val="18"/>
              </w:rPr>
              <w:t>86 000</w:t>
            </w:r>
          </w:p>
        </w:tc>
        <w:tc>
          <w:tcPr>
            <w:tcW w:w="1019" w:type="dxa"/>
            <w:gridSpan w:val="2"/>
            <w:tcBorders>
              <w:bottom w:val="single" w:sz="4" w:space="0" w:color="auto"/>
            </w:tcBorders>
            <w:noWrap/>
            <w:vAlign w:val="bottom"/>
          </w:tcPr>
          <w:p w:rsidR="00000000" w:rsidRDefault="00000000">
            <w:pPr>
              <w:tabs>
                <w:tab w:val="decimal" w:pos="244"/>
              </w:tabs>
              <w:spacing w:before="60" w:after="60"/>
              <w:jc w:val="center"/>
              <w:rPr>
                <w:color w:val="000000"/>
                <w:sz w:val="18"/>
                <w:szCs w:val="16"/>
              </w:rPr>
            </w:pPr>
            <w:r>
              <w:rPr>
                <w:sz w:val="18"/>
              </w:rPr>
              <w:t>83 919</w:t>
            </w:r>
          </w:p>
        </w:tc>
        <w:tc>
          <w:tcPr>
            <w:tcW w:w="1000" w:type="dxa"/>
            <w:gridSpan w:val="2"/>
            <w:tcBorders>
              <w:bottom w:val="single" w:sz="4" w:space="0" w:color="auto"/>
            </w:tcBorders>
            <w:noWrap/>
            <w:vAlign w:val="bottom"/>
          </w:tcPr>
          <w:p w:rsidR="00000000" w:rsidRDefault="00000000">
            <w:pPr>
              <w:tabs>
                <w:tab w:val="decimal" w:pos="282"/>
              </w:tabs>
              <w:spacing w:before="60" w:after="60"/>
              <w:jc w:val="center"/>
              <w:rPr>
                <w:color w:val="000000"/>
                <w:sz w:val="18"/>
                <w:szCs w:val="16"/>
              </w:rPr>
            </w:pPr>
            <w:r>
              <w:rPr>
                <w:sz w:val="18"/>
              </w:rPr>
              <w:t>90 085</w:t>
            </w:r>
          </w:p>
        </w:tc>
        <w:tc>
          <w:tcPr>
            <w:tcW w:w="1019" w:type="dxa"/>
            <w:gridSpan w:val="2"/>
            <w:tcBorders>
              <w:bottom w:val="single" w:sz="4" w:space="0" w:color="auto"/>
            </w:tcBorders>
            <w:noWrap/>
            <w:vAlign w:val="bottom"/>
          </w:tcPr>
          <w:p w:rsidR="00000000" w:rsidRDefault="00000000">
            <w:pPr>
              <w:tabs>
                <w:tab w:val="decimal" w:pos="181"/>
              </w:tabs>
              <w:spacing w:before="60" w:after="60"/>
              <w:jc w:val="center"/>
              <w:rPr>
                <w:color w:val="000000"/>
                <w:sz w:val="18"/>
                <w:szCs w:val="16"/>
              </w:rPr>
            </w:pPr>
            <w:r>
              <w:rPr>
                <w:color w:val="000000"/>
                <w:sz w:val="18"/>
                <w:szCs w:val="16"/>
              </w:rPr>
              <w:t>86 739</w:t>
            </w:r>
          </w:p>
        </w:tc>
      </w:tr>
    </w:tbl>
    <w:p w:rsidR="00000000" w:rsidRDefault="00000000">
      <w:pPr>
        <w:spacing w:before="120" w:after="240"/>
        <w:ind w:firstLine="567"/>
        <w:rPr>
          <w:sz w:val="20"/>
          <w:szCs w:val="16"/>
        </w:rPr>
      </w:pPr>
      <w:r>
        <w:rPr>
          <w:sz w:val="20"/>
          <w:szCs w:val="16"/>
        </w:rPr>
        <w:t>S</w:t>
      </w:r>
      <w:r>
        <w:rPr>
          <w:i/>
          <w:iCs/>
          <w:sz w:val="20"/>
          <w:szCs w:val="16"/>
        </w:rPr>
        <w:t>ource </w:t>
      </w:r>
      <w:r>
        <w:rPr>
          <w:sz w:val="20"/>
          <w:szCs w:val="16"/>
        </w:rPr>
        <w:t>: Mortality indicators. Biostatistics Dept..  M.S.P.Y B.S.</w:t>
      </w:r>
    </w:p>
    <w:p w:rsidR="00000000" w:rsidRDefault="00000000">
      <w:pPr>
        <w:spacing w:before="120" w:after="240"/>
        <w:ind w:firstLine="567"/>
        <w:rPr>
          <w:sz w:val="20"/>
          <w:szCs w:val="16"/>
        </w:rPr>
      </w:pPr>
    </w:p>
    <w:p w:rsidR="00000000" w:rsidRDefault="00000000">
      <w:pPr>
        <w:spacing w:before="120" w:after="240"/>
        <w:ind w:firstLine="567"/>
        <w:rPr>
          <w:sz w:val="20"/>
          <w:szCs w:val="16"/>
        </w:rPr>
      </w:pPr>
    </w:p>
    <w:p w:rsidR="00000000" w:rsidRDefault="00000000">
      <w:pPr>
        <w:spacing w:before="120" w:after="240"/>
        <w:ind w:firstLine="567"/>
        <w:jc w:val="center"/>
        <w:rPr>
          <w:b/>
          <w:sz w:val="22"/>
        </w:rPr>
      </w:pPr>
      <w:r>
        <w:rPr>
          <w:b/>
          <w:sz w:val="22"/>
          <w:szCs w:val="16"/>
        </w:rPr>
        <w:t>Maternal deaths by health region, 2001-2005</w:t>
      </w:r>
    </w:p>
    <w:tbl>
      <w:tblPr>
        <w:tblW w:w="5000" w:type="pct"/>
        <w:jc w:val="center"/>
        <w:tblInd w:w="-10" w:type="dxa"/>
        <w:tblLayout w:type="fixed"/>
        <w:tblCellMar>
          <w:left w:w="0" w:type="dxa"/>
          <w:right w:w="0" w:type="dxa"/>
        </w:tblCellMar>
        <w:tblLook w:val="0000" w:firstRow="0" w:lastRow="0" w:firstColumn="0" w:lastColumn="0" w:noHBand="0" w:noVBand="0"/>
      </w:tblPr>
      <w:tblGrid>
        <w:gridCol w:w="2914"/>
        <w:gridCol w:w="1002"/>
        <w:gridCol w:w="1000"/>
        <w:gridCol w:w="1000"/>
        <w:gridCol w:w="1000"/>
        <w:gridCol w:w="1000"/>
        <w:gridCol w:w="1513"/>
      </w:tblGrid>
      <w:tr w:rsidR="00000000">
        <w:trPr>
          <w:cantSplit/>
          <w:jc w:val="center"/>
        </w:trPr>
        <w:tc>
          <w:tcPr>
            <w:tcW w:w="2912" w:type="dxa"/>
            <w:vMerge w:val="restart"/>
            <w:tcBorders>
              <w:top w:val="single" w:sz="4" w:space="0" w:color="auto"/>
            </w:tcBorders>
            <w:vAlign w:val="center"/>
          </w:tcPr>
          <w:p w:rsidR="00000000" w:rsidRDefault="00000000">
            <w:pPr>
              <w:keepNext/>
              <w:widowControl w:val="0"/>
              <w:spacing w:before="80" w:after="80"/>
              <w:jc w:val="center"/>
              <w:rPr>
                <w:b/>
                <w:bCs/>
                <w:i/>
                <w:iCs/>
                <w:sz w:val="20"/>
                <w:szCs w:val="16"/>
              </w:rPr>
            </w:pPr>
            <w:r>
              <w:rPr>
                <w:b/>
                <w:bCs/>
                <w:i/>
                <w:iCs/>
                <w:sz w:val="20"/>
                <w:szCs w:val="16"/>
              </w:rPr>
              <w:t>Health region</w:t>
            </w:r>
          </w:p>
        </w:tc>
        <w:tc>
          <w:tcPr>
            <w:tcW w:w="6509" w:type="dxa"/>
            <w:gridSpan w:val="6"/>
            <w:tcBorders>
              <w:top w:val="single" w:sz="4" w:space="0" w:color="auto"/>
              <w:bottom w:val="single" w:sz="4" w:space="0" w:color="auto"/>
            </w:tcBorders>
            <w:noWrap/>
            <w:vAlign w:val="bottom"/>
          </w:tcPr>
          <w:p w:rsidR="00000000" w:rsidRDefault="00000000">
            <w:pPr>
              <w:keepNext/>
              <w:widowControl w:val="0"/>
              <w:spacing w:before="80" w:after="80"/>
              <w:jc w:val="center"/>
              <w:rPr>
                <w:b/>
                <w:bCs/>
                <w:i/>
                <w:iCs/>
                <w:sz w:val="20"/>
                <w:szCs w:val="16"/>
              </w:rPr>
            </w:pPr>
            <w:r>
              <w:rPr>
                <w:b/>
                <w:bCs/>
                <w:i/>
                <w:iCs/>
                <w:sz w:val="20"/>
                <w:szCs w:val="16"/>
              </w:rPr>
              <w:t>Maternal deaths</w:t>
            </w:r>
          </w:p>
        </w:tc>
      </w:tr>
      <w:tr w:rsidR="00000000">
        <w:trPr>
          <w:cantSplit/>
          <w:jc w:val="center"/>
        </w:trPr>
        <w:tc>
          <w:tcPr>
            <w:tcW w:w="2912" w:type="dxa"/>
            <w:vMerge/>
            <w:tcBorders>
              <w:bottom w:val="single" w:sz="4" w:space="0" w:color="auto"/>
            </w:tcBorders>
            <w:vAlign w:val="center"/>
          </w:tcPr>
          <w:p w:rsidR="00000000" w:rsidRDefault="00000000">
            <w:pPr>
              <w:keepNext/>
              <w:widowControl w:val="0"/>
              <w:spacing w:before="80" w:after="80"/>
              <w:jc w:val="center"/>
              <w:rPr>
                <w:b/>
                <w:bCs/>
                <w:i/>
                <w:iCs/>
                <w:sz w:val="20"/>
                <w:szCs w:val="16"/>
              </w:rPr>
            </w:pPr>
          </w:p>
        </w:tc>
        <w:tc>
          <w:tcPr>
            <w:tcW w:w="1001" w:type="dxa"/>
            <w:tcBorders>
              <w:top w:val="single" w:sz="4" w:space="0" w:color="auto"/>
              <w:bottom w:val="single" w:sz="4" w:space="0" w:color="auto"/>
            </w:tcBorders>
            <w:vAlign w:val="center"/>
          </w:tcPr>
          <w:p w:rsidR="00000000" w:rsidRDefault="00000000">
            <w:pPr>
              <w:keepNext/>
              <w:widowControl w:val="0"/>
              <w:spacing w:before="80" w:after="80"/>
              <w:jc w:val="center"/>
              <w:rPr>
                <w:b/>
                <w:bCs/>
                <w:i/>
                <w:iCs/>
                <w:sz w:val="20"/>
                <w:szCs w:val="16"/>
                <w:lang w:val="pt-BR"/>
              </w:rPr>
            </w:pPr>
            <w:r>
              <w:rPr>
                <w:b/>
                <w:bCs/>
                <w:i/>
                <w:iCs/>
                <w:sz w:val="20"/>
                <w:szCs w:val="16"/>
                <w:lang w:val="pt-BR"/>
              </w:rPr>
              <w:t>2001</w:t>
            </w:r>
          </w:p>
        </w:tc>
        <w:tc>
          <w:tcPr>
            <w:tcW w:w="999" w:type="dxa"/>
            <w:tcBorders>
              <w:top w:val="single" w:sz="4" w:space="0" w:color="auto"/>
              <w:bottom w:val="single" w:sz="4" w:space="0" w:color="auto"/>
            </w:tcBorders>
            <w:vAlign w:val="center"/>
          </w:tcPr>
          <w:p w:rsidR="00000000" w:rsidRDefault="00000000">
            <w:pPr>
              <w:keepNext/>
              <w:widowControl w:val="0"/>
              <w:spacing w:before="80" w:after="80"/>
              <w:jc w:val="center"/>
              <w:rPr>
                <w:b/>
                <w:bCs/>
                <w:i/>
                <w:iCs/>
                <w:sz w:val="20"/>
                <w:szCs w:val="16"/>
                <w:lang w:val="pt-BR"/>
              </w:rPr>
            </w:pPr>
            <w:r>
              <w:rPr>
                <w:b/>
                <w:bCs/>
                <w:i/>
                <w:iCs/>
                <w:sz w:val="20"/>
                <w:szCs w:val="16"/>
                <w:lang w:val="pt-BR"/>
              </w:rPr>
              <w:t>2002</w:t>
            </w:r>
          </w:p>
        </w:tc>
        <w:tc>
          <w:tcPr>
            <w:tcW w:w="999" w:type="dxa"/>
            <w:tcBorders>
              <w:top w:val="single" w:sz="4" w:space="0" w:color="auto"/>
              <w:bottom w:val="single" w:sz="4" w:space="0" w:color="auto"/>
            </w:tcBorders>
            <w:vAlign w:val="center"/>
          </w:tcPr>
          <w:p w:rsidR="00000000" w:rsidRDefault="00000000">
            <w:pPr>
              <w:keepNext/>
              <w:widowControl w:val="0"/>
              <w:spacing w:before="80" w:after="80"/>
              <w:jc w:val="center"/>
              <w:rPr>
                <w:b/>
                <w:bCs/>
                <w:i/>
                <w:iCs/>
                <w:sz w:val="20"/>
                <w:szCs w:val="16"/>
                <w:lang w:val="pt-BR"/>
              </w:rPr>
            </w:pPr>
            <w:r>
              <w:rPr>
                <w:b/>
                <w:bCs/>
                <w:i/>
                <w:iCs/>
                <w:sz w:val="20"/>
                <w:szCs w:val="16"/>
                <w:lang w:val="pt-BR"/>
              </w:rPr>
              <w:t>2003</w:t>
            </w:r>
          </w:p>
        </w:tc>
        <w:tc>
          <w:tcPr>
            <w:tcW w:w="999" w:type="dxa"/>
            <w:tcBorders>
              <w:top w:val="single" w:sz="4" w:space="0" w:color="auto"/>
              <w:bottom w:val="single" w:sz="4" w:space="0" w:color="auto"/>
            </w:tcBorders>
            <w:vAlign w:val="center"/>
          </w:tcPr>
          <w:p w:rsidR="00000000" w:rsidRDefault="00000000">
            <w:pPr>
              <w:keepNext/>
              <w:widowControl w:val="0"/>
              <w:spacing w:before="80" w:after="80"/>
              <w:jc w:val="center"/>
              <w:rPr>
                <w:b/>
                <w:bCs/>
                <w:i/>
                <w:iCs/>
                <w:sz w:val="20"/>
                <w:szCs w:val="16"/>
                <w:lang w:val="pt-BR"/>
              </w:rPr>
            </w:pPr>
            <w:r>
              <w:rPr>
                <w:b/>
                <w:bCs/>
                <w:i/>
                <w:iCs/>
                <w:sz w:val="20"/>
                <w:szCs w:val="16"/>
                <w:lang w:val="pt-BR"/>
              </w:rPr>
              <w:t>2004</w:t>
            </w:r>
          </w:p>
        </w:tc>
        <w:tc>
          <w:tcPr>
            <w:tcW w:w="999" w:type="dxa"/>
            <w:tcBorders>
              <w:top w:val="single" w:sz="4" w:space="0" w:color="auto"/>
              <w:bottom w:val="single" w:sz="4" w:space="0" w:color="auto"/>
            </w:tcBorders>
            <w:vAlign w:val="center"/>
          </w:tcPr>
          <w:p w:rsidR="00000000" w:rsidRDefault="00000000">
            <w:pPr>
              <w:keepNext/>
              <w:widowControl w:val="0"/>
              <w:spacing w:before="80" w:after="80"/>
              <w:jc w:val="center"/>
              <w:rPr>
                <w:b/>
                <w:bCs/>
                <w:i/>
                <w:iCs/>
                <w:sz w:val="20"/>
                <w:szCs w:val="16"/>
                <w:lang w:val="pt-BR"/>
              </w:rPr>
            </w:pPr>
            <w:r>
              <w:rPr>
                <w:b/>
                <w:bCs/>
                <w:i/>
                <w:iCs/>
                <w:sz w:val="20"/>
                <w:szCs w:val="16"/>
                <w:lang w:val="pt-BR"/>
              </w:rPr>
              <w:t>2005</w:t>
            </w:r>
          </w:p>
        </w:tc>
        <w:tc>
          <w:tcPr>
            <w:tcW w:w="1512" w:type="dxa"/>
            <w:tcBorders>
              <w:top w:val="single" w:sz="4" w:space="0" w:color="auto"/>
              <w:bottom w:val="single" w:sz="4" w:space="0" w:color="auto"/>
            </w:tcBorders>
            <w:noWrap/>
            <w:vAlign w:val="bottom"/>
          </w:tcPr>
          <w:p w:rsidR="00000000" w:rsidRDefault="00000000">
            <w:pPr>
              <w:keepNext/>
              <w:widowControl w:val="0"/>
              <w:spacing w:before="80" w:after="80"/>
              <w:jc w:val="center"/>
              <w:rPr>
                <w:b/>
                <w:bCs/>
                <w:i/>
                <w:iCs/>
                <w:sz w:val="20"/>
                <w:szCs w:val="16"/>
                <w:lang w:val="pt-BR"/>
              </w:rPr>
            </w:pPr>
            <w:r>
              <w:rPr>
                <w:b/>
                <w:bCs/>
                <w:i/>
                <w:iCs/>
                <w:sz w:val="20"/>
                <w:szCs w:val="16"/>
                <w:lang w:val="pt-BR"/>
              </w:rPr>
              <w:t>2003-2005</w:t>
            </w:r>
          </w:p>
        </w:tc>
      </w:tr>
      <w:tr w:rsidR="00000000">
        <w:trPr>
          <w:jc w:val="center"/>
        </w:trPr>
        <w:tc>
          <w:tcPr>
            <w:tcW w:w="2912" w:type="dxa"/>
            <w:tcBorders>
              <w:top w:val="single" w:sz="4" w:space="0" w:color="auto"/>
            </w:tcBorders>
            <w:noWrap/>
            <w:vAlign w:val="bottom"/>
          </w:tcPr>
          <w:p w:rsidR="00000000" w:rsidRDefault="00000000">
            <w:pPr>
              <w:keepNext/>
              <w:widowControl w:val="0"/>
              <w:spacing w:before="80" w:after="80"/>
              <w:rPr>
                <w:sz w:val="20"/>
                <w:szCs w:val="16"/>
                <w:lang w:val="pt-BR"/>
              </w:rPr>
            </w:pPr>
            <w:r>
              <w:rPr>
                <w:sz w:val="20"/>
                <w:szCs w:val="16"/>
                <w:lang w:val="pt-BR"/>
              </w:rPr>
              <w:t>Concepcion</w:t>
            </w:r>
          </w:p>
        </w:tc>
        <w:tc>
          <w:tcPr>
            <w:tcW w:w="1001" w:type="dxa"/>
            <w:tcBorders>
              <w:top w:val="single" w:sz="4" w:space="0" w:color="auto"/>
            </w:tcBorders>
            <w:noWrap/>
            <w:vAlign w:val="bottom"/>
          </w:tcPr>
          <w:p w:rsidR="00000000" w:rsidRDefault="00000000">
            <w:pPr>
              <w:keepNext/>
              <w:widowControl w:val="0"/>
              <w:spacing w:before="80" w:after="80"/>
              <w:ind w:right="284"/>
              <w:jc w:val="right"/>
              <w:rPr>
                <w:sz w:val="20"/>
                <w:szCs w:val="16"/>
                <w:lang w:val="pt-BR"/>
              </w:rPr>
            </w:pPr>
            <w:r>
              <w:rPr>
                <w:sz w:val="20"/>
                <w:szCs w:val="16"/>
                <w:lang w:val="pt-BR"/>
              </w:rPr>
              <w:t>10</w:t>
            </w:r>
          </w:p>
        </w:tc>
        <w:tc>
          <w:tcPr>
            <w:tcW w:w="999" w:type="dxa"/>
            <w:tcBorders>
              <w:top w:val="single" w:sz="4" w:space="0" w:color="auto"/>
            </w:tcBorders>
            <w:noWrap/>
            <w:vAlign w:val="bottom"/>
          </w:tcPr>
          <w:p w:rsidR="00000000" w:rsidRDefault="00000000">
            <w:pPr>
              <w:keepNext/>
              <w:widowControl w:val="0"/>
              <w:spacing w:before="80" w:after="80"/>
              <w:ind w:right="284"/>
              <w:jc w:val="right"/>
              <w:rPr>
                <w:sz w:val="20"/>
                <w:szCs w:val="16"/>
                <w:lang w:val="pt-BR"/>
              </w:rPr>
            </w:pPr>
            <w:r>
              <w:rPr>
                <w:sz w:val="20"/>
                <w:szCs w:val="16"/>
                <w:lang w:val="pt-BR"/>
              </w:rPr>
              <w:t>12</w:t>
            </w:r>
          </w:p>
        </w:tc>
        <w:tc>
          <w:tcPr>
            <w:tcW w:w="999" w:type="dxa"/>
            <w:tcBorders>
              <w:top w:val="single" w:sz="4" w:space="0" w:color="auto"/>
            </w:tcBorders>
            <w:noWrap/>
            <w:vAlign w:val="bottom"/>
          </w:tcPr>
          <w:p w:rsidR="00000000" w:rsidRDefault="00000000">
            <w:pPr>
              <w:keepNext/>
              <w:widowControl w:val="0"/>
              <w:spacing w:before="80" w:after="80"/>
              <w:ind w:right="284"/>
              <w:jc w:val="right"/>
              <w:rPr>
                <w:color w:val="000000"/>
                <w:sz w:val="20"/>
                <w:szCs w:val="16"/>
                <w:lang w:val="pt-BR"/>
              </w:rPr>
            </w:pPr>
            <w:r>
              <w:rPr>
                <w:color w:val="000000"/>
                <w:sz w:val="20"/>
                <w:szCs w:val="16"/>
                <w:lang w:val="pt-BR"/>
              </w:rPr>
              <w:t>10</w:t>
            </w:r>
          </w:p>
        </w:tc>
        <w:tc>
          <w:tcPr>
            <w:tcW w:w="999" w:type="dxa"/>
            <w:tcBorders>
              <w:top w:val="single" w:sz="4" w:space="0" w:color="auto"/>
            </w:tcBorders>
            <w:noWrap/>
            <w:vAlign w:val="bottom"/>
          </w:tcPr>
          <w:p w:rsidR="00000000" w:rsidRDefault="00000000">
            <w:pPr>
              <w:keepNext/>
              <w:widowControl w:val="0"/>
              <w:spacing w:before="80" w:after="80"/>
              <w:ind w:right="284"/>
              <w:jc w:val="right"/>
              <w:rPr>
                <w:sz w:val="20"/>
                <w:szCs w:val="16"/>
                <w:lang w:val="pt-BR"/>
              </w:rPr>
            </w:pPr>
            <w:r>
              <w:rPr>
                <w:sz w:val="20"/>
                <w:szCs w:val="16"/>
                <w:lang w:val="pt-BR"/>
              </w:rPr>
              <w:t>11</w:t>
            </w:r>
          </w:p>
        </w:tc>
        <w:tc>
          <w:tcPr>
            <w:tcW w:w="999" w:type="dxa"/>
            <w:tcBorders>
              <w:top w:val="single" w:sz="4" w:space="0" w:color="auto"/>
            </w:tcBorders>
            <w:noWrap/>
            <w:vAlign w:val="bottom"/>
          </w:tcPr>
          <w:p w:rsidR="00000000" w:rsidRDefault="00000000">
            <w:pPr>
              <w:keepNext/>
              <w:widowControl w:val="0"/>
              <w:spacing w:before="80" w:after="80"/>
              <w:ind w:right="284"/>
              <w:jc w:val="right"/>
              <w:rPr>
                <w:sz w:val="20"/>
                <w:szCs w:val="20"/>
                <w:lang w:val="pt-BR"/>
              </w:rPr>
            </w:pPr>
            <w:r>
              <w:rPr>
                <w:sz w:val="20"/>
                <w:szCs w:val="20"/>
                <w:lang w:val="pt-BR"/>
              </w:rPr>
              <w:t>5</w:t>
            </w:r>
          </w:p>
        </w:tc>
        <w:tc>
          <w:tcPr>
            <w:tcW w:w="1512" w:type="dxa"/>
            <w:tcBorders>
              <w:top w:val="single" w:sz="4" w:space="0" w:color="auto"/>
            </w:tcBorders>
            <w:noWrap/>
            <w:vAlign w:val="bottom"/>
          </w:tcPr>
          <w:p w:rsidR="00000000" w:rsidRDefault="00000000">
            <w:pPr>
              <w:keepNext/>
              <w:widowControl w:val="0"/>
              <w:spacing w:before="80" w:after="80"/>
              <w:ind w:right="624"/>
              <w:jc w:val="right"/>
              <w:rPr>
                <w:sz w:val="20"/>
                <w:szCs w:val="16"/>
                <w:lang w:val="pt-BR"/>
              </w:rPr>
            </w:pPr>
            <w:r>
              <w:rPr>
                <w:sz w:val="20"/>
                <w:szCs w:val="16"/>
                <w:lang w:val="pt-BR"/>
              </w:rPr>
              <w:t>26</w:t>
            </w:r>
          </w:p>
        </w:tc>
      </w:tr>
      <w:tr w:rsidR="00000000">
        <w:trPr>
          <w:jc w:val="center"/>
        </w:trPr>
        <w:tc>
          <w:tcPr>
            <w:tcW w:w="2912" w:type="dxa"/>
            <w:noWrap/>
            <w:vAlign w:val="bottom"/>
          </w:tcPr>
          <w:p w:rsidR="00000000" w:rsidRDefault="00000000">
            <w:pPr>
              <w:keepNext/>
              <w:widowControl w:val="0"/>
              <w:spacing w:before="80" w:after="80"/>
              <w:rPr>
                <w:sz w:val="20"/>
                <w:szCs w:val="16"/>
                <w:lang w:val="pt-BR"/>
              </w:rPr>
            </w:pPr>
            <w:r>
              <w:rPr>
                <w:sz w:val="20"/>
                <w:szCs w:val="16"/>
                <w:lang w:val="pt-BR"/>
              </w:rPr>
              <w:t>San Pedro</w:t>
            </w:r>
          </w:p>
        </w:tc>
        <w:tc>
          <w:tcPr>
            <w:tcW w:w="1001"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7</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14</w:t>
            </w:r>
          </w:p>
        </w:tc>
        <w:tc>
          <w:tcPr>
            <w:tcW w:w="999" w:type="dxa"/>
            <w:noWrap/>
            <w:vAlign w:val="bottom"/>
          </w:tcPr>
          <w:p w:rsidR="00000000" w:rsidRDefault="00000000">
            <w:pPr>
              <w:keepNext/>
              <w:widowControl w:val="0"/>
              <w:spacing w:before="80" w:after="80"/>
              <w:ind w:right="284"/>
              <w:jc w:val="right"/>
              <w:rPr>
                <w:color w:val="000000"/>
                <w:sz w:val="20"/>
                <w:szCs w:val="16"/>
                <w:lang w:val="pt-BR"/>
              </w:rPr>
            </w:pPr>
            <w:r>
              <w:rPr>
                <w:color w:val="000000"/>
                <w:sz w:val="20"/>
                <w:szCs w:val="16"/>
                <w:lang w:val="pt-BR"/>
              </w:rPr>
              <w:t>17</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20</w:t>
            </w:r>
          </w:p>
        </w:tc>
        <w:tc>
          <w:tcPr>
            <w:tcW w:w="999" w:type="dxa"/>
            <w:noWrap/>
            <w:vAlign w:val="bottom"/>
          </w:tcPr>
          <w:p w:rsidR="00000000" w:rsidRDefault="00000000">
            <w:pPr>
              <w:keepNext/>
              <w:widowControl w:val="0"/>
              <w:spacing w:before="80" w:after="80"/>
              <w:ind w:right="284"/>
              <w:jc w:val="right"/>
              <w:rPr>
                <w:sz w:val="20"/>
                <w:szCs w:val="20"/>
                <w:lang w:val="pt-BR"/>
              </w:rPr>
            </w:pPr>
            <w:r>
              <w:rPr>
                <w:sz w:val="20"/>
                <w:szCs w:val="20"/>
                <w:lang w:val="pt-BR"/>
              </w:rPr>
              <w:t>14</w:t>
            </w:r>
          </w:p>
        </w:tc>
        <w:tc>
          <w:tcPr>
            <w:tcW w:w="1512" w:type="dxa"/>
            <w:noWrap/>
            <w:vAlign w:val="bottom"/>
          </w:tcPr>
          <w:p w:rsidR="00000000" w:rsidRDefault="00000000">
            <w:pPr>
              <w:keepNext/>
              <w:widowControl w:val="0"/>
              <w:spacing w:before="80" w:after="80"/>
              <w:ind w:right="624"/>
              <w:jc w:val="right"/>
              <w:rPr>
                <w:sz w:val="20"/>
                <w:szCs w:val="16"/>
                <w:lang w:val="pt-BR"/>
              </w:rPr>
            </w:pPr>
            <w:r>
              <w:rPr>
                <w:sz w:val="20"/>
                <w:szCs w:val="16"/>
                <w:lang w:val="pt-BR"/>
              </w:rPr>
              <w:t>51</w:t>
            </w:r>
          </w:p>
        </w:tc>
      </w:tr>
      <w:tr w:rsidR="00000000">
        <w:trPr>
          <w:jc w:val="center"/>
        </w:trPr>
        <w:tc>
          <w:tcPr>
            <w:tcW w:w="2912" w:type="dxa"/>
            <w:noWrap/>
            <w:vAlign w:val="bottom"/>
          </w:tcPr>
          <w:p w:rsidR="00000000" w:rsidRDefault="00000000">
            <w:pPr>
              <w:keepNext/>
              <w:widowControl w:val="0"/>
              <w:spacing w:before="80" w:after="80"/>
              <w:rPr>
                <w:sz w:val="20"/>
                <w:szCs w:val="16"/>
                <w:lang w:val="pt-BR"/>
              </w:rPr>
            </w:pPr>
            <w:r>
              <w:rPr>
                <w:sz w:val="20"/>
                <w:szCs w:val="16"/>
                <w:lang w:val="pt-BR"/>
              </w:rPr>
              <w:t>Cordillera</w:t>
            </w:r>
          </w:p>
        </w:tc>
        <w:tc>
          <w:tcPr>
            <w:tcW w:w="1001"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2</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6</w:t>
            </w:r>
          </w:p>
        </w:tc>
        <w:tc>
          <w:tcPr>
            <w:tcW w:w="999" w:type="dxa"/>
            <w:noWrap/>
            <w:vAlign w:val="bottom"/>
          </w:tcPr>
          <w:p w:rsidR="00000000" w:rsidRDefault="00000000">
            <w:pPr>
              <w:keepNext/>
              <w:widowControl w:val="0"/>
              <w:spacing w:before="80" w:after="80"/>
              <w:ind w:right="284"/>
              <w:jc w:val="right"/>
              <w:rPr>
                <w:color w:val="000000"/>
                <w:sz w:val="20"/>
                <w:szCs w:val="16"/>
                <w:lang w:val="pt-BR"/>
              </w:rPr>
            </w:pPr>
            <w:r>
              <w:rPr>
                <w:color w:val="000000"/>
                <w:sz w:val="20"/>
                <w:szCs w:val="16"/>
                <w:lang w:val="pt-BR"/>
              </w:rPr>
              <w:t>6</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6</w:t>
            </w:r>
          </w:p>
        </w:tc>
        <w:tc>
          <w:tcPr>
            <w:tcW w:w="999" w:type="dxa"/>
            <w:noWrap/>
            <w:vAlign w:val="bottom"/>
          </w:tcPr>
          <w:p w:rsidR="00000000" w:rsidRDefault="00000000">
            <w:pPr>
              <w:keepNext/>
              <w:widowControl w:val="0"/>
              <w:spacing w:before="80" w:after="80"/>
              <w:ind w:right="284"/>
              <w:jc w:val="right"/>
              <w:rPr>
                <w:sz w:val="20"/>
                <w:szCs w:val="20"/>
                <w:lang w:val="pt-BR"/>
              </w:rPr>
            </w:pPr>
            <w:r>
              <w:rPr>
                <w:sz w:val="20"/>
                <w:szCs w:val="20"/>
                <w:lang w:val="pt-BR"/>
              </w:rPr>
              <w:t>10</w:t>
            </w:r>
          </w:p>
        </w:tc>
        <w:tc>
          <w:tcPr>
            <w:tcW w:w="1512" w:type="dxa"/>
            <w:noWrap/>
            <w:vAlign w:val="bottom"/>
          </w:tcPr>
          <w:p w:rsidR="00000000" w:rsidRDefault="00000000">
            <w:pPr>
              <w:keepNext/>
              <w:widowControl w:val="0"/>
              <w:spacing w:before="80" w:after="80"/>
              <w:ind w:right="624"/>
              <w:jc w:val="right"/>
              <w:rPr>
                <w:sz w:val="20"/>
                <w:szCs w:val="16"/>
                <w:lang w:val="pt-BR"/>
              </w:rPr>
            </w:pPr>
            <w:r>
              <w:rPr>
                <w:sz w:val="20"/>
                <w:szCs w:val="16"/>
                <w:lang w:val="pt-BR"/>
              </w:rPr>
              <w:t>22</w:t>
            </w:r>
          </w:p>
        </w:tc>
      </w:tr>
      <w:tr w:rsidR="00000000">
        <w:trPr>
          <w:jc w:val="center"/>
        </w:trPr>
        <w:tc>
          <w:tcPr>
            <w:tcW w:w="2912" w:type="dxa"/>
            <w:noWrap/>
            <w:vAlign w:val="bottom"/>
          </w:tcPr>
          <w:p w:rsidR="00000000" w:rsidRDefault="00000000">
            <w:pPr>
              <w:keepNext/>
              <w:widowControl w:val="0"/>
              <w:spacing w:before="80" w:after="80"/>
              <w:rPr>
                <w:sz w:val="20"/>
                <w:szCs w:val="16"/>
                <w:lang w:val="pt-BR"/>
              </w:rPr>
            </w:pPr>
            <w:r>
              <w:rPr>
                <w:sz w:val="20"/>
                <w:szCs w:val="16"/>
                <w:lang w:val="pt-BR"/>
              </w:rPr>
              <w:t>Guaira</w:t>
            </w:r>
          </w:p>
        </w:tc>
        <w:tc>
          <w:tcPr>
            <w:tcW w:w="1001"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2</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5</w:t>
            </w:r>
          </w:p>
        </w:tc>
        <w:tc>
          <w:tcPr>
            <w:tcW w:w="999" w:type="dxa"/>
            <w:noWrap/>
            <w:vAlign w:val="bottom"/>
          </w:tcPr>
          <w:p w:rsidR="00000000" w:rsidRDefault="00000000">
            <w:pPr>
              <w:keepNext/>
              <w:widowControl w:val="0"/>
              <w:spacing w:before="80" w:after="80"/>
              <w:ind w:right="284"/>
              <w:jc w:val="right"/>
              <w:rPr>
                <w:color w:val="000000"/>
                <w:sz w:val="20"/>
                <w:szCs w:val="16"/>
                <w:lang w:val="pt-BR"/>
              </w:rPr>
            </w:pPr>
            <w:r>
              <w:rPr>
                <w:color w:val="000000"/>
                <w:sz w:val="20"/>
                <w:szCs w:val="16"/>
                <w:lang w:val="pt-BR"/>
              </w:rPr>
              <w:t>2</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6</w:t>
            </w:r>
          </w:p>
        </w:tc>
        <w:tc>
          <w:tcPr>
            <w:tcW w:w="999" w:type="dxa"/>
            <w:noWrap/>
            <w:vAlign w:val="bottom"/>
          </w:tcPr>
          <w:p w:rsidR="00000000" w:rsidRDefault="00000000">
            <w:pPr>
              <w:keepNext/>
              <w:widowControl w:val="0"/>
              <w:spacing w:before="80" w:after="80"/>
              <w:ind w:right="284"/>
              <w:jc w:val="right"/>
              <w:rPr>
                <w:sz w:val="20"/>
                <w:szCs w:val="20"/>
                <w:lang w:val="pt-BR"/>
              </w:rPr>
            </w:pPr>
            <w:r>
              <w:rPr>
                <w:sz w:val="20"/>
                <w:szCs w:val="20"/>
                <w:lang w:val="pt-BR"/>
              </w:rPr>
              <w:t>3</w:t>
            </w:r>
          </w:p>
        </w:tc>
        <w:tc>
          <w:tcPr>
            <w:tcW w:w="1512" w:type="dxa"/>
            <w:noWrap/>
            <w:vAlign w:val="bottom"/>
          </w:tcPr>
          <w:p w:rsidR="00000000" w:rsidRDefault="00000000">
            <w:pPr>
              <w:keepNext/>
              <w:widowControl w:val="0"/>
              <w:spacing w:before="80" w:after="80"/>
              <w:ind w:right="624"/>
              <w:jc w:val="right"/>
              <w:rPr>
                <w:sz w:val="20"/>
                <w:szCs w:val="16"/>
                <w:lang w:val="pt-BR"/>
              </w:rPr>
            </w:pPr>
            <w:r>
              <w:rPr>
                <w:sz w:val="20"/>
                <w:szCs w:val="16"/>
                <w:lang w:val="pt-BR"/>
              </w:rPr>
              <w:t>11</w:t>
            </w:r>
          </w:p>
        </w:tc>
      </w:tr>
      <w:tr w:rsidR="00000000">
        <w:trPr>
          <w:jc w:val="center"/>
        </w:trPr>
        <w:tc>
          <w:tcPr>
            <w:tcW w:w="2912" w:type="dxa"/>
            <w:noWrap/>
            <w:vAlign w:val="bottom"/>
          </w:tcPr>
          <w:p w:rsidR="00000000" w:rsidRDefault="00000000">
            <w:pPr>
              <w:pStyle w:val="FootnoteText"/>
              <w:keepNext/>
              <w:widowControl w:val="0"/>
              <w:spacing w:before="80" w:after="80"/>
              <w:rPr>
                <w:szCs w:val="16"/>
                <w:lang w:val="pt-BR"/>
              </w:rPr>
            </w:pPr>
            <w:r>
              <w:rPr>
                <w:szCs w:val="16"/>
                <w:lang w:val="pt-BR"/>
              </w:rPr>
              <w:t>Caaguazu</w:t>
            </w:r>
          </w:p>
        </w:tc>
        <w:tc>
          <w:tcPr>
            <w:tcW w:w="1001"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11</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13</w:t>
            </w:r>
          </w:p>
        </w:tc>
        <w:tc>
          <w:tcPr>
            <w:tcW w:w="999" w:type="dxa"/>
            <w:noWrap/>
            <w:vAlign w:val="bottom"/>
          </w:tcPr>
          <w:p w:rsidR="00000000" w:rsidRDefault="00000000">
            <w:pPr>
              <w:keepNext/>
              <w:widowControl w:val="0"/>
              <w:spacing w:before="80" w:after="80"/>
              <w:ind w:right="284"/>
              <w:jc w:val="right"/>
              <w:rPr>
                <w:color w:val="000000"/>
                <w:sz w:val="20"/>
                <w:szCs w:val="16"/>
                <w:lang w:val="pt-BR"/>
              </w:rPr>
            </w:pPr>
            <w:r>
              <w:rPr>
                <w:color w:val="000000"/>
                <w:sz w:val="20"/>
                <w:szCs w:val="16"/>
                <w:lang w:val="pt-BR"/>
              </w:rPr>
              <w:t>20</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19</w:t>
            </w:r>
          </w:p>
        </w:tc>
        <w:tc>
          <w:tcPr>
            <w:tcW w:w="999" w:type="dxa"/>
            <w:noWrap/>
            <w:vAlign w:val="bottom"/>
          </w:tcPr>
          <w:p w:rsidR="00000000" w:rsidRDefault="00000000">
            <w:pPr>
              <w:keepNext/>
              <w:widowControl w:val="0"/>
              <w:spacing w:before="80" w:after="80"/>
              <w:ind w:right="284"/>
              <w:jc w:val="right"/>
              <w:rPr>
                <w:sz w:val="20"/>
                <w:szCs w:val="20"/>
                <w:lang w:val="pt-BR"/>
              </w:rPr>
            </w:pPr>
            <w:r>
              <w:rPr>
                <w:sz w:val="20"/>
                <w:szCs w:val="20"/>
                <w:lang w:val="pt-BR"/>
              </w:rPr>
              <w:t>11</w:t>
            </w:r>
          </w:p>
        </w:tc>
        <w:tc>
          <w:tcPr>
            <w:tcW w:w="1512" w:type="dxa"/>
            <w:noWrap/>
            <w:vAlign w:val="bottom"/>
          </w:tcPr>
          <w:p w:rsidR="00000000" w:rsidRDefault="00000000">
            <w:pPr>
              <w:keepNext/>
              <w:widowControl w:val="0"/>
              <w:spacing w:before="80" w:after="80"/>
              <w:ind w:right="624"/>
              <w:jc w:val="right"/>
              <w:rPr>
                <w:sz w:val="20"/>
                <w:szCs w:val="16"/>
                <w:lang w:val="pt-BR"/>
              </w:rPr>
            </w:pPr>
            <w:r>
              <w:rPr>
                <w:sz w:val="20"/>
                <w:szCs w:val="16"/>
                <w:lang w:val="pt-BR"/>
              </w:rPr>
              <w:t>50</w:t>
            </w:r>
          </w:p>
        </w:tc>
      </w:tr>
      <w:tr w:rsidR="00000000">
        <w:trPr>
          <w:jc w:val="center"/>
        </w:trPr>
        <w:tc>
          <w:tcPr>
            <w:tcW w:w="2912" w:type="dxa"/>
            <w:noWrap/>
            <w:vAlign w:val="bottom"/>
          </w:tcPr>
          <w:p w:rsidR="00000000" w:rsidRDefault="00000000">
            <w:pPr>
              <w:keepNext/>
              <w:widowControl w:val="0"/>
              <w:spacing w:before="80" w:after="80"/>
              <w:rPr>
                <w:sz w:val="20"/>
                <w:szCs w:val="16"/>
                <w:lang w:val="pt-BR"/>
              </w:rPr>
            </w:pPr>
            <w:r>
              <w:rPr>
                <w:sz w:val="20"/>
                <w:szCs w:val="16"/>
                <w:lang w:val="pt-BR"/>
              </w:rPr>
              <w:t>Caazapa</w:t>
            </w:r>
          </w:p>
        </w:tc>
        <w:tc>
          <w:tcPr>
            <w:tcW w:w="1001"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5</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8</w:t>
            </w:r>
          </w:p>
        </w:tc>
        <w:tc>
          <w:tcPr>
            <w:tcW w:w="999" w:type="dxa"/>
            <w:noWrap/>
            <w:vAlign w:val="bottom"/>
          </w:tcPr>
          <w:p w:rsidR="00000000" w:rsidRDefault="00000000">
            <w:pPr>
              <w:keepNext/>
              <w:widowControl w:val="0"/>
              <w:spacing w:before="80" w:after="80"/>
              <w:ind w:right="284"/>
              <w:jc w:val="right"/>
              <w:rPr>
                <w:color w:val="000000"/>
                <w:sz w:val="20"/>
                <w:szCs w:val="16"/>
                <w:lang w:val="pt-BR"/>
              </w:rPr>
            </w:pPr>
            <w:r>
              <w:rPr>
                <w:color w:val="000000"/>
                <w:sz w:val="20"/>
                <w:szCs w:val="16"/>
                <w:lang w:val="pt-BR"/>
              </w:rPr>
              <w:t>7</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5</w:t>
            </w:r>
          </w:p>
        </w:tc>
        <w:tc>
          <w:tcPr>
            <w:tcW w:w="999" w:type="dxa"/>
            <w:noWrap/>
            <w:vAlign w:val="bottom"/>
          </w:tcPr>
          <w:p w:rsidR="00000000" w:rsidRDefault="00000000">
            <w:pPr>
              <w:keepNext/>
              <w:widowControl w:val="0"/>
              <w:spacing w:before="80" w:after="80"/>
              <w:ind w:right="284"/>
              <w:jc w:val="right"/>
              <w:rPr>
                <w:sz w:val="20"/>
                <w:szCs w:val="20"/>
                <w:lang w:val="pt-BR"/>
              </w:rPr>
            </w:pPr>
            <w:r>
              <w:rPr>
                <w:sz w:val="20"/>
                <w:szCs w:val="20"/>
                <w:lang w:val="pt-BR"/>
              </w:rPr>
              <w:t>4</w:t>
            </w:r>
          </w:p>
        </w:tc>
        <w:tc>
          <w:tcPr>
            <w:tcW w:w="1512" w:type="dxa"/>
            <w:noWrap/>
            <w:vAlign w:val="bottom"/>
          </w:tcPr>
          <w:p w:rsidR="00000000" w:rsidRDefault="00000000">
            <w:pPr>
              <w:keepNext/>
              <w:widowControl w:val="0"/>
              <w:spacing w:before="80" w:after="80"/>
              <w:ind w:right="624"/>
              <w:jc w:val="right"/>
              <w:rPr>
                <w:sz w:val="20"/>
                <w:szCs w:val="16"/>
                <w:lang w:val="pt-BR"/>
              </w:rPr>
            </w:pPr>
            <w:r>
              <w:rPr>
                <w:sz w:val="20"/>
                <w:szCs w:val="16"/>
                <w:lang w:val="pt-BR"/>
              </w:rPr>
              <w:t>16</w:t>
            </w:r>
          </w:p>
        </w:tc>
      </w:tr>
      <w:tr w:rsidR="00000000">
        <w:trPr>
          <w:jc w:val="center"/>
        </w:trPr>
        <w:tc>
          <w:tcPr>
            <w:tcW w:w="2912" w:type="dxa"/>
            <w:noWrap/>
            <w:vAlign w:val="bottom"/>
          </w:tcPr>
          <w:p w:rsidR="00000000" w:rsidRDefault="00000000">
            <w:pPr>
              <w:keepNext/>
              <w:widowControl w:val="0"/>
              <w:spacing w:before="80" w:after="80"/>
              <w:rPr>
                <w:sz w:val="20"/>
                <w:szCs w:val="16"/>
                <w:lang w:val="pt-BR"/>
              </w:rPr>
            </w:pPr>
            <w:r>
              <w:rPr>
                <w:sz w:val="20"/>
                <w:szCs w:val="16"/>
                <w:lang w:val="pt-BR"/>
              </w:rPr>
              <w:t>Itapua</w:t>
            </w:r>
          </w:p>
        </w:tc>
        <w:tc>
          <w:tcPr>
            <w:tcW w:w="1001"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13</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14</w:t>
            </w:r>
          </w:p>
        </w:tc>
        <w:tc>
          <w:tcPr>
            <w:tcW w:w="999" w:type="dxa"/>
            <w:noWrap/>
            <w:vAlign w:val="bottom"/>
          </w:tcPr>
          <w:p w:rsidR="00000000" w:rsidRDefault="00000000">
            <w:pPr>
              <w:keepNext/>
              <w:widowControl w:val="0"/>
              <w:spacing w:before="80" w:after="80"/>
              <w:ind w:right="284"/>
              <w:jc w:val="right"/>
              <w:rPr>
                <w:color w:val="000000"/>
                <w:sz w:val="20"/>
                <w:szCs w:val="16"/>
                <w:lang w:val="pt-BR"/>
              </w:rPr>
            </w:pPr>
            <w:r>
              <w:rPr>
                <w:color w:val="000000"/>
                <w:sz w:val="20"/>
                <w:szCs w:val="16"/>
                <w:lang w:val="pt-BR"/>
              </w:rPr>
              <w:t>12</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10</w:t>
            </w:r>
          </w:p>
        </w:tc>
        <w:tc>
          <w:tcPr>
            <w:tcW w:w="999" w:type="dxa"/>
            <w:noWrap/>
            <w:vAlign w:val="bottom"/>
          </w:tcPr>
          <w:p w:rsidR="00000000" w:rsidRDefault="00000000">
            <w:pPr>
              <w:keepNext/>
              <w:widowControl w:val="0"/>
              <w:spacing w:before="80" w:after="80"/>
              <w:ind w:right="284"/>
              <w:jc w:val="right"/>
              <w:rPr>
                <w:sz w:val="20"/>
                <w:szCs w:val="20"/>
                <w:lang w:val="pt-BR"/>
              </w:rPr>
            </w:pPr>
            <w:r>
              <w:rPr>
                <w:sz w:val="20"/>
                <w:szCs w:val="20"/>
                <w:lang w:val="pt-BR"/>
              </w:rPr>
              <w:t>11</w:t>
            </w:r>
          </w:p>
        </w:tc>
        <w:tc>
          <w:tcPr>
            <w:tcW w:w="1512" w:type="dxa"/>
            <w:noWrap/>
            <w:vAlign w:val="bottom"/>
          </w:tcPr>
          <w:p w:rsidR="00000000" w:rsidRDefault="00000000">
            <w:pPr>
              <w:keepNext/>
              <w:widowControl w:val="0"/>
              <w:spacing w:before="80" w:after="80"/>
              <w:ind w:right="624"/>
              <w:jc w:val="right"/>
              <w:rPr>
                <w:sz w:val="20"/>
                <w:szCs w:val="16"/>
                <w:lang w:val="pt-BR"/>
              </w:rPr>
            </w:pPr>
            <w:r>
              <w:rPr>
                <w:sz w:val="20"/>
                <w:szCs w:val="16"/>
                <w:lang w:val="pt-BR"/>
              </w:rPr>
              <w:t>33</w:t>
            </w:r>
          </w:p>
        </w:tc>
      </w:tr>
      <w:tr w:rsidR="00000000">
        <w:trPr>
          <w:jc w:val="center"/>
        </w:trPr>
        <w:tc>
          <w:tcPr>
            <w:tcW w:w="2912" w:type="dxa"/>
            <w:noWrap/>
            <w:vAlign w:val="bottom"/>
          </w:tcPr>
          <w:p w:rsidR="00000000" w:rsidRDefault="00000000">
            <w:pPr>
              <w:keepNext/>
              <w:widowControl w:val="0"/>
              <w:spacing w:before="80" w:after="80"/>
              <w:rPr>
                <w:sz w:val="20"/>
                <w:szCs w:val="16"/>
                <w:lang w:val="pt-BR"/>
              </w:rPr>
            </w:pPr>
            <w:r>
              <w:rPr>
                <w:sz w:val="20"/>
                <w:szCs w:val="16"/>
                <w:lang w:val="pt-BR"/>
              </w:rPr>
              <w:t>Misiones</w:t>
            </w:r>
          </w:p>
        </w:tc>
        <w:tc>
          <w:tcPr>
            <w:tcW w:w="1001"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1</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4</w:t>
            </w:r>
          </w:p>
        </w:tc>
        <w:tc>
          <w:tcPr>
            <w:tcW w:w="999" w:type="dxa"/>
            <w:noWrap/>
            <w:vAlign w:val="bottom"/>
          </w:tcPr>
          <w:p w:rsidR="00000000" w:rsidRDefault="00000000">
            <w:pPr>
              <w:keepNext/>
              <w:widowControl w:val="0"/>
              <w:spacing w:before="80" w:after="80"/>
              <w:ind w:right="284"/>
              <w:jc w:val="right"/>
              <w:rPr>
                <w:color w:val="000000"/>
                <w:sz w:val="20"/>
                <w:szCs w:val="16"/>
                <w:lang w:val="pt-BR"/>
              </w:rPr>
            </w:pPr>
            <w:r>
              <w:rPr>
                <w:color w:val="000000"/>
                <w:sz w:val="20"/>
                <w:szCs w:val="16"/>
                <w:lang w:val="pt-BR"/>
              </w:rPr>
              <w:t>1</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3</w:t>
            </w:r>
          </w:p>
        </w:tc>
        <w:tc>
          <w:tcPr>
            <w:tcW w:w="999" w:type="dxa"/>
            <w:noWrap/>
            <w:vAlign w:val="bottom"/>
          </w:tcPr>
          <w:p w:rsidR="00000000" w:rsidRDefault="00000000">
            <w:pPr>
              <w:keepNext/>
              <w:widowControl w:val="0"/>
              <w:spacing w:before="80" w:after="80"/>
              <w:ind w:right="284"/>
              <w:jc w:val="right"/>
              <w:rPr>
                <w:sz w:val="20"/>
                <w:szCs w:val="20"/>
                <w:lang w:val="pt-BR"/>
              </w:rPr>
            </w:pPr>
            <w:r>
              <w:rPr>
                <w:sz w:val="20"/>
                <w:szCs w:val="20"/>
                <w:lang w:val="pt-BR"/>
              </w:rPr>
              <w:t>1</w:t>
            </w:r>
          </w:p>
        </w:tc>
        <w:tc>
          <w:tcPr>
            <w:tcW w:w="1512" w:type="dxa"/>
            <w:noWrap/>
            <w:vAlign w:val="bottom"/>
          </w:tcPr>
          <w:p w:rsidR="00000000" w:rsidRDefault="00000000">
            <w:pPr>
              <w:keepNext/>
              <w:widowControl w:val="0"/>
              <w:spacing w:before="80" w:after="80"/>
              <w:ind w:right="624"/>
              <w:jc w:val="right"/>
              <w:rPr>
                <w:sz w:val="20"/>
                <w:szCs w:val="16"/>
                <w:lang w:val="pt-BR"/>
              </w:rPr>
            </w:pPr>
            <w:r>
              <w:rPr>
                <w:sz w:val="20"/>
                <w:szCs w:val="16"/>
                <w:lang w:val="pt-BR"/>
              </w:rPr>
              <w:t>5</w:t>
            </w:r>
          </w:p>
        </w:tc>
      </w:tr>
      <w:tr w:rsidR="00000000">
        <w:trPr>
          <w:jc w:val="center"/>
        </w:trPr>
        <w:tc>
          <w:tcPr>
            <w:tcW w:w="2912" w:type="dxa"/>
            <w:noWrap/>
            <w:vAlign w:val="bottom"/>
          </w:tcPr>
          <w:p w:rsidR="00000000" w:rsidRDefault="00000000">
            <w:pPr>
              <w:keepNext/>
              <w:widowControl w:val="0"/>
              <w:spacing w:before="80" w:after="80"/>
              <w:rPr>
                <w:sz w:val="20"/>
                <w:szCs w:val="16"/>
                <w:lang w:val="pt-BR"/>
              </w:rPr>
            </w:pPr>
            <w:r>
              <w:rPr>
                <w:sz w:val="20"/>
                <w:szCs w:val="16"/>
                <w:lang w:val="pt-BR"/>
              </w:rPr>
              <w:t>Paraguari</w:t>
            </w:r>
          </w:p>
        </w:tc>
        <w:tc>
          <w:tcPr>
            <w:tcW w:w="1001"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11</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9</w:t>
            </w:r>
          </w:p>
        </w:tc>
        <w:tc>
          <w:tcPr>
            <w:tcW w:w="999" w:type="dxa"/>
            <w:noWrap/>
            <w:vAlign w:val="bottom"/>
          </w:tcPr>
          <w:p w:rsidR="00000000" w:rsidRDefault="00000000">
            <w:pPr>
              <w:keepNext/>
              <w:widowControl w:val="0"/>
              <w:spacing w:before="80" w:after="80"/>
              <w:ind w:right="284"/>
              <w:jc w:val="right"/>
              <w:rPr>
                <w:color w:val="000000"/>
                <w:sz w:val="20"/>
                <w:szCs w:val="16"/>
                <w:lang w:val="pt-BR"/>
              </w:rPr>
            </w:pPr>
            <w:r>
              <w:rPr>
                <w:color w:val="000000"/>
                <w:sz w:val="20"/>
                <w:szCs w:val="16"/>
                <w:lang w:val="pt-BR"/>
              </w:rPr>
              <w:t>4</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7</w:t>
            </w:r>
          </w:p>
        </w:tc>
        <w:tc>
          <w:tcPr>
            <w:tcW w:w="999" w:type="dxa"/>
            <w:noWrap/>
            <w:vAlign w:val="bottom"/>
          </w:tcPr>
          <w:p w:rsidR="00000000" w:rsidRDefault="00000000">
            <w:pPr>
              <w:keepNext/>
              <w:widowControl w:val="0"/>
              <w:spacing w:before="80" w:after="80"/>
              <w:ind w:right="284"/>
              <w:jc w:val="right"/>
              <w:rPr>
                <w:sz w:val="20"/>
                <w:szCs w:val="20"/>
                <w:lang w:val="pt-BR"/>
              </w:rPr>
            </w:pPr>
            <w:r>
              <w:rPr>
                <w:sz w:val="20"/>
                <w:szCs w:val="20"/>
                <w:lang w:val="pt-BR"/>
              </w:rPr>
              <w:t>10</w:t>
            </w:r>
          </w:p>
        </w:tc>
        <w:tc>
          <w:tcPr>
            <w:tcW w:w="1512" w:type="dxa"/>
            <w:noWrap/>
            <w:vAlign w:val="bottom"/>
          </w:tcPr>
          <w:p w:rsidR="00000000" w:rsidRDefault="00000000">
            <w:pPr>
              <w:keepNext/>
              <w:widowControl w:val="0"/>
              <w:spacing w:before="80" w:after="80"/>
              <w:ind w:right="624"/>
              <w:jc w:val="right"/>
              <w:rPr>
                <w:sz w:val="20"/>
                <w:szCs w:val="16"/>
                <w:lang w:val="pt-BR"/>
              </w:rPr>
            </w:pPr>
            <w:r>
              <w:rPr>
                <w:sz w:val="20"/>
                <w:szCs w:val="16"/>
                <w:lang w:val="pt-BR"/>
              </w:rPr>
              <w:t>21</w:t>
            </w:r>
          </w:p>
        </w:tc>
      </w:tr>
      <w:tr w:rsidR="00000000">
        <w:trPr>
          <w:jc w:val="center"/>
        </w:trPr>
        <w:tc>
          <w:tcPr>
            <w:tcW w:w="2912" w:type="dxa"/>
            <w:noWrap/>
            <w:vAlign w:val="bottom"/>
          </w:tcPr>
          <w:p w:rsidR="00000000" w:rsidRDefault="00000000">
            <w:pPr>
              <w:keepNext/>
              <w:widowControl w:val="0"/>
              <w:spacing w:before="80" w:after="80"/>
              <w:rPr>
                <w:sz w:val="20"/>
                <w:szCs w:val="16"/>
                <w:lang w:val="pt-BR"/>
              </w:rPr>
            </w:pPr>
            <w:r>
              <w:rPr>
                <w:sz w:val="20"/>
                <w:szCs w:val="16"/>
                <w:lang w:val="pt-BR"/>
              </w:rPr>
              <w:t>Alto parana</w:t>
            </w:r>
          </w:p>
        </w:tc>
        <w:tc>
          <w:tcPr>
            <w:tcW w:w="1001"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25</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17</w:t>
            </w:r>
          </w:p>
        </w:tc>
        <w:tc>
          <w:tcPr>
            <w:tcW w:w="999" w:type="dxa"/>
            <w:noWrap/>
            <w:vAlign w:val="bottom"/>
          </w:tcPr>
          <w:p w:rsidR="00000000" w:rsidRDefault="00000000">
            <w:pPr>
              <w:keepNext/>
              <w:widowControl w:val="0"/>
              <w:spacing w:before="80" w:after="80"/>
              <w:ind w:right="284"/>
              <w:jc w:val="right"/>
              <w:rPr>
                <w:color w:val="000000"/>
                <w:sz w:val="20"/>
                <w:szCs w:val="16"/>
                <w:lang w:val="pt-BR"/>
              </w:rPr>
            </w:pPr>
            <w:r>
              <w:rPr>
                <w:color w:val="000000"/>
                <w:sz w:val="20"/>
                <w:szCs w:val="16"/>
                <w:lang w:val="pt-BR"/>
              </w:rPr>
              <w:t>18</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10</w:t>
            </w:r>
          </w:p>
        </w:tc>
        <w:tc>
          <w:tcPr>
            <w:tcW w:w="999" w:type="dxa"/>
            <w:noWrap/>
            <w:vAlign w:val="bottom"/>
          </w:tcPr>
          <w:p w:rsidR="00000000" w:rsidRDefault="00000000">
            <w:pPr>
              <w:keepNext/>
              <w:widowControl w:val="0"/>
              <w:spacing w:before="80" w:after="80"/>
              <w:ind w:right="284"/>
              <w:jc w:val="right"/>
              <w:rPr>
                <w:sz w:val="20"/>
                <w:szCs w:val="20"/>
                <w:lang w:val="pt-BR"/>
              </w:rPr>
            </w:pPr>
            <w:r>
              <w:rPr>
                <w:sz w:val="20"/>
                <w:szCs w:val="20"/>
                <w:lang w:val="pt-BR"/>
              </w:rPr>
              <w:t>14</w:t>
            </w:r>
          </w:p>
        </w:tc>
        <w:tc>
          <w:tcPr>
            <w:tcW w:w="1512" w:type="dxa"/>
            <w:noWrap/>
            <w:vAlign w:val="bottom"/>
          </w:tcPr>
          <w:p w:rsidR="00000000" w:rsidRDefault="00000000">
            <w:pPr>
              <w:keepNext/>
              <w:widowControl w:val="0"/>
              <w:spacing w:before="80" w:after="80"/>
              <w:ind w:right="624"/>
              <w:jc w:val="right"/>
              <w:rPr>
                <w:sz w:val="20"/>
                <w:szCs w:val="16"/>
                <w:lang w:val="pt-BR"/>
              </w:rPr>
            </w:pPr>
            <w:r>
              <w:rPr>
                <w:sz w:val="20"/>
                <w:szCs w:val="16"/>
                <w:lang w:val="pt-BR"/>
              </w:rPr>
              <w:t>42</w:t>
            </w:r>
          </w:p>
        </w:tc>
      </w:tr>
      <w:tr w:rsidR="00000000">
        <w:trPr>
          <w:jc w:val="center"/>
        </w:trPr>
        <w:tc>
          <w:tcPr>
            <w:tcW w:w="2912" w:type="dxa"/>
            <w:noWrap/>
            <w:vAlign w:val="bottom"/>
          </w:tcPr>
          <w:p w:rsidR="00000000" w:rsidRDefault="00000000">
            <w:pPr>
              <w:keepNext/>
              <w:widowControl w:val="0"/>
              <w:spacing w:before="80" w:after="80"/>
              <w:rPr>
                <w:sz w:val="20"/>
                <w:szCs w:val="16"/>
                <w:lang w:val="pt-BR"/>
              </w:rPr>
            </w:pPr>
            <w:r>
              <w:rPr>
                <w:sz w:val="20"/>
                <w:szCs w:val="16"/>
                <w:lang w:val="pt-BR"/>
              </w:rPr>
              <w:t>Central</w:t>
            </w:r>
          </w:p>
        </w:tc>
        <w:tc>
          <w:tcPr>
            <w:tcW w:w="1001"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28</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32</w:t>
            </w:r>
          </w:p>
        </w:tc>
        <w:tc>
          <w:tcPr>
            <w:tcW w:w="999" w:type="dxa"/>
            <w:noWrap/>
            <w:vAlign w:val="bottom"/>
          </w:tcPr>
          <w:p w:rsidR="00000000" w:rsidRDefault="00000000">
            <w:pPr>
              <w:keepNext/>
              <w:widowControl w:val="0"/>
              <w:spacing w:before="80" w:after="80"/>
              <w:ind w:right="284"/>
              <w:jc w:val="right"/>
              <w:rPr>
                <w:color w:val="000000"/>
                <w:sz w:val="20"/>
                <w:szCs w:val="16"/>
                <w:lang w:val="pt-BR"/>
              </w:rPr>
            </w:pPr>
            <w:r>
              <w:rPr>
                <w:color w:val="000000"/>
                <w:sz w:val="20"/>
                <w:szCs w:val="16"/>
                <w:lang w:val="pt-BR"/>
              </w:rPr>
              <w:t>31</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28</w:t>
            </w:r>
          </w:p>
        </w:tc>
        <w:tc>
          <w:tcPr>
            <w:tcW w:w="999" w:type="dxa"/>
            <w:noWrap/>
            <w:vAlign w:val="bottom"/>
          </w:tcPr>
          <w:p w:rsidR="00000000" w:rsidRDefault="00000000">
            <w:pPr>
              <w:keepNext/>
              <w:widowControl w:val="0"/>
              <w:spacing w:before="80" w:after="80"/>
              <w:ind w:right="284"/>
              <w:jc w:val="right"/>
              <w:rPr>
                <w:sz w:val="20"/>
                <w:szCs w:val="20"/>
                <w:lang w:val="pt-BR"/>
              </w:rPr>
            </w:pPr>
            <w:r>
              <w:rPr>
                <w:sz w:val="20"/>
                <w:szCs w:val="20"/>
                <w:lang w:val="pt-BR"/>
              </w:rPr>
              <w:t>26</w:t>
            </w:r>
          </w:p>
        </w:tc>
        <w:tc>
          <w:tcPr>
            <w:tcW w:w="1512" w:type="dxa"/>
            <w:noWrap/>
            <w:vAlign w:val="bottom"/>
          </w:tcPr>
          <w:p w:rsidR="00000000" w:rsidRDefault="00000000">
            <w:pPr>
              <w:keepNext/>
              <w:widowControl w:val="0"/>
              <w:spacing w:before="80" w:after="80"/>
              <w:ind w:right="624"/>
              <w:jc w:val="right"/>
              <w:rPr>
                <w:sz w:val="20"/>
                <w:szCs w:val="16"/>
                <w:lang w:val="pt-BR"/>
              </w:rPr>
            </w:pPr>
            <w:r>
              <w:rPr>
                <w:sz w:val="20"/>
                <w:szCs w:val="16"/>
                <w:lang w:val="pt-BR"/>
              </w:rPr>
              <w:t>85</w:t>
            </w:r>
          </w:p>
        </w:tc>
      </w:tr>
      <w:tr w:rsidR="00000000">
        <w:trPr>
          <w:jc w:val="center"/>
        </w:trPr>
        <w:tc>
          <w:tcPr>
            <w:tcW w:w="2912" w:type="dxa"/>
            <w:noWrap/>
            <w:vAlign w:val="bottom"/>
          </w:tcPr>
          <w:p w:rsidR="00000000" w:rsidRDefault="00000000">
            <w:pPr>
              <w:keepNext/>
              <w:widowControl w:val="0"/>
              <w:spacing w:before="80" w:after="80"/>
              <w:rPr>
                <w:sz w:val="20"/>
                <w:szCs w:val="16"/>
                <w:lang w:val="pt-BR"/>
              </w:rPr>
            </w:pPr>
            <w:r>
              <w:rPr>
                <w:sz w:val="20"/>
                <w:szCs w:val="16"/>
                <w:lang w:val="pt-BR"/>
              </w:rPr>
              <w:t>Neembucu</w:t>
            </w:r>
          </w:p>
        </w:tc>
        <w:tc>
          <w:tcPr>
            <w:tcW w:w="1001"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0</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1</w:t>
            </w:r>
          </w:p>
        </w:tc>
        <w:tc>
          <w:tcPr>
            <w:tcW w:w="999" w:type="dxa"/>
            <w:noWrap/>
            <w:vAlign w:val="bottom"/>
          </w:tcPr>
          <w:p w:rsidR="00000000" w:rsidRDefault="00000000">
            <w:pPr>
              <w:keepNext/>
              <w:widowControl w:val="0"/>
              <w:spacing w:before="80" w:after="80"/>
              <w:ind w:right="284"/>
              <w:jc w:val="right"/>
              <w:rPr>
                <w:color w:val="000000"/>
                <w:sz w:val="20"/>
                <w:szCs w:val="16"/>
                <w:lang w:val="pt-BR"/>
              </w:rPr>
            </w:pPr>
            <w:r>
              <w:rPr>
                <w:color w:val="000000"/>
                <w:sz w:val="20"/>
                <w:szCs w:val="16"/>
                <w:lang w:val="pt-BR"/>
              </w:rPr>
              <w:t>2</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1</w:t>
            </w:r>
          </w:p>
        </w:tc>
        <w:tc>
          <w:tcPr>
            <w:tcW w:w="999" w:type="dxa"/>
            <w:noWrap/>
            <w:vAlign w:val="bottom"/>
          </w:tcPr>
          <w:p w:rsidR="00000000" w:rsidRDefault="00000000">
            <w:pPr>
              <w:keepNext/>
              <w:widowControl w:val="0"/>
              <w:spacing w:before="80" w:after="80"/>
              <w:ind w:right="284"/>
              <w:jc w:val="right"/>
              <w:rPr>
                <w:sz w:val="20"/>
                <w:szCs w:val="20"/>
                <w:lang w:val="pt-BR"/>
              </w:rPr>
            </w:pPr>
            <w:r>
              <w:rPr>
                <w:sz w:val="20"/>
                <w:szCs w:val="20"/>
                <w:lang w:val="pt-BR"/>
              </w:rPr>
              <w:t>1</w:t>
            </w:r>
          </w:p>
        </w:tc>
        <w:tc>
          <w:tcPr>
            <w:tcW w:w="1512" w:type="dxa"/>
            <w:noWrap/>
            <w:vAlign w:val="bottom"/>
          </w:tcPr>
          <w:p w:rsidR="00000000" w:rsidRDefault="00000000">
            <w:pPr>
              <w:keepNext/>
              <w:widowControl w:val="0"/>
              <w:spacing w:before="80" w:after="80"/>
              <w:ind w:right="624"/>
              <w:jc w:val="right"/>
              <w:rPr>
                <w:sz w:val="20"/>
                <w:szCs w:val="16"/>
                <w:lang w:val="pt-BR"/>
              </w:rPr>
            </w:pPr>
            <w:r>
              <w:rPr>
                <w:sz w:val="20"/>
                <w:szCs w:val="16"/>
                <w:lang w:val="pt-BR"/>
              </w:rPr>
              <w:t>4</w:t>
            </w:r>
          </w:p>
        </w:tc>
      </w:tr>
      <w:tr w:rsidR="00000000">
        <w:trPr>
          <w:jc w:val="center"/>
        </w:trPr>
        <w:tc>
          <w:tcPr>
            <w:tcW w:w="2912" w:type="dxa"/>
            <w:noWrap/>
            <w:vAlign w:val="bottom"/>
          </w:tcPr>
          <w:p w:rsidR="00000000" w:rsidRDefault="00000000">
            <w:pPr>
              <w:keepNext/>
              <w:widowControl w:val="0"/>
              <w:spacing w:before="80" w:after="80"/>
              <w:rPr>
                <w:sz w:val="20"/>
                <w:szCs w:val="16"/>
                <w:lang w:val="pt-BR"/>
              </w:rPr>
            </w:pPr>
            <w:r>
              <w:rPr>
                <w:sz w:val="20"/>
                <w:szCs w:val="16"/>
                <w:lang w:val="pt-BR"/>
              </w:rPr>
              <w:t>Amambay</w:t>
            </w:r>
          </w:p>
        </w:tc>
        <w:tc>
          <w:tcPr>
            <w:tcW w:w="1001"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2</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4</w:t>
            </w:r>
          </w:p>
        </w:tc>
        <w:tc>
          <w:tcPr>
            <w:tcW w:w="999" w:type="dxa"/>
            <w:noWrap/>
            <w:vAlign w:val="bottom"/>
          </w:tcPr>
          <w:p w:rsidR="00000000" w:rsidRDefault="00000000">
            <w:pPr>
              <w:keepNext/>
              <w:widowControl w:val="0"/>
              <w:spacing w:before="80" w:after="80"/>
              <w:ind w:right="284"/>
              <w:jc w:val="right"/>
              <w:rPr>
                <w:color w:val="000000"/>
                <w:sz w:val="20"/>
                <w:szCs w:val="16"/>
                <w:lang w:val="pt-BR"/>
              </w:rPr>
            </w:pPr>
            <w:r>
              <w:rPr>
                <w:color w:val="000000"/>
                <w:sz w:val="20"/>
                <w:szCs w:val="16"/>
                <w:lang w:val="pt-BR"/>
              </w:rPr>
              <w:t>1</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4</w:t>
            </w:r>
          </w:p>
        </w:tc>
        <w:tc>
          <w:tcPr>
            <w:tcW w:w="999" w:type="dxa"/>
            <w:noWrap/>
            <w:vAlign w:val="bottom"/>
          </w:tcPr>
          <w:p w:rsidR="00000000" w:rsidRDefault="00000000">
            <w:pPr>
              <w:keepNext/>
              <w:widowControl w:val="0"/>
              <w:spacing w:before="80" w:after="80"/>
              <w:ind w:right="284"/>
              <w:jc w:val="right"/>
              <w:rPr>
                <w:sz w:val="20"/>
                <w:szCs w:val="20"/>
                <w:lang w:val="pt-BR"/>
              </w:rPr>
            </w:pPr>
            <w:r>
              <w:rPr>
                <w:sz w:val="20"/>
                <w:szCs w:val="20"/>
                <w:lang w:val="pt-BR"/>
              </w:rPr>
              <w:t>3</w:t>
            </w:r>
          </w:p>
        </w:tc>
        <w:tc>
          <w:tcPr>
            <w:tcW w:w="1512" w:type="dxa"/>
            <w:noWrap/>
            <w:vAlign w:val="bottom"/>
          </w:tcPr>
          <w:p w:rsidR="00000000" w:rsidRDefault="00000000">
            <w:pPr>
              <w:keepNext/>
              <w:widowControl w:val="0"/>
              <w:spacing w:before="80" w:after="80"/>
              <w:ind w:right="624"/>
              <w:jc w:val="right"/>
              <w:rPr>
                <w:sz w:val="20"/>
                <w:szCs w:val="16"/>
                <w:lang w:val="pt-BR"/>
              </w:rPr>
            </w:pPr>
            <w:r>
              <w:rPr>
                <w:sz w:val="20"/>
                <w:szCs w:val="16"/>
                <w:lang w:val="pt-BR"/>
              </w:rPr>
              <w:t>8</w:t>
            </w:r>
          </w:p>
        </w:tc>
      </w:tr>
      <w:tr w:rsidR="00000000">
        <w:trPr>
          <w:jc w:val="center"/>
        </w:trPr>
        <w:tc>
          <w:tcPr>
            <w:tcW w:w="2912" w:type="dxa"/>
            <w:noWrap/>
            <w:vAlign w:val="bottom"/>
          </w:tcPr>
          <w:p w:rsidR="00000000" w:rsidRDefault="00000000">
            <w:pPr>
              <w:keepNext/>
              <w:widowControl w:val="0"/>
              <w:spacing w:before="80" w:after="80"/>
              <w:rPr>
                <w:sz w:val="20"/>
                <w:szCs w:val="16"/>
                <w:lang w:val="pt-BR"/>
              </w:rPr>
            </w:pPr>
            <w:r>
              <w:rPr>
                <w:sz w:val="20"/>
                <w:szCs w:val="16"/>
                <w:lang w:val="pt-BR"/>
              </w:rPr>
              <w:t>Canindeyu</w:t>
            </w:r>
          </w:p>
        </w:tc>
        <w:tc>
          <w:tcPr>
            <w:tcW w:w="1001"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7</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7</w:t>
            </w:r>
          </w:p>
        </w:tc>
        <w:tc>
          <w:tcPr>
            <w:tcW w:w="999" w:type="dxa"/>
            <w:noWrap/>
            <w:vAlign w:val="bottom"/>
          </w:tcPr>
          <w:p w:rsidR="00000000" w:rsidRDefault="00000000">
            <w:pPr>
              <w:keepNext/>
              <w:widowControl w:val="0"/>
              <w:spacing w:before="80" w:after="80"/>
              <w:ind w:right="284"/>
              <w:jc w:val="right"/>
              <w:rPr>
                <w:color w:val="000000"/>
                <w:sz w:val="20"/>
                <w:szCs w:val="16"/>
                <w:lang w:val="pt-BR"/>
              </w:rPr>
            </w:pPr>
            <w:r>
              <w:rPr>
                <w:color w:val="000000"/>
                <w:sz w:val="20"/>
                <w:szCs w:val="16"/>
                <w:lang w:val="pt-BR"/>
              </w:rPr>
              <w:t>5</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8</w:t>
            </w:r>
          </w:p>
        </w:tc>
        <w:tc>
          <w:tcPr>
            <w:tcW w:w="999" w:type="dxa"/>
            <w:noWrap/>
            <w:vAlign w:val="bottom"/>
          </w:tcPr>
          <w:p w:rsidR="00000000" w:rsidRDefault="00000000">
            <w:pPr>
              <w:keepNext/>
              <w:widowControl w:val="0"/>
              <w:spacing w:before="80" w:after="80"/>
              <w:ind w:right="284"/>
              <w:jc w:val="right"/>
              <w:rPr>
                <w:sz w:val="20"/>
                <w:szCs w:val="20"/>
                <w:lang w:val="pt-BR"/>
              </w:rPr>
            </w:pPr>
            <w:r>
              <w:rPr>
                <w:sz w:val="20"/>
                <w:szCs w:val="20"/>
                <w:lang w:val="pt-BR"/>
              </w:rPr>
              <w:t>5</w:t>
            </w:r>
          </w:p>
        </w:tc>
        <w:tc>
          <w:tcPr>
            <w:tcW w:w="1512" w:type="dxa"/>
            <w:noWrap/>
            <w:vAlign w:val="bottom"/>
          </w:tcPr>
          <w:p w:rsidR="00000000" w:rsidRDefault="00000000">
            <w:pPr>
              <w:keepNext/>
              <w:widowControl w:val="0"/>
              <w:spacing w:before="80" w:after="80"/>
              <w:ind w:right="624"/>
              <w:jc w:val="right"/>
              <w:rPr>
                <w:sz w:val="20"/>
                <w:szCs w:val="16"/>
                <w:lang w:val="pt-BR"/>
              </w:rPr>
            </w:pPr>
            <w:r>
              <w:rPr>
                <w:sz w:val="20"/>
                <w:szCs w:val="16"/>
                <w:lang w:val="pt-BR"/>
              </w:rPr>
              <w:t>18</w:t>
            </w:r>
          </w:p>
        </w:tc>
      </w:tr>
      <w:tr w:rsidR="00000000">
        <w:trPr>
          <w:jc w:val="center"/>
        </w:trPr>
        <w:tc>
          <w:tcPr>
            <w:tcW w:w="2912" w:type="dxa"/>
            <w:noWrap/>
            <w:vAlign w:val="bottom"/>
          </w:tcPr>
          <w:p w:rsidR="00000000" w:rsidRDefault="00000000">
            <w:pPr>
              <w:keepNext/>
              <w:widowControl w:val="0"/>
              <w:spacing w:before="80" w:after="80"/>
              <w:rPr>
                <w:sz w:val="20"/>
                <w:szCs w:val="16"/>
                <w:lang w:val="pt-BR"/>
              </w:rPr>
            </w:pPr>
            <w:r>
              <w:rPr>
                <w:sz w:val="20"/>
                <w:szCs w:val="16"/>
                <w:lang w:val="pt-BR"/>
              </w:rPr>
              <w:t>Pte. Hayes</w:t>
            </w:r>
          </w:p>
        </w:tc>
        <w:tc>
          <w:tcPr>
            <w:tcW w:w="1001"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6</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4</w:t>
            </w:r>
          </w:p>
        </w:tc>
        <w:tc>
          <w:tcPr>
            <w:tcW w:w="999" w:type="dxa"/>
            <w:noWrap/>
            <w:vAlign w:val="bottom"/>
          </w:tcPr>
          <w:p w:rsidR="00000000" w:rsidRDefault="00000000">
            <w:pPr>
              <w:keepNext/>
              <w:widowControl w:val="0"/>
              <w:spacing w:before="80" w:after="80"/>
              <w:ind w:right="284"/>
              <w:jc w:val="right"/>
              <w:rPr>
                <w:color w:val="000000"/>
                <w:sz w:val="20"/>
                <w:szCs w:val="16"/>
                <w:lang w:val="pt-BR"/>
              </w:rPr>
            </w:pPr>
            <w:r>
              <w:rPr>
                <w:color w:val="000000"/>
                <w:sz w:val="20"/>
                <w:szCs w:val="16"/>
                <w:lang w:val="pt-BR"/>
              </w:rPr>
              <w:t>3</w:t>
            </w:r>
          </w:p>
        </w:tc>
        <w:tc>
          <w:tcPr>
            <w:tcW w:w="999" w:type="dxa"/>
            <w:noWrap/>
            <w:vAlign w:val="bottom"/>
          </w:tcPr>
          <w:p w:rsidR="00000000" w:rsidRDefault="00000000">
            <w:pPr>
              <w:keepNext/>
              <w:widowControl w:val="0"/>
              <w:spacing w:before="80" w:after="80"/>
              <w:ind w:right="284"/>
              <w:jc w:val="right"/>
              <w:rPr>
                <w:sz w:val="20"/>
                <w:szCs w:val="16"/>
                <w:lang w:val="pt-BR"/>
              </w:rPr>
            </w:pPr>
            <w:r>
              <w:rPr>
                <w:sz w:val="20"/>
                <w:szCs w:val="16"/>
                <w:lang w:val="pt-BR"/>
              </w:rPr>
              <w:t>5</w:t>
            </w:r>
          </w:p>
        </w:tc>
        <w:tc>
          <w:tcPr>
            <w:tcW w:w="999" w:type="dxa"/>
            <w:noWrap/>
            <w:vAlign w:val="bottom"/>
          </w:tcPr>
          <w:p w:rsidR="00000000" w:rsidRDefault="00000000">
            <w:pPr>
              <w:keepNext/>
              <w:widowControl w:val="0"/>
              <w:spacing w:before="80" w:after="80"/>
              <w:ind w:right="284"/>
              <w:jc w:val="right"/>
              <w:rPr>
                <w:sz w:val="20"/>
                <w:szCs w:val="20"/>
                <w:lang w:val="pt-BR"/>
              </w:rPr>
            </w:pPr>
            <w:r>
              <w:rPr>
                <w:sz w:val="20"/>
                <w:szCs w:val="20"/>
                <w:lang w:val="pt-BR"/>
              </w:rPr>
              <w:t>6</w:t>
            </w:r>
          </w:p>
        </w:tc>
        <w:tc>
          <w:tcPr>
            <w:tcW w:w="1512" w:type="dxa"/>
            <w:noWrap/>
            <w:vAlign w:val="bottom"/>
          </w:tcPr>
          <w:p w:rsidR="00000000" w:rsidRDefault="00000000">
            <w:pPr>
              <w:keepNext/>
              <w:widowControl w:val="0"/>
              <w:spacing w:before="80" w:after="80"/>
              <w:ind w:right="624"/>
              <w:jc w:val="right"/>
              <w:rPr>
                <w:sz w:val="20"/>
                <w:szCs w:val="16"/>
                <w:lang w:val="pt-BR"/>
              </w:rPr>
            </w:pPr>
            <w:r>
              <w:rPr>
                <w:sz w:val="20"/>
                <w:szCs w:val="16"/>
                <w:lang w:val="pt-BR"/>
              </w:rPr>
              <w:t>14</w:t>
            </w:r>
          </w:p>
        </w:tc>
      </w:tr>
      <w:tr w:rsidR="00000000">
        <w:trPr>
          <w:jc w:val="center"/>
        </w:trPr>
        <w:tc>
          <w:tcPr>
            <w:tcW w:w="2912" w:type="dxa"/>
            <w:noWrap/>
            <w:vAlign w:val="bottom"/>
          </w:tcPr>
          <w:p w:rsidR="00000000" w:rsidRDefault="00000000">
            <w:pPr>
              <w:keepNext/>
              <w:widowControl w:val="0"/>
              <w:spacing w:before="80" w:after="80"/>
              <w:rPr>
                <w:sz w:val="20"/>
                <w:szCs w:val="16"/>
                <w:lang w:val="pt-BR"/>
              </w:rPr>
            </w:pPr>
            <w:r>
              <w:rPr>
                <w:sz w:val="20"/>
                <w:szCs w:val="16"/>
                <w:lang w:val="pt-BR"/>
              </w:rPr>
              <w:t>Alto Paraguay</w:t>
            </w:r>
          </w:p>
        </w:tc>
        <w:tc>
          <w:tcPr>
            <w:tcW w:w="1001" w:type="dxa"/>
            <w:noWrap/>
            <w:vAlign w:val="bottom"/>
          </w:tcPr>
          <w:p w:rsidR="00000000" w:rsidRDefault="00000000">
            <w:pPr>
              <w:keepNext/>
              <w:widowControl w:val="0"/>
              <w:spacing w:before="80" w:after="80"/>
              <w:ind w:right="284"/>
              <w:jc w:val="right"/>
              <w:rPr>
                <w:sz w:val="20"/>
                <w:szCs w:val="16"/>
                <w:lang w:val="fr-FR"/>
              </w:rPr>
            </w:pPr>
            <w:r>
              <w:rPr>
                <w:sz w:val="20"/>
                <w:szCs w:val="16"/>
                <w:lang w:val="fr-FR"/>
              </w:rPr>
              <w:t>2</w:t>
            </w:r>
          </w:p>
        </w:tc>
        <w:tc>
          <w:tcPr>
            <w:tcW w:w="999" w:type="dxa"/>
            <w:noWrap/>
            <w:vAlign w:val="bottom"/>
          </w:tcPr>
          <w:p w:rsidR="00000000" w:rsidRDefault="00000000">
            <w:pPr>
              <w:keepNext/>
              <w:widowControl w:val="0"/>
              <w:spacing w:before="80" w:after="80"/>
              <w:ind w:right="284"/>
              <w:jc w:val="right"/>
              <w:rPr>
                <w:sz w:val="20"/>
                <w:szCs w:val="16"/>
                <w:lang w:val="fr-FR"/>
              </w:rPr>
            </w:pPr>
            <w:r>
              <w:rPr>
                <w:sz w:val="20"/>
                <w:szCs w:val="16"/>
                <w:lang w:val="fr-FR"/>
              </w:rPr>
              <w:t>0</w:t>
            </w:r>
          </w:p>
        </w:tc>
        <w:tc>
          <w:tcPr>
            <w:tcW w:w="999" w:type="dxa"/>
            <w:noWrap/>
            <w:vAlign w:val="bottom"/>
          </w:tcPr>
          <w:p w:rsidR="00000000" w:rsidRDefault="00000000">
            <w:pPr>
              <w:keepNext/>
              <w:widowControl w:val="0"/>
              <w:spacing w:before="80" w:after="80"/>
              <w:ind w:right="284"/>
              <w:jc w:val="right"/>
              <w:rPr>
                <w:color w:val="000000"/>
                <w:sz w:val="20"/>
                <w:szCs w:val="16"/>
                <w:lang w:val="fr-FR"/>
              </w:rPr>
            </w:pPr>
            <w:r>
              <w:rPr>
                <w:color w:val="000000"/>
                <w:sz w:val="20"/>
                <w:szCs w:val="16"/>
                <w:lang w:val="fr-FR"/>
              </w:rPr>
              <w:t>2</w:t>
            </w:r>
          </w:p>
        </w:tc>
        <w:tc>
          <w:tcPr>
            <w:tcW w:w="999" w:type="dxa"/>
            <w:noWrap/>
            <w:vAlign w:val="bottom"/>
          </w:tcPr>
          <w:p w:rsidR="00000000" w:rsidRDefault="00000000">
            <w:pPr>
              <w:keepNext/>
              <w:widowControl w:val="0"/>
              <w:spacing w:before="80" w:after="80"/>
              <w:ind w:right="284"/>
              <w:jc w:val="right"/>
              <w:rPr>
                <w:sz w:val="20"/>
                <w:szCs w:val="16"/>
                <w:lang w:val="fr-FR"/>
              </w:rPr>
            </w:pPr>
            <w:r>
              <w:rPr>
                <w:sz w:val="20"/>
                <w:szCs w:val="16"/>
                <w:lang w:val="fr-FR"/>
              </w:rPr>
              <w:t>2</w:t>
            </w:r>
          </w:p>
        </w:tc>
        <w:tc>
          <w:tcPr>
            <w:tcW w:w="999" w:type="dxa"/>
            <w:noWrap/>
            <w:vAlign w:val="bottom"/>
          </w:tcPr>
          <w:p w:rsidR="00000000" w:rsidRDefault="00000000">
            <w:pPr>
              <w:keepNext/>
              <w:widowControl w:val="0"/>
              <w:spacing w:before="80" w:after="80"/>
              <w:ind w:right="284"/>
              <w:jc w:val="right"/>
              <w:rPr>
                <w:sz w:val="20"/>
                <w:szCs w:val="20"/>
                <w:lang w:val="fr-FR"/>
              </w:rPr>
            </w:pPr>
            <w:r>
              <w:rPr>
                <w:sz w:val="20"/>
                <w:szCs w:val="20"/>
                <w:lang w:val="fr-FR"/>
              </w:rPr>
              <w:t>0</w:t>
            </w:r>
          </w:p>
        </w:tc>
        <w:tc>
          <w:tcPr>
            <w:tcW w:w="1512" w:type="dxa"/>
            <w:noWrap/>
            <w:vAlign w:val="bottom"/>
          </w:tcPr>
          <w:p w:rsidR="00000000" w:rsidRDefault="00000000">
            <w:pPr>
              <w:keepNext/>
              <w:widowControl w:val="0"/>
              <w:spacing w:before="80" w:after="80"/>
              <w:ind w:right="624"/>
              <w:jc w:val="right"/>
              <w:rPr>
                <w:sz w:val="20"/>
                <w:szCs w:val="16"/>
                <w:lang w:val="fr-FR"/>
              </w:rPr>
            </w:pPr>
            <w:r>
              <w:rPr>
                <w:sz w:val="20"/>
                <w:szCs w:val="16"/>
                <w:lang w:val="fr-FR"/>
              </w:rPr>
              <w:t>4</w:t>
            </w:r>
          </w:p>
        </w:tc>
      </w:tr>
      <w:tr w:rsidR="00000000">
        <w:trPr>
          <w:jc w:val="center"/>
        </w:trPr>
        <w:tc>
          <w:tcPr>
            <w:tcW w:w="2912" w:type="dxa"/>
            <w:noWrap/>
            <w:vAlign w:val="bottom"/>
          </w:tcPr>
          <w:p w:rsidR="00000000" w:rsidRDefault="00000000">
            <w:pPr>
              <w:keepNext/>
              <w:widowControl w:val="0"/>
              <w:spacing w:before="80" w:after="80"/>
              <w:rPr>
                <w:sz w:val="20"/>
                <w:szCs w:val="16"/>
                <w:lang w:val="fr-FR"/>
              </w:rPr>
            </w:pPr>
            <w:r>
              <w:rPr>
                <w:sz w:val="20"/>
                <w:szCs w:val="16"/>
                <w:lang w:val="fr-FR"/>
              </w:rPr>
              <w:t>Boqueron</w:t>
            </w:r>
          </w:p>
        </w:tc>
        <w:tc>
          <w:tcPr>
            <w:tcW w:w="1001" w:type="dxa"/>
            <w:noWrap/>
            <w:vAlign w:val="bottom"/>
          </w:tcPr>
          <w:p w:rsidR="00000000" w:rsidRDefault="00000000">
            <w:pPr>
              <w:keepNext/>
              <w:widowControl w:val="0"/>
              <w:spacing w:before="80" w:after="80"/>
              <w:ind w:right="284"/>
              <w:jc w:val="right"/>
              <w:rPr>
                <w:sz w:val="20"/>
                <w:szCs w:val="16"/>
                <w:lang w:val="fr-FR"/>
              </w:rPr>
            </w:pPr>
            <w:r>
              <w:rPr>
                <w:sz w:val="20"/>
                <w:szCs w:val="16"/>
                <w:lang w:val="fr-FR"/>
              </w:rPr>
              <w:t>0</w:t>
            </w:r>
          </w:p>
        </w:tc>
        <w:tc>
          <w:tcPr>
            <w:tcW w:w="999" w:type="dxa"/>
            <w:noWrap/>
            <w:vAlign w:val="bottom"/>
          </w:tcPr>
          <w:p w:rsidR="00000000" w:rsidRDefault="00000000">
            <w:pPr>
              <w:keepNext/>
              <w:widowControl w:val="0"/>
              <w:spacing w:before="80" w:after="80"/>
              <w:ind w:right="284"/>
              <w:jc w:val="right"/>
              <w:rPr>
                <w:sz w:val="20"/>
                <w:szCs w:val="16"/>
                <w:lang w:val="fr-FR"/>
              </w:rPr>
            </w:pPr>
            <w:r>
              <w:rPr>
                <w:sz w:val="20"/>
                <w:szCs w:val="16"/>
                <w:lang w:val="fr-FR"/>
              </w:rPr>
              <w:t>2</w:t>
            </w:r>
          </w:p>
        </w:tc>
        <w:tc>
          <w:tcPr>
            <w:tcW w:w="999" w:type="dxa"/>
            <w:noWrap/>
            <w:vAlign w:val="bottom"/>
          </w:tcPr>
          <w:p w:rsidR="00000000" w:rsidRDefault="00000000">
            <w:pPr>
              <w:keepNext/>
              <w:widowControl w:val="0"/>
              <w:spacing w:before="80" w:after="80"/>
              <w:ind w:right="284"/>
              <w:jc w:val="right"/>
              <w:rPr>
                <w:color w:val="000000"/>
                <w:sz w:val="20"/>
                <w:szCs w:val="16"/>
                <w:lang w:val="fr-FR"/>
              </w:rPr>
            </w:pPr>
            <w:r>
              <w:rPr>
                <w:color w:val="000000"/>
                <w:sz w:val="20"/>
                <w:szCs w:val="16"/>
                <w:lang w:val="fr-FR"/>
              </w:rPr>
              <w:t>1</w:t>
            </w:r>
          </w:p>
        </w:tc>
        <w:tc>
          <w:tcPr>
            <w:tcW w:w="999" w:type="dxa"/>
            <w:noWrap/>
            <w:vAlign w:val="bottom"/>
          </w:tcPr>
          <w:p w:rsidR="00000000" w:rsidRDefault="00000000">
            <w:pPr>
              <w:keepNext/>
              <w:widowControl w:val="0"/>
              <w:spacing w:before="80" w:after="80"/>
              <w:ind w:right="284"/>
              <w:jc w:val="right"/>
              <w:rPr>
                <w:sz w:val="20"/>
                <w:szCs w:val="16"/>
                <w:lang w:val="fr-FR"/>
              </w:rPr>
            </w:pPr>
            <w:r>
              <w:rPr>
                <w:sz w:val="20"/>
                <w:szCs w:val="16"/>
                <w:lang w:val="fr-FR"/>
              </w:rPr>
              <w:t>1</w:t>
            </w:r>
          </w:p>
        </w:tc>
        <w:tc>
          <w:tcPr>
            <w:tcW w:w="999" w:type="dxa"/>
            <w:noWrap/>
            <w:vAlign w:val="bottom"/>
          </w:tcPr>
          <w:p w:rsidR="00000000" w:rsidRDefault="00000000">
            <w:pPr>
              <w:keepNext/>
              <w:widowControl w:val="0"/>
              <w:spacing w:before="80" w:after="80"/>
              <w:ind w:right="284"/>
              <w:jc w:val="right"/>
              <w:rPr>
                <w:sz w:val="20"/>
                <w:szCs w:val="20"/>
                <w:lang w:val="fr-FR"/>
              </w:rPr>
            </w:pPr>
            <w:r>
              <w:rPr>
                <w:sz w:val="20"/>
                <w:szCs w:val="20"/>
                <w:lang w:val="fr-FR"/>
              </w:rPr>
              <w:t>2</w:t>
            </w:r>
          </w:p>
        </w:tc>
        <w:tc>
          <w:tcPr>
            <w:tcW w:w="1512" w:type="dxa"/>
            <w:noWrap/>
            <w:vAlign w:val="bottom"/>
          </w:tcPr>
          <w:p w:rsidR="00000000" w:rsidRDefault="00000000">
            <w:pPr>
              <w:keepNext/>
              <w:widowControl w:val="0"/>
              <w:spacing w:before="80" w:after="80"/>
              <w:ind w:right="624"/>
              <w:jc w:val="right"/>
              <w:rPr>
                <w:sz w:val="20"/>
                <w:szCs w:val="16"/>
                <w:lang w:val="fr-FR"/>
              </w:rPr>
            </w:pPr>
            <w:r>
              <w:rPr>
                <w:sz w:val="20"/>
                <w:szCs w:val="16"/>
                <w:lang w:val="fr-FR"/>
              </w:rPr>
              <w:t>4</w:t>
            </w:r>
          </w:p>
        </w:tc>
      </w:tr>
      <w:tr w:rsidR="00000000">
        <w:trPr>
          <w:jc w:val="center"/>
        </w:trPr>
        <w:tc>
          <w:tcPr>
            <w:tcW w:w="2912" w:type="dxa"/>
            <w:noWrap/>
            <w:vAlign w:val="bottom"/>
          </w:tcPr>
          <w:p w:rsidR="00000000" w:rsidRDefault="00000000">
            <w:pPr>
              <w:keepNext/>
              <w:widowControl w:val="0"/>
              <w:spacing w:before="80" w:after="80"/>
              <w:rPr>
                <w:sz w:val="20"/>
                <w:szCs w:val="16"/>
                <w:lang w:val="fr-FR"/>
              </w:rPr>
            </w:pPr>
            <w:r>
              <w:rPr>
                <w:sz w:val="20"/>
                <w:szCs w:val="16"/>
                <w:lang w:val="fr-FR"/>
              </w:rPr>
              <w:t>Asuncion</w:t>
            </w:r>
          </w:p>
        </w:tc>
        <w:tc>
          <w:tcPr>
            <w:tcW w:w="1001" w:type="dxa"/>
            <w:noWrap/>
            <w:vAlign w:val="bottom"/>
          </w:tcPr>
          <w:p w:rsidR="00000000" w:rsidRDefault="00000000">
            <w:pPr>
              <w:keepNext/>
              <w:widowControl w:val="0"/>
              <w:spacing w:before="80" w:after="80"/>
              <w:ind w:right="284"/>
              <w:jc w:val="right"/>
              <w:rPr>
                <w:sz w:val="20"/>
                <w:szCs w:val="16"/>
                <w:lang w:val="fr-FR"/>
              </w:rPr>
            </w:pPr>
            <w:r>
              <w:rPr>
                <w:sz w:val="20"/>
                <w:szCs w:val="16"/>
                <w:lang w:val="fr-FR"/>
              </w:rPr>
              <w:t>2</w:t>
            </w:r>
          </w:p>
        </w:tc>
        <w:tc>
          <w:tcPr>
            <w:tcW w:w="999" w:type="dxa"/>
            <w:noWrap/>
            <w:vAlign w:val="bottom"/>
          </w:tcPr>
          <w:p w:rsidR="00000000" w:rsidRDefault="00000000">
            <w:pPr>
              <w:keepNext/>
              <w:widowControl w:val="0"/>
              <w:spacing w:before="80" w:after="80"/>
              <w:ind w:right="284"/>
              <w:jc w:val="right"/>
              <w:rPr>
                <w:sz w:val="20"/>
                <w:szCs w:val="16"/>
                <w:lang w:val="fr-FR"/>
              </w:rPr>
            </w:pPr>
            <w:r>
              <w:rPr>
                <w:sz w:val="20"/>
                <w:szCs w:val="16"/>
                <w:lang w:val="fr-FR"/>
              </w:rPr>
              <w:t>12</w:t>
            </w:r>
          </w:p>
        </w:tc>
        <w:tc>
          <w:tcPr>
            <w:tcW w:w="999" w:type="dxa"/>
            <w:noWrap/>
            <w:vAlign w:val="bottom"/>
          </w:tcPr>
          <w:p w:rsidR="00000000" w:rsidRDefault="00000000">
            <w:pPr>
              <w:keepNext/>
              <w:widowControl w:val="0"/>
              <w:spacing w:before="80" w:after="80"/>
              <w:ind w:right="284"/>
              <w:jc w:val="right"/>
              <w:rPr>
                <w:color w:val="000000"/>
                <w:sz w:val="20"/>
                <w:szCs w:val="16"/>
                <w:lang w:val="fr-FR"/>
              </w:rPr>
            </w:pPr>
            <w:r>
              <w:rPr>
                <w:color w:val="000000"/>
                <w:sz w:val="20"/>
                <w:szCs w:val="16"/>
                <w:lang w:val="fr-FR"/>
              </w:rPr>
              <w:t>9</w:t>
            </w:r>
          </w:p>
        </w:tc>
        <w:tc>
          <w:tcPr>
            <w:tcW w:w="999" w:type="dxa"/>
            <w:noWrap/>
            <w:vAlign w:val="bottom"/>
          </w:tcPr>
          <w:p w:rsidR="00000000" w:rsidRDefault="00000000">
            <w:pPr>
              <w:keepNext/>
              <w:widowControl w:val="0"/>
              <w:spacing w:before="80" w:after="80"/>
              <w:ind w:right="284"/>
              <w:jc w:val="right"/>
              <w:rPr>
                <w:sz w:val="20"/>
                <w:szCs w:val="16"/>
                <w:lang w:val="fr-FR"/>
              </w:rPr>
            </w:pPr>
            <w:r>
              <w:rPr>
                <w:sz w:val="20"/>
                <w:szCs w:val="16"/>
                <w:lang w:val="fr-FR"/>
              </w:rPr>
              <w:t>9</w:t>
            </w:r>
          </w:p>
        </w:tc>
        <w:tc>
          <w:tcPr>
            <w:tcW w:w="999" w:type="dxa"/>
            <w:noWrap/>
            <w:vAlign w:val="bottom"/>
          </w:tcPr>
          <w:p w:rsidR="00000000" w:rsidRDefault="00000000">
            <w:pPr>
              <w:keepNext/>
              <w:widowControl w:val="0"/>
              <w:spacing w:before="80" w:after="80"/>
              <w:ind w:right="284"/>
              <w:jc w:val="right"/>
              <w:rPr>
                <w:sz w:val="20"/>
                <w:szCs w:val="20"/>
                <w:lang w:val="fr-FR"/>
              </w:rPr>
            </w:pPr>
            <w:r>
              <w:rPr>
                <w:sz w:val="20"/>
                <w:szCs w:val="20"/>
                <w:lang w:val="fr-FR"/>
              </w:rPr>
              <w:t>8</w:t>
            </w:r>
          </w:p>
        </w:tc>
        <w:tc>
          <w:tcPr>
            <w:tcW w:w="1512" w:type="dxa"/>
            <w:noWrap/>
            <w:vAlign w:val="bottom"/>
          </w:tcPr>
          <w:p w:rsidR="00000000" w:rsidRDefault="00000000">
            <w:pPr>
              <w:keepNext/>
              <w:widowControl w:val="0"/>
              <w:spacing w:before="80" w:after="80"/>
              <w:ind w:right="624"/>
              <w:jc w:val="right"/>
              <w:rPr>
                <w:sz w:val="20"/>
                <w:szCs w:val="16"/>
                <w:lang w:val="fr-FR"/>
              </w:rPr>
            </w:pPr>
            <w:r>
              <w:rPr>
                <w:sz w:val="20"/>
                <w:szCs w:val="16"/>
                <w:lang w:val="fr-FR"/>
              </w:rPr>
              <w:t>26</w:t>
            </w:r>
          </w:p>
        </w:tc>
      </w:tr>
      <w:tr w:rsidR="00000000">
        <w:trPr>
          <w:jc w:val="center"/>
        </w:trPr>
        <w:tc>
          <w:tcPr>
            <w:tcW w:w="2912" w:type="dxa"/>
            <w:noWrap/>
            <w:vAlign w:val="bottom"/>
          </w:tcPr>
          <w:p w:rsidR="00000000" w:rsidRDefault="00000000">
            <w:pPr>
              <w:keepNext/>
              <w:widowControl w:val="0"/>
              <w:spacing w:before="80" w:after="80"/>
              <w:rPr>
                <w:sz w:val="20"/>
                <w:szCs w:val="16"/>
                <w:lang w:val="fr-FR"/>
              </w:rPr>
            </w:pPr>
            <w:r>
              <w:rPr>
                <w:sz w:val="20"/>
                <w:szCs w:val="16"/>
                <w:lang w:val="fr-FR"/>
              </w:rPr>
              <w:t>Aliens</w:t>
            </w:r>
          </w:p>
        </w:tc>
        <w:tc>
          <w:tcPr>
            <w:tcW w:w="1001" w:type="dxa"/>
            <w:noWrap/>
            <w:vAlign w:val="bottom"/>
          </w:tcPr>
          <w:p w:rsidR="00000000" w:rsidRDefault="00000000">
            <w:pPr>
              <w:keepNext/>
              <w:widowControl w:val="0"/>
              <w:spacing w:before="80" w:after="80"/>
              <w:ind w:right="284"/>
              <w:jc w:val="right"/>
              <w:rPr>
                <w:sz w:val="20"/>
                <w:szCs w:val="16"/>
              </w:rPr>
            </w:pPr>
            <w:r>
              <w:rPr>
                <w:sz w:val="20"/>
                <w:szCs w:val="16"/>
              </w:rPr>
              <w:t>0</w:t>
            </w:r>
          </w:p>
        </w:tc>
        <w:tc>
          <w:tcPr>
            <w:tcW w:w="999" w:type="dxa"/>
            <w:noWrap/>
            <w:vAlign w:val="bottom"/>
          </w:tcPr>
          <w:p w:rsidR="00000000" w:rsidRDefault="00000000">
            <w:pPr>
              <w:keepNext/>
              <w:widowControl w:val="0"/>
              <w:spacing w:before="80" w:after="80"/>
              <w:ind w:right="284"/>
              <w:jc w:val="right"/>
              <w:rPr>
                <w:sz w:val="20"/>
                <w:szCs w:val="16"/>
              </w:rPr>
            </w:pPr>
            <w:r>
              <w:rPr>
                <w:sz w:val="20"/>
                <w:szCs w:val="16"/>
              </w:rPr>
              <w:t>0</w:t>
            </w:r>
          </w:p>
        </w:tc>
        <w:tc>
          <w:tcPr>
            <w:tcW w:w="999" w:type="dxa"/>
            <w:noWrap/>
            <w:vAlign w:val="bottom"/>
          </w:tcPr>
          <w:p w:rsidR="00000000" w:rsidRDefault="00000000">
            <w:pPr>
              <w:keepNext/>
              <w:widowControl w:val="0"/>
              <w:spacing w:before="80" w:after="80"/>
              <w:ind w:right="284"/>
              <w:jc w:val="right"/>
              <w:rPr>
                <w:color w:val="000000"/>
                <w:sz w:val="20"/>
                <w:szCs w:val="16"/>
              </w:rPr>
            </w:pPr>
            <w:r>
              <w:rPr>
                <w:color w:val="000000"/>
                <w:sz w:val="20"/>
                <w:szCs w:val="16"/>
              </w:rPr>
              <w:t>0</w:t>
            </w:r>
          </w:p>
        </w:tc>
        <w:tc>
          <w:tcPr>
            <w:tcW w:w="999" w:type="dxa"/>
            <w:noWrap/>
            <w:vAlign w:val="bottom"/>
          </w:tcPr>
          <w:p w:rsidR="00000000" w:rsidRDefault="00000000">
            <w:pPr>
              <w:keepNext/>
              <w:widowControl w:val="0"/>
              <w:spacing w:before="80" w:after="80"/>
              <w:ind w:right="284"/>
              <w:jc w:val="right"/>
              <w:rPr>
                <w:sz w:val="20"/>
                <w:szCs w:val="16"/>
              </w:rPr>
            </w:pPr>
          </w:p>
        </w:tc>
        <w:tc>
          <w:tcPr>
            <w:tcW w:w="999" w:type="dxa"/>
            <w:noWrap/>
            <w:vAlign w:val="bottom"/>
          </w:tcPr>
          <w:p w:rsidR="00000000" w:rsidRDefault="00000000">
            <w:pPr>
              <w:keepNext/>
              <w:widowControl w:val="0"/>
              <w:spacing w:before="80" w:after="80"/>
              <w:ind w:right="284"/>
              <w:jc w:val="right"/>
              <w:rPr>
                <w:sz w:val="20"/>
                <w:szCs w:val="20"/>
              </w:rPr>
            </w:pPr>
          </w:p>
        </w:tc>
        <w:tc>
          <w:tcPr>
            <w:tcW w:w="1512" w:type="dxa"/>
            <w:noWrap/>
            <w:vAlign w:val="bottom"/>
          </w:tcPr>
          <w:p w:rsidR="00000000" w:rsidRDefault="00000000">
            <w:pPr>
              <w:keepNext/>
              <w:widowControl w:val="0"/>
              <w:spacing w:before="80" w:after="80"/>
              <w:ind w:right="624"/>
              <w:jc w:val="right"/>
              <w:rPr>
                <w:sz w:val="20"/>
                <w:szCs w:val="16"/>
              </w:rPr>
            </w:pPr>
            <w:r>
              <w:rPr>
                <w:sz w:val="20"/>
                <w:szCs w:val="16"/>
              </w:rPr>
              <w:t>0</w:t>
            </w:r>
          </w:p>
        </w:tc>
      </w:tr>
      <w:tr w:rsidR="00000000">
        <w:trPr>
          <w:jc w:val="center"/>
        </w:trPr>
        <w:tc>
          <w:tcPr>
            <w:tcW w:w="2912" w:type="dxa"/>
            <w:tcBorders>
              <w:bottom w:val="single" w:sz="4" w:space="0" w:color="auto"/>
            </w:tcBorders>
            <w:noWrap/>
            <w:vAlign w:val="bottom"/>
          </w:tcPr>
          <w:p w:rsidR="00000000" w:rsidRDefault="00000000">
            <w:pPr>
              <w:keepNext/>
              <w:widowControl w:val="0"/>
              <w:spacing w:before="80" w:after="80"/>
              <w:rPr>
                <w:b/>
                <w:bCs/>
                <w:sz w:val="20"/>
                <w:szCs w:val="16"/>
              </w:rPr>
            </w:pPr>
            <w:r>
              <w:rPr>
                <w:b/>
                <w:bCs/>
                <w:sz w:val="20"/>
                <w:szCs w:val="16"/>
              </w:rPr>
              <w:t xml:space="preserve">Total </w:t>
            </w:r>
          </w:p>
        </w:tc>
        <w:tc>
          <w:tcPr>
            <w:tcW w:w="1001" w:type="dxa"/>
            <w:tcBorders>
              <w:bottom w:val="single" w:sz="4" w:space="0" w:color="auto"/>
            </w:tcBorders>
            <w:noWrap/>
            <w:vAlign w:val="bottom"/>
          </w:tcPr>
          <w:p w:rsidR="00000000" w:rsidRDefault="00000000">
            <w:pPr>
              <w:keepNext/>
              <w:widowControl w:val="0"/>
              <w:spacing w:before="80" w:after="80"/>
              <w:ind w:right="284"/>
              <w:jc w:val="right"/>
              <w:rPr>
                <w:b/>
                <w:bCs/>
                <w:sz w:val="20"/>
                <w:szCs w:val="16"/>
              </w:rPr>
            </w:pPr>
            <w:r>
              <w:rPr>
                <w:b/>
                <w:bCs/>
                <w:sz w:val="20"/>
                <w:szCs w:val="16"/>
              </w:rPr>
              <w:t>134</w:t>
            </w:r>
          </w:p>
        </w:tc>
        <w:tc>
          <w:tcPr>
            <w:tcW w:w="999" w:type="dxa"/>
            <w:tcBorders>
              <w:bottom w:val="single" w:sz="4" w:space="0" w:color="auto"/>
            </w:tcBorders>
            <w:noWrap/>
            <w:vAlign w:val="bottom"/>
          </w:tcPr>
          <w:p w:rsidR="00000000" w:rsidRDefault="00000000">
            <w:pPr>
              <w:keepNext/>
              <w:widowControl w:val="0"/>
              <w:spacing w:before="80" w:after="80"/>
              <w:ind w:right="284"/>
              <w:jc w:val="right"/>
              <w:rPr>
                <w:b/>
                <w:bCs/>
                <w:sz w:val="20"/>
                <w:szCs w:val="16"/>
              </w:rPr>
            </w:pPr>
            <w:r>
              <w:rPr>
                <w:b/>
                <w:bCs/>
                <w:sz w:val="20"/>
                <w:szCs w:val="16"/>
              </w:rPr>
              <w:t>164</w:t>
            </w:r>
          </w:p>
        </w:tc>
        <w:tc>
          <w:tcPr>
            <w:tcW w:w="999" w:type="dxa"/>
            <w:tcBorders>
              <w:bottom w:val="single" w:sz="4" w:space="0" w:color="auto"/>
            </w:tcBorders>
            <w:noWrap/>
            <w:vAlign w:val="bottom"/>
          </w:tcPr>
          <w:p w:rsidR="00000000" w:rsidRDefault="00000000">
            <w:pPr>
              <w:keepNext/>
              <w:widowControl w:val="0"/>
              <w:spacing w:before="80" w:after="80"/>
              <w:ind w:right="284"/>
              <w:jc w:val="right"/>
              <w:rPr>
                <w:b/>
                <w:bCs/>
                <w:sz w:val="20"/>
                <w:szCs w:val="16"/>
              </w:rPr>
            </w:pPr>
            <w:r>
              <w:rPr>
                <w:b/>
                <w:bCs/>
                <w:sz w:val="20"/>
                <w:szCs w:val="16"/>
              </w:rPr>
              <w:t>151</w:t>
            </w:r>
          </w:p>
        </w:tc>
        <w:tc>
          <w:tcPr>
            <w:tcW w:w="999" w:type="dxa"/>
            <w:tcBorders>
              <w:bottom w:val="single" w:sz="4" w:space="0" w:color="auto"/>
            </w:tcBorders>
            <w:noWrap/>
            <w:vAlign w:val="bottom"/>
          </w:tcPr>
          <w:p w:rsidR="00000000" w:rsidRDefault="00000000">
            <w:pPr>
              <w:keepNext/>
              <w:widowControl w:val="0"/>
              <w:spacing w:before="80" w:after="80"/>
              <w:ind w:right="284"/>
              <w:jc w:val="right"/>
              <w:rPr>
                <w:b/>
                <w:bCs/>
                <w:sz w:val="20"/>
                <w:szCs w:val="16"/>
              </w:rPr>
            </w:pPr>
            <w:r>
              <w:rPr>
                <w:b/>
                <w:bCs/>
                <w:sz w:val="20"/>
                <w:szCs w:val="16"/>
              </w:rPr>
              <w:t>155</w:t>
            </w:r>
          </w:p>
        </w:tc>
        <w:tc>
          <w:tcPr>
            <w:tcW w:w="999" w:type="dxa"/>
            <w:tcBorders>
              <w:bottom w:val="single" w:sz="4" w:space="0" w:color="auto"/>
            </w:tcBorders>
            <w:noWrap/>
            <w:vAlign w:val="bottom"/>
          </w:tcPr>
          <w:p w:rsidR="00000000" w:rsidRDefault="00000000">
            <w:pPr>
              <w:keepNext/>
              <w:widowControl w:val="0"/>
              <w:spacing w:before="80" w:after="80"/>
              <w:ind w:right="284"/>
              <w:jc w:val="right"/>
              <w:rPr>
                <w:b/>
                <w:bCs/>
                <w:sz w:val="20"/>
                <w:szCs w:val="16"/>
              </w:rPr>
            </w:pPr>
            <w:r>
              <w:rPr>
                <w:b/>
                <w:bCs/>
                <w:sz w:val="20"/>
                <w:szCs w:val="16"/>
              </w:rPr>
              <w:t>134</w:t>
            </w:r>
          </w:p>
        </w:tc>
        <w:tc>
          <w:tcPr>
            <w:tcW w:w="1512" w:type="dxa"/>
            <w:tcBorders>
              <w:bottom w:val="single" w:sz="4" w:space="0" w:color="auto"/>
            </w:tcBorders>
            <w:noWrap/>
            <w:vAlign w:val="bottom"/>
          </w:tcPr>
          <w:p w:rsidR="00000000" w:rsidRDefault="00000000">
            <w:pPr>
              <w:keepNext/>
              <w:widowControl w:val="0"/>
              <w:spacing w:before="80" w:after="80"/>
              <w:ind w:right="624"/>
              <w:jc w:val="right"/>
              <w:rPr>
                <w:sz w:val="20"/>
                <w:szCs w:val="16"/>
              </w:rPr>
            </w:pPr>
            <w:r>
              <w:rPr>
                <w:sz w:val="20"/>
                <w:szCs w:val="16"/>
              </w:rPr>
              <w:t>440</w:t>
            </w:r>
          </w:p>
        </w:tc>
      </w:tr>
    </w:tbl>
    <w:p w:rsidR="00000000" w:rsidRDefault="00000000">
      <w:pPr>
        <w:keepNext/>
        <w:widowControl w:val="0"/>
        <w:spacing w:before="80" w:after="80"/>
        <w:ind w:left="567"/>
        <w:rPr>
          <w:sz w:val="20"/>
          <w:szCs w:val="16"/>
        </w:rPr>
      </w:pPr>
      <w:r>
        <w:rPr>
          <w:i/>
          <w:iCs/>
          <w:sz w:val="20"/>
          <w:szCs w:val="16"/>
        </w:rPr>
        <w:t xml:space="preserve">Source : </w:t>
      </w:r>
      <w:r>
        <w:rPr>
          <w:sz w:val="20"/>
          <w:szCs w:val="16"/>
        </w:rPr>
        <w:t>death certificates registered. Biostatistics dept., m.s.p. And b.s.</w:t>
      </w:r>
    </w:p>
    <w:p w:rsidR="00000000" w:rsidRDefault="00000000">
      <w:pPr>
        <w:spacing w:after="240"/>
        <w:rPr>
          <w:lang w:val="en-US"/>
        </w:rPr>
      </w:pPr>
    </w:p>
    <w:p w:rsidR="00000000" w:rsidRDefault="00000000">
      <w:pPr>
        <w:spacing w:after="240"/>
        <w:rPr>
          <w:bCs/>
        </w:rPr>
      </w:pPr>
      <w:r>
        <w:rPr>
          <w:lang w:val="en-US"/>
        </w:rPr>
        <w:t>509</w:t>
      </w:r>
      <w:r>
        <w:rPr>
          <w:bCs/>
        </w:rPr>
        <w:t>.</w:t>
      </w:r>
      <w:r>
        <w:rPr>
          <w:bCs/>
        </w:rPr>
        <w:tab/>
        <w:t xml:space="preserve">In 2002, 164 cases of maternal mortality per 100,000 live births were reported. Preliminary data for 2003 give a total of 150 cases of maternal mortality per 100,000 live births. An analysis of maternal mortality during recent years reveals an improvement in the recording of information and a slight fall. </w:t>
      </w:r>
    </w:p>
    <w:p w:rsidR="00000000" w:rsidRDefault="00000000">
      <w:pPr>
        <w:spacing w:after="240"/>
        <w:rPr>
          <w:bCs/>
        </w:rPr>
      </w:pPr>
      <w:r>
        <w:t>510</w:t>
      </w:r>
      <w:r>
        <w:rPr>
          <w:bCs/>
        </w:rPr>
        <w:t>.</w:t>
      </w:r>
      <w:r>
        <w:rPr>
          <w:bCs/>
        </w:rPr>
        <w:tab/>
        <w:t xml:space="preserve">The most frequent recorded cause of maternal mortality in 2003 was haemorrhage, followed by abortion. However, variations in the pattern of causes of death are recorded each year; in recent years infections linked to sepsis have also become very important. </w:t>
      </w:r>
    </w:p>
    <w:p w:rsidR="00000000" w:rsidRDefault="00000000">
      <w:pPr>
        <w:spacing w:after="240"/>
      </w:pPr>
      <w:r>
        <w:t>511.</w:t>
      </w:r>
      <w:r>
        <w:tab/>
        <w:t xml:space="preserve">Over the years abortion has been an important cause of maternal mortality; according to the year, it has accounted for between one four and one in five maternal deaths. Probably its importance is even greater in reality on account of under-registration and concealment of an act which is punishable by law. </w:t>
      </w:r>
    </w:p>
    <w:p w:rsidR="00000000" w:rsidRDefault="00000000">
      <w:pPr>
        <w:spacing w:after="120"/>
        <w:jc w:val="center"/>
        <w:rPr>
          <w:b/>
          <w:bCs/>
          <w:sz w:val="22"/>
        </w:rPr>
      </w:pPr>
      <w:r>
        <w:rPr>
          <w:b/>
          <w:bCs/>
          <w:sz w:val="22"/>
        </w:rPr>
        <w:t>Ministry of Public Health and Social Welfare – Directorate-General of Health Programmes</w:t>
      </w:r>
    </w:p>
    <w:p w:rsidR="00000000" w:rsidRDefault="00000000">
      <w:pPr>
        <w:spacing w:after="240"/>
        <w:jc w:val="center"/>
        <w:rPr>
          <w:b/>
          <w:bCs/>
          <w:sz w:val="22"/>
          <w:szCs w:val="20"/>
        </w:rPr>
      </w:pPr>
      <w:r>
        <w:rPr>
          <w:b/>
          <w:bCs/>
          <w:sz w:val="22"/>
        </w:rPr>
        <w:t xml:space="preserve">Maternal deaths by place of occurrence, years </w:t>
      </w:r>
      <w:r>
        <w:rPr>
          <w:b/>
          <w:bCs/>
          <w:sz w:val="22"/>
          <w:szCs w:val="20"/>
        </w:rPr>
        <w:t>2000, 2001, 2002</w:t>
      </w:r>
    </w:p>
    <w:p w:rsidR="00000000" w:rsidRDefault="00000000">
      <w:pPr>
        <w:tabs>
          <w:tab w:val="left" w:pos="2520"/>
        </w:tabs>
        <w:autoSpaceDE w:val="0"/>
        <w:autoSpaceDN w:val="0"/>
        <w:adjustRightInd w:val="0"/>
        <w:spacing w:before="480" w:after="240"/>
        <w:jc w:val="center"/>
        <w:rPr>
          <w:sz w:val="20"/>
          <w:szCs w:val="20"/>
        </w:rPr>
      </w:pPr>
      <w:r>
        <w:rPr>
          <w:noProof/>
          <w:sz w:val="20"/>
          <w:szCs w:val="20"/>
          <w:lang w:val="fr-FR" w:eastAsia="fr-FR"/>
        </w:rPr>
        <w:pict>
          <v:shape id="_x0000_s2939" type="#_x0000_t202" style="position:absolute;left:0;text-align:left;margin-left:205.3pt;margin-top:198.8pt;width:1in;height:8.95pt;z-index:123" stroked="f">
            <v:textbox inset="0,0,0,0">
              <w:txbxContent>
                <w:p w:rsidR="00000000" w:rsidRDefault="00000000">
                  <w:pPr>
                    <w:rPr>
                      <w:smallCaps/>
                      <w:sz w:val="20"/>
                    </w:rPr>
                  </w:pPr>
                  <w:r>
                    <w:rPr>
                      <w:smallCaps/>
                      <w:sz w:val="20"/>
                    </w:rPr>
                    <w:t>Departments</w:t>
                  </w:r>
                </w:p>
              </w:txbxContent>
            </v:textbox>
          </v:shape>
        </w:pict>
      </w:r>
      <w:r>
        <w:rPr>
          <w:b/>
          <w:bCs/>
          <w:noProof/>
          <w:sz w:val="20"/>
          <w:szCs w:val="20"/>
          <w:lang w:val="fr-FR" w:eastAsia="fr-FR"/>
        </w:rPr>
        <w:pict>
          <v:shape id="_x0000_s2938" type="#_x0000_t202" style="position:absolute;left:0;text-align:left;margin-left:50.75pt;margin-top:65.65pt;width:11.35pt;height:67.55pt;z-index:122" stroked="f">
            <v:textbox style="layout-flow:vertical;mso-layout-flow-alt:bottom-to-top" inset="0,0,0,0">
              <w:txbxContent>
                <w:p w:rsidR="00000000" w:rsidRDefault="00000000">
                  <w:pPr>
                    <w:jc w:val="center"/>
                    <w:rPr>
                      <w:b/>
                      <w:bCs/>
                      <w:sz w:val="20"/>
                    </w:rPr>
                  </w:pPr>
                  <w:r>
                    <w:rPr>
                      <w:b/>
                      <w:bCs/>
                      <w:sz w:val="20"/>
                    </w:rPr>
                    <w:t>Numbers</w:t>
                  </w:r>
                </w:p>
              </w:txbxContent>
            </v:textbox>
          </v:shape>
        </w:pict>
      </w:r>
      <w:bookmarkStart w:id="109" w:name="_MON_1236515115"/>
      <w:bookmarkStart w:id="110" w:name="_MON_1250311606"/>
      <w:bookmarkEnd w:id="109"/>
      <w:bookmarkEnd w:id="110"/>
      <w:r>
        <w:object w:dxaOrig="4198" w:dyaOrig="3150">
          <v:shape id="_x0000_i1060" type="#_x0000_t75" style="width:396.75pt;height:255pt" o:ole="">
            <v:imagedata r:id="rId74" o:title="" croptop="17575f" cropbottom="17575f" cropleft="13189f" cropright="13189f" grayscale="t"/>
            <w10:bordertop type="single" width="4"/>
            <w10:borderleft type="single" width="4"/>
            <w10:borderbottom type="single" width="4"/>
            <w10:borderright type="single" width="4"/>
          </v:shape>
          <o:OLEObject Type="Embed" ProgID="PowerPoint.Slide.8" ShapeID="_x0000_i1060" DrawAspect="Content" ObjectID="_1394904870" r:id="rId75"/>
        </w:object>
      </w:r>
    </w:p>
    <w:p w:rsidR="00000000" w:rsidRDefault="00000000">
      <w:pPr>
        <w:keepNext/>
        <w:spacing w:after="240"/>
        <w:rPr>
          <w:bCs/>
          <w:sz w:val="20"/>
        </w:rPr>
      </w:pPr>
      <w:r>
        <w:rPr>
          <w:sz w:val="20"/>
          <w:szCs w:val="20"/>
        </w:rPr>
        <w:tab/>
      </w:r>
      <w:r>
        <w:rPr>
          <w:sz w:val="20"/>
          <w:szCs w:val="20"/>
        </w:rPr>
        <w:tab/>
      </w:r>
      <w:r>
        <w:rPr>
          <w:i/>
          <w:sz w:val="20"/>
          <w:szCs w:val="20"/>
        </w:rPr>
        <w:t xml:space="preserve">Source </w:t>
      </w:r>
      <w:r>
        <w:rPr>
          <w:sz w:val="20"/>
          <w:szCs w:val="20"/>
        </w:rPr>
        <w:t>:</w:t>
      </w:r>
      <w:r>
        <w:rPr>
          <w:bCs/>
          <w:sz w:val="20"/>
        </w:rPr>
        <w:t xml:space="preserve"> Statistics Dept. </w:t>
      </w:r>
    </w:p>
    <w:p w:rsidR="00000000" w:rsidRDefault="00000000">
      <w:pPr>
        <w:keepNext/>
        <w:spacing w:after="240"/>
      </w:pPr>
      <w:r>
        <w:t>512.</w:t>
      </w:r>
      <w:r>
        <w:tab/>
        <w:t xml:space="preserve">As regards maternal deaths by place of occurrence: the highest numbers of deaths occurred in Central, Capital and Alto Paraná departments. </w:t>
      </w:r>
    </w:p>
    <w:p w:rsidR="00000000" w:rsidRDefault="00000000">
      <w:pPr>
        <w:keepNext/>
        <w:spacing w:after="200"/>
        <w:jc w:val="center"/>
        <w:rPr>
          <w:b/>
          <w:bCs/>
          <w:sz w:val="22"/>
          <w:szCs w:val="20"/>
        </w:rPr>
      </w:pPr>
      <w:r>
        <w:rPr>
          <w:b/>
          <w:bCs/>
          <w:sz w:val="22"/>
        </w:rPr>
        <w:t>Ministry of Public Health and Social Welfare</w:t>
      </w:r>
      <w:r>
        <w:rPr>
          <w:b/>
          <w:bCs/>
          <w:sz w:val="22"/>
          <w:szCs w:val="20"/>
        </w:rPr>
        <w:t xml:space="preserve"> </w:t>
      </w:r>
      <w:r>
        <w:rPr>
          <w:b/>
          <w:bCs/>
          <w:sz w:val="22"/>
          <w:szCs w:val="20"/>
        </w:rPr>
        <w:softHyphen/>
        <w:t xml:space="preserve"> </w:t>
      </w:r>
      <w:r>
        <w:rPr>
          <w:b/>
          <w:bCs/>
          <w:sz w:val="22"/>
        </w:rPr>
        <w:t>Directorate-General of Health Programmes</w:t>
      </w:r>
    </w:p>
    <w:p w:rsidR="00000000" w:rsidRDefault="00000000">
      <w:pPr>
        <w:autoSpaceDE w:val="0"/>
        <w:autoSpaceDN w:val="0"/>
        <w:adjustRightInd w:val="0"/>
        <w:spacing w:after="240"/>
        <w:jc w:val="center"/>
      </w:pPr>
      <w:r>
        <w:rPr>
          <w:b/>
          <w:bCs/>
          <w:noProof/>
          <w:sz w:val="20"/>
          <w:szCs w:val="20"/>
          <w:lang w:val="fr-FR" w:eastAsia="fr-FR"/>
        </w:rPr>
        <w:pict>
          <v:shape id="_x0000_s2940" type="#_x0000_t202" style="position:absolute;left:0;text-align:left;margin-left:131.55pt;margin-top:15.2pt;width:236.95pt;height:31.5pt;z-index:124" fillcolor="silver" stroked="f">
            <v:fill r:id="rId76" o:title="75 %" type="pattern"/>
            <v:textbox inset="0,0,0,0">
              <w:txbxContent>
                <w:p w:rsidR="00000000" w:rsidRDefault="00000000">
                  <w:pPr>
                    <w:spacing w:after="240"/>
                    <w:jc w:val="center"/>
                    <w:rPr>
                      <w:b/>
                      <w:bCs/>
                      <w:sz w:val="20"/>
                    </w:rPr>
                  </w:pPr>
                  <w:r>
                    <w:rPr>
                      <w:b/>
                      <w:bCs/>
                      <w:sz w:val="20"/>
                    </w:rPr>
                    <w:t>Adolescent maternity deaths countrywide, 2003</w:t>
                  </w:r>
                </w:p>
                <w:p w:rsidR="00000000" w:rsidRDefault="00000000">
                  <w:pPr>
                    <w:jc w:val="center"/>
                    <w:rPr>
                      <w:b/>
                      <w:bCs/>
                      <w:sz w:val="20"/>
                    </w:rPr>
                  </w:pPr>
                </w:p>
              </w:txbxContent>
            </v:textbox>
          </v:shape>
        </w:pict>
      </w:r>
      <w:r>
        <w:rPr>
          <w:noProof/>
          <w:sz w:val="20"/>
          <w:lang w:val="fr-FR" w:eastAsia="fr-FR"/>
        </w:rPr>
        <w:pict>
          <v:shape id="_x0000_s2941" type="#_x0000_t202" style="position:absolute;left:0;text-align:left;margin-left:63pt;margin-top:119.6pt;width:1in;height:25.7pt;z-index:125" fillcolor="silver" stroked="f">
            <v:fill r:id="rId76" o:title="75 %" type="pattern"/>
            <v:textbox inset="0,0,0,0">
              <w:txbxContent>
                <w:p w:rsidR="00000000" w:rsidRDefault="00000000">
                  <w:pPr>
                    <w:jc w:val="center"/>
                    <w:rPr>
                      <w:b/>
                      <w:bCs/>
                      <w:sz w:val="22"/>
                    </w:rPr>
                  </w:pPr>
                  <w:r>
                    <w:rPr>
                      <w:b/>
                      <w:bCs/>
                      <w:sz w:val="18"/>
                      <w:szCs w:val="20"/>
                    </w:rPr>
                    <w:t>Sepsis</w:t>
                  </w:r>
                  <w:r>
                    <w:rPr>
                      <w:b/>
                      <w:bCs/>
                      <w:sz w:val="18"/>
                      <w:szCs w:val="20"/>
                    </w:rPr>
                    <w:br/>
                    <w:t>(8 = 33%)</w:t>
                  </w:r>
                </w:p>
              </w:txbxContent>
            </v:textbox>
          </v:shape>
        </w:pict>
      </w:r>
      <w:r>
        <w:rPr>
          <w:noProof/>
          <w:sz w:val="20"/>
          <w:lang w:val="fr-FR" w:eastAsia="fr-FR"/>
        </w:rPr>
        <w:pict>
          <v:shape id="_x0000_s2942" type="#_x0000_t202" style="position:absolute;left:0;text-align:left;margin-left:114.75pt;margin-top:66.05pt;width:1in;height:17.25pt;z-index:126" fillcolor="silver" stroked="f">
            <v:fill r:id="rId76" o:title="75 %" type="pattern"/>
            <v:textbox inset="0,0,0,0">
              <w:txbxContent>
                <w:p w:rsidR="00000000" w:rsidRDefault="00000000">
                  <w:pPr>
                    <w:jc w:val="center"/>
                    <w:rPr>
                      <w:b/>
                      <w:bCs/>
                      <w:sz w:val="22"/>
                    </w:rPr>
                  </w:pPr>
                  <w:r>
                    <w:rPr>
                      <w:b/>
                      <w:bCs/>
                      <w:sz w:val="18"/>
                      <w:szCs w:val="20"/>
                    </w:rPr>
                    <w:t>Others (2 = 8%)</w:t>
                  </w:r>
                </w:p>
              </w:txbxContent>
            </v:textbox>
          </v:shape>
        </w:pict>
      </w:r>
      <w:r>
        <w:rPr>
          <w:noProof/>
          <w:sz w:val="20"/>
          <w:lang w:val="fr-FR" w:eastAsia="fr-FR"/>
        </w:rPr>
        <w:pict>
          <v:shape id="_x0000_s2943" type="#_x0000_t202" style="position:absolute;left:0;text-align:left;margin-left:299.7pt;margin-top:68.05pt;width:1in;height:25.7pt;z-index:127" fillcolor="silver" stroked="f">
            <v:fill r:id="rId76" o:title="75 %" type="pattern"/>
            <v:textbox inset="0,0,0,0">
              <w:txbxContent>
                <w:p w:rsidR="00000000" w:rsidRDefault="00000000">
                  <w:pPr>
                    <w:jc w:val="center"/>
                    <w:rPr>
                      <w:b/>
                      <w:bCs/>
                      <w:sz w:val="18"/>
                    </w:rPr>
                  </w:pPr>
                  <w:r>
                    <w:rPr>
                      <w:b/>
                      <w:bCs/>
                      <w:sz w:val="18"/>
                    </w:rPr>
                    <w:t>Haemorrhage</w:t>
                  </w:r>
                  <w:r>
                    <w:rPr>
                      <w:b/>
                      <w:bCs/>
                      <w:sz w:val="18"/>
                      <w:szCs w:val="20"/>
                    </w:rPr>
                    <w:br/>
                    <w:t>(5 = 21%)</w:t>
                  </w:r>
                </w:p>
              </w:txbxContent>
            </v:textbox>
          </v:shape>
        </w:pict>
      </w:r>
      <w:r>
        <w:rPr>
          <w:noProof/>
          <w:sz w:val="20"/>
          <w:lang w:val="fr-FR" w:eastAsia="fr-FR"/>
        </w:rPr>
        <w:pict>
          <v:shape id="_x0000_s2944" type="#_x0000_t202" style="position:absolute;left:0;text-align:left;margin-left:316.7pt;margin-top:134.55pt;width:1in;height:25.7pt;z-index:128" fillcolor="silver" stroked="f">
            <v:fill r:id="rId76" o:title="75 %" type="pattern"/>
            <v:textbox inset="0,0,0,0">
              <w:txbxContent>
                <w:p w:rsidR="00000000" w:rsidRDefault="00000000">
                  <w:pPr>
                    <w:jc w:val="center"/>
                    <w:rPr>
                      <w:b/>
                      <w:bCs/>
                      <w:sz w:val="22"/>
                    </w:rPr>
                  </w:pPr>
                  <w:r>
                    <w:rPr>
                      <w:b/>
                      <w:bCs/>
                      <w:sz w:val="18"/>
                      <w:szCs w:val="20"/>
                    </w:rPr>
                    <w:t>Toxaemia</w:t>
                  </w:r>
                  <w:r>
                    <w:rPr>
                      <w:b/>
                      <w:bCs/>
                      <w:sz w:val="18"/>
                      <w:szCs w:val="20"/>
                    </w:rPr>
                    <w:br/>
                    <w:t>(4 = 17%)</w:t>
                  </w:r>
                </w:p>
              </w:txbxContent>
            </v:textbox>
          </v:shape>
        </w:pict>
      </w:r>
      <w:r>
        <w:rPr>
          <w:noProof/>
          <w:sz w:val="20"/>
          <w:lang w:val="fr-FR" w:eastAsia="fr-FR"/>
        </w:rPr>
        <w:pict>
          <v:shape id="_x0000_s2945" type="#_x0000_t202" style="position:absolute;left:0;text-align:left;margin-left:254.25pt;margin-top:159.65pt;width:1in;height:25.7pt;z-index:129" fillcolor="silver" stroked="f">
            <v:fill r:id="rId76" o:title="75 %" type="pattern"/>
            <v:textbox inset="0,0,0,0">
              <w:txbxContent>
                <w:p w:rsidR="00000000" w:rsidRDefault="00000000">
                  <w:pPr>
                    <w:jc w:val="center"/>
                    <w:rPr>
                      <w:b/>
                      <w:bCs/>
                      <w:sz w:val="22"/>
                    </w:rPr>
                  </w:pPr>
                  <w:r>
                    <w:rPr>
                      <w:b/>
                      <w:bCs/>
                      <w:sz w:val="18"/>
                      <w:szCs w:val="20"/>
                    </w:rPr>
                    <w:t>Abortion</w:t>
                  </w:r>
                  <w:r>
                    <w:rPr>
                      <w:b/>
                      <w:bCs/>
                      <w:sz w:val="18"/>
                      <w:szCs w:val="20"/>
                    </w:rPr>
                    <w:br/>
                    <w:t>(5 = 21%)</w:t>
                  </w:r>
                </w:p>
              </w:txbxContent>
            </v:textbox>
          </v:shape>
        </w:pict>
      </w:r>
      <w:bookmarkStart w:id="111" w:name="_MON_1169614125"/>
      <w:bookmarkStart w:id="112" w:name="_MON_1234686707"/>
      <w:bookmarkStart w:id="113" w:name="_MON_1234696356"/>
      <w:bookmarkStart w:id="114" w:name="_MON_1234701253"/>
      <w:bookmarkStart w:id="115" w:name="_MON_1234701458"/>
      <w:bookmarkStart w:id="116" w:name="_MON_1234701845"/>
      <w:bookmarkStart w:id="117" w:name="_MON_1234702123"/>
      <w:bookmarkStart w:id="118" w:name="_MON_1234702306"/>
      <w:bookmarkStart w:id="119" w:name="_MON_1236057828"/>
      <w:bookmarkStart w:id="120" w:name="_MON_1236058247"/>
      <w:bookmarkStart w:id="121" w:name="_MON_1236058334"/>
      <w:bookmarkEnd w:id="111"/>
      <w:bookmarkEnd w:id="112"/>
      <w:bookmarkEnd w:id="113"/>
      <w:bookmarkEnd w:id="114"/>
      <w:bookmarkEnd w:id="115"/>
      <w:bookmarkEnd w:id="116"/>
      <w:bookmarkEnd w:id="117"/>
      <w:bookmarkEnd w:id="118"/>
      <w:bookmarkEnd w:id="119"/>
      <w:bookmarkEnd w:id="120"/>
      <w:bookmarkEnd w:id="121"/>
      <w:r>
        <w:object w:dxaOrig="2807" w:dyaOrig="2105">
          <v:shape id="_x0000_i1061" type="#_x0000_t75" style="width:363pt;height:195.75pt" o:ole="">
            <v:imagedata r:id="rId77" o:title="" croptop="14120f" cropbottom="7766f" cropleft="2647f" cropright="2779f" grayscale="t"/>
          </v:shape>
          <o:OLEObject Type="Embed" ProgID="PowerPoint.Slide.8" ShapeID="_x0000_i1061" DrawAspect="Content" ObjectID="_1394904871" r:id="rId78"/>
        </w:object>
      </w:r>
    </w:p>
    <w:p w:rsidR="00000000" w:rsidRDefault="00000000">
      <w:pPr>
        <w:spacing w:after="240"/>
        <w:ind w:left="567"/>
        <w:rPr>
          <w:sz w:val="20"/>
        </w:rPr>
      </w:pPr>
      <w:r>
        <w:rPr>
          <w:i/>
          <w:sz w:val="20"/>
          <w:szCs w:val="20"/>
        </w:rPr>
        <w:t xml:space="preserve">Source </w:t>
      </w:r>
      <w:r>
        <w:rPr>
          <w:sz w:val="20"/>
          <w:szCs w:val="20"/>
        </w:rPr>
        <w:t xml:space="preserve">: </w:t>
      </w:r>
      <w:r>
        <w:rPr>
          <w:bCs/>
          <w:sz w:val="20"/>
        </w:rPr>
        <w:t>Statistics Dept.</w:t>
      </w:r>
    </w:p>
    <w:p w:rsidR="00000000" w:rsidRDefault="00000000">
      <w:pPr>
        <w:spacing w:after="240"/>
      </w:pPr>
      <w:r>
        <w:t>513.</w:t>
      </w:r>
      <w:r>
        <w:tab/>
        <w:t>Adolescent maternal deaths derive from the same causes as maternal mortality, but infections and abortions together account for over 50 per cent.</w:t>
      </w:r>
    </w:p>
    <w:p w:rsidR="00000000" w:rsidRDefault="00000000">
      <w:pPr>
        <w:numPr>
          <w:ilvl w:val="0"/>
          <w:numId w:val="16"/>
        </w:numPr>
        <w:spacing w:after="220"/>
        <w:ind w:left="0" w:firstLine="0"/>
      </w:pPr>
      <w:r>
        <w:rPr>
          <w:b/>
          <w:bCs/>
        </w:rPr>
        <w:t>Access to health for vulnerable groups</w:t>
      </w:r>
    </w:p>
    <w:p w:rsidR="00000000" w:rsidRDefault="00000000">
      <w:pPr>
        <w:spacing w:after="220"/>
      </w:pPr>
      <w:r>
        <w:t>514.</w:t>
      </w:r>
      <w:r>
        <w:tab/>
        <w:t xml:space="preserve">The provision of services can be estimated in a satisfactory manner by the numbers of doctors and beds per inhabitant. This basis is preferable to the number of establishments, since the latter indicator includes a wide range of elements of different natures and complexity. According to information from the Ministry of Public Health and Social Welfare, there are on the average four doctors and 6.7 beds per 10,000 inhabitants. At regional level, and according to financial standing, extremely different situations regarding social exclusion in the health sphere can be observed. For instance, in Asunción there are 19.5 doctors per 10,000 inhabitants, while in the rest of the country here are only about two; and the population in the highest income stratum has three times as many doctors as the population in the lowest. The patterns of distribution of professionals who are not doctors (degree professionals in obstetrics and nursing, including itinerants in rural areas) are similar to that of “doctors” per inhabitant. There are in fact twice as many professionals of this type in Asunción as in the rest of the country – the same imbalance as between the richest and the poorest strata. As regards the numbers of beds, there is a nationwide average of 6.7 beds per 10,000 inhabitants; but there are substantial differences from region to region and from population group to population group. In Asunción there are 20.9 beds per 10,000 inhabitants, whereas the average in the rest of the country is approximately 5 per 10,000. This means that the population I the highest income stratum (quintile 5) has 65 per cent more beds per inhabitant than the poorest income stratum (quintile 1) and that in 91 districts (40 per cent of all districts in the country) , containing half the population of the country, the number of beds per 10,000 inhabitants does not exceed 3.8. </w:t>
      </w:r>
    </w:p>
    <w:p w:rsidR="00000000" w:rsidRDefault="00000000">
      <w:pPr>
        <w:spacing w:after="220"/>
      </w:pPr>
      <w:r>
        <w:t>515.</w:t>
      </w:r>
      <w:r>
        <w:tab/>
        <w:t xml:space="preserve">Out of the total population falling ill or sustaining an accident (37.8 per cent of the total population) 48.6 per cent go to an establishment of some kind for a consultation. Of this percentage 76.6 per cent go to a public or private hospital, clinic, medical post, centre or dispensary; the others go to a pharmacy, a quack or some other place.  </w:t>
      </w:r>
    </w:p>
    <w:p w:rsidR="00000000" w:rsidRDefault="00000000">
      <w:pPr>
        <w:spacing w:after="220"/>
      </w:pPr>
      <w:r>
        <w:t>516.</w:t>
      </w:r>
      <w:r>
        <w:tab/>
        <w:t xml:space="preserve">The most vulnerable groups are made up of indigenous people, peasant settlements, marginal and rural areas and women and children. Indigenous morbidity and mortality rates are difficult to analyse as the status of indigenous person is not mentioned either in medical histories or on death certificates. </w:t>
      </w:r>
    </w:p>
    <w:p w:rsidR="00000000" w:rsidRDefault="00000000">
      <w:pPr>
        <w:spacing w:after="220"/>
      </w:pPr>
      <w:r>
        <w:rPr>
          <w:lang w:val="en-US"/>
        </w:rPr>
        <w:t>517</w:t>
      </w:r>
      <w:r>
        <w:t>.</w:t>
      </w:r>
      <w:r>
        <w:tab/>
        <w:t xml:space="preserve">In order to improve the condition of the vulnerable groups models of care and mechanisms for the extension of targeted coverage to specific groups with criteria of equality have been developed. The groups in question are: periurban population groups, poor families, poor peasant and urban settlements, indigenous communities, border-dwelling groups and migrants. </w:t>
      </w:r>
    </w:p>
    <w:p w:rsidR="00000000" w:rsidRDefault="00000000">
      <w:pPr>
        <w:spacing w:after="220"/>
      </w:pPr>
      <w:r>
        <w:rPr>
          <w:lang w:val="en-US"/>
        </w:rPr>
        <w:t>518</w:t>
      </w:r>
      <w:r>
        <w:t>.</w:t>
      </w:r>
      <w:r>
        <w:tab/>
        <w:t xml:space="preserve">Some activities, programmes and policies designed to bring about improvements in the condition of vulnerable groups include comprehensive care through the extension and generalization of insurance and the provision and rational use of medicines. </w:t>
      </w:r>
    </w:p>
    <w:p w:rsidR="00000000" w:rsidRDefault="00000000">
      <w:pPr>
        <w:spacing w:after="240"/>
      </w:pPr>
      <w:r>
        <w:t>519.</w:t>
      </w:r>
      <w:r>
        <w:tab/>
        <w:t xml:space="preserve">The following contribute to the struggle against maternal mortality: </w:t>
      </w:r>
    </w:p>
    <w:p w:rsidR="00000000" w:rsidRDefault="00000000">
      <w:pPr>
        <w:spacing w:after="240"/>
      </w:pPr>
      <w:r>
        <w:tab/>
        <w:t>–</w:t>
      </w:r>
      <w:r>
        <w:tab/>
        <w:t>National Plan for Sexual and Reproductive Health, 2003-2008</w:t>
      </w:r>
    </w:p>
    <w:p w:rsidR="00000000" w:rsidRDefault="00000000">
      <w:pPr>
        <w:spacing w:after="240"/>
      </w:pPr>
      <w:r>
        <w:tab/>
        <w:t>–</w:t>
      </w:r>
      <w:r>
        <w:tab/>
        <w:t>National Plan for Comprehensive Care of Children with AIEPI Strategy</w:t>
      </w:r>
    </w:p>
    <w:p w:rsidR="00000000" w:rsidRDefault="00000000">
      <w:pPr>
        <w:spacing w:after="240"/>
      </w:pPr>
      <w:r>
        <w:tab/>
        <w:t>–</w:t>
      </w:r>
      <w:r>
        <w:tab/>
        <w:t>National Plan for Comprehensive Care of Adolescents</w:t>
      </w:r>
    </w:p>
    <w:p w:rsidR="00000000" w:rsidRDefault="00000000">
      <w:pPr>
        <w:spacing w:after="240"/>
      </w:pPr>
      <w:r>
        <w:tab/>
        <w:t>–</w:t>
      </w:r>
      <w:r>
        <w:tab/>
        <w:t>National Policy on Care for the All-round Health of Women</w:t>
      </w:r>
    </w:p>
    <w:p w:rsidR="00000000" w:rsidRDefault="00000000">
      <w:pPr>
        <w:spacing w:after="180"/>
      </w:pPr>
      <w:r>
        <w:tab/>
        <w:t>–</w:t>
      </w:r>
      <w:r>
        <w:tab/>
        <w:t>Rules for care during pregnancy, birth and puerperium</w:t>
      </w:r>
    </w:p>
    <w:p w:rsidR="00000000" w:rsidRDefault="00000000">
      <w:pPr>
        <w:spacing w:after="180"/>
      </w:pPr>
      <w:r>
        <w:tab/>
        <w:t>–</w:t>
      </w:r>
      <w:r>
        <w:tab/>
        <w:t>Distribution of birth kits</w:t>
      </w:r>
    </w:p>
    <w:p w:rsidR="00000000" w:rsidRDefault="00000000">
      <w:pPr>
        <w:spacing w:after="180"/>
      </w:pPr>
      <w:r>
        <w:tab/>
        <w:t>–</w:t>
      </w:r>
      <w:r>
        <w:tab/>
        <w:t>Rules and procedures for care in obstetric emergencies</w:t>
      </w:r>
    </w:p>
    <w:p w:rsidR="00000000" w:rsidRDefault="00000000">
      <w:pPr>
        <w:spacing w:after="180"/>
      </w:pPr>
      <w:r>
        <w:tab/>
        <w:t>–</w:t>
      </w:r>
      <w:r>
        <w:tab/>
        <w:t>Rules for diagnosis and treatment of sexually transmitted diseases</w:t>
      </w:r>
    </w:p>
    <w:p w:rsidR="00000000" w:rsidRDefault="00000000">
      <w:pPr>
        <w:spacing w:after="180"/>
        <w:ind w:left="1134" w:hanging="1134"/>
      </w:pPr>
      <w:r>
        <w:tab/>
        <w:t>–</w:t>
      </w:r>
      <w:r>
        <w:tab/>
        <w:t>National Commision for Epidemiologial Supervision of Maternal Health and Mortality (VESMM)</w:t>
      </w:r>
    </w:p>
    <w:p w:rsidR="00000000" w:rsidRDefault="00000000">
      <w:pPr>
        <w:spacing w:after="180"/>
        <w:rPr>
          <w:b/>
        </w:rPr>
      </w:pPr>
      <w:r>
        <w:tab/>
        <w:t>–</w:t>
      </w:r>
      <w:r>
        <w:tab/>
        <w:t>Expanded Immunization Programme (AIEPI)</w:t>
      </w:r>
    </w:p>
    <w:p w:rsidR="00000000" w:rsidRDefault="00000000">
      <w:pPr>
        <w:spacing w:after="240"/>
        <w:rPr>
          <w:b/>
        </w:rPr>
      </w:pPr>
      <w:r>
        <w:tab/>
        <w:t>–</w:t>
      </w:r>
      <w:r>
        <w:tab/>
        <w:t>Control of metaxaemic illnesses</w:t>
      </w:r>
    </w:p>
    <w:p w:rsidR="00000000" w:rsidRDefault="00000000">
      <w:pPr>
        <w:spacing w:after="240"/>
        <w:rPr>
          <w:bCs/>
        </w:rPr>
      </w:pPr>
      <w:r>
        <w:rPr>
          <w:lang w:val="en-US"/>
        </w:rPr>
        <w:t>520</w:t>
      </w:r>
      <w:r>
        <w:rPr>
          <w:bCs/>
        </w:rPr>
        <w:t>.</w:t>
      </w:r>
      <w:r>
        <w:rPr>
          <w:bCs/>
        </w:rPr>
        <w:tab/>
        <w:t xml:space="preserve">Although the impact on health cannot be measured immediately, a slight drop in maternal and infantile mortality rates can be seen. Access to health services has improved; the rate of vaccination coverage with the pentavalent vaccine of children less than one year old in 2005 was 86 per cent (127,465 infants less than one year of age received their third doses of Pentavalente). The rate of SPR vaccination coverage of children of both sexes under age 1 in 2005 was 91 per cent (130,295 children under age 1 vaccinated with SPR); the rate of coverage of children aged 1 year with SPR vaccination in 2005 was also 91 per cent (130,295 children of age 1 vaccinated with SPR); and during the National Vaccination Campaign the entire population aged between 5 and 39 years (3,761,308 persons) was vaccinated with SR. </w:t>
      </w:r>
    </w:p>
    <w:p w:rsidR="00000000" w:rsidRDefault="00000000">
      <w:pPr>
        <w:spacing w:after="240"/>
      </w:pPr>
      <w:r>
        <w:rPr>
          <w:lang w:val="en-US"/>
        </w:rPr>
        <w:t>521</w:t>
      </w:r>
      <w:r>
        <w:t>.</w:t>
      </w:r>
      <w:r>
        <w:tab/>
        <w:t xml:space="preserve">With regard to the measures taken to reduce stillbirths and loss of life among infants, and to ensure the healthy development of children, a National Programme for the Safeguarding of Mothers and Children (PNAMI) is being developed as a coordinating strategy for health protection and equality of access to services; distribution of birth kits; Specialist Obstetric and Neonatal Care (CONE); expansion of coverage of relevant vaccinations; etc. </w:t>
      </w:r>
    </w:p>
    <w:p w:rsidR="00000000" w:rsidRDefault="00000000">
      <w:pPr>
        <w:spacing w:after="240"/>
      </w:pPr>
      <w:r>
        <w:t>522.</w:t>
      </w:r>
      <w:r>
        <w:tab/>
        <w:t xml:space="preserve">The Secretariat for Women, jointly with the Ministry of Public Health and Social Welfare, has been promoting thematic meetings to establish joint and interinstitutional commitments concerning syphilis and HIV/AIDS among pregnant women. The commitments accepted include analysis and treatment of pregnant women for syphilis and HIV/AIDS free of charge. The Secretariat for Women, with the support of international cooperation agencies, has succeeded in introducing the gender theme into important programmes and orientations of the Ministry of Health and in the National Council on Sexual and Reproductive Health. Currently the National Health Policy (2005-2008), entitled “Building Together a State Policy: Health for All with Equality”, rests on the principles of social, ethnic, cultural, generational and gender equality free of discrimination of any kind. </w:t>
      </w:r>
    </w:p>
    <w:p w:rsidR="00000000" w:rsidRDefault="00000000">
      <w:pPr>
        <w:spacing w:after="240"/>
        <w:rPr>
          <w:bCs/>
        </w:rPr>
      </w:pPr>
      <w:r>
        <w:t>523</w:t>
      </w:r>
      <w:r>
        <w:rPr>
          <w:bCs/>
        </w:rPr>
        <w:t>.</w:t>
      </w:r>
      <w:r>
        <w:rPr>
          <w:bCs/>
        </w:rPr>
        <w:tab/>
        <w:t xml:space="preserve">It must be emphasized that the majority of the plans and programmes emerging from the Ministry of Public Health and Social Welfare contain a gender component. </w:t>
      </w:r>
    </w:p>
    <w:p w:rsidR="00000000" w:rsidRDefault="00000000">
      <w:pPr>
        <w:keepNext/>
        <w:spacing w:after="240"/>
        <w:rPr>
          <w:b/>
        </w:rPr>
      </w:pPr>
      <w:r>
        <w:rPr>
          <w:b/>
        </w:rPr>
        <w:t>7.</w:t>
      </w:r>
      <w:r>
        <w:rPr>
          <w:b/>
        </w:rPr>
        <w:tab/>
        <w:t>Environmental health</w:t>
      </w:r>
    </w:p>
    <w:p w:rsidR="00000000" w:rsidRDefault="00000000">
      <w:pPr>
        <w:keepNext/>
        <w:spacing w:after="240"/>
        <w:rPr>
          <w:bCs/>
        </w:rPr>
      </w:pPr>
      <w:r>
        <w:t>524</w:t>
      </w:r>
      <w:r>
        <w:rPr>
          <w:bCs/>
        </w:rPr>
        <w:t>.</w:t>
      </w:r>
      <w:r>
        <w:rPr>
          <w:bCs/>
        </w:rPr>
        <w:tab/>
        <w:t xml:space="preserve">There is a health code, and provisions in municipal ordinances, laying down certain parameters for a healthy working environment. </w:t>
      </w:r>
    </w:p>
    <w:p w:rsidR="00000000" w:rsidRDefault="00000000">
      <w:pPr>
        <w:spacing w:after="220"/>
        <w:rPr>
          <w:bCs/>
        </w:rPr>
      </w:pPr>
      <w:r>
        <w:t>525</w:t>
      </w:r>
      <w:r>
        <w:rPr>
          <w:bCs/>
        </w:rPr>
        <w:t>.</w:t>
      </w:r>
      <w:r>
        <w:rPr>
          <w:bCs/>
        </w:rPr>
        <w:tab/>
        <w:t xml:space="preserve">In addition, the Directorate of Environmental Health (SENASA) was set up in 2004 to protect the heath of the population from the effects of unnecessary or excessive exposure to physical, biological and chemical agents which do not depend solely on personal decisions. Its fields of action include basic sanitation, the supply of safe water, healthy environments and primary environmental health. </w:t>
      </w:r>
    </w:p>
    <w:p w:rsidR="00000000" w:rsidRDefault="00000000">
      <w:pPr>
        <w:spacing w:after="220"/>
        <w:rPr>
          <w:bCs/>
        </w:rPr>
      </w:pPr>
      <w:r>
        <w:rPr>
          <w:b/>
        </w:rPr>
        <w:t>8.</w:t>
      </w:r>
      <w:r>
        <w:rPr>
          <w:b/>
        </w:rPr>
        <w:tab/>
        <w:t>Control of epidemic, endemic, occupational and other types of disease</w:t>
      </w:r>
    </w:p>
    <w:p w:rsidR="00000000" w:rsidRDefault="00000000">
      <w:pPr>
        <w:spacing w:after="220"/>
        <w:rPr>
          <w:bCs/>
        </w:rPr>
      </w:pPr>
      <w:r>
        <w:t>526</w:t>
      </w:r>
      <w:r>
        <w:rPr>
          <w:bCs/>
        </w:rPr>
        <w:t>.</w:t>
      </w:r>
      <w:r>
        <w:rPr>
          <w:bCs/>
        </w:rPr>
        <w:tab/>
        <w:t xml:space="preserve">The government is establishing through different programmes supervision of the control of endemic diseases in the country. Some of the focal points of these programmes are described below. </w:t>
      </w:r>
    </w:p>
    <w:p w:rsidR="00000000" w:rsidRDefault="00000000">
      <w:pPr>
        <w:spacing w:after="220"/>
        <w:rPr>
          <w:bCs/>
        </w:rPr>
      </w:pPr>
      <w:r>
        <w:rPr>
          <w:b/>
        </w:rPr>
        <w:t>8.1.</w:t>
      </w:r>
      <w:r>
        <w:rPr>
          <w:b/>
        </w:rPr>
        <w:tab/>
        <w:t>Malaria</w:t>
      </w:r>
    </w:p>
    <w:p w:rsidR="00000000" w:rsidRDefault="00000000">
      <w:pPr>
        <w:spacing w:after="220"/>
        <w:rPr>
          <w:bCs/>
        </w:rPr>
      </w:pPr>
      <w:r>
        <w:t>527</w:t>
      </w:r>
      <w:r>
        <w:rPr>
          <w:bCs/>
        </w:rPr>
        <w:t>.</w:t>
      </w:r>
      <w:r>
        <w:rPr>
          <w:bCs/>
        </w:rPr>
        <w:tab/>
        <w:t xml:space="preserve">The behaviour of malaria over time comprises unstable cyclical variations. This can be seen from a comparison of the 1980s and the end of the 1990s. The number of cases reported varied between 5,247 in 1989 (an epidemic year) and 567 in 1987 (82 per cent less). During the 1990s the numbers of cases were considerably lower (1,000 per year on the average); from 1995 onwards the numbers of cases fell sharply; during those years the number of cases reported annually averaged 600. </w:t>
      </w:r>
    </w:p>
    <w:p w:rsidR="00000000" w:rsidRDefault="00000000">
      <w:pPr>
        <w:spacing w:after="220"/>
        <w:rPr>
          <w:bCs/>
        </w:rPr>
      </w:pPr>
      <w:r>
        <w:t>528</w:t>
      </w:r>
      <w:r>
        <w:rPr>
          <w:bCs/>
        </w:rPr>
        <w:t>.</w:t>
      </w:r>
      <w:r>
        <w:rPr>
          <w:bCs/>
        </w:rPr>
        <w:tab/>
        <w:t xml:space="preserve">However, in 1998 there was a considerable increase (2,091 cases); the incidence reached epidemic proportions in 1999 (9,946 cases). The epidemic persisted until August 2000; in that year there were 6,853 cases in all. With effect from 1999 a new strategy was employed to control malaria focussed on early diagnosis and immediate treatment of cases as measures accompanying the spraying of residues and spaces. In 2001, 2,710 cases were reported; in 2002, 2,278. This is the equivalent of a 77.1 per cent reduction in the number of cases during a four-year period. </w:t>
      </w:r>
    </w:p>
    <w:p w:rsidR="00000000" w:rsidRDefault="00000000">
      <w:pPr>
        <w:spacing w:after="220"/>
        <w:rPr>
          <w:bCs/>
        </w:rPr>
      </w:pPr>
      <w:r>
        <w:t>529</w:t>
      </w:r>
      <w:r>
        <w:rPr>
          <w:bCs/>
        </w:rPr>
        <w:t>.</w:t>
      </w:r>
      <w:r>
        <w:rPr>
          <w:bCs/>
        </w:rPr>
        <w:tab/>
        <w:t xml:space="preserve">In 2003, 1,235 cases were recorded and in 2004, 694. The historical series presented on the Endemic Channel shows a decreasing trend in the numbers of cases reported since the 1999 epidemic; the monthly averages were 571 cases in 2000, 226 in 2001, 231 in 2002, 116 in 2003 and 58 in 2004. During the last 5 years, 75 per cent of cases of malaria were  concentrated in the rural area of Paraná, Caaguazú and Canindeyú and the East Central zone  (but a few individual cases occurred in areas around that zone).  </w:t>
      </w:r>
    </w:p>
    <w:p w:rsidR="00000000" w:rsidRDefault="00000000">
      <w:pPr>
        <w:pStyle w:val="BodyText"/>
        <w:jc w:val="center"/>
        <w:rPr>
          <w:rFonts w:eastAsia="Batang"/>
          <w:color w:val="333333"/>
          <w:sz w:val="22"/>
          <w:szCs w:val="20"/>
          <w:lang w:eastAsia="ko-KR"/>
        </w:rPr>
      </w:pPr>
      <w:r>
        <w:rPr>
          <w:rFonts w:eastAsia="Batang"/>
          <w:color w:val="333333"/>
          <w:sz w:val="22"/>
          <w:szCs w:val="20"/>
          <w:lang w:eastAsia="ko-KR"/>
        </w:rPr>
        <w:t>TABLE</w:t>
      </w:r>
    </w:p>
    <w:p w:rsidR="00000000" w:rsidRDefault="00000000">
      <w:pPr>
        <w:pStyle w:val="BodyText"/>
        <w:jc w:val="center"/>
        <w:rPr>
          <w:b/>
          <w:bCs/>
          <w:color w:val="333333"/>
          <w:sz w:val="22"/>
          <w:lang w:val="es-MX"/>
        </w:rPr>
      </w:pPr>
      <w:r>
        <w:rPr>
          <w:rFonts w:eastAsia="Batang"/>
          <w:b/>
          <w:bCs/>
          <w:color w:val="333333"/>
          <w:sz w:val="22"/>
          <w:szCs w:val="20"/>
          <w:lang w:eastAsia="ko-KR"/>
        </w:rPr>
        <w:t>Positive cases of malaria, disaggregated by age groups, 1999-2004</w:t>
      </w:r>
    </w:p>
    <w:tbl>
      <w:tblPr>
        <w:tblW w:w="5000" w:type="pct"/>
        <w:jc w:val="center"/>
        <w:tblLayout w:type="fixed"/>
        <w:tblCellMar>
          <w:left w:w="0" w:type="dxa"/>
          <w:right w:w="0" w:type="dxa"/>
        </w:tblCellMar>
        <w:tblLook w:val="0000" w:firstRow="0" w:lastRow="0" w:firstColumn="0" w:lastColumn="0" w:noHBand="0" w:noVBand="0"/>
      </w:tblPr>
      <w:tblGrid>
        <w:gridCol w:w="1013"/>
        <w:gridCol w:w="1013"/>
        <w:gridCol w:w="744"/>
        <w:gridCol w:w="744"/>
        <w:gridCol w:w="814"/>
        <w:gridCol w:w="814"/>
        <w:gridCol w:w="814"/>
        <w:gridCol w:w="814"/>
        <w:gridCol w:w="743"/>
        <w:gridCol w:w="743"/>
        <w:gridCol w:w="1173"/>
      </w:tblGrid>
      <w:tr w:rsidR="00000000">
        <w:trPr>
          <w:cantSplit/>
          <w:jc w:val="center"/>
        </w:trPr>
        <w:tc>
          <w:tcPr>
            <w:tcW w:w="1013" w:type="dxa"/>
            <w:vMerge w:val="restart"/>
            <w:tcBorders>
              <w:top w:val="single" w:sz="4" w:space="0" w:color="auto"/>
            </w:tcBorders>
            <w:noWrap/>
            <w:vAlign w:val="bottom"/>
          </w:tcPr>
          <w:p w:rsidR="00000000" w:rsidRDefault="00000000">
            <w:pPr>
              <w:widowControl w:val="0"/>
              <w:spacing w:before="80" w:after="80"/>
              <w:jc w:val="center"/>
              <w:rPr>
                <w:rFonts w:eastAsia="Batang"/>
                <w:b/>
                <w:bCs/>
                <w:i/>
                <w:iCs/>
                <w:color w:val="333333"/>
                <w:sz w:val="20"/>
                <w:szCs w:val="20"/>
                <w:lang w:eastAsia="ko-KR"/>
              </w:rPr>
            </w:pPr>
            <w:r>
              <w:rPr>
                <w:rFonts w:eastAsia="Batang"/>
                <w:b/>
                <w:i/>
                <w:iCs/>
                <w:color w:val="333333"/>
                <w:sz w:val="20"/>
                <w:szCs w:val="16"/>
                <w:lang w:eastAsia="ko-KR"/>
              </w:rPr>
              <w:t>Year</w:t>
            </w:r>
          </w:p>
        </w:tc>
        <w:tc>
          <w:tcPr>
            <w:tcW w:w="1013" w:type="dxa"/>
            <w:vMerge w:val="restart"/>
            <w:tcBorders>
              <w:top w:val="single" w:sz="4" w:space="0" w:color="auto"/>
              <w:bottom w:val="single" w:sz="4" w:space="0" w:color="auto"/>
            </w:tcBorders>
            <w:noWrap/>
            <w:vAlign w:val="bottom"/>
          </w:tcPr>
          <w:p w:rsidR="00000000" w:rsidRDefault="00000000">
            <w:pPr>
              <w:widowControl w:val="0"/>
              <w:spacing w:before="80" w:after="80"/>
              <w:jc w:val="center"/>
              <w:rPr>
                <w:rFonts w:eastAsia="Batang"/>
                <w:b/>
                <w:i/>
                <w:iCs/>
                <w:color w:val="333333"/>
                <w:sz w:val="20"/>
                <w:szCs w:val="20"/>
                <w:lang w:eastAsia="ko-KR"/>
              </w:rPr>
            </w:pPr>
            <w:r>
              <w:rPr>
                <w:rFonts w:eastAsia="Batang"/>
                <w:b/>
                <w:i/>
                <w:iCs/>
                <w:color w:val="333333"/>
                <w:sz w:val="20"/>
                <w:szCs w:val="20"/>
                <w:lang w:eastAsia="ko-KR"/>
              </w:rPr>
              <w:t>No. Of cases</w:t>
            </w:r>
          </w:p>
        </w:tc>
        <w:tc>
          <w:tcPr>
            <w:tcW w:w="7403" w:type="dxa"/>
            <w:gridSpan w:val="9"/>
            <w:tcBorders>
              <w:top w:val="single" w:sz="4" w:space="0" w:color="auto"/>
              <w:bottom w:val="single" w:sz="4" w:space="0" w:color="auto"/>
            </w:tcBorders>
            <w:noWrap/>
            <w:vAlign w:val="bottom"/>
          </w:tcPr>
          <w:p w:rsidR="00000000" w:rsidRDefault="00000000">
            <w:pPr>
              <w:widowControl w:val="0"/>
              <w:spacing w:before="80" w:after="80"/>
              <w:jc w:val="center"/>
              <w:rPr>
                <w:rFonts w:eastAsia="Batang"/>
                <w:b/>
                <w:i/>
                <w:iCs/>
                <w:color w:val="333333"/>
                <w:sz w:val="20"/>
                <w:szCs w:val="20"/>
                <w:lang w:eastAsia="ko-KR"/>
              </w:rPr>
            </w:pPr>
            <w:r>
              <w:rPr>
                <w:rFonts w:eastAsia="Batang"/>
                <w:b/>
                <w:i/>
                <w:iCs/>
                <w:color w:val="333333"/>
                <w:sz w:val="20"/>
                <w:szCs w:val="20"/>
                <w:lang w:eastAsia="ko-KR"/>
              </w:rPr>
              <w:t>Age groups</w:t>
            </w:r>
          </w:p>
        </w:tc>
      </w:tr>
      <w:tr w:rsidR="00000000">
        <w:trPr>
          <w:cantSplit/>
          <w:jc w:val="center"/>
        </w:trPr>
        <w:tc>
          <w:tcPr>
            <w:tcW w:w="1013" w:type="dxa"/>
            <w:vMerge/>
            <w:tcBorders>
              <w:bottom w:val="single" w:sz="4" w:space="0" w:color="auto"/>
            </w:tcBorders>
            <w:noWrap/>
            <w:vAlign w:val="bottom"/>
          </w:tcPr>
          <w:p w:rsidR="00000000" w:rsidRDefault="00000000">
            <w:pPr>
              <w:widowControl w:val="0"/>
              <w:spacing w:before="80" w:after="80"/>
              <w:jc w:val="center"/>
              <w:rPr>
                <w:rFonts w:eastAsia="Batang"/>
                <w:b/>
                <w:i/>
                <w:iCs/>
                <w:color w:val="333333"/>
                <w:sz w:val="20"/>
                <w:szCs w:val="16"/>
                <w:lang w:eastAsia="ko-KR"/>
              </w:rPr>
            </w:pPr>
          </w:p>
        </w:tc>
        <w:tc>
          <w:tcPr>
            <w:tcW w:w="1013" w:type="dxa"/>
            <w:vMerge/>
            <w:tcBorders>
              <w:top w:val="single" w:sz="4" w:space="0" w:color="auto"/>
              <w:bottom w:val="single" w:sz="4" w:space="0" w:color="auto"/>
            </w:tcBorders>
            <w:noWrap/>
            <w:vAlign w:val="bottom"/>
          </w:tcPr>
          <w:p w:rsidR="00000000" w:rsidRDefault="00000000">
            <w:pPr>
              <w:widowControl w:val="0"/>
              <w:spacing w:before="80" w:after="80"/>
              <w:jc w:val="center"/>
              <w:rPr>
                <w:rFonts w:eastAsia="Batang"/>
                <w:b/>
                <w:i/>
                <w:iCs/>
                <w:color w:val="333333"/>
                <w:sz w:val="20"/>
                <w:szCs w:val="16"/>
                <w:lang w:eastAsia="ko-KR"/>
              </w:rPr>
            </w:pPr>
          </w:p>
        </w:tc>
        <w:tc>
          <w:tcPr>
            <w:tcW w:w="744" w:type="dxa"/>
            <w:tcBorders>
              <w:top w:val="single" w:sz="4" w:space="0" w:color="auto"/>
              <w:bottom w:val="single" w:sz="4" w:space="0" w:color="auto"/>
            </w:tcBorders>
            <w:noWrap/>
            <w:vAlign w:val="bottom"/>
          </w:tcPr>
          <w:p w:rsidR="00000000" w:rsidRDefault="00000000">
            <w:pPr>
              <w:widowControl w:val="0"/>
              <w:spacing w:before="80" w:after="80"/>
              <w:jc w:val="center"/>
              <w:rPr>
                <w:rFonts w:eastAsia="Batang"/>
                <w:b/>
                <w:i/>
                <w:iCs/>
                <w:color w:val="333333"/>
                <w:sz w:val="20"/>
                <w:szCs w:val="16"/>
                <w:lang w:eastAsia="ko-KR"/>
              </w:rPr>
            </w:pPr>
            <w:r>
              <w:rPr>
                <w:rFonts w:eastAsia="Batang"/>
                <w:b/>
                <w:i/>
                <w:iCs/>
                <w:color w:val="333333"/>
                <w:sz w:val="20"/>
                <w:szCs w:val="16"/>
                <w:lang w:eastAsia="ko-KR"/>
              </w:rPr>
              <w:t>&lt; 1</w:t>
            </w:r>
          </w:p>
        </w:tc>
        <w:tc>
          <w:tcPr>
            <w:tcW w:w="744" w:type="dxa"/>
            <w:tcBorders>
              <w:top w:val="single" w:sz="4" w:space="0" w:color="auto"/>
              <w:bottom w:val="single" w:sz="4" w:space="0" w:color="auto"/>
            </w:tcBorders>
            <w:noWrap/>
            <w:vAlign w:val="bottom"/>
          </w:tcPr>
          <w:p w:rsidR="00000000" w:rsidRDefault="00000000">
            <w:pPr>
              <w:widowControl w:val="0"/>
              <w:spacing w:before="80" w:after="80"/>
              <w:jc w:val="center"/>
              <w:rPr>
                <w:rFonts w:eastAsia="Batang"/>
                <w:b/>
                <w:i/>
                <w:iCs/>
                <w:color w:val="333333"/>
                <w:sz w:val="20"/>
                <w:szCs w:val="16"/>
                <w:lang w:eastAsia="ko-KR"/>
              </w:rPr>
            </w:pPr>
            <w:r>
              <w:rPr>
                <w:rFonts w:eastAsia="Batang"/>
                <w:b/>
                <w:i/>
                <w:iCs/>
                <w:color w:val="333333"/>
                <w:sz w:val="20"/>
                <w:szCs w:val="16"/>
                <w:lang w:eastAsia="ko-KR"/>
              </w:rPr>
              <w:t>1-4</w:t>
            </w:r>
          </w:p>
        </w:tc>
        <w:tc>
          <w:tcPr>
            <w:tcW w:w="814" w:type="dxa"/>
            <w:tcBorders>
              <w:top w:val="single" w:sz="4" w:space="0" w:color="auto"/>
              <w:bottom w:val="single" w:sz="4" w:space="0" w:color="auto"/>
            </w:tcBorders>
            <w:noWrap/>
            <w:vAlign w:val="bottom"/>
          </w:tcPr>
          <w:p w:rsidR="00000000" w:rsidRDefault="00000000">
            <w:pPr>
              <w:widowControl w:val="0"/>
              <w:spacing w:before="80" w:after="80"/>
              <w:jc w:val="center"/>
              <w:rPr>
                <w:rFonts w:eastAsia="Batang"/>
                <w:b/>
                <w:i/>
                <w:iCs/>
                <w:color w:val="333333"/>
                <w:sz w:val="20"/>
                <w:szCs w:val="16"/>
                <w:lang w:eastAsia="ko-KR"/>
              </w:rPr>
            </w:pPr>
            <w:r>
              <w:rPr>
                <w:rFonts w:eastAsia="Batang"/>
                <w:b/>
                <w:i/>
                <w:iCs/>
                <w:color w:val="333333"/>
                <w:sz w:val="20"/>
                <w:szCs w:val="16"/>
                <w:lang w:eastAsia="ko-KR"/>
              </w:rPr>
              <w:t>5-14</w:t>
            </w:r>
          </w:p>
        </w:tc>
        <w:tc>
          <w:tcPr>
            <w:tcW w:w="814" w:type="dxa"/>
            <w:tcBorders>
              <w:top w:val="single" w:sz="4" w:space="0" w:color="auto"/>
              <w:bottom w:val="single" w:sz="4" w:space="0" w:color="auto"/>
            </w:tcBorders>
            <w:noWrap/>
            <w:vAlign w:val="bottom"/>
          </w:tcPr>
          <w:p w:rsidR="00000000" w:rsidRDefault="00000000">
            <w:pPr>
              <w:widowControl w:val="0"/>
              <w:spacing w:before="80" w:after="80"/>
              <w:jc w:val="center"/>
              <w:rPr>
                <w:rFonts w:eastAsia="Batang"/>
                <w:b/>
                <w:i/>
                <w:iCs/>
                <w:color w:val="333333"/>
                <w:sz w:val="20"/>
                <w:szCs w:val="16"/>
                <w:lang w:eastAsia="ko-KR"/>
              </w:rPr>
            </w:pPr>
            <w:r>
              <w:rPr>
                <w:rFonts w:eastAsia="Batang"/>
                <w:b/>
                <w:i/>
                <w:iCs/>
                <w:color w:val="333333"/>
                <w:sz w:val="20"/>
                <w:szCs w:val="16"/>
                <w:lang w:eastAsia="ko-KR"/>
              </w:rPr>
              <w:t>15-19</w:t>
            </w:r>
          </w:p>
        </w:tc>
        <w:tc>
          <w:tcPr>
            <w:tcW w:w="814" w:type="dxa"/>
            <w:tcBorders>
              <w:top w:val="single" w:sz="4" w:space="0" w:color="auto"/>
              <w:bottom w:val="single" w:sz="4" w:space="0" w:color="auto"/>
            </w:tcBorders>
            <w:noWrap/>
            <w:vAlign w:val="bottom"/>
          </w:tcPr>
          <w:p w:rsidR="00000000" w:rsidRDefault="00000000">
            <w:pPr>
              <w:widowControl w:val="0"/>
              <w:spacing w:before="80" w:after="80"/>
              <w:jc w:val="center"/>
              <w:rPr>
                <w:rFonts w:eastAsia="Batang"/>
                <w:b/>
                <w:i/>
                <w:iCs/>
                <w:color w:val="333333"/>
                <w:sz w:val="20"/>
                <w:szCs w:val="16"/>
                <w:lang w:eastAsia="ko-KR"/>
              </w:rPr>
            </w:pPr>
            <w:r>
              <w:rPr>
                <w:rFonts w:eastAsia="Batang"/>
                <w:b/>
                <w:i/>
                <w:iCs/>
                <w:color w:val="333333"/>
                <w:sz w:val="20"/>
                <w:szCs w:val="16"/>
                <w:lang w:eastAsia="ko-KR"/>
              </w:rPr>
              <w:t>20-39</w:t>
            </w:r>
          </w:p>
        </w:tc>
        <w:tc>
          <w:tcPr>
            <w:tcW w:w="814" w:type="dxa"/>
            <w:tcBorders>
              <w:top w:val="single" w:sz="4" w:space="0" w:color="auto"/>
              <w:bottom w:val="single" w:sz="4" w:space="0" w:color="auto"/>
            </w:tcBorders>
            <w:noWrap/>
            <w:vAlign w:val="bottom"/>
          </w:tcPr>
          <w:p w:rsidR="00000000" w:rsidRDefault="00000000">
            <w:pPr>
              <w:widowControl w:val="0"/>
              <w:spacing w:before="80" w:after="80"/>
              <w:jc w:val="center"/>
              <w:rPr>
                <w:rFonts w:eastAsia="Batang"/>
                <w:b/>
                <w:i/>
                <w:iCs/>
                <w:color w:val="333333"/>
                <w:sz w:val="20"/>
                <w:szCs w:val="16"/>
                <w:lang w:eastAsia="ko-KR"/>
              </w:rPr>
            </w:pPr>
            <w:r>
              <w:rPr>
                <w:rFonts w:eastAsia="Batang"/>
                <w:b/>
                <w:i/>
                <w:iCs/>
                <w:color w:val="333333"/>
                <w:sz w:val="20"/>
                <w:szCs w:val="16"/>
                <w:lang w:eastAsia="ko-KR"/>
              </w:rPr>
              <w:t>40-49</w:t>
            </w:r>
          </w:p>
        </w:tc>
        <w:tc>
          <w:tcPr>
            <w:tcW w:w="743" w:type="dxa"/>
            <w:tcBorders>
              <w:top w:val="single" w:sz="4" w:space="0" w:color="auto"/>
              <w:bottom w:val="single" w:sz="4" w:space="0" w:color="auto"/>
            </w:tcBorders>
            <w:noWrap/>
            <w:vAlign w:val="bottom"/>
          </w:tcPr>
          <w:p w:rsidR="00000000" w:rsidRDefault="00000000">
            <w:pPr>
              <w:widowControl w:val="0"/>
              <w:spacing w:before="80" w:after="80"/>
              <w:jc w:val="center"/>
              <w:rPr>
                <w:rFonts w:eastAsia="Batang"/>
                <w:b/>
                <w:i/>
                <w:iCs/>
                <w:color w:val="333333"/>
                <w:sz w:val="20"/>
                <w:szCs w:val="16"/>
                <w:lang w:eastAsia="ko-KR"/>
              </w:rPr>
            </w:pPr>
            <w:r>
              <w:rPr>
                <w:rFonts w:eastAsia="Batang"/>
                <w:b/>
                <w:i/>
                <w:iCs/>
                <w:color w:val="333333"/>
                <w:sz w:val="20"/>
                <w:szCs w:val="16"/>
                <w:lang w:eastAsia="ko-KR"/>
              </w:rPr>
              <w:t>50-59</w:t>
            </w:r>
          </w:p>
        </w:tc>
        <w:tc>
          <w:tcPr>
            <w:tcW w:w="743" w:type="dxa"/>
            <w:tcBorders>
              <w:top w:val="single" w:sz="4" w:space="0" w:color="auto"/>
              <w:bottom w:val="single" w:sz="4" w:space="0" w:color="auto"/>
            </w:tcBorders>
            <w:noWrap/>
            <w:vAlign w:val="bottom"/>
          </w:tcPr>
          <w:p w:rsidR="00000000" w:rsidRDefault="00000000">
            <w:pPr>
              <w:widowControl w:val="0"/>
              <w:spacing w:before="80" w:after="80"/>
              <w:jc w:val="center"/>
              <w:rPr>
                <w:rFonts w:eastAsia="Batang"/>
                <w:b/>
                <w:i/>
                <w:iCs/>
                <w:color w:val="333333"/>
                <w:sz w:val="20"/>
                <w:szCs w:val="16"/>
                <w:lang w:eastAsia="ko-KR"/>
              </w:rPr>
            </w:pPr>
            <w:r>
              <w:rPr>
                <w:rFonts w:eastAsia="Batang"/>
                <w:b/>
                <w:i/>
                <w:iCs/>
                <w:color w:val="333333"/>
                <w:sz w:val="20"/>
                <w:szCs w:val="16"/>
                <w:lang w:eastAsia="ko-KR"/>
              </w:rPr>
              <w:t>60y +</w:t>
            </w:r>
          </w:p>
        </w:tc>
        <w:tc>
          <w:tcPr>
            <w:tcW w:w="1173" w:type="dxa"/>
            <w:tcBorders>
              <w:top w:val="single" w:sz="4" w:space="0" w:color="auto"/>
              <w:bottom w:val="single" w:sz="4" w:space="0" w:color="auto"/>
            </w:tcBorders>
            <w:noWrap/>
            <w:vAlign w:val="bottom"/>
          </w:tcPr>
          <w:p w:rsidR="00000000" w:rsidRDefault="00000000">
            <w:pPr>
              <w:widowControl w:val="0"/>
              <w:spacing w:before="80" w:after="80"/>
              <w:jc w:val="center"/>
              <w:rPr>
                <w:rFonts w:eastAsia="Batang"/>
                <w:b/>
                <w:i/>
                <w:iCs/>
                <w:color w:val="333333"/>
                <w:sz w:val="20"/>
                <w:szCs w:val="16"/>
                <w:lang w:eastAsia="ko-KR"/>
              </w:rPr>
            </w:pPr>
            <w:r>
              <w:rPr>
                <w:rFonts w:eastAsia="Batang"/>
                <w:b/>
                <w:i/>
                <w:iCs/>
                <w:color w:val="333333"/>
                <w:sz w:val="20"/>
                <w:szCs w:val="16"/>
                <w:lang w:eastAsia="ko-KR"/>
              </w:rPr>
              <w:t>Not known.</w:t>
            </w:r>
          </w:p>
        </w:tc>
      </w:tr>
      <w:tr w:rsidR="00000000">
        <w:trPr>
          <w:jc w:val="center"/>
        </w:trPr>
        <w:tc>
          <w:tcPr>
            <w:tcW w:w="1013" w:type="dxa"/>
            <w:tcBorders>
              <w:top w:val="single" w:sz="4" w:space="0" w:color="auto"/>
            </w:tcBorders>
            <w:noWrap/>
            <w:vAlign w:val="bottom"/>
          </w:tcPr>
          <w:p w:rsidR="00000000" w:rsidRDefault="00000000">
            <w:pPr>
              <w:widowControl w:val="0"/>
              <w:spacing w:before="80" w:after="80"/>
              <w:rPr>
                <w:rFonts w:eastAsia="Batang"/>
                <w:color w:val="333333"/>
                <w:sz w:val="20"/>
                <w:szCs w:val="16"/>
                <w:lang w:eastAsia="ko-KR"/>
              </w:rPr>
            </w:pPr>
            <w:r>
              <w:rPr>
                <w:rFonts w:eastAsia="Batang"/>
                <w:color w:val="333333"/>
                <w:sz w:val="20"/>
                <w:szCs w:val="16"/>
                <w:lang w:eastAsia="ko-KR"/>
              </w:rPr>
              <w:t>1999</w:t>
            </w:r>
          </w:p>
        </w:tc>
        <w:tc>
          <w:tcPr>
            <w:tcW w:w="1013" w:type="dxa"/>
            <w:tcBorders>
              <w:top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9 946</w:t>
            </w:r>
          </w:p>
        </w:tc>
        <w:tc>
          <w:tcPr>
            <w:tcW w:w="744" w:type="dxa"/>
            <w:tcBorders>
              <w:top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127</w:t>
            </w:r>
          </w:p>
        </w:tc>
        <w:tc>
          <w:tcPr>
            <w:tcW w:w="744" w:type="dxa"/>
            <w:tcBorders>
              <w:top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961</w:t>
            </w:r>
          </w:p>
        </w:tc>
        <w:tc>
          <w:tcPr>
            <w:tcW w:w="814" w:type="dxa"/>
            <w:tcBorders>
              <w:top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2297</w:t>
            </w:r>
          </w:p>
        </w:tc>
        <w:tc>
          <w:tcPr>
            <w:tcW w:w="814" w:type="dxa"/>
            <w:tcBorders>
              <w:top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1123</w:t>
            </w:r>
          </w:p>
        </w:tc>
        <w:tc>
          <w:tcPr>
            <w:tcW w:w="814" w:type="dxa"/>
            <w:tcBorders>
              <w:top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3245</w:t>
            </w:r>
          </w:p>
        </w:tc>
        <w:tc>
          <w:tcPr>
            <w:tcW w:w="814" w:type="dxa"/>
            <w:tcBorders>
              <w:top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1082</w:t>
            </w:r>
          </w:p>
        </w:tc>
        <w:tc>
          <w:tcPr>
            <w:tcW w:w="743" w:type="dxa"/>
            <w:tcBorders>
              <w:top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546</w:t>
            </w:r>
          </w:p>
        </w:tc>
        <w:tc>
          <w:tcPr>
            <w:tcW w:w="743" w:type="dxa"/>
            <w:tcBorders>
              <w:top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327</w:t>
            </w:r>
          </w:p>
        </w:tc>
        <w:tc>
          <w:tcPr>
            <w:tcW w:w="1173" w:type="dxa"/>
            <w:tcBorders>
              <w:top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238</w:t>
            </w:r>
          </w:p>
        </w:tc>
      </w:tr>
      <w:tr w:rsidR="00000000">
        <w:trPr>
          <w:jc w:val="center"/>
        </w:trPr>
        <w:tc>
          <w:tcPr>
            <w:tcW w:w="1013" w:type="dxa"/>
            <w:noWrap/>
            <w:vAlign w:val="bottom"/>
          </w:tcPr>
          <w:p w:rsidR="00000000" w:rsidRDefault="00000000">
            <w:pPr>
              <w:widowControl w:val="0"/>
              <w:spacing w:before="80" w:after="80"/>
              <w:rPr>
                <w:rFonts w:eastAsia="Batang"/>
                <w:color w:val="333333"/>
                <w:sz w:val="20"/>
                <w:szCs w:val="16"/>
                <w:lang w:eastAsia="ko-KR"/>
              </w:rPr>
            </w:pPr>
            <w:r>
              <w:rPr>
                <w:rFonts w:eastAsia="Batang"/>
                <w:color w:val="333333"/>
                <w:sz w:val="20"/>
                <w:szCs w:val="16"/>
                <w:lang w:eastAsia="ko-KR"/>
              </w:rPr>
              <w:t>2000</w:t>
            </w:r>
          </w:p>
        </w:tc>
        <w:tc>
          <w:tcPr>
            <w:tcW w:w="1013"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6 853</w:t>
            </w:r>
          </w:p>
        </w:tc>
        <w:tc>
          <w:tcPr>
            <w:tcW w:w="74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60</w:t>
            </w:r>
          </w:p>
        </w:tc>
        <w:tc>
          <w:tcPr>
            <w:tcW w:w="74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718</w:t>
            </w:r>
          </w:p>
        </w:tc>
        <w:tc>
          <w:tcPr>
            <w:tcW w:w="81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1768</w:t>
            </w:r>
          </w:p>
        </w:tc>
        <w:tc>
          <w:tcPr>
            <w:tcW w:w="81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809</w:t>
            </w:r>
          </w:p>
        </w:tc>
        <w:tc>
          <w:tcPr>
            <w:tcW w:w="81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2222</w:t>
            </w:r>
          </w:p>
        </w:tc>
        <w:tc>
          <w:tcPr>
            <w:tcW w:w="81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677</w:t>
            </w:r>
          </w:p>
        </w:tc>
        <w:tc>
          <w:tcPr>
            <w:tcW w:w="743"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348</w:t>
            </w:r>
          </w:p>
        </w:tc>
        <w:tc>
          <w:tcPr>
            <w:tcW w:w="743"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195</w:t>
            </w:r>
          </w:p>
        </w:tc>
        <w:tc>
          <w:tcPr>
            <w:tcW w:w="1173"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56</w:t>
            </w:r>
          </w:p>
        </w:tc>
      </w:tr>
      <w:tr w:rsidR="00000000">
        <w:trPr>
          <w:jc w:val="center"/>
        </w:trPr>
        <w:tc>
          <w:tcPr>
            <w:tcW w:w="1013" w:type="dxa"/>
            <w:noWrap/>
            <w:vAlign w:val="bottom"/>
          </w:tcPr>
          <w:p w:rsidR="00000000" w:rsidRDefault="00000000">
            <w:pPr>
              <w:widowControl w:val="0"/>
              <w:spacing w:before="80" w:after="80"/>
              <w:rPr>
                <w:rFonts w:eastAsia="Batang"/>
                <w:color w:val="333333"/>
                <w:sz w:val="20"/>
                <w:szCs w:val="16"/>
                <w:lang w:eastAsia="ko-KR"/>
              </w:rPr>
            </w:pPr>
            <w:r>
              <w:rPr>
                <w:rFonts w:eastAsia="Batang"/>
                <w:color w:val="333333"/>
                <w:sz w:val="20"/>
                <w:szCs w:val="16"/>
                <w:lang w:eastAsia="ko-KR"/>
              </w:rPr>
              <w:t>2001</w:t>
            </w:r>
          </w:p>
        </w:tc>
        <w:tc>
          <w:tcPr>
            <w:tcW w:w="1013"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2 710</w:t>
            </w:r>
          </w:p>
        </w:tc>
        <w:tc>
          <w:tcPr>
            <w:tcW w:w="74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23</w:t>
            </w:r>
          </w:p>
        </w:tc>
        <w:tc>
          <w:tcPr>
            <w:tcW w:w="74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319</w:t>
            </w:r>
          </w:p>
        </w:tc>
        <w:tc>
          <w:tcPr>
            <w:tcW w:w="81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684</w:t>
            </w:r>
          </w:p>
        </w:tc>
        <w:tc>
          <w:tcPr>
            <w:tcW w:w="81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336</w:t>
            </w:r>
          </w:p>
        </w:tc>
        <w:tc>
          <w:tcPr>
            <w:tcW w:w="81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858</w:t>
            </w:r>
          </w:p>
        </w:tc>
        <w:tc>
          <w:tcPr>
            <w:tcW w:w="81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259</w:t>
            </w:r>
          </w:p>
        </w:tc>
        <w:tc>
          <w:tcPr>
            <w:tcW w:w="743"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131</w:t>
            </w:r>
          </w:p>
        </w:tc>
        <w:tc>
          <w:tcPr>
            <w:tcW w:w="743"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88</w:t>
            </w:r>
          </w:p>
        </w:tc>
        <w:tc>
          <w:tcPr>
            <w:tcW w:w="1173"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12</w:t>
            </w:r>
          </w:p>
        </w:tc>
      </w:tr>
      <w:tr w:rsidR="00000000">
        <w:trPr>
          <w:jc w:val="center"/>
        </w:trPr>
        <w:tc>
          <w:tcPr>
            <w:tcW w:w="1013" w:type="dxa"/>
            <w:noWrap/>
            <w:vAlign w:val="bottom"/>
          </w:tcPr>
          <w:p w:rsidR="00000000" w:rsidRDefault="00000000">
            <w:pPr>
              <w:widowControl w:val="0"/>
              <w:spacing w:before="80" w:after="80"/>
              <w:rPr>
                <w:rFonts w:eastAsia="Batang"/>
                <w:color w:val="333333"/>
                <w:sz w:val="20"/>
                <w:szCs w:val="16"/>
                <w:lang w:eastAsia="ko-KR"/>
              </w:rPr>
            </w:pPr>
            <w:r>
              <w:rPr>
                <w:rFonts w:eastAsia="Batang"/>
                <w:color w:val="333333"/>
                <w:sz w:val="20"/>
                <w:szCs w:val="16"/>
                <w:lang w:eastAsia="ko-KR"/>
              </w:rPr>
              <w:t>2002</w:t>
            </w:r>
          </w:p>
        </w:tc>
        <w:tc>
          <w:tcPr>
            <w:tcW w:w="1013"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2 778</w:t>
            </w:r>
          </w:p>
        </w:tc>
        <w:tc>
          <w:tcPr>
            <w:tcW w:w="74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41</w:t>
            </w:r>
          </w:p>
        </w:tc>
        <w:tc>
          <w:tcPr>
            <w:tcW w:w="74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277</w:t>
            </w:r>
          </w:p>
        </w:tc>
        <w:tc>
          <w:tcPr>
            <w:tcW w:w="81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628</w:t>
            </w:r>
          </w:p>
        </w:tc>
        <w:tc>
          <w:tcPr>
            <w:tcW w:w="81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363</w:t>
            </w:r>
          </w:p>
        </w:tc>
        <w:tc>
          <w:tcPr>
            <w:tcW w:w="81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924</w:t>
            </w:r>
          </w:p>
        </w:tc>
        <w:tc>
          <w:tcPr>
            <w:tcW w:w="81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289</w:t>
            </w:r>
          </w:p>
        </w:tc>
        <w:tc>
          <w:tcPr>
            <w:tcW w:w="743"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161</w:t>
            </w:r>
          </w:p>
        </w:tc>
        <w:tc>
          <w:tcPr>
            <w:tcW w:w="743"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92</w:t>
            </w:r>
          </w:p>
        </w:tc>
        <w:tc>
          <w:tcPr>
            <w:tcW w:w="1173"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3</w:t>
            </w:r>
          </w:p>
        </w:tc>
      </w:tr>
      <w:tr w:rsidR="00000000">
        <w:trPr>
          <w:jc w:val="center"/>
        </w:trPr>
        <w:tc>
          <w:tcPr>
            <w:tcW w:w="1013" w:type="dxa"/>
            <w:noWrap/>
            <w:vAlign w:val="bottom"/>
          </w:tcPr>
          <w:p w:rsidR="00000000" w:rsidRDefault="00000000">
            <w:pPr>
              <w:widowControl w:val="0"/>
              <w:spacing w:before="80" w:after="80"/>
              <w:rPr>
                <w:rFonts w:eastAsia="Batang"/>
                <w:color w:val="333333"/>
                <w:sz w:val="20"/>
                <w:szCs w:val="16"/>
                <w:lang w:eastAsia="ko-KR"/>
              </w:rPr>
            </w:pPr>
            <w:r>
              <w:rPr>
                <w:rFonts w:eastAsia="Batang"/>
                <w:color w:val="333333"/>
                <w:sz w:val="20"/>
                <w:szCs w:val="16"/>
                <w:lang w:eastAsia="ko-KR"/>
              </w:rPr>
              <w:t>2003</w:t>
            </w:r>
          </w:p>
        </w:tc>
        <w:tc>
          <w:tcPr>
            <w:tcW w:w="1013"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1 392</w:t>
            </w:r>
          </w:p>
        </w:tc>
        <w:tc>
          <w:tcPr>
            <w:tcW w:w="74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13</w:t>
            </w:r>
          </w:p>
        </w:tc>
        <w:tc>
          <w:tcPr>
            <w:tcW w:w="74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156</w:t>
            </w:r>
          </w:p>
        </w:tc>
        <w:tc>
          <w:tcPr>
            <w:tcW w:w="81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286</w:t>
            </w:r>
          </w:p>
        </w:tc>
        <w:tc>
          <w:tcPr>
            <w:tcW w:w="81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158</w:t>
            </w:r>
          </w:p>
        </w:tc>
        <w:tc>
          <w:tcPr>
            <w:tcW w:w="81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633</w:t>
            </w:r>
          </w:p>
        </w:tc>
        <w:tc>
          <w:tcPr>
            <w:tcW w:w="814"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80</w:t>
            </w:r>
          </w:p>
        </w:tc>
        <w:tc>
          <w:tcPr>
            <w:tcW w:w="743"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61</w:t>
            </w:r>
          </w:p>
        </w:tc>
        <w:tc>
          <w:tcPr>
            <w:tcW w:w="743"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0</w:t>
            </w:r>
          </w:p>
        </w:tc>
        <w:tc>
          <w:tcPr>
            <w:tcW w:w="1173" w:type="dxa"/>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5</w:t>
            </w:r>
          </w:p>
        </w:tc>
      </w:tr>
      <w:tr w:rsidR="00000000">
        <w:trPr>
          <w:jc w:val="center"/>
        </w:trPr>
        <w:tc>
          <w:tcPr>
            <w:tcW w:w="1013" w:type="dxa"/>
            <w:tcBorders>
              <w:bottom w:val="single" w:sz="4" w:space="0" w:color="auto"/>
            </w:tcBorders>
            <w:noWrap/>
            <w:vAlign w:val="bottom"/>
          </w:tcPr>
          <w:p w:rsidR="00000000" w:rsidRDefault="00000000">
            <w:pPr>
              <w:widowControl w:val="0"/>
              <w:spacing w:before="80" w:after="80"/>
              <w:rPr>
                <w:rFonts w:eastAsia="Batang"/>
                <w:color w:val="333333"/>
                <w:sz w:val="20"/>
                <w:szCs w:val="16"/>
                <w:lang w:eastAsia="ko-KR"/>
              </w:rPr>
            </w:pPr>
            <w:r>
              <w:rPr>
                <w:rFonts w:eastAsia="Batang"/>
                <w:color w:val="333333"/>
                <w:sz w:val="20"/>
                <w:szCs w:val="16"/>
                <w:lang w:eastAsia="ko-KR"/>
              </w:rPr>
              <w:t>2004</w:t>
            </w:r>
          </w:p>
        </w:tc>
        <w:tc>
          <w:tcPr>
            <w:tcW w:w="1013" w:type="dxa"/>
            <w:tcBorders>
              <w:bottom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694</w:t>
            </w:r>
          </w:p>
        </w:tc>
        <w:tc>
          <w:tcPr>
            <w:tcW w:w="744" w:type="dxa"/>
            <w:tcBorders>
              <w:bottom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5</w:t>
            </w:r>
          </w:p>
        </w:tc>
        <w:tc>
          <w:tcPr>
            <w:tcW w:w="744" w:type="dxa"/>
            <w:tcBorders>
              <w:bottom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59</w:t>
            </w:r>
          </w:p>
        </w:tc>
        <w:tc>
          <w:tcPr>
            <w:tcW w:w="814" w:type="dxa"/>
            <w:tcBorders>
              <w:bottom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139</w:t>
            </w:r>
          </w:p>
        </w:tc>
        <w:tc>
          <w:tcPr>
            <w:tcW w:w="814" w:type="dxa"/>
            <w:tcBorders>
              <w:bottom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80</w:t>
            </w:r>
          </w:p>
        </w:tc>
        <w:tc>
          <w:tcPr>
            <w:tcW w:w="814" w:type="dxa"/>
            <w:tcBorders>
              <w:bottom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251</w:t>
            </w:r>
          </w:p>
        </w:tc>
        <w:tc>
          <w:tcPr>
            <w:tcW w:w="814" w:type="dxa"/>
            <w:tcBorders>
              <w:bottom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92</w:t>
            </w:r>
          </w:p>
        </w:tc>
        <w:tc>
          <w:tcPr>
            <w:tcW w:w="743" w:type="dxa"/>
            <w:tcBorders>
              <w:bottom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40</w:t>
            </w:r>
          </w:p>
        </w:tc>
        <w:tc>
          <w:tcPr>
            <w:tcW w:w="743" w:type="dxa"/>
            <w:tcBorders>
              <w:bottom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23</w:t>
            </w:r>
          </w:p>
        </w:tc>
        <w:tc>
          <w:tcPr>
            <w:tcW w:w="1173" w:type="dxa"/>
            <w:tcBorders>
              <w:bottom w:val="single" w:sz="4" w:space="0" w:color="auto"/>
            </w:tcBorders>
            <w:noWrap/>
            <w:vAlign w:val="bottom"/>
          </w:tcPr>
          <w:p w:rsidR="00000000" w:rsidRDefault="00000000">
            <w:pPr>
              <w:widowControl w:val="0"/>
              <w:spacing w:before="80" w:after="80"/>
              <w:ind w:right="284"/>
              <w:jc w:val="right"/>
              <w:rPr>
                <w:rFonts w:eastAsia="Batang"/>
                <w:color w:val="333333"/>
                <w:sz w:val="20"/>
                <w:szCs w:val="16"/>
                <w:lang w:eastAsia="ko-KR"/>
              </w:rPr>
            </w:pPr>
            <w:r>
              <w:rPr>
                <w:rFonts w:eastAsia="Batang"/>
                <w:color w:val="333333"/>
                <w:sz w:val="20"/>
                <w:szCs w:val="16"/>
                <w:lang w:eastAsia="ko-KR"/>
              </w:rPr>
              <w:t>5</w:t>
            </w:r>
          </w:p>
        </w:tc>
      </w:tr>
    </w:tbl>
    <w:p w:rsidR="00000000" w:rsidRDefault="00000000">
      <w:pPr>
        <w:pStyle w:val="BodyText"/>
        <w:spacing w:before="80"/>
        <w:ind w:left="567"/>
        <w:jc w:val="left"/>
        <w:rPr>
          <w:rFonts w:eastAsia="Batang"/>
          <w:color w:val="333333"/>
          <w:sz w:val="20"/>
          <w:lang w:eastAsia="ko-KR"/>
        </w:rPr>
      </w:pPr>
      <w:r>
        <w:rPr>
          <w:rFonts w:eastAsia="Batang"/>
          <w:i/>
          <w:iCs/>
          <w:color w:val="333333"/>
          <w:sz w:val="20"/>
          <w:lang w:eastAsia="ko-KR"/>
        </w:rPr>
        <w:t xml:space="preserve">Source: </w:t>
      </w:r>
      <w:r>
        <w:rPr>
          <w:rFonts w:eastAsia="Batang"/>
          <w:color w:val="333333"/>
          <w:sz w:val="20"/>
          <w:lang w:eastAsia="ko-KR"/>
        </w:rPr>
        <w:t xml:space="preserve">SENEPA, Statistical Section. </w:t>
      </w:r>
    </w:p>
    <w:p w:rsidR="00000000" w:rsidRDefault="00000000">
      <w:pPr>
        <w:spacing w:after="240"/>
        <w:rPr>
          <w:bCs/>
        </w:rPr>
      </w:pPr>
      <w:r>
        <w:t>530</w:t>
      </w:r>
      <w:r>
        <w:rPr>
          <w:bCs/>
        </w:rPr>
        <w:t>.</w:t>
      </w:r>
      <w:r>
        <w:rPr>
          <w:bCs/>
        </w:rPr>
        <w:tab/>
        <w:t xml:space="preserve">A comparison of the years 2003 and 2004 shows a sharp fall in the number of cases and the IPA; the number of cases fell by 44 per cent and the IPA from 0.89 to 0.44. In 2004 the majority of cases (68 per cent) were men – a pattern similar to that of previous years. The age group most affected was that of persons over age 20 (60 per cent). On the other hand, 20 per cent of cases were between ages 4 and 15 – a surprising observation. </w:t>
      </w:r>
    </w:p>
    <w:p w:rsidR="00000000" w:rsidRDefault="00000000">
      <w:pPr>
        <w:spacing w:after="240"/>
        <w:jc w:val="center"/>
        <w:rPr>
          <w:b/>
          <w:sz w:val="22"/>
        </w:rPr>
      </w:pPr>
      <w:r>
        <w:rPr>
          <w:b/>
          <w:sz w:val="22"/>
        </w:rPr>
        <w:t>Paraguay: Trends in malaria control, 1999/2004</w:t>
      </w:r>
    </w:p>
    <w:p w:rsidR="00000000" w:rsidRDefault="00000000">
      <w:pPr>
        <w:autoSpaceDE w:val="0"/>
        <w:autoSpaceDN w:val="0"/>
        <w:adjustRightInd w:val="0"/>
        <w:spacing w:after="240"/>
        <w:jc w:val="center"/>
      </w:pPr>
      <w:r>
        <w:rPr>
          <w:b/>
          <w:noProof/>
          <w:sz w:val="20"/>
          <w:szCs w:val="20"/>
        </w:rPr>
        <w:pict>
          <v:shape id="_x0000_s2948" type="#_x0000_t202" style="position:absolute;left:0;text-align:left;margin-left:46.5pt;margin-top:212.4pt;width:392pt;height:13.5pt;z-index:132" stroked="f">
            <v:textbox inset="0,0,0,0">
              <w:txbxContent>
                <w:p w:rsidR="00000000" w:rsidRDefault="00000000">
                  <w:pPr>
                    <w:rPr>
                      <w:sz w:val="18"/>
                    </w:rPr>
                  </w:pPr>
                  <w:r>
                    <w:rPr>
                      <w:sz w:val="18"/>
                      <w:lang w:val="fr-FR"/>
                    </w:rPr>
                    <w:t xml:space="preserve">Jan.     Febr.      </w:t>
                  </w:r>
                  <w:r>
                    <w:rPr>
                      <w:sz w:val="18"/>
                    </w:rPr>
                    <w:t>March     April        May         June         July.        Aug.      Sept.      Oct.        Nov.        Dec.</w:t>
                  </w:r>
                </w:p>
              </w:txbxContent>
            </v:textbox>
          </v:shape>
        </w:pict>
      </w:r>
      <w:r>
        <w:rPr>
          <w:b/>
          <w:noProof/>
          <w:sz w:val="20"/>
          <w:szCs w:val="20"/>
          <w:lang w:val="fr-FR" w:eastAsia="fr-FR"/>
        </w:rPr>
        <w:pict>
          <v:line id="_x0000_s2963" style="position:absolute;left:0;text-align:left;z-index:147" from="5in,169.25pt" to="377.2pt,204.15pt">
            <v:stroke endarrow="block"/>
          </v:line>
        </w:pict>
      </w:r>
      <w:r>
        <w:rPr>
          <w:b/>
          <w:noProof/>
          <w:sz w:val="20"/>
          <w:szCs w:val="20"/>
          <w:lang w:val="fr-FR" w:eastAsia="fr-FR"/>
        </w:rPr>
        <w:pict>
          <v:shape id="_x0000_s2955" type="#_x0000_t202" style="position:absolute;left:0;text-align:left;margin-left:344.5pt;margin-top:156.95pt;width:33.5pt;height:12.3pt;z-index:139" stroked="f">
            <v:textbox inset="0,0,0,0">
              <w:txbxContent>
                <w:p w:rsidR="00000000" w:rsidRDefault="00000000">
                  <w:pPr>
                    <w:jc w:val="center"/>
                    <w:rPr>
                      <w:b/>
                      <w:bCs/>
                      <w:sz w:val="18"/>
                    </w:rPr>
                  </w:pPr>
                  <w:r>
                    <w:rPr>
                      <w:b/>
                      <w:bCs/>
                      <w:sz w:val="18"/>
                    </w:rPr>
                    <w:t>2004</w:t>
                  </w:r>
                </w:p>
              </w:txbxContent>
            </v:textbox>
          </v:shape>
        </w:pict>
      </w:r>
      <w:r>
        <w:rPr>
          <w:b/>
          <w:noProof/>
          <w:sz w:val="20"/>
          <w:szCs w:val="20"/>
          <w:lang w:val="fr-FR" w:eastAsia="fr-FR"/>
        </w:rPr>
        <w:pict>
          <v:line id="_x0000_s2962" style="position:absolute;left:0;text-align:left;flip:x;z-index:146" from="229pt,151.25pt" to="297pt,199.95pt">
            <v:stroke endarrow="block"/>
          </v:line>
        </w:pict>
      </w:r>
      <w:r>
        <w:rPr>
          <w:b/>
          <w:noProof/>
          <w:sz w:val="20"/>
          <w:szCs w:val="20"/>
          <w:lang w:val="fr-FR" w:eastAsia="fr-FR"/>
        </w:rPr>
        <w:pict>
          <v:shape id="_x0000_s2956" type="#_x0000_t202" style="position:absolute;left:0;text-align:left;margin-left:299.5pt;margin-top:138.95pt;width:33.5pt;height:12.3pt;z-index:140" stroked="f">
            <v:textbox inset="0,0,0,0">
              <w:txbxContent>
                <w:p w:rsidR="00000000" w:rsidRDefault="00000000">
                  <w:pPr>
                    <w:jc w:val="center"/>
                    <w:rPr>
                      <w:b/>
                      <w:bCs/>
                      <w:sz w:val="18"/>
                    </w:rPr>
                  </w:pPr>
                  <w:r>
                    <w:rPr>
                      <w:b/>
                      <w:bCs/>
                      <w:sz w:val="18"/>
                    </w:rPr>
                    <w:t>2003</w:t>
                  </w:r>
                </w:p>
              </w:txbxContent>
            </v:textbox>
          </v:shape>
        </w:pict>
      </w:r>
      <w:r>
        <w:rPr>
          <w:b/>
          <w:noProof/>
          <w:sz w:val="20"/>
          <w:szCs w:val="20"/>
          <w:lang w:val="fr-FR" w:eastAsia="fr-FR"/>
        </w:rPr>
        <w:pict>
          <v:line id="_x0000_s2961" style="position:absolute;left:0;text-align:left;flip:y;z-index:145" from="117pt,161.95pt" to="2in,170.95pt">
            <v:stroke endarrow="block"/>
          </v:line>
        </w:pict>
      </w:r>
      <w:r>
        <w:rPr>
          <w:b/>
          <w:noProof/>
          <w:sz w:val="20"/>
          <w:szCs w:val="20"/>
          <w:lang w:val="fr-FR" w:eastAsia="fr-FR"/>
        </w:rPr>
        <w:pict>
          <v:shape id="_x0000_s2957" type="#_x0000_t202" style="position:absolute;left:0;text-align:left;margin-left:83.95pt;margin-top:162.2pt;width:33.5pt;height:12.3pt;z-index:141" stroked="f">
            <v:textbox inset="0,0,0,0">
              <w:txbxContent>
                <w:p w:rsidR="00000000" w:rsidRDefault="00000000">
                  <w:pPr>
                    <w:jc w:val="center"/>
                    <w:rPr>
                      <w:b/>
                      <w:bCs/>
                      <w:sz w:val="18"/>
                    </w:rPr>
                  </w:pPr>
                  <w:r>
                    <w:rPr>
                      <w:b/>
                      <w:bCs/>
                      <w:sz w:val="18"/>
                    </w:rPr>
                    <w:t>2002</w:t>
                  </w:r>
                </w:p>
              </w:txbxContent>
            </v:textbox>
          </v:shape>
        </w:pict>
      </w:r>
      <w:r>
        <w:rPr>
          <w:b/>
          <w:noProof/>
          <w:sz w:val="20"/>
          <w:szCs w:val="20"/>
          <w:lang w:val="fr-FR" w:eastAsia="fr-FR"/>
        </w:rPr>
        <w:pict>
          <v:line id="_x0000_s2960" style="position:absolute;left:0;text-align:left;flip:x;z-index:144" from="203.9pt,142.25pt" to="252pt,168.15pt">
            <v:stroke endarrow="block"/>
          </v:line>
        </w:pict>
      </w:r>
      <w:r>
        <w:rPr>
          <w:b/>
          <w:noProof/>
          <w:sz w:val="20"/>
          <w:szCs w:val="20"/>
          <w:lang w:val="fr-FR" w:eastAsia="fr-FR"/>
        </w:rPr>
        <w:pict>
          <v:shape id="_x0000_s2958" type="#_x0000_t202" style="position:absolute;left:0;text-align:left;margin-left:254.5pt;margin-top:138.95pt;width:33.5pt;height:12.3pt;z-index:142" stroked="f">
            <v:textbox inset="0,0,0,0">
              <w:txbxContent>
                <w:p w:rsidR="00000000" w:rsidRDefault="00000000">
                  <w:pPr>
                    <w:jc w:val="center"/>
                    <w:rPr>
                      <w:b/>
                      <w:bCs/>
                      <w:sz w:val="18"/>
                    </w:rPr>
                  </w:pPr>
                  <w:r>
                    <w:rPr>
                      <w:b/>
                      <w:bCs/>
                      <w:sz w:val="18"/>
                    </w:rPr>
                    <w:t>2001</w:t>
                  </w:r>
                </w:p>
              </w:txbxContent>
            </v:textbox>
          </v:shape>
        </w:pict>
      </w:r>
      <w:r>
        <w:rPr>
          <w:b/>
          <w:noProof/>
          <w:sz w:val="20"/>
          <w:szCs w:val="20"/>
          <w:lang w:val="fr-FR" w:eastAsia="fr-FR"/>
        </w:rPr>
        <w:pict>
          <v:line id="_x0000_s2959" style="position:absolute;left:0;text-align:left;flip:y;z-index:143" from="99.85pt,92.5pt" to="135.85pt,110.5pt">
            <v:stroke endarrow="block"/>
          </v:line>
        </w:pict>
      </w:r>
      <w:r>
        <w:rPr>
          <w:b/>
          <w:noProof/>
          <w:sz w:val="20"/>
          <w:szCs w:val="20"/>
          <w:lang w:val="fr-FR" w:eastAsia="fr-FR"/>
        </w:rPr>
        <w:pict>
          <v:shape id="_x0000_s2954" type="#_x0000_t202" style="position:absolute;left:0;text-align:left;margin-left:74.5pt;margin-top:111.95pt;width:33.5pt;height:12.3pt;z-index:138" stroked="f">
            <v:textbox inset="0,0,0,0">
              <w:txbxContent>
                <w:p w:rsidR="00000000" w:rsidRDefault="00000000">
                  <w:pPr>
                    <w:jc w:val="center"/>
                    <w:rPr>
                      <w:b/>
                      <w:bCs/>
                      <w:sz w:val="18"/>
                    </w:rPr>
                  </w:pPr>
                  <w:r>
                    <w:rPr>
                      <w:b/>
                      <w:bCs/>
                      <w:sz w:val="18"/>
                    </w:rPr>
                    <w:t>2000</w:t>
                  </w:r>
                </w:p>
              </w:txbxContent>
            </v:textbox>
          </v:shape>
        </w:pict>
      </w:r>
      <w:r>
        <w:rPr>
          <w:b/>
          <w:noProof/>
          <w:sz w:val="20"/>
          <w:szCs w:val="20"/>
          <w:lang w:val="fr-FR" w:eastAsia="fr-FR"/>
        </w:rPr>
        <w:pict>
          <v:line id="_x0000_s2953" style="position:absolute;left:0;text-align:left;flip:x;z-index:137" from="194.6pt,43.25pt" to="230.6pt,61.25pt">
            <v:stroke endarrow="block"/>
          </v:line>
        </w:pict>
      </w:r>
      <w:r>
        <w:rPr>
          <w:b/>
          <w:noProof/>
          <w:sz w:val="20"/>
          <w:szCs w:val="20"/>
          <w:lang w:val="fr-FR" w:eastAsia="fr-FR"/>
        </w:rPr>
        <w:pict>
          <v:shape id="_x0000_s2952" type="#_x0000_t202" style="position:absolute;left:0;text-align:left;margin-left:234pt;margin-top:34.25pt;width:33.5pt;height:12.3pt;z-index:136" stroked="f">
            <v:textbox inset="0,0,0,0">
              <w:txbxContent>
                <w:p w:rsidR="00000000" w:rsidRDefault="00000000">
                  <w:pPr>
                    <w:jc w:val="center"/>
                    <w:rPr>
                      <w:b/>
                      <w:bCs/>
                      <w:sz w:val="18"/>
                    </w:rPr>
                  </w:pPr>
                  <w:r>
                    <w:rPr>
                      <w:b/>
                      <w:bCs/>
                      <w:sz w:val="18"/>
                    </w:rPr>
                    <w:t>1999</w:t>
                  </w:r>
                </w:p>
              </w:txbxContent>
            </v:textbox>
          </v:shape>
        </w:pict>
      </w:r>
      <w:r>
        <w:rPr>
          <w:b/>
          <w:noProof/>
          <w:sz w:val="20"/>
          <w:szCs w:val="20"/>
          <w:lang w:val="fr-FR" w:eastAsia="fr-FR"/>
        </w:rPr>
        <w:pict>
          <v:shape id="_x0000_s2949" type="#_x0000_t202" style="position:absolute;left:0;text-align:left;margin-left:234pt;margin-top:79.25pt;width:1in;height:17.75pt;z-index:133" stroked="f">
            <v:textbox inset="0,0,0,0">
              <w:txbxContent>
                <w:p w:rsidR="00000000" w:rsidRDefault="00000000">
                  <w:pPr>
                    <w:jc w:val="center"/>
                    <w:rPr>
                      <w:b/>
                      <w:bCs/>
                      <w:sz w:val="18"/>
                    </w:rPr>
                  </w:pPr>
                  <w:r>
                    <w:rPr>
                      <w:b/>
                      <w:bCs/>
                      <w:sz w:val="18"/>
                    </w:rPr>
                    <w:t>Epidemic zone</w:t>
                  </w:r>
                </w:p>
              </w:txbxContent>
            </v:textbox>
          </v:shape>
        </w:pict>
      </w:r>
      <w:r>
        <w:rPr>
          <w:b/>
          <w:noProof/>
          <w:sz w:val="20"/>
          <w:szCs w:val="20"/>
          <w:lang w:val="fr-FR" w:eastAsia="fr-FR"/>
        </w:rPr>
        <w:pict>
          <v:shape id="_x0000_s2950" type="#_x0000_t202" style="position:absolute;left:0;text-align:left;margin-left:119.5pt;margin-top:180.15pt;width:1in;height:10.35pt;z-index:134" stroked="f">
            <v:textbox inset="0,0,0,0">
              <w:txbxContent>
                <w:p w:rsidR="00000000" w:rsidRDefault="00000000">
                  <w:pPr>
                    <w:jc w:val="center"/>
                    <w:rPr>
                      <w:b/>
                      <w:bCs/>
                      <w:sz w:val="18"/>
                    </w:rPr>
                  </w:pPr>
                  <w:r>
                    <w:rPr>
                      <w:b/>
                      <w:bCs/>
                      <w:sz w:val="18"/>
                    </w:rPr>
                    <w:t>Success zone</w:t>
                  </w:r>
                </w:p>
              </w:txbxContent>
            </v:textbox>
          </v:shape>
        </w:pict>
      </w:r>
      <w:r>
        <w:rPr>
          <w:b/>
          <w:noProof/>
          <w:sz w:val="20"/>
          <w:szCs w:val="20"/>
          <w:lang w:val="fr-FR" w:eastAsia="fr-FR"/>
        </w:rPr>
        <w:pict>
          <v:shape id="_x0000_s2951" type="#_x0000_t202" style="position:absolute;left:0;text-align:left;margin-left:113.65pt;margin-top:132.2pt;width:1in;height:17.75pt;z-index:135" stroked="f">
            <v:textbox inset="0,0,0,0">
              <w:txbxContent>
                <w:p w:rsidR="00000000" w:rsidRDefault="00000000">
                  <w:pPr>
                    <w:jc w:val="center"/>
                    <w:rPr>
                      <w:b/>
                      <w:bCs/>
                      <w:sz w:val="18"/>
                    </w:rPr>
                  </w:pPr>
                  <w:r>
                    <w:rPr>
                      <w:b/>
                      <w:bCs/>
                      <w:sz w:val="18"/>
                    </w:rPr>
                    <w:t>Alarm zone</w:t>
                  </w:r>
                </w:p>
              </w:txbxContent>
            </v:textbox>
          </v:shape>
        </w:pict>
      </w:r>
      <w:r>
        <w:rPr>
          <w:noProof/>
          <w:sz w:val="20"/>
        </w:rPr>
        <w:pict>
          <v:shape id="_x0000_s2947" type="#_x0000_t202" style="position:absolute;left:0;text-align:left;margin-left:16.85pt;margin-top:7.1pt;width:11.45pt;height:207pt;z-index:131" stroked="f">
            <v:textbox style="layout-flow:vertical;mso-layout-flow-alt:bottom-to-top" inset="0,0,0,0">
              <w:txbxContent>
                <w:p w:rsidR="00000000" w:rsidRDefault="00000000">
                  <w:pPr>
                    <w:jc w:val="center"/>
                    <w:rPr>
                      <w:b/>
                      <w:bCs/>
                      <w:sz w:val="20"/>
                    </w:rPr>
                  </w:pPr>
                  <w:r>
                    <w:rPr>
                      <w:b/>
                      <w:bCs/>
                      <w:sz w:val="20"/>
                    </w:rPr>
                    <w:t>Cases</w:t>
                  </w:r>
                </w:p>
              </w:txbxContent>
            </v:textbox>
          </v:shape>
        </w:pict>
      </w:r>
      <w:r>
        <w:rPr>
          <w:noProof/>
          <w:sz w:val="20"/>
        </w:rPr>
        <w:pict>
          <v:shape id="_x0000_s2946" type="#_x0000_t202" style="position:absolute;left:0;text-align:left;margin-left:29.5pt;margin-top:4.9pt;width:26.5pt;height:207pt;z-index:130" stroked="f">
            <v:textbox inset="0,0,0,0">
              <w:txbxContent>
                <w:p w:rsidR="00000000" w:rsidRDefault="00000000">
                  <w:pPr>
                    <w:jc w:val="right"/>
                    <w:rPr>
                      <w:b/>
                      <w:bCs/>
                      <w:sz w:val="20"/>
                    </w:rPr>
                  </w:pPr>
                  <w:r>
                    <w:rPr>
                      <w:b/>
                      <w:bCs/>
                      <w:sz w:val="20"/>
                    </w:rPr>
                    <w:t>2 000</w:t>
                  </w:r>
                </w:p>
                <w:p w:rsidR="00000000" w:rsidRDefault="00000000">
                  <w:pPr>
                    <w:jc w:val="right"/>
                    <w:rPr>
                      <w:b/>
                      <w:bCs/>
                      <w:sz w:val="20"/>
                    </w:rPr>
                  </w:pPr>
                </w:p>
                <w:p w:rsidR="00000000" w:rsidRDefault="00000000">
                  <w:pPr>
                    <w:jc w:val="right"/>
                    <w:rPr>
                      <w:b/>
                      <w:bCs/>
                      <w:sz w:val="20"/>
                    </w:rPr>
                  </w:pPr>
                </w:p>
                <w:p w:rsidR="00000000" w:rsidRDefault="00000000">
                  <w:pPr>
                    <w:jc w:val="right"/>
                    <w:rPr>
                      <w:b/>
                      <w:bCs/>
                      <w:sz w:val="20"/>
                    </w:rPr>
                  </w:pPr>
                </w:p>
                <w:p w:rsidR="00000000" w:rsidRDefault="00000000">
                  <w:pPr>
                    <w:jc w:val="right"/>
                    <w:rPr>
                      <w:b/>
                      <w:bCs/>
                      <w:sz w:val="20"/>
                    </w:rPr>
                  </w:pPr>
                  <w:r>
                    <w:rPr>
                      <w:b/>
                      <w:bCs/>
                      <w:sz w:val="20"/>
                    </w:rPr>
                    <w:t>1 500</w:t>
                  </w:r>
                </w:p>
                <w:p w:rsidR="00000000" w:rsidRDefault="00000000">
                  <w:pPr>
                    <w:jc w:val="right"/>
                    <w:rPr>
                      <w:b/>
                      <w:bCs/>
                      <w:sz w:val="20"/>
                    </w:rPr>
                  </w:pPr>
                </w:p>
                <w:p w:rsidR="00000000" w:rsidRDefault="00000000">
                  <w:pPr>
                    <w:jc w:val="right"/>
                    <w:rPr>
                      <w:b/>
                      <w:bCs/>
                      <w:sz w:val="20"/>
                    </w:rPr>
                  </w:pPr>
                </w:p>
                <w:p w:rsidR="00000000" w:rsidRDefault="00000000">
                  <w:pPr>
                    <w:jc w:val="right"/>
                    <w:rPr>
                      <w:b/>
                      <w:bCs/>
                      <w:sz w:val="32"/>
                    </w:rPr>
                  </w:pPr>
                </w:p>
                <w:p w:rsidR="00000000" w:rsidRDefault="00000000">
                  <w:pPr>
                    <w:jc w:val="right"/>
                    <w:rPr>
                      <w:b/>
                      <w:bCs/>
                      <w:sz w:val="20"/>
                    </w:rPr>
                  </w:pPr>
                  <w:r>
                    <w:rPr>
                      <w:b/>
                      <w:bCs/>
                      <w:sz w:val="20"/>
                    </w:rPr>
                    <w:t>1 000</w:t>
                  </w:r>
                </w:p>
                <w:p w:rsidR="00000000" w:rsidRDefault="00000000">
                  <w:pPr>
                    <w:jc w:val="right"/>
                    <w:rPr>
                      <w:b/>
                      <w:bCs/>
                      <w:sz w:val="20"/>
                    </w:rPr>
                  </w:pPr>
                </w:p>
                <w:p w:rsidR="00000000" w:rsidRDefault="00000000">
                  <w:pPr>
                    <w:jc w:val="right"/>
                    <w:rPr>
                      <w:b/>
                      <w:bCs/>
                      <w:sz w:val="20"/>
                    </w:rPr>
                  </w:pPr>
                </w:p>
                <w:p w:rsidR="00000000" w:rsidRDefault="00000000">
                  <w:pPr>
                    <w:jc w:val="right"/>
                    <w:rPr>
                      <w:b/>
                      <w:bCs/>
                    </w:rPr>
                  </w:pPr>
                </w:p>
                <w:p w:rsidR="00000000" w:rsidRDefault="00000000">
                  <w:pPr>
                    <w:jc w:val="right"/>
                    <w:rPr>
                      <w:b/>
                      <w:bCs/>
                      <w:sz w:val="20"/>
                    </w:rPr>
                  </w:pPr>
                  <w:r>
                    <w:rPr>
                      <w:b/>
                      <w:bCs/>
                      <w:sz w:val="20"/>
                    </w:rPr>
                    <w:t>500</w:t>
                  </w:r>
                </w:p>
                <w:p w:rsidR="00000000" w:rsidRDefault="00000000">
                  <w:pPr>
                    <w:jc w:val="right"/>
                    <w:rPr>
                      <w:b/>
                      <w:bCs/>
                      <w:sz w:val="20"/>
                    </w:rPr>
                  </w:pPr>
                </w:p>
                <w:p w:rsidR="00000000" w:rsidRDefault="00000000">
                  <w:pPr>
                    <w:jc w:val="right"/>
                    <w:rPr>
                      <w:b/>
                      <w:bCs/>
                      <w:sz w:val="20"/>
                    </w:rPr>
                  </w:pPr>
                </w:p>
                <w:p w:rsidR="00000000" w:rsidRDefault="00000000">
                  <w:pPr>
                    <w:jc w:val="right"/>
                    <w:rPr>
                      <w:b/>
                      <w:bCs/>
                    </w:rPr>
                  </w:pPr>
                </w:p>
                <w:p w:rsidR="00000000" w:rsidRDefault="00000000">
                  <w:pPr>
                    <w:jc w:val="right"/>
                    <w:rPr>
                      <w:b/>
                      <w:bCs/>
                      <w:sz w:val="20"/>
                    </w:rPr>
                  </w:pPr>
                  <w:r>
                    <w:rPr>
                      <w:b/>
                      <w:bCs/>
                      <w:sz w:val="20"/>
                    </w:rPr>
                    <w:t>0</w:t>
                  </w:r>
                </w:p>
                <w:p w:rsidR="00000000" w:rsidRDefault="00000000">
                  <w:pPr>
                    <w:jc w:val="right"/>
                    <w:rPr>
                      <w:b/>
                      <w:bCs/>
                      <w:sz w:val="20"/>
                    </w:rPr>
                  </w:pPr>
                </w:p>
              </w:txbxContent>
            </v:textbox>
          </v:shape>
        </w:pict>
      </w:r>
      <w:r>
        <w:object w:dxaOrig="7233" w:dyaOrig="5186">
          <v:shape id="_x0000_i1062" type="#_x0000_t75" style="width:432.75pt;height:225pt" o:ole="" o:allowoverlap="f">
            <v:imagedata r:id="rId79" o:title="" croptop="11587f" cropbottom="9243f" cropright="3563f"/>
          </v:shape>
          <o:OLEObject Type="Embed" ProgID="Word.Picture.8" ShapeID="_x0000_i1062" DrawAspect="Content" ObjectID="_1394904872" r:id="rId80"/>
        </w:object>
      </w:r>
    </w:p>
    <w:p w:rsidR="00000000" w:rsidRDefault="00000000">
      <w:pPr>
        <w:spacing w:after="240"/>
        <w:rPr>
          <w:bCs/>
          <w:sz w:val="20"/>
          <w:lang w:val="en-US"/>
        </w:rPr>
      </w:pPr>
      <w:r>
        <w:rPr>
          <w:bCs/>
          <w:sz w:val="20"/>
          <w:szCs w:val="20"/>
        </w:rPr>
        <w:tab/>
      </w:r>
      <w:r>
        <w:rPr>
          <w:bCs/>
          <w:i/>
          <w:iCs/>
          <w:sz w:val="20"/>
          <w:szCs w:val="20"/>
          <w:lang w:val="en-US"/>
        </w:rPr>
        <w:t xml:space="preserve">Source </w:t>
      </w:r>
      <w:r>
        <w:rPr>
          <w:bCs/>
          <w:sz w:val="20"/>
          <w:szCs w:val="20"/>
          <w:lang w:val="en-US"/>
        </w:rPr>
        <w:t xml:space="preserve">: </w:t>
      </w:r>
      <w:r>
        <w:rPr>
          <w:rFonts w:eastAsia="Batang"/>
          <w:color w:val="333333"/>
          <w:sz w:val="20"/>
          <w:lang w:eastAsia="ko-KR"/>
        </w:rPr>
        <w:t>SENEPA, Statistical Section.</w:t>
      </w:r>
    </w:p>
    <w:p w:rsidR="00000000" w:rsidRDefault="00000000">
      <w:pPr>
        <w:rPr>
          <w:color w:val="333333"/>
          <w:szCs w:val="20"/>
        </w:rPr>
      </w:pPr>
    </w:p>
    <w:p w:rsidR="00000000" w:rsidRDefault="00000000">
      <w:pPr>
        <w:spacing w:after="240"/>
        <w:rPr>
          <w:bCs/>
        </w:rPr>
      </w:pPr>
      <w:r>
        <w:t>531</w:t>
      </w:r>
      <w:r>
        <w:rPr>
          <w:bCs/>
        </w:rPr>
        <w:t>.</w:t>
      </w:r>
      <w:r>
        <w:rPr>
          <w:bCs/>
        </w:rPr>
        <w:tab/>
        <w:t xml:space="preserve">Finally, it is important to emphasize that the aim of the programme is to reduce the number of cases of malaria in the endemic zones on the basis of an epidemiological stratification of risk in the geographical zones affected. The strategy is based on: </w:t>
      </w:r>
    </w:p>
    <w:p w:rsidR="00000000" w:rsidRDefault="00000000">
      <w:pPr>
        <w:spacing w:after="200"/>
        <w:rPr>
          <w:bCs/>
        </w:rPr>
      </w:pPr>
      <w:r>
        <w:rPr>
          <w:b/>
        </w:rPr>
        <w:tab/>
      </w:r>
      <w:r>
        <w:rPr>
          <w:bCs/>
        </w:rPr>
        <w:t>a)</w:t>
      </w:r>
      <w:r>
        <w:rPr>
          <w:bCs/>
        </w:rPr>
        <w:tab/>
        <w:t>Epidemiological approach according to priority of risks:</w:t>
      </w:r>
    </w:p>
    <w:p w:rsidR="00000000" w:rsidRDefault="00000000">
      <w:pPr>
        <w:spacing w:after="200"/>
        <w:ind w:left="1134" w:hanging="567"/>
        <w:rPr>
          <w:bCs/>
        </w:rPr>
      </w:pPr>
      <w:r>
        <w:rPr>
          <w:b/>
        </w:rPr>
        <w:tab/>
      </w:r>
      <w:r>
        <w:t>–</w:t>
      </w:r>
      <w:r>
        <w:rPr>
          <w:b/>
        </w:rPr>
        <w:tab/>
      </w:r>
      <w:r>
        <w:rPr>
          <w:bCs/>
        </w:rPr>
        <w:t xml:space="preserve">Stratification by intensity of incidence of malaria at departmental and district </w:t>
      </w:r>
      <w:r>
        <w:rPr>
          <w:bCs/>
        </w:rPr>
        <w:tab/>
        <w:t>levels</w:t>
      </w:r>
    </w:p>
    <w:p w:rsidR="00000000" w:rsidRDefault="00000000">
      <w:pPr>
        <w:spacing w:after="200"/>
        <w:ind w:firstLine="567"/>
        <w:rPr>
          <w:bCs/>
        </w:rPr>
      </w:pPr>
      <w:r>
        <w:rPr>
          <w:b/>
        </w:rPr>
        <w:tab/>
      </w:r>
      <w:r>
        <w:t>–</w:t>
      </w:r>
      <w:r>
        <w:rPr>
          <w:b/>
        </w:rPr>
        <w:tab/>
      </w:r>
      <w:r>
        <w:rPr>
          <w:bCs/>
        </w:rPr>
        <w:t>Determination of control objectives suitable for each local situation</w:t>
      </w:r>
    </w:p>
    <w:p w:rsidR="00000000" w:rsidRDefault="00000000">
      <w:pPr>
        <w:spacing w:after="200"/>
        <w:rPr>
          <w:bCs/>
        </w:rPr>
      </w:pPr>
      <w:r>
        <w:rPr>
          <w:b/>
        </w:rPr>
        <w:tab/>
      </w:r>
      <w:r>
        <w:rPr>
          <w:b/>
        </w:rPr>
        <w:tab/>
      </w:r>
      <w:r>
        <w:t>–</w:t>
      </w:r>
      <w:r>
        <w:rPr>
          <w:b/>
        </w:rPr>
        <w:tab/>
      </w:r>
      <w:r>
        <w:rPr>
          <w:bCs/>
        </w:rPr>
        <w:t>Identification of control measures at local level</w:t>
      </w:r>
    </w:p>
    <w:p w:rsidR="00000000" w:rsidRDefault="00000000">
      <w:pPr>
        <w:spacing w:after="200"/>
        <w:rPr>
          <w:bCs/>
        </w:rPr>
      </w:pPr>
      <w:r>
        <w:rPr>
          <w:bCs/>
        </w:rPr>
        <w:tab/>
        <w:t>b)</w:t>
      </w:r>
      <w:r>
        <w:rPr>
          <w:bCs/>
        </w:rPr>
        <w:tab/>
        <w:t xml:space="preserve">Priority treatment for sick persons: </w:t>
      </w:r>
    </w:p>
    <w:p w:rsidR="00000000" w:rsidRDefault="00000000">
      <w:pPr>
        <w:spacing w:after="200"/>
        <w:rPr>
          <w:bCs/>
        </w:rPr>
      </w:pPr>
      <w:r>
        <w:rPr>
          <w:b/>
        </w:rPr>
        <w:tab/>
      </w:r>
      <w:r>
        <w:rPr>
          <w:b/>
        </w:rPr>
        <w:tab/>
      </w:r>
      <w:r>
        <w:t>–</w:t>
      </w:r>
      <w:r>
        <w:rPr>
          <w:b/>
        </w:rPr>
        <w:tab/>
      </w:r>
      <w:r>
        <w:rPr>
          <w:bCs/>
        </w:rPr>
        <w:t>Early and precise diagnosis (clinical and parasitological)</w:t>
      </w:r>
    </w:p>
    <w:p w:rsidR="00000000" w:rsidRDefault="00000000">
      <w:pPr>
        <w:spacing w:after="200"/>
        <w:rPr>
          <w:bCs/>
        </w:rPr>
      </w:pPr>
      <w:r>
        <w:rPr>
          <w:b/>
        </w:rPr>
        <w:tab/>
      </w:r>
      <w:r>
        <w:rPr>
          <w:b/>
        </w:rPr>
        <w:tab/>
      </w:r>
      <w:r>
        <w:t>–</w:t>
      </w:r>
      <w:r>
        <w:rPr>
          <w:b/>
        </w:rPr>
        <w:tab/>
      </w:r>
      <w:r>
        <w:rPr>
          <w:bCs/>
        </w:rPr>
        <w:t>Timely and complete curative treatment</w:t>
      </w:r>
    </w:p>
    <w:p w:rsidR="00000000" w:rsidRDefault="00000000">
      <w:pPr>
        <w:spacing w:after="240"/>
        <w:rPr>
          <w:bCs/>
        </w:rPr>
      </w:pPr>
      <w:r>
        <w:rPr>
          <w:bCs/>
        </w:rPr>
        <w:tab/>
        <w:t>c)</w:t>
      </w:r>
      <w:r>
        <w:rPr>
          <w:bCs/>
        </w:rPr>
        <w:tab/>
        <w:t>Comprehensive control</w:t>
      </w:r>
    </w:p>
    <w:p w:rsidR="00000000" w:rsidRDefault="00000000">
      <w:pPr>
        <w:spacing w:after="240"/>
        <w:ind w:left="567" w:hanging="567"/>
        <w:rPr>
          <w:bCs/>
        </w:rPr>
      </w:pPr>
      <w:r>
        <w:rPr>
          <w:b/>
        </w:rPr>
        <w:tab/>
      </w:r>
      <w:r>
        <w:rPr>
          <w:b/>
        </w:rPr>
        <w:tab/>
      </w:r>
      <w:r>
        <w:t>–</w:t>
      </w:r>
      <w:r>
        <w:rPr>
          <w:b/>
        </w:rPr>
        <w:tab/>
      </w:r>
      <w:r>
        <w:rPr>
          <w:bCs/>
        </w:rPr>
        <w:t xml:space="preserve">Combined application of measures for control of local factors making for </w:t>
      </w:r>
      <w:r>
        <w:rPr>
          <w:bCs/>
        </w:rPr>
        <w:tab/>
      </w:r>
      <w:r>
        <w:rPr>
          <w:bCs/>
        </w:rPr>
        <w:tab/>
      </w:r>
      <w:r>
        <w:rPr>
          <w:bCs/>
        </w:rPr>
        <w:tab/>
        <w:t>transmission</w:t>
      </w:r>
    </w:p>
    <w:p w:rsidR="00000000" w:rsidRDefault="00000000">
      <w:pPr>
        <w:spacing w:after="240"/>
        <w:rPr>
          <w:bCs/>
        </w:rPr>
      </w:pPr>
      <w:r>
        <w:rPr>
          <w:b/>
        </w:rPr>
        <w:t>8.2.</w:t>
      </w:r>
      <w:r>
        <w:rPr>
          <w:b/>
        </w:rPr>
        <w:tab/>
        <w:t>Dengue</w:t>
      </w:r>
    </w:p>
    <w:p w:rsidR="00000000" w:rsidRDefault="00000000">
      <w:pPr>
        <w:spacing w:after="240"/>
        <w:rPr>
          <w:bCs/>
        </w:rPr>
      </w:pPr>
      <w:r>
        <w:rPr>
          <w:lang w:val="en-US"/>
        </w:rPr>
        <w:t>532</w:t>
      </w:r>
      <w:r>
        <w:rPr>
          <w:bCs/>
        </w:rPr>
        <w:t>.</w:t>
      </w:r>
      <w:r>
        <w:rPr>
          <w:bCs/>
        </w:rPr>
        <w:tab/>
        <w:t xml:space="preserve">Since 1997 the programme of vector control of dengue in Paraguay has been based on the objectives proposed by the countries of the region in the Continental Plan, which calls for increased measures to combat </w:t>
      </w:r>
      <w:r>
        <w:rPr>
          <w:bCs/>
          <w:i/>
          <w:iCs/>
        </w:rPr>
        <w:t>Aedes aegypti</w:t>
      </w:r>
      <w:r>
        <w:rPr>
          <w:bCs/>
        </w:rPr>
        <w:t xml:space="preserve"> with the support of communities to bring levels of infestation down to below 1 per cent and thus halt the spread of the dengue virus in the MERCOSUR region or avoid epidemics of uncontrollable magnitude. The Continental Plan sets down the principal lines of action, focussing on the elimination of breeding places for </w:t>
      </w:r>
      <w:r>
        <w:rPr>
          <w:bCs/>
          <w:i/>
          <w:iCs/>
        </w:rPr>
        <w:t>Ae. Aegypti</w:t>
      </w:r>
      <w:r>
        <w:rPr>
          <w:bCs/>
        </w:rPr>
        <w:t xml:space="preserve"> with citizen participation instead of relying solely on traditional chemical controls, as was the case previously. The roles of entomological vigilance and health promotion are crucial and decisive for the development of these activities jointly with communities. </w:t>
      </w:r>
    </w:p>
    <w:p w:rsidR="00000000" w:rsidRDefault="00000000">
      <w:pPr>
        <w:spacing w:after="240"/>
        <w:rPr>
          <w:bCs/>
        </w:rPr>
      </w:pPr>
      <w:r>
        <w:rPr>
          <w:lang w:val="en-US"/>
        </w:rPr>
        <w:t>533</w:t>
      </w:r>
      <w:r>
        <w:rPr>
          <w:bCs/>
        </w:rPr>
        <w:t>.</w:t>
      </w:r>
      <w:r>
        <w:rPr>
          <w:bCs/>
        </w:rPr>
        <w:tab/>
        <w:t xml:space="preserve">In 2001 there was an energetic launching of a new approach to the management of the programmes, offering a more holistic vision for the solution of the dengue problem based on health promotion. In accordance with Decision S.G. 597/2000, the National Dengue Control Plan is directed by the Directorate-General for Health Monitoring. That body is responsible primarily for the coordination of all the institutional elements in the public sector (central laboratory, health regions, health services, epidemiological monitoring, health promotion, vectoral control, etc.) and of ventures in the private sector, all directed towards reduction of the risk of transmission of this re-emerging disease. In that context the National Service for the Eradication of Malaria (SENEPA) plays an integral part in the approach to vector control; currently the technical information produced by that service and the organization of combat measures on a vector-by-vector basis through the Vectoral Dengue Control Programme serve as fundamental elements of support for the National Programme. </w:t>
      </w:r>
    </w:p>
    <w:p w:rsidR="00000000" w:rsidRDefault="00000000">
      <w:pPr>
        <w:spacing w:after="240"/>
        <w:rPr>
          <w:b/>
        </w:rPr>
      </w:pPr>
      <w:r>
        <w:rPr>
          <w:b/>
        </w:rPr>
        <w:t>8.3.  Chagas disease</w:t>
      </w:r>
    </w:p>
    <w:p w:rsidR="00000000" w:rsidRDefault="00000000">
      <w:pPr>
        <w:spacing w:after="240"/>
        <w:rPr>
          <w:bCs/>
        </w:rPr>
      </w:pPr>
      <w:r>
        <w:rPr>
          <w:lang w:val="en-US"/>
        </w:rPr>
        <w:t>534</w:t>
      </w:r>
      <w:r>
        <w:rPr>
          <w:bCs/>
        </w:rPr>
        <w:t>.</w:t>
      </w:r>
      <w:r>
        <w:rPr>
          <w:bCs/>
        </w:rPr>
        <w:tab/>
        <w:t xml:space="preserve">The Programme has envisaged the establishment of three types of entomological monitoring: 1) training of community leaders; 2) active participation by schools; 3) active and vertical monitoring through sampling, with particular emphasis on infested localities detected during entomological evaluations prior to chemical disinfection. </w:t>
      </w:r>
    </w:p>
    <w:p w:rsidR="00000000" w:rsidRDefault="00000000">
      <w:pPr>
        <w:spacing w:after="240"/>
        <w:rPr>
          <w:bCs/>
        </w:rPr>
      </w:pPr>
      <w:r>
        <w:rPr>
          <w:lang w:val="en-US"/>
        </w:rPr>
        <w:t>535</w:t>
      </w:r>
      <w:r>
        <w:rPr>
          <w:bCs/>
        </w:rPr>
        <w:t>.</w:t>
      </w:r>
      <w:r>
        <w:rPr>
          <w:bCs/>
        </w:rPr>
        <w:tab/>
        <w:t xml:space="preserve">Since 1999 greater care in the construction of basic entomological data has been observed; data has been collected on a house-to-house basis, and account has been taken of variables permitting the calculation of all the indictors in current use, such as infestation (within and around the dwelling); natural infection, settlements, overcrowding. This is an important step forward for purposes of analysis of and follow-up on results. </w:t>
      </w:r>
    </w:p>
    <w:p w:rsidR="00000000" w:rsidRDefault="00000000">
      <w:pPr>
        <w:spacing w:after="240"/>
        <w:rPr>
          <w:bCs/>
        </w:rPr>
      </w:pPr>
      <w:r>
        <w:rPr>
          <w:lang w:val="en-US"/>
        </w:rPr>
        <w:t>536</w:t>
      </w:r>
      <w:r>
        <w:rPr>
          <w:bCs/>
        </w:rPr>
        <w:t>.</w:t>
      </w:r>
      <w:r>
        <w:rPr>
          <w:bCs/>
        </w:rPr>
        <w:tab/>
        <w:t xml:space="preserve">Methodological adjustments have been developed permitting rationalized use of resources and guaranteeing continuity and contiguity of control activities in endemic areas prioritized according to the degree of risk. In addition, the system adopted for data collection, with infestation before and after spraying, together with the collection of specimens after chemical treatment in dwellings, permits closer epidemiological investigation or the identification of conditions of risk of presence of triatomine bugs, even in low-density conditions. </w:t>
      </w:r>
    </w:p>
    <w:p w:rsidR="00000000" w:rsidRDefault="00000000">
      <w:pPr>
        <w:spacing w:after="240"/>
        <w:rPr>
          <w:bCs/>
        </w:rPr>
      </w:pPr>
      <w:r>
        <w:rPr>
          <w:lang w:val="en-US"/>
        </w:rPr>
        <w:t>537</w:t>
      </w:r>
      <w:r>
        <w:rPr>
          <w:bCs/>
        </w:rPr>
        <w:t>.</w:t>
      </w:r>
      <w:r>
        <w:rPr>
          <w:bCs/>
        </w:rPr>
        <w:tab/>
        <w:t xml:space="preserve">The drop in </w:t>
      </w:r>
      <w:r>
        <w:rPr>
          <w:bCs/>
          <w:i/>
          <w:iCs/>
        </w:rPr>
        <w:t>T. infestans</w:t>
      </w:r>
      <w:r>
        <w:rPr>
          <w:bCs/>
        </w:rPr>
        <w:t xml:space="preserve"> infestation in homes in endemic areas in Paraguay has been considerable. In 2002 vector transmission by </w:t>
      </w:r>
      <w:r>
        <w:rPr>
          <w:bCs/>
          <w:i/>
          <w:iCs/>
        </w:rPr>
        <w:t>T. infestans</w:t>
      </w:r>
      <w:r>
        <w:rPr>
          <w:bCs/>
        </w:rPr>
        <w:t xml:space="preserve">  in the Arambay department was completely halted (international certification). Strategies of measured monitoring and control measures have been developed permitting the maintenance of the current epidemiological situation and progress towards the final objective: the eradication of </w:t>
      </w:r>
      <w:r>
        <w:rPr>
          <w:bCs/>
          <w:i/>
          <w:iCs/>
        </w:rPr>
        <w:t>Triatoma infestans</w:t>
      </w:r>
      <w:r>
        <w:rPr>
          <w:bCs/>
        </w:rPr>
        <w:t xml:space="preserve">. </w:t>
      </w:r>
    </w:p>
    <w:p w:rsidR="00000000" w:rsidRDefault="00000000">
      <w:pPr>
        <w:spacing w:after="220"/>
        <w:rPr>
          <w:bCs/>
        </w:rPr>
      </w:pPr>
      <w:r>
        <w:rPr>
          <w:lang w:val="en-US"/>
        </w:rPr>
        <w:t>538</w:t>
      </w:r>
      <w:r>
        <w:rPr>
          <w:bCs/>
        </w:rPr>
        <w:t>.</w:t>
      </w:r>
      <w:r>
        <w:rPr>
          <w:bCs/>
        </w:rPr>
        <w:tab/>
        <w:t xml:space="preserve">Community participation is being secured through joint participation of the Programme for the Combat and Eradication of Chagas Disease in Paraguay and departmental education systems in monitoring operations which involve both schoolchildren and the community in activities of reporting focal points and improving housing conditions. The results of these activities have been the presence of trained community leaders, active monitoring on a sampling basis and “Chagas week” school activities. </w:t>
      </w:r>
    </w:p>
    <w:p w:rsidR="00000000" w:rsidRDefault="00000000">
      <w:pPr>
        <w:spacing w:after="220"/>
        <w:rPr>
          <w:b/>
        </w:rPr>
      </w:pPr>
      <w:r>
        <w:rPr>
          <w:b/>
        </w:rPr>
        <w:t>8.4.  Yellow fever</w:t>
      </w:r>
    </w:p>
    <w:p w:rsidR="00000000" w:rsidRDefault="00000000">
      <w:pPr>
        <w:spacing w:after="220"/>
        <w:rPr>
          <w:bCs/>
          <w:spacing w:val="-2"/>
        </w:rPr>
      </w:pPr>
      <w:r>
        <w:rPr>
          <w:spacing w:val="-2"/>
          <w:lang w:val="en-US"/>
        </w:rPr>
        <w:t>539</w:t>
      </w:r>
      <w:r>
        <w:rPr>
          <w:bCs/>
          <w:spacing w:val="-2"/>
        </w:rPr>
        <w:t>.</w:t>
      </w:r>
      <w:r>
        <w:rPr>
          <w:bCs/>
          <w:spacing w:val="-2"/>
        </w:rPr>
        <w:tab/>
        <w:t xml:space="preserve">During the last 10 years there have been no reported cases of yellow fever; however, owing to the high levels of </w:t>
      </w:r>
      <w:r>
        <w:rPr>
          <w:bCs/>
          <w:i/>
          <w:iCs/>
          <w:spacing w:val="-2"/>
        </w:rPr>
        <w:t>Aedes aegypti</w:t>
      </w:r>
      <w:r>
        <w:rPr>
          <w:bCs/>
          <w:spacing w:val="-2"/>
        </w:rPr>
        <w:t xml:space="preserve"> infestation and reported cases in neighbouring countries, Paraguay is still on epidemiological alert. The epidemiological situation regarding yellow fever in countries bordering on Paraguay and a 5 per cent increase in the level of </w:t>
      </w:r>
      <w:r>
        <w:rPr>
          <w:bCs/>
          <w:i/>
          <w:iCs/>
          <w:spacing w:val="-2"/>
        </w:rPr>
        <w:t>A. aegypti</w:t>
      </w:r>
      <w:r>
        <w:rPr>
          <w:bCs/>
          <w:spacing w:val="-2"/>
        </w:rPr>
        <w:t xml:space="preserve"> infestation suggests that there is a considerable risk of possible circulation and appearance of cases of urban yellow fever. No suspicious cases have been reported. The monitoring system has introduced immediate notification and the taking of samples in all suspicious cases and a diagnosis by the Central Public Health Laboratory using serological analysis by the ELISA  IgM method in use since 2001.</w:t>
      </w:r>
    </w:p>
    <w:p w:rsidR="00000000" w:rsidRDefault="00000000">
      <w:pPr>
        <w:spacing w:after="220"/>
        <w:rPr>
          <w:bCs/>
        </w:rPr>
      </w:pPr>
      <w:r>
        <w:rPr>
          <w:lang w:val="en-US"/>
        </w:rPr>
        <w:t>540</w:t>
      </w:r>
      <w:r>
        <w:rPr>
          <w:bCs/>
        </w:rPr>
        <w:t>.</w:t>
      </w:r>
      <w:r>
        <w:rPr>
          <w:bCs/>
        </w:rPr>
        <w:tab/>
        <w:t xml:space="preserve">In 2001 the Ministry of Public Health and Social Welfare initiated an anti-yellow fever vaccination plan conducted in stages with the general objective of preventing the appearance of yellow fever in Paraguay. Vaccination is destined for persons over one year of age in accordance with risk zones and the availability of vaccines. </w:t>
      </w:r>
    </w:p>
    <w:p w:rsidR="00000000" w:rsidRDefault="00000000">
      <w:pPr>
        <w:spacing w:after="220"/>
        <w:rPr>
          <w:bCs/>
        </w:rPr>
      </w:pPr>
      <w:r>
        <w:rPr>
          <w:lang w:val="en-US"/>
        </w:rPr>
        <w:t>541</w:t>
      </w:r>
      <w:r>
        <w:rPr>
          <w:bCs/>
        </w:rPr>
        <w:t>.</w:t>
      </w:r>
      <w:r>
        <w:rPr>
          <w:bCs/>
        </w:rPr>
        <w:tab/>
        <w:t xml:space="preserve">The first stage consisted of the vaccination of 280,000 inhabitants of areas bordering on endemic countries (Boquerón, Alto Paraguay, the northern zone of Pte. Hayes and Amambay) and travellers from all parts of the country going to endemic zones.  Beginning in 2002, the populations of Concepción, Canindeyú and Alto Paraná were covered. In 2003, to advance with the prevention of yellow fever, the entire population between ages 1 and 4 years was vaccinated within the  framework of the follow-up campaign for the eradication of measles in the seven frontier departments. </w:t>
      </w:r>
    </w:p>
    <w:p w:rsidR="00000000" w:rsidRDefault="00000000">
      <w:pPr>
        <w:spacing w:after="220"/>
        <w:rPr>
          <w:bCs/>
        </w:rPr>
      </w:pPr>
      <w:r>
        <w:rPr>
          <w:lang w:val="en-US"/>
        </w:rPr>
        <w:t>542</w:t>
      </w:r>
      <w:r>
        <w:rPr>
          <w:bCs/>
        </w:rPr>
        <w:t>.</w:t>
      </w:r>
      <w:r>
        <w:rPr>
          <w:bCs/>
        </w:rPr>
        <w:tab/>
        <w:t xml:space="preserve">Vaccination coverage against yellow fever in the different health regions involved in the campaign is not homogeneous. However, in view of international commitments, an evaluation of progress made has been carried out, redefinng targets and strategies in the light of the risk situation in each of the affected regions. The extent of vaccination coverage reported by the regions included in the Plan is shown in the following table. </w:t>
      </w:r>
    </w:p>
    <w:p w:rsidR="00000000" w:rsidRDefault="00000000">
      <w:pPr>
        <w:pStyle w:val="BodyText2"/>
        <w:spacing w:after="220" w:line="240" w:lineRule="auto"/>
        <w:jc w:val="center"/>
        <w:rPr>
          <w:b/>
          <w:color w:val="333333"/>
          <w:sz w:val="22"/>
          <w:szCs w:val="20"/>
        </w:rPr>
      </w:pPr>
      <w:r>
        <w:rPr>
          <w:b/>
          <w:color w:val="333333"/>
          <w:sz w:val="22"/>
          <w:szCs w:val="20"/>
        </w:rPr>
        <w:t>Paraguay: Coverage of yellow fever vaccination by health region, 2001-2004</w:t>
      </w:r>
    </w:p>
    <w:tbl>
      <w:tblPr>
        <w:tblW w:w="5000" w:type="pct"/>
        <w:jc w:val="center"/>
        <w:tblLayout w:type="fixed"/>
        <w:tblCellMar>
          <w:left w:w="0" w:type="dxa"/>
          <w:right w:w="0" w:type="dxa"/>
        </w:tblCellMar>
        <w:tblLook w:val="01E0" w:firstRow="1" w:lastRow="1" w:firstColumn="1" w:lastColumn="1" w:noHBand="0" w:noVBand="0"/>
      </w:tblPr>
      <w:tblGrid>
        <w:gridCol w:w="1663"/>
        <w:gridCol w:w="2383"/>
        <w:gridCol w:w="2394"/>
        <w:gridCol w:w="2989"/>
      </w:tblGrid>
      <w:tr w:rsidR="00000000">
        <w:trPr>
          <w:jc w:val="center"/>
        </w:trPr>
        <w:tc>
          <w:tcPr>
            <w:tcW w:w="1663" w:type="dxa"/>
            <w:tcBorders>
              <w:top w:val="single" w:sz="4" w:space="0" w:color="auto"/>
              <w:bottom w:val="single" w:sz="4" w:space="0" w:color="auto"/>
            </w:tcBorders>
          </w:tcPr>
          <w:p w:rsidR="00000000" w:rsidRDefault="00000000">
            <w:pPr>
              <w:pStyle w:val="BodyText2"/>
              <w:widowControl w:val="0"/>
              <w:spacing w:before="60" w:after="60" w:line="240" w:lineRule="auto"/>
              <w:jc w:val="center"/>
              <w:rPr>
                <w:b/>
                <w:i/>
                <w:iCs/>
                <w:color w:val="333333"/>
                <w:sz w:val="20"/>
                <w:szCs w:val="18"/>
              </w:rPr>
            </w:pPr>
            <w:r>
              <w:rPr>
                <w:b/>
                <w:i/>
                <w:iCs/>
                <w:color w:val="333333"/>
                <w:sz w:val="20"/>
                <w:szCs w:val="18"/>
              </w:rPr>
              <w:t>Region</w:t>
            </w:r>
          </w:p>
        </w:tc>
        <w:tc>
          <w:tcPr>
            <w:tcW w:w="2381" w:type="dxa"/>
            <w:tcBorders>
              <w:top w:val="single" w:sz="4" w:space="0" w:color="auto"/>
              <w:bottom w:val="single" w:sz="4" w:space="0" w:color="auto"/>
            </w:tcBorders>
          </w:tcPr>
          <w:p w:rsidR="00000000" w:rsidRDefault="00000000">
            <w:pPr>
              <w:pStyle w:val="BodyText2"/>
              <w:widowControl w:val="0"/>
              <w:spacing w:before="60" w:after="60" w:line="240" w:lineRule="auto"/>
              <w:jc w:val="center"/>
              <w:rPr>
                <w:b/>
                <w:i/>
                <w:iCs/>
                <w:color w:val="333333"/>
                <w:sz w:val="20"/>
                <w:szCs w:val="18"/>
              </w:rPr>
            </w:pPr>
            <w:r>
              <w:rPr>
                <w:b/>
                <w:i/>
                <w:iCs/>
                <w:color w:val="333333"/>
                <w:sz w:val="20"/>
                <w:szCs w:val="18"/>
              </w:rPr>
              <w:t>Population</w:t>
            </w:r>
          </w:p>
        </w:tc>
        <w:tc>
          <w:tcPr>
            <w:tcW w:w="2392" w:type="dxa"/>
            <w:tcBorders>
              <w:top w:val="single" w:sz="4" w:space="0" w:color="auto"/>
              <w:bottom w:val="single" w:sz="4" w:space="0" w:color="auto"/>
            </w:tcBorders>
          </w:tcPr>
          <w:p w:rsidR="00000000" w:rsidRDefault="00000000">
            <w:pPr>
              <w:pStyle w:val="BodyText2"/>
              <w:widowControl w:val="0"/>
              <w:spacing w:before="60" w:after="60" w:line="240" w:lineRule="auto"/>
              <w:jc w:val="center"/>
              <w:rPr>
                <w:b/>
                <w:i/>
                <w:iCs/>
                <w:color w:val="333333"/>
                <w:sz w:val="20"/>
                <w:szCs w:val="18"/>
              </w:rPr>
            </w:pPr>
            <w:r>
              <w:rPr>
                <w:b/>
                <w:i/>
                <w:iCs/>
                <w:color w:val="333333"/>
                <w:sz w:val="20"/>
                <w:szCs w:val="18"/>
              </w:rPr>
              <w:t>Vaccinated</w:t>
            </w:r>
          </w:p>
        </w:tc>
        <w:tc>
          <w:tcPr>
            <w:tcW w:w="2987" w:type="dxa"/>
            <w:tcBorders>
              <w:top w:val="single" w:sz="4" w:space="0" w:color="auto"/>
              <w:bottom w:val="single" w:sz="4" w:space="0" w:color="auto"/>
            </w:tcBorders>
          </w:tcPr>
          <w:p w:rsidR="00000000" w:rsidRDefault="00000000">
            <w:pPr>
              <w:pStyle w:val="BodyText2"/>
              <w:widowControl w:val="0"/>
              <w:spacing w:before="60" w:after="60" w:line="240" w:lineRule="auto"/>
              <w:jc w:val="center"/>
              <w:rPr>
                <w:b/>
                <w:i/>
                <w:iCs/>
                <w:color w:val="333333"/>
                <w:sz w:val="20"/>
                <w:szCs w:val="18"/>
              </w:rPr>
            </w:pPr>
            <w:r>
              <w:rPr>
                <w:b/>
                <w:i/>
                <w:iCs/>
                <w:color w:val="333333"/>
                <w:sz w:val="20"/>
                <w:szCs w:val="18"/>
              </w:rPr>
              <w:t>% coverage</w:t>
            </w:r>
          </w:p>
        </w:tc>
      </w:tr>
      <w:tr w:rsidR="00000000">
        <w:trPr>
          <w:jc w:val="center"/>
        </w:trPr>
        <w:tc>
          <w:tcPr>
            <w:tcW w:w="1663" w:type="dxa"/>
            <w:tcBorders>
              <w:top w:val="single" w:sz="4" w:space="0" w:color="auto"/>
            </w:tcBorders>
            <w:vAlign w:val="bottom"/>
          </w:tcPr>
          <w:p w:rsidR="00000000" w:rsidRDefault="00000000">
            <w:pPr>
              <w:widowControl w:val="0"/>
              <w:spacing w:before="60" w:after="60"/>
              <w:rPr>
                <w:color w:val="333333"/>
                <w:sz w:val="20"/>
                <w:szCs w:val="18"/>
                <w:lang w:val="pt-BR"/>
              </w:rPr>
            </w:pPr>
            <w:r>
              <w:rPr>
                <w:color w:val="333333"/>
                <w:sz w:val="20"/>
                <w:szCs w:val="18"/>
                <w:lang w:val="pt-BR"/>
              </w:rPr>
              <w:t>Boquerón</w:t>
            </w:r>
          </w:p>
        </w:tc>
        <w:tc>
          <w:tcPr>
            <w:tcW w:w="2381" w:type="dxa"/>
            <w:tcBorders>
              <w:top w:val="single" w:sz="4" w:space="0" w:color="auto"/>
            </w:tcBorders>
            <w:vAlign w:val="bottom"/>
          </w:tcPr>
          <w:p w:rsidR="00000000" w:rsidRDefault="00000000">
            <w:pPr>
              <w:widowControl w:val="0"/>
              <w:spacing w:before="60" w:after="60"/>
              <w:ind w:right="851"/>
              <w:jc w:val="right"/>
              <w:rPr>
                <w:color w:val="333333"/>
                <w:sz w:val="20"/>
                <w:szCs w:val="18"/>
                <w:lang w:val="pt-BR"/>
              </w:rPr>
            </w:pPr>
            <w:r>
              <w:rPr>
                <w:color w:val="333333"/>
                <w:sz w:val="20"/>
                <w:szCs w:val="18"/>
                <w:lang w:val="pt-BR"/>
              </w:rPr>
              <w:t>32 345</w:t>
            </w:r>
          </w:p>
        </w:tc>
        <w:tc>
          <w:tcPr>
            <w:tcW w:w="2392" w:type="dxa"/>
            <w:tcBorders>
              <w:top w:val="single" w:sz="4" w:space="0" w:color="auto"/>
            </w:tcBorders>
            <w:vAlign w:val="bottom"/>
          </w:tcPr>
          <w:p w:rsidR="00000000" w:rsidRDefault="00000000">
            <w:pPr>
              <w:widowControl w:val="0"/>
              <w:spacing w:before="60" w:after="60"/>
              <w:ind w:right="851"/>
              <w:jc w:val="right"/>
              <w:rPr>
                <w:color w:val="333333"/>
                <w:sz w:val="20"/>
                <w:szCs w:val="18"/>
                <w:lang w:val="pt-BR"/>
              </w:rPr>
            </w:pPr>
            <w:r>
              <w:rPr>
                <w:color w:val="333333"/>
                <w:sz w:val="20"/>
                <w:szCs w:val="18"/>
                <w:lang w:val="pt-BR"/>
              </w:rPr>
              <w:t>39 579</w:t>
            </w:r>
          </w:p>
        </w:tc>
        <w:tc>
          <w:tcPr>
            <w:tcW w:w="2987" w:type="dxa"/>
            <w:tcBorders>
              <w:top w:val="single" w:sz="4" w:space="0" w:color="auto"/>
            </w:tcBorders>
            <w:vAlign w:val="bottom"/>
          </w:tcPr>
          <w:p w:rsidR="00000000" w:rsidRDefault="00000000">
            <w:pPr>
              <w:widowControl w:val="0"/>
              <w:spacing w:before="60" w:after="60"/>
              <w:jc w:val="center"/>
              <w:rPr>
                <w:color w:val="333333"/>
                <w:sz w:val="20"/>
                <w:szCs w:val="18"/>
                <w:lang w:val="pt-BR"/>
              </w:rPr>
            </w:pPr>
            <w:r>
              <w:rPr>
                <w:color w:val="333333"/>
                <w:sz w:val="20"/>
                <w:szCs w:val="18"/>
                <w:lang w:val="pt-BR"/>
              </w:rPr>
              <w:t>82</w:t>
            </w:r>
          </w:p>
        </w:tc>
      </w:tr>
      <w:tr w:rsidR="00000000">
        <w:trPr>
          <w:jc w:val="center"/>
        </w:trPr>
        <w:tc>
          <w:tcPr>
            <w:tcW w:w="1663" w:type="dxa"/>
            <w:vAlign w:val="bottom"/>
          </w:tcPr>
          <w:p w:rsidR="00000000" w:rsidRDefault="00000000">
            <w:pPr>
              <w:widowControl w:val="0"/>
              <w:spacing w:before="60" w:after="60"/>
              <w:rPr>
                <w:color w:val="333333"/>
                <w:sz w:val="20"/>
                <w:szCs w:val="18"/>
                <w:lang w:val="pt-BR"/>
              </w:rPr>
            </w:pPr>
            <w:r>
              <w:rPr>
                <w:color w:val="333333"/>
                <w:sz w:val="20"/>
                <w:szCs w:val="18"/>
                <w:lang w:val="pt-BR"/>
              </w:rPr>
              <w:t>Alto Paraguay</w:t>
            </w:r>
          </w:p>
        </w:tc>
        <w:tc>
          <w:tcPr>
            <w:tcW w:w="2381" w:type="dxa"/>
            <w:vAlign w:val="bottom"/>
          </w:tcPr>
          <w:p w:rsidR="00000000" w:rsidRDefault="00000000">
            <w:pPr>
              <w:widowControl w:val="0"/>
              <w:spacing w:before="60" w:after="60"/>
              <w:ind w:right="851"/>
              <w:jc w:val="right"/>
              <w:rPr>
                <w:color w:val="333333"/>
                <w:sz w:val="20"/>
                <w:szCs w:val="18"/>
                <w:lang w:val="pt-BR"/>
              </w:rPr>
            </w:pPr>
            <w:r>
              <w:rPr>
                <w:color w:val="333333"/>
                <w:sz w:val="20"/>
                <w:szCs w:val="18"/>
                <w:lang w:val="pt-BR"/>
              </w:rPr>
              <w:t>9 136</w:t>
            </w:r>
          </w:p>
        </w:tc>
        <w:tc>
          <w:tcPr>
            <w:tcW w:w="2392" w:type="dxa"/>
            <w:vAlign w:val="bottom"/>
          </w:tcPr>
          <w:p w:rsidR="00000000" w:rsidRDefault="00000000">
            <w:pPr>
              <w:widowControl w:val="0"/>
              <w:spacing w:before="60" w:after="60"/>
              <w:ind w:right="851"/>
              <w:jc w:val="right"/>
              <w:rPr>
                <w:color w:val="333333"/>
                <w:sz w:val="20"/>
                <w:szCs w:val="18"/>
                <w:lang w:val="pt-BR"/>
              </w:rPr>
            </w:pPr>
            <w:r>
              <w:rPr>
                <w:color w:val="333333"/>
                <w:sz w:val="20"/>
                <w:szCs w:val="18"/>
                <w:lang w:val="pt-BR"/>
              </w:rPr>
              <w:t>11 228</w:t>
            </w:r>
          </w:p>
        </w:tc>
        <w:tc>
          <w:tcPr>
            <w:tcW w:w="2987" w:type="dxa"/>
            <w:vAlign w:val="bottom"/>
          </w:tcPr>
          <w:p w:rsidR="00000000" w:rsidRDefault="00000000">
            <w:pPr>
              <w:widowControl w:val="0"/>
              <w:spacing w:before="60" w:after="60"/>
              <w:jc w:val="center"/>
              <w:rPr>
                <w:color w:val="333333"/>
                <w:sz w:val="20"/>
                <w:szCs w:val="18"/>
                <w:lang w:val="pt-BR"/>
              </w:rPr>
            </w:pPr>
            <w:r>
              <w:rPr>
                <w:color w:val="333333"/>
                <w:sz w:val="20"/>
                <w:szCs w:val="18"/>
                <w:lang w:val="pt-BR"/>
              </w:rPr>
              <w:t>81</w:t>
            </w:r>
          </w:p>
        </w:tc>
      </w:tr>
      <w:tr w:rsidR="00000000">
        <w:trPr>
          <w:jc w:val="center"/>
        </w:trPr>
        <w:tc>
          <w:tcPr>
            <w:tcW w:w="1663" w:type="dxa"/>
            <w:vAlign w:val="bottom"/>
          </w:tcPr>
          <w:p w:rsidR="00000000" w:rsidRDefault="00000000">
            <w:pPr>
              <w:widowControl w:val="0"/>
              <w:spacing w:before="60" w:after="60"/>
              <w:rPr>
                <w:color w:val="333333"/>
                <w:sz w:val="20"/>
                <w:szCs w:val="18"/>
                <w:lang w:val="pt-BR"/>
              </w:rPr>
            </w:pPr>
            <w:r>
              <w:rPr>
                <w:color w:val="333333"/>
                <w:sz w:val="20"/>
                <w:szCs w:val="18"/>
                <w:lang w:val="pt-BR"/>
              </w:rPr>
              <w:t>Presidente Hayes</w:t>
            </w:r>
          </w:p>
        </w:tc>
        <w:tc>
          <w:tcPr>
            <w:tcW w:w="2381" w:type="dxa"/>
            <w:vAlign w:val="bottom"/>
          </w:tcPr>
          <w:p w:rsidR="00000000" w:rsidRDefault="00000000">
            <w:pPr>
              <w:widowControl w:val="0"/>
              <w:spacing w:before="60" w:after="60"/>
              <w:ind w:right="851"/>
              <w:jc w:val="right"/>
              <w:rPr>
                <w:color w:val="333333"/>
                <w:sz w:val="20"/>
                <w:szCs w:val="18"/>
                <w:lang w:val="pt-BR"/>
              </w:rPr>
            </w:pPr>
            <w:r>
              <w:rPr>
                <w:color w:val="333333"/>
                <w:sz w:val="20"/>
                <w:szCs w:val="18"/>
                <w:lang w:val="pt-BR"/>
              </w:rPr>
              <w:t>26 121</w:t>
            </w:r>
          </w:p>
        </w:tc>
        <w:tc>
          <w:tcPr>
            <w:tcW w:w="2392" w:type="dxa"/>
            <w:vAlign w:val="bottom"/>
          </w:tcPr>
          <w:p w:rsidR="00000000" w:rsidRDefault="00000000">
            <w:pPr>
              <w:widowControl w:val="0"/>
              <w:spacing w:before="60" w:after="60"/>
              <w:ind w:right="851"/>
              <w:jc w:val="right"/>
              <w:rPr>
                <w:color w:val="333333"/>
                <w:sz w:val="20"/>
                <w:szCs w:val="18"/>
                <w:lang w:val="pt-BR"/>
              </w:rPr>
            </w:pPr>
            <w:r>
              <w:rPr>
                <w:color w:val="333333"/>
                <w:sz w:val="20"/>
                <w:szCs w:val="18"/>
                <w:lang w:val="pt-BR"/>
              </w:rPr>
              <w:t>86 295</w:t>
            </w:r>
          </w:p>
        </w:tc>
        <w:tc>
          <w:tcPr>
            <w:tcW w:w="2987" w:type="dxa"/>
            <w:vAlign w:val="bottom"/>
          </w:tcPr>
          <w:p w:rsidR="00000000" w:rsidRDefault="00000000">
            <w:pPr>
              <w:widowControl w:val="0"/>
              <w:spacing w:before="60" w:after="60"/>
              <w:jc w:val="center"/>
              <w:rPr>
                <w:color w:val="333333"/>
                <w:sz w:val="20"/>
                <w:szCs w:val="18"/>
                <w:lang w:val="pt-BR"/>
              </w:rPr>
            </w:pPr>
            <w:r>
              <w:rPr>
                <w:color w:val="333333"/>
                <w:sz w:val="20"/>
                <w:szCs w:val="18"/>
                <w:lang w:val="pt-BR"/>
              </w:rPr>
              <w:t>30</w:t>
            </w:r>
          </w:p>
        </w:tc>
      </w:tr>
      <w:tr w:rsidR="00000000">
        <w:trPr>
          <w:jc w:val="center"/>
        </w:trPr>
        <w:tc>
          <w:tcPr>
            <w:tcW w:w="1663" w:type="dxa"/>
            <w:vAlign w:val="bottom"/>
          </w:tcPr>
          <w:p w:rsidR="00000000" w:rsidRDefault="00000000">
            <w:pPr>
              <w:widowControl w:val="0"/>
              <w:spacing w:before="60" w:after="60"/>
              <w:rPr>
                <w:color w:val="333333"/>
                <w:sz w:val="20"/>
                <w:szCs w:val="18"/>
                <w:lang w:val="pt-BR"/>
              </w:rPr>
            </w:pPr>
            <w:r>
              <w:rPr>
                <w:color w:val="333333"/>
                <w:sz w:val="20"/>
                <w:szCs w:val="18"/>
                <w:lang w:val="pt-BR"/>
              </w:rPr>
              <w:t>Concepción</w:t>
            </w:r>
          </w:p>
        </w:tc>
        <w:tc>
          <w:tcPr>
            <w:tcW w:w="2381" w:type="dxa"/>
            <w:vAlign w:val="bottom"/>
          </w:tcPr>
          <w:p w:rsidR="00000000" w:rsidRDefault="00000000">
            <w:pPr>
              <w:widowControl w:val="0"/>
              <w:spacing w:before="60" w:after="60"/>
              <w:ind w:right="851"/>
              <w:jc w:val="right"/>
              <w:rPr>
                <w:color w:val="333333"/>
                <w:sz w:val="20"/>
                <w:szCs w:val="18"/>
                <w:lang w:val="pt-BR"/>
              </w:rPr>
            </w:pPr>
            <w:r>
              <w:rPr>
                <w:color w:val="333333"/>
                <w:sz w:val="20"/>
                <w:szCs w:val="18"/>
                <w:lang w:val="pt-BR"/>
              </w:rPr>
              <w:t>31 812</w:t>
            </w:r>
          </w:p>
        </w:tc>
        <w:tc>
          <w:tcPr>
            <w:tcW w:w="2392" w:type="dxa"/>
            <w:vAlign w:val="bottom"/>
          </w:tcPr>
          <w:p w:rsidR="00000000" w:rsidRDefault="00000000">
            <w:pPr>
              <w:widowControl w:val="0"/>
              <w:spacing w:before="60" w:after="60"/>
              <w:ind w:right="851"/>
              <w:jc w:val="right"/>
              <w:rPr>
                <w:color w:val="333333"/>
                <w:sz w:val="20"/>
                <w:szCs w:val="18"/>
                <w:lang w:val="pt-BR"/>
              </w:rPr>
            </w:pPr>
            <w:r>
              <w:rPr>
                <w:color w:val="333333"/>
                <w:sz w:val="20"/>
                <w:szCs w:val="18"/>
                <w:lang w:val="pt-BR"/>
              </w:rPr>
              <w:t>191 226</w:t>
            </w:r>
          </w:p>
        </w:tc>
        <w:tc>
          <w:tcPr>
            <w:tcW w:w="2987" w:type="dxa"/>
            <w:vAlign w:val="bottom"/>
          </w:tcPr>
          <w:p w:rsidR="00000000" w:rsidRDefault="00000000">
            <w:pPr>
              <w:widowControl w:val="0"/>
              <w:spacing w:before="60" w:after="60"/>
              <w:jc w:val="center"/>
              <w:rPr>
                <w:color w:val="333333"/>
                <w:sz w:val="20"/>
                <w:szCs w:val="18"/>
                <w:lang w:val="pt-BR"/>
              </w:rPr>
            </w:pPr>
            <w:r>
              <w:rPr>
                <w:color w:val="333333"/>
                <w:sz w:val="20"/>
                <w:szCs w:val="18"/>
                <w:lang w:val="pt-BR"/>
              </w:rPr>
              <w:t>17</w:t>
            </w:r>
          </w:p>
        </w:tc>
      </w:tr>
      <w:tr w:rsidR="00000000">
        <w:trPr>
          <w:jc w:val="center"/>
        </w:trPr>
        <w:tc>
          <w:tcPr>
            <w:tcW w:w="1663" w:type="dxa"/>
            <w:vAlign w:val="bottom"/>
          </w:tcPr>
          <w:p w:rsidR="00000000" w:rsidRDefault="00000000">
            <w:pPr>
              <w:widowControl w:val="0"/>
              <w:spacing w:before="60" w:after="60"/>
              <w:rPr>
                <w:color w:val="333333"/>
                <w:sz w:val="20"/>
                <w:szCs w:val="18"/>
                <w:lang w:val="pt-BR"/>
              </w:rPr>
            </w:pPr>
            <w:r>
              <w:rPr>
                <w:color w:val="333333"/>
                <w:sz w:val="20"/>
                <w:szCs w:val="18"/>
                <w:lang w:val="pt-BR"/>
              </w:rPr>
              <w:t>Amambay</w:t>
            </w:r>
          </w:p>
        </w:tc>
        <w:tc>
          <w:tcPr>
            <w:tcW w:w="2381" w:type="dxa"/>
            <w:vAlign w:val="bottom"/>
          </w:tcPr>
          <w:p w:rsidR="00000000" w:rsidRDefault="00000000">
            <w:pPr>
              <w:widowControl w:val="0"/>
              <w:spacing w:before="60" w:after="60"/>
              <w:ind w:right="851"/>
              <w:jc w:val="right"/>
              <w:rPr>
                <w:color w:val="333333"/>
                <w:sz w:val="20"/>
                <w:szCs w:val="18"/>
                <w:lang w:val="pt-BR"/>
              </w:rPr>
            </w:pPr>
            <w:r>
              <w:rPr>
                <w:color w:val="333333"/>
                <w:sz w:val="20"/>
                <w:szCs w:val="18"/>
                <w:lang w:val="pt-BR"/>
              </w:rPr>
              <w:t>16 383</w:t>
            </w:r>
          </w:p>
        </w:tc>
        <w:tc>
          <w:tcPr>
            <w:tcW w:w="2392" w:type="dxa"/>
            <w:vAlign w:val="bottom"/>
          </w:tcPr>
          <w:p w:rsidR="00000000" w:rsidRDefault="00000000">
            <w:pPr>
              <w:widowControl w:val="0"/>
              <w:spacing w:before="60" w:after="60"/>
              <w:ind w:right="851"/>
              <w:jc w:val="right"/>
              <w:rPr>
                <w:color w:val="333333"/>
                <w:sz w:val="20"/>
                <w:szCs w:val="18"/>
                <w:lang w:val="pt-BR"/>
              </w:rPr>
            </w:pPr>
            <w:r>
              <w:rPr>
                <w:color w:val="333333"/>
                <w:sz w:val="20"/>
                <w:szCs w:val="18"/>
                <w:lang w:val="pt-BR"/>
              </w:rPr>
              <w:t>110 782</w:t>
            </w:r>
          </w:p>
        </w:tc>
        <w:tc>
          <w:tcPr>
            <w:tcW w:w="2987" w:type="dxa"/>
            <w:vAlign w:val="bottom"/>
          </w:tcPr>
          <w:p w:rsidR="00000000" w:rsidRDefault="00000000">
            <w:pPr>
              <w:widowControl w:val="0"/>
              <w:spacing w:before="60" w:after="60"/>
              <w:jc w:val="center"/>
              <w:rPr>
                <w:color w:val="333333"/>
                <w:sz w:val="20"/>
                <w:szCs w:val="18"/>
                <w:lang w:val="pt-BR"/>
              </w:rPr>
            </w:pPr>
            <w:r>
              <w:rPr>
                <w:color w:val="333333"/>
                <w:sz w:val="20"/>
                <w:szCs w:val="18"/>
                <w:lang w:val="pt-BR"/>
              </w:rPr>
              <w:t>15</w:t>
            </w:r>
          </w:p>
        </w:tc>
      </w:tr>
      <w:tr w:rsidR="00000000">
        <w:trPr>
          <w:jc w:val="center"/>
        </w:trPr>
        <w:tc>
          <w:tcPr>
            <w:tcW w:w="1663" w:type="dxa"/>
            <w:vAlign w:val="bottom"/>
          </w:tcPr>
          <w:p w:rsidR="00000000" w:rsidRDefault="00000000">
            <w:pPr>
              <w:widowControl w:val="0"/>
              <w:spacing w:before="60" w:after="60"/>
              <w:rPr>
                <w:color w:val="333333"/>
                <w:sz w:val="20"/>
                <w:szCs w:val="18"/>
                <w:lang w:val="pt-BR"/>
              </w:rPr>
            </w:pPr>
            <w:r>
              <w:rPr>
                <w:color w:val="333333"/>
                <w:sz w:val="20"/>
                <w:szCs w:val="18"/>
                <w:lang w:val="pt-BR"/>
              </w:rPr>
              <w:t>Canindeyú</w:t>
            </w:r>
          </w:p>
        </w:tc>
        <w:tc>
          <w:tcPr>
            <w:tcW w:w="2381" w:type="dxa"/>
            <w:vAlign w:val="bottom"/>
          </w:tcPr>
          <w:p w:rsidR="00000000" w:rsidRDefault="00000000">
            <w:pPr>
              <w:widowControl w:val="0"/>
              <w:spacing w:before="60" w:after="60"/>
              <w:ind w:right="851"/>
              <w:jc w:val="right"/>
              <w:rPr>
                <w:color w:val="333333"/>
                <w:sz w:val="20"/>
                <w:szCs w:val="18"/>
                <w:lang w:val="pt-BR"/>
              </w:rPr>
            </w:pPr>
            <w:r>
              <w:rPr>
                <w:color w:val="333333"/>
                <w:sz w:val="20"/>
                <w:szCs w:val="18"/>
                <w:lang w:val="pt-BR"/>
              </w:rPr>
              <w:t>24 630</w:t>
            </w:r>
          </w:p>
        </w:tc>
        <w:tc>
          <w:tcPr>
            <w:tcW w:w="2392" w:type="dxa"/>
            <w:vAlign w:val="bottom"/>
          </w:tcPr>
          <w:p w:rsidR="00000000" w:rsidRDefault="00000000">
            <w:pPr>
              <w:widowControl w:val="0"/>
              <w:spacing w:before="60" w:after="60"/>
              <w:ind w:right="851"/>
              <w:jc w:val="right"/>
              <w:rPr>
                <w:color w:val="333333"/>
                <w:sz w:val="20"/>
                <w:szCs w:val="18"/>
                <w:lang w:val="pt-BR"/>
              </w:rPr>
            </w:pPr>
            <w:r>
              <w:rPr>
                <w:color w:val="333333"/>
                <w:sz w:val="20"/>
                <w:szCs w:val="18"/>
                <w:lang w:val="pt-BR"/>
              </w:rPr>
              <w:t>153 292</w:t>
            </w:r>
          </w:p>
        </w:tc>
        <w:tc>
          <w:tcPr>
            <w:tcW w:w="2987" w:type="dxa"/>
            <w:vAlign w:val="bottom"/>
          </w:tcPr>
          <w:p w:rsidR="00000000" w:rsidRDefault="00000000">
            <w:pPr>
              <w:widowControl w:val="0"/>
              <w:spacing w:before="60" w:after="60"/>
              <w:jc w:val="center"/>
              <w:rPr>
                <w:color w:val="333333"/>
                <w:sz w:val="20"/>
                <w:szCs w:val="18"/>
                <w:lang w:val="pt-BR"/>
              </w:rPr>
            </w:pPr>
            <w:r>
              <w:rPr>
                <w:color w:val="333333"/>
                <w:sz w:val="20"/>
                <w:szCs w:val="18"/>
                <w:lang w:val="pt-BR"/>
              </w:rPr>
              <w:t>16</w:t>
            </w:r>
          </w:p>
        </w:tc>
      </w:tr>
      <w:tr w:rsidR="00000000">
        <w:trPr>
          <w:jc w:val="center"/>
        </w:trPr>
        <w:tc>
          <w:tcPr>
            <w:tcW w:w="1663" w:type="dxa"/>
            <w:vAlign w:val="bottom"/>
          </w:tcPr>
          <w:p w:rsidR="00000000" w:rsidRDefault="00000000">
            <w:pPr>
              <w:widowControl w:val="0"/>
              <w:spacing w:before="60" w:after="60"/>
              <w:rPr>
                <w:color w:val="333333"/>
                <w:sz w:val="20"/>
                <w:szCs w:val="18"/>
                <w:lang w:val="pt-BR"/>
              </w:rPr>
            </w:pPr>
            <w:r>
              <w:rPr>
                <w:color w:val="333333"/>
                <w:sz w:val="20"/>
                <w:szCs w:val="18"/>
                <w:lang w:val="pt-BR"/>
              </w:rPr>
              <w:t>Alto Paraná</w:t>
            </w:r>
          </w:p>
        </w:tc>
        <w:tc>
          <w:tcPr>
            <w:tcW w:w="2381" w:type="dxa"/>
            <w:vAlign w:val="bottom"/>
          </w:tcPr>
          <w:p w:rsidR="00000000" w:rsidRDefault="00000000">
            <w:pPr>
              <w:widowControl w:val="0"/>
              <w:spacing w:before="60" w:after="60"/>
              <w:ind w:right="851"/>
              <w:jc w:val="right"/>
              <w:rPr>
                <w:color w:val="333333"/>
                <w:sz w:val="20"/>
                <w:szCs w:val="18"/>
              </w:rPr>
            </w:pPr>
            <w:r>
              <w:rPr>
                <w:color w:val="333333"/>
                <w:sz w:val="20"/>
                <w:szCs w:val="18"/>
              </w:rPr>
              <w:t>59 745</w:t>
            </w:r>
          </w:p>
        </w:tc>
        <w:tc>
          <w:tcPr>
            <w:tcW w:w="2392" w:type="dxa"/>
            <w:vAlign w:val="bottom"/>
          </w:tcPr>
          <w:p w:rsidR="00000000" w:rsidRDefault="00000000">
            <w:pPr>
              <w:widowControl w:val="0"/>
              <w:spacing w:before="60" w:after="60"/>
              <w:ind w:right="851"/>
              <w:jc w:val="right"/>
              <w:rPr>
                <w:color w:val="333333"/>
                <w:sz w:val="20"/>
                <w:szCs w:val="18"/>
              </w:rPr>
            </w:pPr>
            <w:r>
              <w:rPr>
                <w:color w:val="333333"/>
                <w:sz w:val="20"/>
                <w:szCs w:val="18"/>
              </w:rPr>
              <w:t>598 613</w:t>
            </w:r>
          </w:p>
        </w:tc>
        <w:tc>
          <w:tcPr>
            <w:tcW w:w="2987" w:type="dxa"/>
            <w:vAlign w:val="bottom"/>
          </w:tcPr>
          <w:p w:rsidR="00000000" w:rsidRDefault="00000000">
            <w:pPr>
              <w:widowControl w:val="0"/>
              <w:spacing w:before="60" w:after="60"/>
              <w:jc w:val="center"/>
              <w:rPr>
                <w:color w:val="333333"/>
                <w:sz w:val="20"/>
                <w:szCs w:val="18"/>
              </w:rPr>
            </w:pPr>
            <w:r>
              <w:rPr>
                <w:color w:val="333333"/>
                <w:sz w:val="20"/>
                <w:szCs w:val="18"/>
              </w:rPr>
              <w:t>10</w:t>
            </w:r>
          </w:p>
        </w:tc>
      </w:tr>
      <w:tr w:rsidR="00000000">
        <w:trPr>
          <w:jc w:val="center"/>
        </w:trPr>
        <w:tc>
          <w:tcPr>
            <w:tcW w:w="1663" w:type="dxa"/>
            <w:tcBorders>
              <w:bottom w:val="single" w:sz="4" w:space="0" w:color="auto"/>
            </w:tcBorders>
            <w:vAlign w:val="bottom"/>
          </w:tcPr>
          <w:p w:rsidR="00000000" w:rsidRDefault="00000000">
            <w:pPr>
              <w:widowControl w:val="0"/>
              <w:spacing w:before="60" w:after="60"/>
              <w:rPr>
                <w:b/>
                <w:color w:val="333333"/>
                <w:sz w:val="20"/>
                <w:szCs w:val="18"/>
              </w:rPr>
            </w:pPr>
            <w:r>
              <w:rPr>
                <w:b/>
                <w:color w:val="333333"/>
                <w:sz w:val="20"/>
                <w:szCs w:val="18"/>
              </w:rPr>
              <w:t>Total</w:t>
            </w:r>
          </w:p>
        </w:tc>
        <w:tc>
          <w:tcPr>
            <w:tcW w:w="2381" w:type="dxa"/>
            <w:tcBorders>
              <w:bottom w:val="single" w:sz="4" w:space="0" w:color="auto"/>
            </w:tcBorders>
          </w:tcPr>
          <w:p w:rsidR="00000000" w:rsidRDefault="00000000">
            <w:pPr>
              <w:pStyle w:val="BodyText2"/>
              <w:widowControl w:val="0"/>
              <w:spacing w:before="60" w:after="60" w:line="240" w:lineRule="auto"/>
              <w:ind w:right="851"/>
              <w:jc w:val="right"/>
              <w:rPr>
                <w:b/>
                <w:color w:val="333333"/>
                <w:sz w:val="20"/>
                <w:szCs w:val="18"/>
              </w:rPr>
            </w:pPr>
            <w:r>
              <w:rPr>
                <w:b/>
                <w:color w:val="333333"/>
                <w:sz w:val="20"/>
                <w:szCs w:val="18"/>
              </w:rPr>
              <w:fldChar w:fldCharType="begin"/>
            </w:r>
            <w:r>
              <w:rPr>
                <w:b/>
                <w:color w:val="333333"/>
                <w:sz w:val="20"/>
                <w:szCs w:val="18"/>
              </w:rPr>
              <w:instrText xml:space="preserve"> =SUM(ABOVE) </w:instrText>
            </w:r>
            <w:r>
              <w:rPr>
                <w:b/>
                <w:color w:val="333333"/>
                <w:sz w:val="20"/>
                <w:szCs w:val="18"/>
              </w:rPr>
              <w:fldChar w:fldCharType="separate"/>
            </w:r>
            <w:r>
              <w:rPr>
                <w:b/>
                <w:noProof/>
                <w:color w:val="333333"/>
                <w:sz w:val="20"/>
                <w:szCs w:val="18"/>
              </w:rPr>
              <w:t>200 172</w:t>
            </w:r>
            <w:r>
              <w:rPr>
                <w:b/>
                <w:color w:val="333333"/>
                <w:sz w:val="20"/>
                <w:szCs w:val="18"/>
              </w:rPr>
              <w:fldChar w:fldCharType="end"/>
            </w:r>
          </w:p>
        </w:tc>
        <w:tc>
          <w:tcPr>
            <w:tcW w:w="2392" w:type="dxa"/>
            <w:tcBorders>
              <w:bottom w:val="single" w:sz="4" w:space="0" w:color="auto"/>
            </w:tcBorders>
          </w:tcPr>
          <w:p w:rsidR="00000000" w:rsidRDefault="00000000">
            <w:pPr>
              <w:pStyle w:val="BodyText2"/>
              <w:widowControl w:val="0"/>
              <w:spacing w:before="60" w:after="60" w:line="240" w:lineRule="auto"/>
              <w:ind w:right="851"/>
              <w:jc w:val="right"/>
              <w:rPr>
                <w:b/>
                <w:color w:val="333333"/>
                <w:sz w:val="20"/>
                <w:szCs w:val="18"/>
              </w:rPr>
            </w:pPr>
            <w:r>
              <w:rPr>
                <w:b/>
                <w:color w:val="333333"/>
                <w:sz w:val="20"/>
                <w:szCs w:val="18"/>
              </w:rPr>
              <w:fldChar w:fldCharType="begin"/>
            </w:r>
            <w:r>
              <w:rPr>
                <w:b/>
                <w:color w:val="333333"/>
                <w:sz w:val="20"/>
                <w:szCs w:val="18"/>
              </w:rPr>
              <w:instrText xml:space="preserve"> =SUM(ABOVE) </w:instrText>
            </w:r>
            <w:r>
              <w:rPr>
                <w:b/>
                <w:color w:val="333333"/>
                <w:sz w:val="20"/>
                <w:szCs w:val="18"/>
              </w:rPr>
              <w:fldChar w:fldCharType="separate"/>
            </w:r>
            <w:r>
              <w:rPr>
                <w:b/>
                <w:noProof/>
                <w:color w:val="333333"/>
                <w:sz w:val="20"/>
                <w:szCs w:val="18"/>
              </w:rPr>
              <w:t>1 191 015</w:t>
            </w:r>
            <w:r>
              <w:rPr>
                <w:b/>
                <w:color w:val="333333"/>
                <w:sz w:val="20"/>
                <w:szCs w:val="18"/>
              </w:rPr>
              <w:fldChar w:fldCharType="end"/>
            </w:r>
          </w:p>
        </w:tc>
        <w:tc>
          <w:tcPr>
            <w:tcW w:w="2987" w:type="dxa"/>
            <w:tcBorders>
              <w:bottom w:val="single" w:sz="4" w:space="0" w:color="auto"/>
            </w:tcBorders>
          </w:tcPr>
          <w:p w:rsidR="00000000" w:rsidRDefault="00000000">
            <w:pPr>
              <w:pStyle w:val="BodyText2"/>
              <w:widowControl w:val="0"/>
              <w:spacing w:before="60" w:after="60" w:line="240" w:lineRule="auto"/>
              <w:jc w:val="center"/>
              <w:rPr>
                <w:b/>
                <w:color w:val="333333"/>
                <w:sz w:val="20"/>
                <w:szCs w:val="18"/>
              </w:rPr>
            </w:pPr>
            <w:r>
              <w:rPr>
                <w:b/>
                <w:color w:val="333333"/>
                <w:sz w:val="20"/>
                <w:szCs w:val="18"/>
              </w:rPr>
              <w:t>17</w:t>
            </w:r>
          </w:p>
        </w:tc>
      </w:tr>
    </w:tbl>
    <w:p w:rsidR="00000000" w:rsidRDefault="00000000">
      <w:pPr>
        <w:spacing w:after="240"/>
        <w:rPr>
          <w:bCs/>
        </w:rPr>
      </w:pPr>
      <w:r>
        <w:rPr>
          <w:lang w:val="en-US"/>
        </w:rPr>
        <w:t>543</w:t>
      </w:r>
      <w:r>
        <w:rPr>
          <w:bCs/>
        </w:rPr>
        <w:t>.</w:t>
      </w:r>
      <w:r>
        <w:rPr>
          <w:bCs/>
        </w:rPr>
        <w:tab/>
        <w:t xml:space="preserve">A system for the monitoring of jaundice in observation centres is being developed, and entomological monitoring and control of epidemic diseases among animals is being developed in the Chaco region. At international level Paraguay is maintaining the requirement that all immigrants from endemic zones be vaccinated against yellow fever. </w:t>
      </w:r>
    </w:p>
    <w:p w:rsidR="00000000" w:rsidRDefault="00000000">
      <w:pPr>
        <w:spacing w:after="240"/>
        <w:rPr>
          <w:bCs/>
        </w:rPr>
      </w:pPr>
      <w:r>
        <w:rPr>
          <w:lang w:val="en-US"/>
        </w:rPr>
        <w:t>544</w:t>
      </w:r>
      <w:r>
        <w:rPr>
          <w:bCs/>
        </w:rPr>
        <w:t>.</w:t>
      </w:r>
      <w:r>
        <w:rPr>
          <w:bCs/>
        </w:rPr>
        <w:tab/>
        <w:t xml:space="preserve">A bilateral agreement has been signed between Paraguay and Bolivia to make progress in the prevention and control of yellow fever in border areas. It provides for the attainment and maintenance of 100 per cent coverage with AA in border municipalities, interchanges of data on vaccination in those municipalities and standardization of reporting forms. </w:t>
      </w:r>
    </w:p>
    <w:p w:rsidR="00000000" w:rsidRDefault="00000000">
      <w:pPr>
        <w:spacing w:after="240"/>
        <w:rPr>
          <w:b/>
        </w:rPr>
      </w:pPr>
      <w:r>
        <w:rPr>
          <w:b/>
        </w:rPr>
        <w:t>8.5.</w:t>
      </w:r>
      <w:r>
        <w:rPr>
          <w:b/>
        </w:rPr>
        <w:tab/>
        <w:t>Cholera</w:t>
      </w:r>
    </w:p>
    <w:p w:rsidR="00000000" w:rsidRDefault="00000000">
      <w:pPr>
        <w:spacing w:after="240"/>
        <w:rPr>
          <w:bCs/>
        </w:rPr>
      </w:pPr>
      <w:r>
        <w:rPr>
          <w:lang w:val="en-US"/>
        </w:rPr>
        <w:t>545</w:t>
      </w:r>
      <w:r>
        <w:rPr>
          <w:bCs/>
        </w:rPr>
        <w:t>.</w:t>
      </w:r>
      <w:r>
        <w:rPr>
          <w:bCs/>
        </w:rPr>
        <w:tab/>
        <w:t xml:space="preserve">In Paraguay four cases have been reported to date, three of them imported from Argentina. The diagnosis was confirmed by the laboratory in the Carlos B. Malbián Institute in Buenos Aires. The samples examined yielded the following results: </w:t>
      </w:r>
      <w:r>
        <w:rPr>
          <w:bCs/>
          <w:i/>
          <w:iCs/>
        </w:rPr>
        <w:t>vibrio cholerae</w:t>
      </w:r>
      <w:r>
        <w:rPr>
          <w:bCs/>
        </w:rPr>
        <w:t xml:space="preserve"> 01, biotype EL TOR, serotype Inaba. The studies concluded that the outbreak probably began with the ingestion of contaminated food. </w:t>
      </w:r>
    </w:p>
    <w:p w:rsidR="00000000" w:rsidRDefault="00000000">
      <w:pPr>
        <w:spacing w:after="240"/>
        <w:rPr>
          <w:bCs/>
        </w:rPr>
      </w:pPr>
      <w:r>
        <w:rPr>
          <w:lang w:val="en-US"/>
        </w:rPr>
        <w:t>546</w:t>
      </w:r>
      <w:r>
        <w:rPr>
          <w:bCs/>
        </w:rPr>
        <w:t>.</w:t>
      </w:r>
      <w:r>
        <w:rPr>
          <w:bCs/>
        </w:rPr>
        <w:tab/>
        <w:t xml:space="preserve">The cases which appeared were isolated and without any common source of contamination. The three imported cases were patients living in urban areas, i.e., with access to drinking water and basic sanitation. The home-grown case was recorded at San Antonio, 22 km from Asunción; the patient was a male, a fisherman on the River Paraguay. In 1999 an imminent risk of entry of cholera into the country was declared owing to an outbreak at Paranaguá, a free port on the Brazilian section of the River Paraguay.. </w:t>
      </w:r>
    </w:p>
    <w:p w:rsidR="00000000" w:rsidRDefault="00000000">
      <w:pPr>
        <w:spacing w:after="240"/>
        <w:rPr>
          <w:bCs/>
        </w:rPr>
      </w:pPr>
      <w:r>
        <w:rPr>
          <w:lang w:val="en-US"/>
        </w:rPr>
        <w:t>547</w:t>
      </w:r>
      <w:r>
        <w:rPr>
          <w:bCs/>
        </w:rPr>
        <w:t>.</w:t>
      </w:r>
      <w:r>
        <w:rPr>
          <w:bCs/>
        </w:rPr>
        <w:tab/>
        <w:t xml:space="preserve">It is accepted that the proportion of children under age 5 among all persons with diarrhoea does not exceed 20-30 per cent. If this proportion (diarrhoea among persons over and under 5 years of age) is monitored weekly, it may be observed that an increase in the proportion of persons over age 5 precedes by two or three weeks the appearance of cases of cholera. </w:t>
      </w:r>
    </w:p>
    <w:p w:rsidR="00000000" w:rsidRDefault="00000000">
      <w:pPr>
        <w:spacing w:after="240"/>
        <w:rPr>
          <w:b/>
        </w:rPr>
      </w:pPr>
      <w:r>
        <w:rPr>
          <w:b/>
        </w:rPr>
        <w:t>8.5.</w:t>
      </w:r>
      <w:r>
        <w:rPr>
          <w:b/>
        </w:rPr>
        <w:tab/>
        <w:t>Control of other diseases</w:t>
      </w:r>
    </w:p>
    <w:p w:rsidR="00000000" w:rsidRDefault="00000000">
      <w:pPr>
        <w:spacing w:after="240"/>
        <w:rPr>
          <w:bCs/>
        </w:rPr>
      </w:pPr>
      <w:r>
        <w:rPr>
          <w:lang w:val="en-US"/>
        </w:rPr>
        <w:t>548</w:t>
      </w:r>
      <w:r>
        <w:rPr>
          <w:bCs/>
        </w:rPr>
        <w:t>.</w:t>
      </w:r>
      <w:r>
        <w:rPr>
          <w:bCs/>
        </w:rPr>
        <w:tab/>
        <w:t xml:space="preserve">As regards health monitoring relating to other diseases, the Integrated Monitoring of Avian Influenza in Humans programme came into operation in 2005; a National Programme for Monitoring and Control of Nosocomial Infections was launched in the same year. </w:t>
      </w:r>
    </w:p>
    <w:p w:rsidR="00000000" w:rsidRDefault="00000000">
      <w:pPr>
        <w:spacing w:after="240"/>
        <w:rPr>
          <w:b/>
        </w:rPr>
      </w:pPr>
      <w:r>
        <w:rPr>
          <w:b/>
        </w:rPr>
        <w:t>9.</w:t>
      </w:r>
      <w:r>
        <w:rPr>
          <w:b/>
        </w:rPr>
        <w:tab/>
        <w:t>Health education</w:t>
      </w:r>
    </w:p>
    <w:p w:rsidR="00000000" w:rsidRDefault="00000000">
      <w:pPr>
        <w:spacing w:after="240"/>
        <w:rPr>
          <w:bCs/>
        </w:rPr>
      </w:pPr>
      <w:r>
        <w:rPr>
          <w:lang w:val="en-US"/>
        </w:rPr>
        <w:t>549</w:t>
      </w:r>
      <w:r>
        <w:rPr>
          <w:bCs/>
        </w:rPr>
        <w:t>.</w:t>
      </w:r>
      <w:r>
        <w:rPr>
          <w:bCs/>
        </w:rPr>
        <w:tab/>
        <w:t xml:space="preserve">One of the mechanisms for the fostering of healthy habits and environments favouring good health and life makes use of programmes and campaigns to promote healthy municipalities, healthy schools, healthy homes, healthy markets, healthy prisons, healthy transport, organic production systems, healthy workplaces, etc. </w:t>
      </w:r>
    </w:p>
    <w:p w:rsidR="00000000" w:rsidRDefault="00000000">
      <w:pPr>
        <w:spacing w:after="240"/>
        <w:rPr>
          <w:bCs/>
        </w:rPr>
      </w:pPr>
      <w:r>
        <w:rPr>
          <w:lang w:val="en-US"/>
        </w:rPr>
        <w:t>550</w:t>
      </w:r>
      <w:r>
        <w:rPr>
          <w:bCs/>
        </w:rPr>
        <w:t>.</w:t>
      </w:r>
      <w:r>
        <w:rPr>
          <w:bCs/>
        </w:rPr>
        <w:tab/>
        <w:t xml:space="preserve">In addition, lifestyles are being promoted which make for better health among specific groups based on age, gender and geographical location to prevent the risk factors affecting the population. The measures taken include promotion of healthy eating, the development of physical activities, the prevention of addictions and violence, education in values, primary environmental care and the development of mental health arrangements. In addition, the development of factors protecting health and monitoring of the growth and development of school pupils and adolescents are being introduced into formal education curricula. </w:t>
      </w:r>
    </w:p>
    <w:p w:rsidR="00000000" w:rsidRDefault="00000000">
      <w:pPr>
        <w:spacing w:after="240"/>
        <w:rPr>
          <w:bCs/>
        </w:rPr>
      </w:pPr>
      <w:r>
        <w:rPr>
          <w:lang w:val="en-US"/>
        </w:rPr>
        <w:t>551</w:t>
      </w:r>
      <w:r>
        <w:rPr>
          <w:bCs/>
        </w:rPr>
        <w:t>.</w:t>
      </w:r>
      <w:r>
        <w:rPr>
          <w:bCs/>
        </w:rPr>
        <w:tab/>
        <w:t xml:space="preserve">Since 2004 gender training workshops have been taking place for persons with responsibilities in priority transmissible disease programmes (STD/HIV/AIDS, Chagas disease, tuberculosis and immunization of children and mothers) in the capital and in the interior of the country. So far five workshops have been held, attended by 37 persons. </w:t>
      </w:r>
    </w:p>
    <w:p w:rsidR="00000000" w:rsidRDefault="00000000">
      <w:pPr>
        <w:spacing w:after="240"/>
        <w:rPr>
          <w:bCs/>
        </w:rPr>
      </w:pPr>
      <w:r>
        <w:rPr>
          <w:lang w:val="en-US"/>
        </w:rPr>
        <w:t>552</w:t>
      </w:r>
      <w:r>
        <w:rPr>
          <w:bCs/>
        </w:rPr>
        <w:t>.</w:t>
      </w:r>
      <w:r>
        <w:rPr>
          <w:bCs/>
        </w:rPr>
        <w:tab/>
        <w:t xml:space="preserve">Recently an awareness and information campaign, directed principally at women, entitled “Do not ignore AIDS. Stop AIDS, let us keep the Pledge”, was launched. The National Programme to Combat AIDS is fully aware of the increasing incidence of HIV/AIDS among women and has included “gender” modules in prevention training workshops, involving the Secretariat for Women in the development of awareness of the importance of changing cultural behaviour patterns. </w:t>
      </w:r>
    </w:p>
    <w:p w:rsidR="00000000" w:rsidRDefault="00000000">
      <w:pPr>
        <w:spacing w:after="240"/>
        <w:jc w:val="center"/>
        <w:rPr>
          <w:b/>
          <w:smallCaps/>
          <w:lang w:val="en-US"/>
        </w:rPr>
      </w:pPr>
      <w:r>
        <w:rPr>
          <w:b/>
          <w:smallCaps/>
          <w:lang w:val="en-US"/>
        </w:rPr>
        <w:t>Article 13</w:t>
      </w:r>
    </w:p>
    <w:p w:rsidR="00000000" w:rsidRDefault="00000000">
      <w:pPr>
        <w:spacing w:after="240"/>
        <w:jc w:val="center"/>
      </w:pPr>
      <w:r>
        <w:rPr>
          <w:b/>
        </w:rPr>
        <w:t>A.  Right to education</w:t>
      </w:r>
    </w:p>
    <w:p w:rsidR="00000000" w:rsidRDefault="00000000">
      <w:pPr>
        <w:spacing w:after="240"/>
      </w:pPr>
      <w:r>
        <w:rPr>
          <w:lang w:val="en-US"/>
        </w:rPr>
        <w:t>553</w:t>
      </w:r>
      <w:r>
        <w:t>.</w:t>
      </w:r>
      <w:r>
        <w:tab/>
        <w:t xml:space="preserve">First of all, it should be pointed out Article 76 of the National Constitution stipulates that: “Basic school education is mandatory. It shall be free in public schools. The State shall promote secondary, technical, agricultural, industrial, and higher or university education, as well as scientific and technological research. It is an essential responsibility of the State to organize the educational system, with participation of the distinct educational communities. The system will encompass the public and private sectors, as well as activities conducted both inside and outside schools.” Likewise, Article 73 of the National Constitution defines clearly and in detail the right of every individual to a comprehensive, ongoing education ( ...  ) and lists the objectives of the system. </w:t>
      </w:r>
    </w:p>
    <w:p w:rsidR="00000000" w:rsidRDefault="00000000">
      <w:pPr>
        <w:spacing w:after="240"/>
      </w:pPr>
      <w:r>
        <w:rPr>
          <w:lang w:val="en-US"/>
        </w:rPr>
        <w:t>554</w:t>
      </w:r>
      <w:r>
        <w:t>.</w:t>
      </w:r>
      <w:r>
        <w:tab/>
        <w:t>Article 4 of the General Education Act (No. 1264) establishes that: “The State shall be responsible for ensuring access to education for the entire population of the country and for creating the conditions for genuine equality of opportunities. The national education system shall be financed basically from resources of the National General Budget”.</w:t>
      </w:r>
    </w:p>
    <w:p w:rsidR="00000000" w:rsidRDefault="00000000">
      <w:pPr>
        <w:spacing w:after="240"/>
      </w:pPr>
      <w:r>
        <w:rPr>
          <w:lang w:val="en-US"/>
        </w:rPr>
        <w:t>555</w:t>
      </w:r>
      <w:r>
        <w:t>.</w:t>
      </w:r>
      <w:r>
        <w:tab/>
        <w:t>Article 18 of the same Act establishes “the functions of the State with regard to education”, which it performs through the Ministry of Education and Culture.</w:t>
      </w:r>
    </w:p>
    <w:p w:rsidR="00000000" w:rsidRDefault="00000000">
      <w:pPr>
        <w:spacing w:after="240"/>
      </w:pPr>
      <w:r>
        <w:rPr>
          <w:lang w:val="en-US"/>
        </w:rPr>
        <w:t>556</w:t>
      </w:r>
      <w:r>
        <w:t>.</w:t>
      </w:r>
      <w:r>
        <w:tab/>
        <w:t>The form in which the State delegates its task of providing education may be seen from the following articles of the General Education Act (No. 1264):</w:t>
      </w:r>
    </w:p>
    <w:p w:rsidR="00000000" w:rsidRDefault="00000000">
      <w:pPr>
        <w:spacing w:after="240"/>
        <w:ind w:left="1134" w:hanging="567"/>
      </w:pPr>
      <w:r>
        <w:t>–</w:t>
      </w:r>
      <w:r>
        <w:tab/>
      </w:r>
      <w:r>
        <w:rPr>
          <w:bCs/>
          <w:i/>
          <w:iCs/>
        </w:rPr>
        <w:t xml:space="preserve">Article 12:  </w:t>
      </w:r>
      <w:r>
        <w:t>“It is the responsibility of the State to organize the national education system, with the participation of the various educational communities. This system will encompass the public and private sectors, as well as activities conducted both inside and outside schools.”</w:t>
      </w:r>
    </w:p>
    <w:p w:rsidR="00000000" w:rsidRDefault="00000000">
      <w:pPr>
        <w:spacing w:after="240"/>
        <w:ind w:left="1134" w:hanging="567"/>
      </w:pPr>
      <w:r>
        <w:t>–</w:t>
      </w:r>
      <w:r>
        <w:rPr>
          <w:i/>
          <w:iCs/>
        </w:rPr>
        <w:tab/>
        <w:t xml:space="preserve">Article 20: </w:t>
      </w:r>
      <w:r>
        <w:t>The Ministry of Education and Culture, the departmental Governments, municipalities and educational communities shall be responsible for guaranteeing the quality of education. To that end, a systematic and ongoing evaluation of the education system and processes shall be carried out.</w:t>
      </w:r>
      <w:r>
        <w:tab/>
      </w:r>
    </w:p>
    <w:p w:rsidR="00000000" w:rsidRDefault="00000000">
      <w:pPr>
        <w:spacing w:after="240"/>
        <w:ind w:left="1134" w:hanging="567"/>
      </w:pPr>
      <w:r>
        <w:t>–</w:t>
      </w:r>
      <w:r>
        <w:tab/>
      </w:r>
      <w:r>
        <w:rPr>
          <w:bCs/>
          <w:i/>
          <w:iCs/>
        </w:rPr>
        <w:t xml:space="preserve">Article 109: </w:t>
      </w:r>
      <w:r>
        <w:t>The Ministry of Education and Culture is responsible for the educational supervision of public and private institutions. Supervision shall be carried out by administrative monitoring and support inspectors and pedagogical technical support inspectors.</w:t>
      </w:r>
    </w:p>
    <w:p w:rsidR="00000000" w:rsidRDefault="00000000">
      <w:pPr>
        <w:spacing w:after="240"/>
        <w:ind w:left="1134" w:hanging="567"/>
      </w:pPr>
      <w:r>
        <w:t>–</w:t>
      </w:r>
      <w:r>
        <w:tab/>
      </w:r>
      <w:r>
        <w:rPr>
          <w:bCs/>
          <w:i/>
          <w:iCs/>
        </w:rPr>
        <w:t xml:space="preserve">Article 112: </w:t>
      </w:r>
      <w:r>
        <w:t>The Ministry of Education and Culture and the departmental and municipal Governments shall determine the manner in which the educational and cultural services that fall within their jurisdiction shall be coordinated, under the terms of this Act.</w:t>
      </w:r>
    </w:p>
    <w:p w:rsidR="00000000" w:rsidRDefault="00000000">
      <w:pPr>
        <w:spacing w:after="240"/>
        <w:ind w:left="1134" w:hanging="567"/>
      </w:pPr>
      <w:r>
        <w:t>–</w:t>
      </w:r>
      <w:r>
        <w:tab/>
      </w:r>
      <w:r>
        <w:rPr>
          <w:bCs/>
          <w:i/>
          <w:iCs/>
        </w:rPr>
        <w:t xml:space="preserve">Article 113: </w:t>
      </w:r>
      <w:r>
        <w:t>The Ministry of Education and Culture shall create Departmental Education Boards in all the country’s departments, in coordination with the departmental Governments. The Ministry of Education and Culture shall determine the characteristics of school administration in public education centres and shall decide in consultation with private education centres on the features which, under the existing laws, require ministerial approval. It shall set the dates of admission and registration in public schools and the annual calendar and daily timetable for the various shifts, and also determine classroom periods and rest days. It shall always take into account the various circumstances, characteristics and cycles of agricultural production and harvests in the departments.</w:t>
      </w:r>
    </w:p>
    <w:p w:rsidR="00000000" w:rsidRDefault="00000000">
      <w:pPr>
        <w:spacing w:after="240"/>
        <w:ind w:left="1134" w:hanging="567"/>
      </w:pPr>
      <w:r>
        <w:t>–</w:t>
      </w:r>
      <w:r>
        <w:tab/>
      </w:r>
      <w:r>
        <w:rPr>
          <w:bCs/>
          <w:i/>
          <w:iCs/>
        </w:rPr>
        <w:t xml:space="preserve">Article 117: </w:t>
      </w:r>
      <w:r>
        <w:t>The Ministry of Education and Culture shall establish the general outlines of curricula, stipulating the minimum core curriculum requirements for the whole nation. In so doing it will take into account decentralization, the need for relevance in the curriculum and the rights of the educational communities. In preparing plans and programmes the Ministry shall be sure to consult the departmental governments and the public and private educational institutions.</w:t>
      </w:r>
    </w:p>
    <w:p w:rsidR="00000000" w:rsidRDefault="00000000">
      <w:pPr>
        <w:spacing w:after="240"/>
        <w:ind w:left="1134" w:hanging="567"/>
      </w:pPr>
      <w:r>
        <w:t>–</w:t>
      </w:r>
      <w:r>
        <w:tab/>
      </w:r>
      <w:r>
        <w:rPr>
          <w:bCs/>
          <w:i/>
          <w:iCs/>
        </w:rPr>
        <w:t xml:space="preserve">Article 118: </w:t>
      </w:r>
      <w:r>
        <w:t>The Ministry of Education and Culture shall establish education evaluation systems for both regular and special education. Its purpose shall be to monitor achievement of the aims and quality of education.</w:t>
      </w:r>
    </w:p>
    <w:p w:rsidR="00000000" w:rsidRDefault="00000000">
      <w:pPr>
        <w:spacing w:after="240"/>
      </w:pPr>
      <w:r>
        <w:rPr>
          <w:b/>
        </w:rPr>
        <w:t>1.</w:t>
      </w:r>
      <w:r>
        <w:rPr>
          <w:b/>
        </w:rPr>
        <w:tab/>
        <w:t>Secondary education</w:t>
      </w:r>
    </w:p>
    <w:p w:rsidR="00000000" w:rsidRDefault="00000000">
      <w:pPr>
        <w:spacing w:after="240"/>
      </w:pPr>
      <w:r>
        <w:rPr>
          <w:lang w:val="en-US"/>
        </w:rPr>
        <w:t>557</w:t>
      </w:r>
      <w:r>
        <w:t>.</w:t>
      </w:r>
      <w:r>
        <w:tab/>
        <w:t>Some 80 per cent of total enrolment in secondary education (secondary, technical and vocational) is within the official sector; that is, it is funded from the national general budget of expenditures. There are no monthly fees in official secondary schools except for a few charges for enrolment, examination fees and other voluntary contributions administered by ACES (to cover various expenses: school maintenance, purchase of materials, computer equipment. etc.). The charges vary according to the baccalaureate course followed by the pupil and their monetary amount is not excessive.</w:t>
      </w:r>
    </w:p>
    <w:p w:rsidR="00000000" w:rsidRDefault="00000000">
      <w:pPr>
        <w:spacing w:after="240"/>
      </w:pPr>
      <w:r>
        <w:rPr>
          <w:b/>
        </w:rPr>
        <w:t>2.</w:t>
      </w:r>
      <w:r>
        <w:rPr>
          <w:b/>
        </w:rPr>
        <w:tab/>
        <w:t>Access to education for adults</w:t>
      </w:r>
    </w:p>
    <w:p w:rsidR="00000000" w:rsidRDefault="00000000">
      <w:pPr>
        <w:spacing w:after="240"/>
      </w:pPr>
      <w:r>
        <w:rPr>
          <w:lang w:val="en-US"/>
        </w:rPr>
        <w:t>558</w:t>
      </w:r>
      <w:r>
        <w:t>.</w:t>
      </w:r>
      <w:r>
        <w:tab/>
        <w:t>An appropriate administrative structure for basic training of young people and adults in the country has been set up and is in operation in the Ministry of Education and Culture (Directorate-General of Literacy and Lifelong Education). It includes a training centre, headquarters, offices and necessary equipment, as well as the system of organization, management and training of human, technical and administrative resources.</w:t>
      </w:r>
    </w:p>
    <w:p w:rsidR="00000000" w:rsidRDefault="00000000">
      <w:pPr>
        <w:spacing w:after="240"/>
      </w:pPr>
      <w:r>
        <w:rPr>
          <w:lang w:val="en-US"/>
        </w:rPr>
        <w:t>559</w:t>
      </w:r>
      <w:r>
        <w:t>.</w:t>
      </w:r>
      <w:r>
        <w:tab/>
        <w:t>These measures include the development and application of a special pedagogical model for the basic education of young people and adults as part of Paraguay’s educational reform, which includes elaboration of curricular guidelines and teaching materials suited to the training of education personnel (departmental coordinators. education supervisors and promoters, and teachers).</w:t>
      </w:r>
    </w:p>
    <w:p w:rsidR="00000000" w:rsidRDefault="00000000">
      <w:pPr>
        <w:spacing w:after="240"/>
      </w:pPr>
      <w:r>
        <w:rPr>
          <w:lang w:val="en-US"/>
        </w:rPr>
        <w:t>560</w:t>
      </w:r>
      <w:r>
        <w:t>.</w:t>
      </w:r>
      <w:r>
        <w:tab/>
        <w:t>The PRODEPA KO’E  PYAHU (Paraguay New Dawn Programme), created in 2003,  offers education to persons over 15 years of age who either have never started or have not completed their basic education studies and who live in rural areas or in marginal urban areas in a situation of poverty or extreme poverty.</w:t>
      </w:r>
    </w:p>
    <w:p w:rsidR="00000000" w:rsidRDefault="00000000">
      <w:pPr>
        <w:spacing w:after="240"/>
      </w:pPr>
      <w:r>
        <w:rPr>
          <w:b/>
        </w:rPr>
        <w:t>3.</w:t>
      </w:r>
      <w:r>
        <w:rPr>
          <w:b/>
        </w:rPr>
        <w:tab/>
        <w:t>Challenges to the right to education</w:t>
      </w:r>
    </w:p>
    <w:p w:rsidR="00000000" w:rsidRDefault="00000000">
      <w:pPr>
        <w:spacing w:after="240"/>
      </w:pPr>
      <w:r>
        <w:rPr>
          <w:lang w:val="en-US"/>
        </w:rPr>
        <w:t>561</w:t>
      </w:r>
      <w:r>
        <w:t>.</w:t>
      </w:r>
      <w:r>
        <w:tab/>
        <w:t>The education reform undertaken in 1994 establishes universal access to basic education (EGB) as a priority policy for the education sector with basic school education and general basic education as the two priority fields of action:. The former includes activities relating to differential attention to schools at high educational risk and the development of a programme for the gradual expansion of capacity in the second and third cycles, as well as a series of activities for strengthening school management and the participation of the educational community in the reform and other processes.</w:t>
      </w:r>
    </w:p>
    <w:p w:rsidR="00000000" w:rsidRDefault="00000000">
      <w:pPr>
        <w:spacing w:after="240"/>
      </w:pPr>
      <w:r>
        <w:rPr>
          <w:lang w:val="en-US"/>
        </w:rPr>
        <w:t>562</w:t>
      </w:r>
      <w:r>
        <w:t>.</w:t>
      </w:r>
      <w:r>
        <w:tab/>
        <w:t>The most salient achievements in this regard have been an increase in the net enrolment rate for both cycles to 97 per cent in 2004. However, over that same period the net enrolment rate for the third cycle was only 54 per cent.</w:t>
      </w:r>
    </w:p>
    <w:p w:rsidR="00000000" w:rsidRDefault="00000000">
      <w:pPr>
        <w:spacing w:after="240"/>
      </w:pPr>
      <w:r>
        <w:rPr>
          <w:lang w:val="en-US"/>
        </w:rPr>
        <w:t>563</w:t>
      </w:r>
      <w:r>
        <w:t>.</w:t>
      </w:r>
      <w:r>
        <w:tab/>
        <w:t>Despite the efforts made and the progress achieved under the reform. difficulties relating to the achievement of universal access to basic school education still persist. They may be classified as internal and external. The external factors are: growing poverty owing to the systematic drop in GDP between 1990 and 2001, unemployment (overt and invisible) and underemployment, which mainly affects women and rural areas, standing at 15.9 per cent in 2001, geographical dispersal of the population and internal migration towards urban areas in search of better work options.</w:t>
      </w:r>
    </w:p>
    <w:p w:rsidR="00000000" w:rsidRDefault="00000000">
      <w:pPr>
        <w:spacing w:after="240"/>
      </w:pPr>
      <w:r>
        <w:rPr>
          <w:lang w:val="en-US"/>
        </w:rPr>
        <w:t>564</w:t>
      </w:r>
      <w:r>
        <w:t>.</w:t>
      </w:r>
      <w:r>
        <w:tab/>
        <w:t>Budgetary limitations principally impede classroom construction and repair and the provision of textbooks and teaching materials, as well as the hiring of teachers for new sections, not to mention the inadequate training of primary-school teachers for work in the more advanced cycles (over 90 per cent of the budget of the Ministry of Education and Culture goes on salaries, leaving little margin for investment in infrastructure and for other expenses for school financing and efficient administration of the national education system).</w:t>
      </w:r>
    </w:p>
    <w:p w:rsidR="00000000" w:rsidRDefault="00000000">
      <w:pPr>
        <w:spacing w:after="240"/>
        <w:rPr>
          <w:b/>
        </w:rPr>
      </w:pPr>
      <w:r>
        <w:rPr>
          <w:b/>
        </w:rPr>
        <w:t>3.1</w:t>
      </w:r>
      <w:r>
        <w:rPr>
          <w:b/>
        </w:rPr>
        <w:tab/>
        <w:t>Practical action</w:t>
      </w:r>
    </w:p>
    <w:p w:rsidR="00000000" w:rsidRDefault="00000000">
      <w:pPr>
        <w:spacing w:after="240"/>
      </w:pPr>
      <w:r>
        <w:rPr>
          <w:lang w:val="en-US"/>
        </w:rPr>
        <w:t>565</w:t>
      </w:r>
      <w:r>
        <w:t>.</w:t>
      </w:r>
      <w:r>
        <w:tab/>
        <w:t>The main measures taken to mitigate the effects of these difficulties and encourage the school-age population to avail themselves of access to education and to remain in the education system have been the design and implementation of programmes and activities as follows:</w:t>
      </w:r>
    </w:p>
    <w:p w:rsidR="00000000" w:rsidRDefault="00000000">
      <w:pPr>
        <w:tabs>
          <w:tab w:val="left" w:pos="680"/>
        </w:tabs>
        <w:spacing w:after="240"/>
        <w:ind w:left="680" w:hanging="680"/>
      </w:pPr>
      <w:r>
        <w:rPr>
          <w:b/>
        </w:rPr>
        <w:t>3.1.1.</w:t>
      </w:r>
      <w:r>
        <w:rPr>
          <w:b/>
        </w:rPr>
        <w:tab/>
        <w:t>Viva Hekokatúva school programme</w:t>
      </w:r>
      <w:r>
        <w:t xml:space="preserve"> for strengthening the reform of basic school education.</w:t>
      </w:r>
    </w:p>
    <w:p w:rsidR="00000000" w:rsidRDefault="00000000">
      <w:pPr>
        <w:spacing w:after="240"/>
        <w:ind w:firstLine="567"/>
      </w:pPr>
      <w:r>
        <w:rPr>
          <w:bCs/>
          <w:i/>
          <w:iCs/>
        </w:rPr>
        <w:t xml:space="preserve">General objective: </w:t>
      </w:r>
      <w:r>
        <w:t>the general objective of the programme is to improve the quality and equality of Paraguayan basic school education and so contribute to poverty reduction and the country’s social and economic development.</w:t>
      </w:r>
    </w:p>
    <w:p w:rsidR="00000000" w:rsidRDefault="00000000">
      <w:pPr>
        <w:spacing w:after="240"/>
        <w:rPr>
          <w:bCs/>
          <w:i/>
          <w:iCs/>
        </w:rPr>
      </w:pPr>
      <w:r>
        <w:rPr>
          <w:bCs/>
          <w:i/>
          <w:iCs/>
        </w:rPr>
        <w:t>Specific objectives:</w:t>
      </w:r>
    </w:p>
    <w:p w:rsidR="00000000" w:rsidRDefault="00000000">
      <w:pPr>
        <w:spacing w:after="240"/>
        <w:ind w:left="1134" w:hanging="567"/>
      </w:pPr>
      <w:r>
        <w:rPr>
          <w:szCs w:val="22"/>
        </w:rPr>
        <w:t>–</w:t>
      </w:r>
      <w:r>
        <w:tab/>
        <w:t>To improve both the pedagogical and administrative methods of the programme schools.</w:t>
      </w:r>
    </w:p>
    <w:p w:rsidR="00000000" w:rsidRDefault="00000000">
      <w:pPr>
        <w:spacing w:after="240"/>
      </w:pPr>
      <w:r>
        <w:tab/>
      </w:r>
      <w:r>
        <w:rPr>
          <w:szCs w:val="22"/>
        </w:rPr>
        <w:t>–</w:t>
      </w:r>
      <w:r>
        <w:tab/>
        <w:t>To reduce inequality in the education system.</w:t>
      </w:r>
    </w:p>
    <w:p w:rsidR="00000000" w:rsidRDefault="00000000">
      <w:pPr>
        <w:spacing w:after="240"/>
      </w:pPr>
      <w:r>
        <w:tab/>
      </w:r>
      <w:r>
        <w:rPr>
          <w:szCs w:val="22"/>
        </w:rPr>
        <w:t>–</w:t>
      </w:r>
      <w:r>
        <w:tab/>
        <w:t>To improve the quality of teacher training.</w:t>
      </w:r>
    </w:p>
    <w:p w:rsidR="00000000" w:rsidRDefault="00000000">
      <w:pPr>
        <w:spacing w:after="240"/>
      </w:pPr>
      <w:r>
        <w:tab/>
      </w:r>
      <w:r>
        <w:rPr>
          <w:szCs w:val="22"/>
        </w:rPr>
        <w:t>–</w:t>
      </w:r>
      <w:r>
        <w:tab/>
        <w:t>To strengthen MEC operations.</w:t>
      </w:r>
      <w:r>
        <w:tab/>
      </w:r>
    </w:p>
    <w:p w:rsidR="00000000" w:rsidRDefault="00000000">
      <w:pPr>
        <w:spacing w:after="240"/>
        <w:rPr>
          <w:bCs/>
          <w:i/>
          <w:iCs/>
        </w:rPr>
      </w:pPr>
      <w:r>
        <w:rPr>
          <w:bCs/>
          <w:i/>
          <w:iCs/>
        </w:rPr>
        <w:t>Lines of action</w:t>
      </w:r>
    </w:p>
    <w:p w:rsidR="00000000" w:rsidRDefault="00000000">
      <w:pPr>
        <w:spacing w:after="240"/>
        <w:ind w:left="567"/>
      </w:pPr>
      <w:r>
        <w:t>Activities in basic schools (150 urban schools and 1,000 rural schools most needing attention).</w:t>
      </w:r>
    </w:p>
    <w:p w:rsidR="00000000" w:rsidRDefault="00000000">
      <w:pPr>
        <w:spacing w:after="240"/>
        <w:ind w:firstLine="567"/>
      </w:pPr>
      <w:r>
        <w:t>Improved initial training of teachers.</w:t>
      </w:r>
    </w:p>
    <w:p w:rsidR="00000000" w:rsidRDefault="00000000">
      <w:pPr>
        <w:spacing w:after="240"/>
        <w:ind w:left="567"/>
      </w:pPr>
      <w:r>
        <w:t>Infrastructure and equipment for expanding the third cycle of basic school education (7</w:t>
      </w:r>
      <w:r>
        <w:rPr>
          <w:vertAlign w:val="superscript"/>
        </w:rPr>
        <w:t>th</w:t>
      </w:r>
      <w:r>
        <w:t xml:space="preserve"> and 8</w:t>
      </w:r>
      <w:r>
        <w:rPr>
          <w:vertAlign w:val="superscript"/>
        </w:rPr>
        <w:t>th</w:t>
      </w:r>
      <w:r>
        <w:t xml:space="preserve"> grades).</w:t>
      </w:r>
    </w:p>
    <w:p w:rsidR="00000000" w:rsidRDefault="00000000">
      <w:pPr>
        <w:spacing w:after="240"/>
        <w:ind w:firstLine="567"/>
      </w:pPr>
      <w:r>
        <w:t>Strategic support for MEC activities.</w:t>
      </w:r>
    </w:p>
    <w:p w:rsidR="00000000" w:rsidRDefault="00000000">
      <w:pPr>
        <w:spacing w:after="240"/>
        <w:rPr>
          <w:b/>
        </w:rPr>
      </w:pPr>
      <w:r>
        <w:rPr>
          <w:b/>
        </w:rPr>
        <w:t>3.1.2</w:t>
      </w:r>
      <w:r>
        <w:rPr>
          <w:b/>
        </w:rPr>
        <w:tab/>
        <w:t>Other action taken to increase retention in school at this level includes:</w:t>
      </w:r>
    </w:p>
    <w:p w:rsidR="00000000" w:rsidRDefault="00000000">
      <w:pPr>
        <w:spacing w:after="240"/>
        <w:ind w:left="1134" w:hanging="567"/>
      </w:pPr>
      <w:r>
        <w:rPr>
          <w:bCs/>
          <w:i/>
          <w:iCs/>
        </w:rPr>
        <w:t>(a)</w:t>
      </w:r>
      <w:r>
        <w:rPr>
          <w:b/>
        </w:rPr>
        <w:tab/>
        <w:t>Distribution of school kits</w:t>
      </w:r>
      <w:r>
        <w:t xml:space="preserve"> to schools in poor communities in the metropolitan area and the interior of the country. Each kit contains: exercise books, pencils, crayons, rulers, erasers, pencil sharpeners, scissors and plastic glue.</w:t>
      </w:r>
    </w:p>
    <w:p w:rsidR="00000000" w:rsidRDefault="00000000">
      <w:pPr>
        <w:spacing w:after="240"/>
        <w:ind w:left="1701"/>
      </w:pPr>
      <w:r>
        <w:rPr>
          <w:bCs/>
          <w:i/>
          <w:iCs/>
        </w:rPr>
        <w:t xml:space="preserve">Objective: </w:t>
      </w:r>
      <w:r>
        <w:t>to improve the education of disadvantaged social groups and contribute to equality of educational opportunities for Paraguayans.</w:t>
      </w:r>
    </w:p>
    <w:p w:rsidR="00000000" w:rsidRDefault="00000000">
      <w:pPr>
        <w:spacing w:after="240"/>
        <w:ind w:left="1701"/>
        <w:rPr>
          <w:lang w:val="es-ES_tradnl"/>
        </w:rPr>
      </w:pPr>
      <w:r>
        <w:rPr>
          <w:bCs/>
          <w:i/>
          <w:iCs/>
        </w:rPr>
        <w:t xml:space="preserve">Beneficiaries: </w:t>
      </w:r>
      <w:r>
        <w:t>450,000 school kits for pre-school pupils and pupils in the first and second cycles of basic school education in poor communities in the following departments: Capital,.</w:t>
      </w:r>
      <w:r>
        <w:rPr>
          <w:lang w:val="es-ES_tradnl"/>
        </w:rPr>
        <w:t>Concepción, Cordillera, Guairấ, Itaipú, Misiones, Paraguari, Central, Ñeembucú, Amambay, Presidente Hayes, Boquerón, Alto Paraguay, San Pedro, Alto Paranấ and Itapúa.</w:t>
      </w:r>
    </w:p>
    <w:p w:rsidR="00000000" w:rsidRDefault="00000000">
      <w:pPr>
        <w:spacing w:after="240"/>
        <w:ind w:firstLine="567"/>
        <w:rPr>
          <w:b/>
          <w:lang w:val="en-US"/>
        </w:rPr>
      </w:pPr>
      <w:r>
        <w:rPr>
          <w:bCs/>
          <w:i/>
          <w:iCs/>
          <w:lang w:val="en-US"/>
        </w:rPr>
        <w:t>(b)</w:t>
      </w:r>
      <w:r>
        <w:rPr>
          <w:b/>
          <w:lang w:val="en-US"/>
        </w:rPr>
        <w:tab/>
        <w:t>Student vouchers</w:t>
      </w:r>
    </w:p>
    <w:p w:rsidR="00000000" w:rsidRDefault="00000000">
      <w:pPr>
        <w:spacing w:after="240"/>
        <w:ind w:left="1134" w:firstLine="567"/>
      </w:pPr>
      <w:r>
        <w:t>The student voucher system has been in force since 1999. It consists of a 50 per cent discount on urban public transport charges for basic and secondary education students. This represents substantial support for students who need to use this service daily to travel to and from their places of study.</w:t>
      </w:r>
    </w:p>
    <w:p w:rsidR="00000000" w:rsidRDefault="00000000">
      <w:pPr>
        <w:spacing w:after="240"/>
        <w:ind w:left="1134"/>
        <w:rPr>
          <w:bCs/>
          <w:i/>
          <w:iCs/>
        </w:rPr>
      </w:pPr>
      <w:r>
        <w:rPr>
          <w:bCs/>
          <w:i/>
          <w:iCs/>
        </w:rPr>
        <w:t xml:space="preserve">Distribution of books of tickets to students </w:t>
      </w:r>
    </w:p>
    <w:p w:rsidR="00000000" w:rsidRDefault="00000000">
      <w:pPr>
        <w:spacing w:after="240"/>
        <w:ind w:left="1134"/>
      </w:pPr>
      <w:r>
        <w:rPr>
          <w:bCs/>
          <w:i/>
          <w:iCs/>
        </w:rPr>
        <w:t xml:space="preserve">Target 2005: </w:t>
      </w:r>
      <w:r>
        <w:t>To deliver 60,000 books of tickets to students in the Central and Capital departments and the interior of the country.</w:t>
      </w:r>
    </w:p>
    <w:p w:rsidR="00000000" w:rsidRDefault="00000000">
      <w:pPr>
        <w:spacing w:after="240"/>
        <w:ind w:left="1134"/>
      </w:pPr>
      <w:r>
        <w:t>Execution up to September: 34,248 books of tickets issued to students..</w:t>
      </w:r>
    </w:p>
    <w:p w:rsidR="00000000" w:rsidRDefault="00000000">
      <w:pPr>
        <w:spacing w:after="240"/>
        <w:ind w:firstLine="567"/>
        <w:rPr>
          <w:b/>
        </w:rPr>
      </w:pPr>
      <w:r>
        <w:rPr>
          <w:bCs/>
          <w:i/>
          <w:iCs/>
        </w:rPr>
        <w:t>(c)</w:t>
      </w:r>
      <w:r>
        <w:rPr>
          <w:b/>
        </w:rPr>
        <w:tab/>
        <w:t>Half-fare vouchers</w:t>
      </w:r>
    </w:p>
    <w:p w:rsidR="00000000" w:rsidRDefault="00000000">
      <w:pPr>
        <w:spacing w:after="240"/>
        <w:ind w:left="1134"/>
        <w:rPr>
          <w:bCs/>
          <w:i/>
          <w:iCs/>
        </w:rPr>
      </w:pPr>
      <w:r>
        <w:rPr>
          <w:bCs/>
          <w:i/>
          <w:iCs/>
        </w:rPr>
        <w:t>Target 2005</w:t>
      </w:r>
    </w:p>
    <w:p w:rsidR="00000000" w:rsidRDefault="00000000">
      <w:pPr>
        <w:spacing w:after="240"/>
        <w:ind w:left="1134"/>
      </w:pPr>
      <w:r>
        <w:t>To issue 32,400,000 vouchers per year (60 vouchers per student per month)</w:t>
      </w:r>
    </w:p>
    <w:p w:rsidR="00000000" w:rsidRDefault="00000000">
      <w:pPr>
        <w:spacing w:after="240"/>
        <w:ind w:left="1134"/>
      </w:pPr>
      <w:r>
        <w:t>Execution up to September: 9,646,000 vouchers delivered to 34,248 students.</w:t>
      </w:r>
    </w:p>
    <w:p w:rsidR="00000000" w:rsidRDefault="00000000">
      <w:pPr>
        <w:spacing w:after="240"/>
      </w:pPr>
      <w:r>
        <w:rPr>
          <w:lang w:val="en-US"/>
        </w:rPr>
        <w:t>566</w:t>
      </w:r>
      <w:r>
        <w:t>.</w:t>
      </w:r>
      <w:r>
        <w:tab/>
        <w:t>At the macroeducational level, the chief target is to ensure that all children under age 5 are enrolled in pre-school education by 2010 (National Initial Education Plan). In this context. more pre-school sections are being established in order to attain the 100 per cent coverage proposed.</w:t>
      </w:r>
    </w:p>
    <w:p w:rsidR="00000000" w:rsidRDefault="00000000">
      <w:pPr>
        <w:spacing w:after="240"/>
      </w:pPr>
      <w:r>
        <w:rPr>
          <w:lang w:val="en-US"/>
        </w:rPr>
        <w:t>567</w:t>
      </w:r>
      <w:r>
        <w:t>.</w:t>
      </w:r>
      <w:r>
        <w:tab/>
        <w:t>Lines of action:</w:t>
      </w:r>
    </w:p>
    <w:p w:rsidR="00000000" w:rsidRDefault="00000000">
      <w:pPr>
        <w:spacing w:after="240"/>
        <w:ind w:left="1134" w:hanging="567"/>
      </w:pPr>
      <w:r>
        <w:rPr>
          <w:szCs w:val="22"/>
        </w:rPr>
        <w:t>–</w:t>
      </w:r>
      <w:r>
        <w:tab/>
        <w:t>Achievement of universal access to initial and basic school education (84 per cent coverage for initial education, 100 per cent coverage in the first and second cycles and 75 per cent in the third cycle.</w:t>
      </w:r>
    </w:p>
    <w:p w:rsidR="00000000" w:rsidRDefault="00000000">
      <w:pPr>
        <w:spacing w:after="240"/>
        <w:ind w:left="1134" w:hanging="567"/>
      </w:pPr>
      <w:r>
        <w:rPr>
          <w:szCs w:val="22"/>
        </w:rPr>
        <w:t>–</w:t>
      </w:r>
      <w:r>
        <w:tab/>
        <w:t>Compensatory policies for improving the education of disadvantaged social groups through the provision of textbooks. school supplies, lunches and snacks.</w:t>
      </w:r>
    </w:p>
    <w:p w:rsidR="00000000" w:rsidRDefault="00000000">
      <w:pPr>
        <w:spacing w:after="240"/>
        <w:ind w:left="1134" w:hanging="567"/>
      </w:pPr>
      <w:r>
        <w:rPr>
          <w:szCs w:val="22"/>
        </w:rPr>
        <w:t>–</w:t>
      </w:r>
      <w:r>
        <w:tab/>
        <w:t>Modernization of the administrative and management structure of the education system.</w:t>
      </w:r>
    </w:p>
    <w:p w:rsidR="00000000" w:rsidRDefault="00000000">
      <w:pPr>
        <w:spacing w:after="240"/>
      </w:pPr>
      <w:r>
        <w:rPr>
          <w:lang w:val="en-US"/>
        </w:rPr>
        <w:t>568</w:t>
      </w:r>
      <w:r>
        <w:t>.</w:t>
      </w:r>
      <w:r>
        <w:tab/>
        <w:t>Another objective is that by 2020 all children should complete 9 years of study (Paraguay Strategic Plan 2020). Current coverage is 75 per cent. The target is to eliminate illiteracy altogether by 2008 (Paraguay Strategic Plan 2020. National Literacy Plan and Education Target for All – Dakar).</w:t>
      </w:r>
    </w:p>
    <w:p w:rsidR="00000000" w:rsidRDefault="00000000">
      <w:pPr>
        <w:spacing w:after="240"/>
      </w:pPr>
      <w:r>
        <w:rPr>
          <w:b/>
        </w:rPr>
        <w:t>4.</w:t>
      </w:r>
      <w:r>
        <w:rPr>
          <w:b/>
        </w:rPr>
        <w:tab/>
        <w:t>Measures for promoting literacy</w:t>
      </w:r>
    </w:p>
    <w:p w:rsidR="00000000" w:rsidRDefault="00000000">
      <w:pPr>
        <w:spacing w:after="240"/>
      </w:pPr>
      <w:r>
        <w:rPr>
          <w:lang w:val="en-US"/>
        </w:rPr>
        <w:t>569</w:t>
      </w:r>
      <w:r>
        <w:t>.</w:t>
      </w:r>
      <w:r>
        <w:tab/>
        <w:t>Specific measures taken by the Paraguayan State to promote literacy include the following:</w:t>
      </w:r>
    </w:p>
    <w:p w:rsidR="00000000" w:rsidRDefault="00000000">
      <w:pPr>
        <w:spacing w:after="240"/>
        <w:rPr>
          <w:b/>
        </w:rPr>
      </w:pPr>
      <w:r>
        <w:rPr>
          <w:b/>
        </w:rPr>
        <w:t>4.1</w:t>
      </w:r>
      <w:r>
        <w:rPr>
          <w:b/>
        </w:rPr>
        <w:tab/>
        <w:t>National Literacy Plan (2004-2008) – Programmes implemented:</w:t>
      </w:r>
    </w:p>
    <w:p w:rsidR="00000000" w:rsidRDefault="00000000">
      <w:pPr>
        <w:spacing w:after="240"/>
        <w:ind w:left="1134" w:hanging="567"/>
      </w:pPr>
      <w:r>
        <w:rPr>
          <w:szCs w:val="22"/>
        </w:rPr>
        <w:t>–</w:t>
      </w:r>
      <w:r>
        <w:tab/>
      </w:r>
      <w:r>
        <w:rPr>
          <w:i/>
          <w:iCs/>
        </w:rPr>
        <w:t xml:space="preserve">Bilingual Youth and Adult Basic Education Programme: </w:t>
      </w:r>
      <w:r>
        <w:t>the beneficiaries in 2005 were 26.000 young people and adults, achieving a 12.1 per cent reduction in illiteracy.</w:t>
      </w:r>
    </w:p>
    <w:p w:rsidR="00000000" w:rsidRDefault="00000000">
      <w:pPr>
        <w:spacing w:after="240"/>
        <w:ind w:left="1134" w:hanging="567"/>
      </w:pPr>
      <w:r>
        <w:rPr>
          <w:szCs w:val="22"/>
        </w:rPr>
        <w:t>–</w:t>
      </w:r>
      <w:r>
        <w:tab/>
      </w:r>
      <w:r>
        <w:rPr>
          <w:i/>
          <w:iCs/>
        </w:rPr>
        <w:t>Intensive bilingual literacy programme</w:t>
      </w:r>
      <w:r>
        <w:t>: 65.000 pupils enrolled in four years (2002-2004). The beneficiaries in 2005 were 8,000 young people and adults, achieving a 4.2 per cent reduction in illiteracy.</w:t>
      </w:r>
    </w:p>
    <w:p w:rsidR="00000000" w:rsidRDefault="00000000">
      <w:pPr>
        <w:spacing w:after="240"/>
        <w:ind w:left="1134" w:hanging="567"/>
      </w:pPr>
      <w:r>
        <w:rPr>
          <w:szCs w:val="22"/>
        </w:rPr>
        <w:t>–</w:t>
      </w:r>
      <w:r>
        <w:tab/>
      </w:r>
      <w:r>
        <w:rPr>
          <w:i/>
          <w:iCs/>
        </w:rPr>
        <w:t xml:space="preserve">Broadcasting-based literacy programme. : </w:t>
      </w:r>
      <w:r>
        <w:t>45,000 pupils enrolled in four years (2002-2004). The beneficiaries in 2005 were 6,000 young people and adults who achieved literacy, , making for a 3.2 per cent reduction in illiteracy.</w:t>
      </w:r>
    </w:p>
    <w:p w:rsidR="00000000" w:rsidRDefault="00000000">
      <w:pPr>
        <w:spacing w:after="240"/>
        <w:ind w:left="1134" w:hanging="567"/>
      </w:pPr>
      <w:r>
        <w:rPr>
          <w:szCs w:val="22"/>
        </w:rPr>
        <w:t>–</w:t>
      </w:r>
      <w:r>
        <w:tab/>
      </w:r>
      <w:r>
        <w:rPr>
          <w:i/>
          <w:iCs/>
        </w:rPr>
        <w:t xml:space="preserve">Alpha prepares Prodepa: </w:t>
      </w:r>
      <w:r>
        <w:t>This is developed in agreements with secondary education teacher training institutions (IFDs). Coverage: approximately 5,000 participants. This programme comprises curricular reform and implementation of programmes for educating young people and adults who either have had no access to or have not completed basic elementary education. It benefits 185,000 young people and adults aged 15 to 30 from the capital and all the country’s geographical departments.</w:t>
      </w:r>
    </w:p>
    <w:p w:rsidR="00000000" w:rsidRDefault="00000000">
      <w:pPr>
        <w:spacing w:after="240"/>
      </w:pPr>
      <w:r>
        <w:rPr>
          <w:i/>
        </w:rPr>
        <w:t>Additional projects of the PRODEPA programme</w:t>
      </w:r>
    </w:p>
    <w:p w:rsidR="00000000" w:rsidRDefault="00000000">
      <w:pPr>
        <w:spacing w:after="240"/>
        <w:ind w:left="1134" w:hanging="567"/>
      </w:pPr>
      <w:r>
        <w:rPr>
          <w:szCs w:val="22"/>
        </w:rPr>
        <w:t>–</w:t>
      </w:r>
      <w:r>
        <w:tab/>
        <w:t>Pedagogical attention to special disability-related educational needs: deafness, blindness, slight mental retardation and motor problems.</w:t>
      </w:r>
    </w:p>
    <w:p w:rsidR="00000000" w:rsidRDefault="00000000">
      <w:pPr>
        <w:spacing w:after="240"/>
        <w:ind w:left="1134" w:hanging="567"/>
      </w:pPr>
      <w:r>
        <w:rPr>
          <w:szCs w:val="22"/>
        </w:rPr>
        <w:t>–</w:t>
      </w:r>
      <w:r>
        <w:tab/>
      </w:r>
      <w:r>
        <w:rPr>
          <w:i/>
          <w:iCs/>
        </w:rPr>
        <w:t>Vocational training</w:t>
      </w:r>
      <w:r>
        <w:t>: continuing education provides vocational training via a special curriculum geared to training for skilled labour for a specific job. It is provided at the post- basic education level (second and third cycles).</w:t>
      </w:r>
    </w:p>
    <w:p w:rsidR="00000000" w:rsidRDefault="00000000">
      <w:pPr>
        <w:spacing w:after="240"/>
        <w:ind w:left="1134" w:hanging="567"/>
      </w:pPr>
      <w:r>
        <w:rPr>
          <w:szCs w:val="22"/>
        </w:rPr>
        <w:t>–</w:t>
      </w:r>
      <w:r>
        <w:tab/>
      </w:r>
      <w:r>
        <w:rPr>
          <w:i/>
          <w:iCs/>
        </w:rPr>
        <w:t xml:space="preserve">Training for work.: </w:t>
      </w:r>
      <w:r>
        <w:t>This programme is designed for attendees at youth and adult education centres and interested individuals in the community; its aim is to develop in the participants basic skills for integration into the world of work. Its beneficiaries are 20,000 participants enrolled in 2005.</w:t>
      </w:r>
    </w:p>
    <w:p w:rsidR="00000000" w:rsidRDefault="00000000">
      <w:pPr>
        <w:spacing w:after="240"/>
        <w:ind w:left="1134" w:hanging="567"/>
      </w:pPr>
      <w:r>
        <w:rPr>
          <w:szCs w:val="22"/>
        </w:rPr>
        <w:t>–</w:t>
      </w:r>
      <w:r>
        <w:tab/>
        <w:t xml:space="preserve">Aula Mentor </w:t>
      </w:r>
      <w:r>
        <w:rPr>
          <w:i/>
          <w:iCs/>
        </w:rPr>
        <w:t xml:space="preserve">(Mentor classroom): </w:t>
      </w:r>
      <w:r>
        <w:t>offers training via the Internet in courses with televised tutorials for women imprisoned in the “Casa del Buen Pastor” correctional centre.</w:t>
      </w:r>
    </w:p>
    <w:p w:rsidR="00000000" w:rsidRDefault="00000000">
      <w:pPr>
        <w:spacing w:after="240"/>
      </w:pPr>
      <w:r>
        <w:rPr>
          <w:lang w:val="en-US"/>
        </w:rPr>
        <w:t>570</w:t>
      </w:r>
      <w:r>
        <w:t>.</w:t>
      </w:r>
      <w:r>
        <w:tab/>
      </w:r>
      <w:r>
        <w:rPr>
          <w:i/>
          <w:iCs/>
        </w:rPr>
        <w:t>Prisons education project</w:t>
      </w:r>
      <w:r>
        <w:t xml:space="preserve">: offers young people and adults over 15 years of age access to basic education and training for work, which may bring them improved quality of life and effective reintegration into Paraguayan society. It is conducted at the National Penitentiary, regional penitentiaries, the Minors’ Correctional Facility and the Women’s Correctional Facility. The beneficiaries are 1,400 prisoners and PRODEPA participants held in the penitentiaries in the departments of Concepción, </w:t>
      </w:r>
      <w:r>
        <w:rPr>
          <w:lang w:val="en-US"/>
        </w:rPr>
        <w:t xml:space="preserve">Amambay, San Pedro, Caaguazú, Guairá, Alto Paraná, Itapúa, Misiones, Cordillera, </w:t>
      </w:r>
      <w:r>
        <w:t>Central and Asunción, through an agreement entered into by MEC and the Ministry of Justice and Labour.</w:t>
      </w:r>
    </w:p>
    <w:p w:rsidR="00000000" w:rsidRDefault="00000000">
      <w:pPr>
        <w:spacing w:after="240"/>
      </w:pPr>
      <w:r>
        <w:rPr>
          <w:lang w:val="en-US"/>
        </w:rPr>
        <w:t>571</w:t>
      </w:r>
      <w:r>
        <w:t>.</w:t>
      </w:r>
      <w:r>
        <w:tab/>
        <w:t>Under the curriculum policies in educational content and teaching-learning strategies, especially with regard to the education of young people and adults, the curricular reform of this sub-item is bilingual Spanish-Guaraní and responds to the socio-linguistic reality of the country, with educational service geared to the development of skills and improved educational opportunities within a framework of equity.. The aim of the curriculum is to achieve autonomous civic participation and promote the training of citizens for democratic life together. .</w:t>
      </w:r>
    </w:p>
    <w:p w:rsidR="00000000" w:rsidRDefault="00000000">
      <w:pPr>
        <w:spacing w:after="240"/>
      </w:pPr>
      <w:r>
        <w:rPr>
          <w:lang w:val="en-US"/>
        </w:rPr>
        <w:t>572</w:t>
      </w:r>
      <w:r>
        <w:t>.</w:t>
      </w:r>
      <w:r>
        <w:tab/>
        <w:t>Its structure is broken down into four cycles, each lasting one academic year and including training for work through practical apprenticeship in a trade, which, once completed, is recompensed with a certificate of basic education.</w:t>
      </w:r>
    </w:p>
    <w:p w:rsidR="00000000" w:rsidRDefault="00000000">
      <w:pPr>
        <w:spacing w:after="240"/>
        <w:jc w:val="center"/>
        <w:rPr>
          <w:b/>
        </w:rPr>
      </w:pPr>
      <w:r>
        <w:rPr>
          <w:b/>
        </w:rPr>
        <w:t>B.  Education system</w:t>
      </w:r>
    </w:p>
    <w:p w:rsidR="00000000" w:rsidRDefault="00000000">
      <w:pPr>
        <w:spacing w:after="240"/>
      </w:pPr>
      <w:r>
        <w:rPr>
          <w:b/>
          <w:bCs/>
        </w:rPr>
        <w:t>1.</w:t>
      </w:r>
      <w:r>
        <w:tab/>
      </w:r>
      <w:r>
        <w:rPr>
          <w:b/>
        </w:rPr>
        <w:t>Education budget</w:t>
      </w:r>
    </w:p>
    <w:p w:rsidR="00000000" w:rsidRDefault="00000000">
      <w:pPr>
        <w:spacing w:after="240"/>
      </w:pPr>
      <w:r>
        <w:rPr>
          <w:lang w:val="en-US"/>
        </w:rPr>
        <w:t>573</w:t>
      </w:r>
      <w:r>
        <w:t>.</w:t>
      </w:r>
      <w:r>
        <w:tab/>
        <w:t>Of the National General Budget of Expenditures, 18.23 per cent of the amount allocated to the Central Administration goes to the Ministry of Education and Culture. Also, Article 85 of the National Constitution of Paraguay establishes that: “The resources devoted to education in the National General Budget may not be less than 20 per cent of the total allocated to the Central Administration, excluding loans and donations.”</w:t>
      </w:r>
    </w:p>
    <w:p w:rsidR="00000000" w:rsidRDefault="00000000">
      <w:pPr>
        <w:spacing w:after="220"/>
      </w:pPr>
      <w:r>
        <w:rPr>
          <w:b/>
        </w:rPr>
        <w:t>2.</w:t>
      </w:r>
      <w:r>
        <w:rPr>
          <w:b/>
        </w:rPr>
        <w:tab/>
        <w:t>School system</w:t>
      </w:r>
    </w:p>
    <w:p w:rsidR="00000000" w:rsidRDefault="00000000">
      <w:pPr>
        <w:spacing w:after="220"/>
      </w:pPr>
      <w:r>
        <w:rPr>
          <w:lang w:val="en-US"/>
        </w:rPr>
        <w:t>574</w:t>
      </w:r>
      <w:r>
        <w:t>.</w:t>
      </w:r>
      <w:r>
        <w:tab/>
        <w:t>Schools, according to the type of management, may be:</w:t>
      </w:r>
    </w:p>
    <w:p w:rsidR="00000000" w:rsidRDefault="00000000">
      <w:pPr>
        <w:spacing w:after="220"/>
      </w:pPr>
      <w:r>
        <w:tab/>
      </w:r>
      <w:r>
        <w:rPr>
          <w:szCs w:val="22"/>
        </w:rPr>
        <w:t>–</w:t>
      </w:r>
      <w:r>
        <w:tab/>
      </w:r>
      <w:r>
        <w:rPr>
          <w:bCs/>
          <w:i/>
          <w:iCs/>
        </w:rPr>
        <w:t>Official schools:</w:t>
      </w:r>
      <w:r>
        <w:t xml:space="preserve"> of the State, directly administered by the Government.</w:t>
      </w:r>
    </w:p>
    <w:p w:rsidR="00000000" w:rsidRDefault="00000000">
      <w:pPr>
        <w:spacing w:after="220"/>
        <w:ind w:left="1134" w:hanging="567"/>
      </w:pPr>
      <w:r>
        <w:rPr>
          <w:szCs w:val="22"/>
        </w:rPr>
        <w:t>–</w:t>
      </w:r>
      <w:r>
        <w:tab/>
      </w:r>
      <w:r>
        <w:rPr>
          <w:bCs/>
          <w:i/>
          <w:iCs/>
        </w:rPr>
        <w:t>Subsidized private schools:</w:t>
      </w:r>
      <w:r>
        <w:t xml:space="preserve"> privately administered but with teachers paid by the Government.</w:t>
      </w:r>
    </w:p>
    <w:p w:rsidR="00000000" w:rsidRDefault="00000000">
      <w:pPr>
        <w:spacing w:after="220"/>
      </w:pPr>
      <w:r>
        <w:tab/>
      </w:r>
      <w:r>
        <w:rPr>
          <w:szCs w:val="22"/>
        </w:rPr>
        <w:t>–</w:t>
      </w:r>
      <w:r>
        <w:tab/>
      </w:r>
      <w:r>
        <w:rPr>
          <w:bCs/>
          <w:i/>
          <w:iCs/>
        </w:rPr>
        <w:t>Private schools.</w:t>
      </w:r>
      <w:r>
        <w:tab/>
      </w:r>
    </w:p>
    <w:p w:rsidR="00000000" w:rsidRDefault="00000000">
      <w:pPr>
        <w:spacing w:after="220"/>
      </w:pPr>
      <w:r>
        <w:rPr>
          <w:lang w:val="en-US"/>
        </w:rPr>
        <w:t>575</w:t>
      </w:r>
      <w:r>
        <w:t>.</w:t>
      </w:r>
      <w:r>
        <w:tab/>
        <w:t>The distribution of education centres, by type, is set out below.</w:t>
      </w:r>
    </w:p>
    <w:p w:rsidR="00000000" w:rsidRDefault="00000000">
      <w:pPr>
        <w:spacing w:after="240"/>
        <w:jc w:val="center"/>
        <w:rPr>
          <w:sz w:val="22"/>
          <w:szCs w:val="18"/>
          <w:lang w:val="fr-FR"/>
        </w:rPr>
      </w:pPr>
      <w:r>
        <w:rPr>
          <w:b/>
          <w:sz w:val="22"/>
          <w:szCs w:val="18"/>
        </w:rPr>
        <w:t xml:space="preserve">Percentage of institutions by sector and area and by level. </w:t>
      </w:r>
      <w:r>
        <w:rPr>
          <w:b/>
          <w:sz w:val="22"/>
          <w:szCs w:val="18"/>
          <w:lang w:val="fr-FR"/>
        </w:rPr>
        <w:t>Year 2004</w:t>
      </w:r>
    </w:p>
    <w:tbl>
      <w:tblPr>
        <w:tblW w:w="5000" w:type="pct"/>
        <w:tblLayout w:type="fixed"/>
        <w:tblCellMar>
          <w:left w:w="0" w:type="dxa"/>
          <w:right w:w="0" w:type="dxa"/>
        </w:tblCellMar>
        <w:tblLook w:val="0000" w:firstRow="0" w:lastRow="0" w:firstColumn="0" w:lastColumn="0" w:noHBand="0" w:noVBand="0"/>
      </w:tblPr>
      <w:tblGrid>
        <w:gridCol w:w="2167"/>
        <w:gridCol w:w="777"/>
        <w:gridCol w:w="462"/>
        <w:gridCol w:w="773"/>
        <w:gridCol w:w="462"/>
        <w:gridCol w:w="869"/>
        <w:gridCol w:w="524"/>
        <w:gridCol w:w="771"/>
        <w:gridCol w:w="619"/>
        <w:gridCol w:w="619"/>
        <w:gridCol w:w="464"/>
        <w:gridCol w:w="922"/>
      </w:tblGrid>
      <w:tr w:rsidR="00000000">
        <w:tblPrEx>
          <w:tblCellMar>
            <w:top w:w="0" w:type="dxa"/>
            <w:bottom w:w="0" w:type="dxa"/>
          </w:tblCellMar>
        </w:tblPrEx>
        <w:tc>
          <w:tcPr>
            <w:tcW w:w="1149" w:type="pct"/>
            <w:tcBorders>
              <w:top w:val="single" w:sz="4" w:space="0" w:color="auto"/>
              <w:bottom w:val="single" w:sz="4" w:space="0" w:color="auto"/>
            </w:tcBorders>
            <w:vAlign w:val="center"/>
          </w:tcPr>
          <w:p w:rsidR="00000000" w:rsidRDefault="00000000">
            <w:pPr>
              <w:widowControl w:val="0"/>
              <w:spacing w:before="80" w:after="80"/>
              <w:jc w:val="center"/>
              <w:rPr>
                <w:b/>
                <w:bCs/>
                <w:i/>
                <w:iCs/>
                <w:color w:val="000000"/>
                <w:sz w:val="20"/>
                <w:szCs w:val="20"/>
              </w:rPr>
            </w:pPr>
            <w:r>
              <w:rPr>
                <w:b/>
                <w:bCs/>
                <w:i/>
                <w:iCs/>
                <w:sz w:val="20"/>
              </w:rPr>
              <w:t>Institutions</w:t>
            </w:r>
          </w:p>
        </w:tc>
        <w:tc>
          <w:tcPr>
            <w:tcW w:w="412" w:type="pct"/>
            <w:tcBorders>
              <w:top w:val="single" w:sz="4" w:space="0" w:color="auto"/>
              <w:bottom w:val="single" w:sz="4" w:space="0" w:color="auto"/>
            </w:tcBorders>
            <w:vAlign w:val="center"/>
          </w:tcPr>
          <w:p w:rsidR="00000000" w:rsidRDefault="00000000">
            <w:pPr>
              <w:widowControl w:val="0"/>
              <w:spacing w:before="80" w:after="80"/>
              <w:jc w:val="center"/>
              <w:rPr>
                <w:b/>
                <w:bCs/>
                <w:i/>
                <w:iCs/>
                <w:color w:val="000000"/>
                <w:sz w:val="20"/>
                <w:szCs w:val="20"/>
              </w:rPr>
            </w:pPr>
            <w:r>
              <w:rPr>
                <w:b/>
                <w:bCs/>
                <w:i/>
                <w:iCs/>
                <w:sz w:val="20"/>
              </w:rPr>
              <w:t>Official</w:t>
            </w:r>
          </w:p>
        </w:tc>
        <w:tc>
          <w:tcPr>
            <w:tcW w:w="245" w:type="pct"/>
            <w:tcBorders>
              <w:top w:val="single" w:sz="4" w:space="0" w:color="auto"/>
              <w:bottom w:val="single" w:sz="4" w:space="0" w:color="auto"/>
            </w:tcBorders>
            <w:vAlign w:val="center"/>
          </w:tcPr>
          <w:p w:rsidR="00000000" w:rsidRDefault="00000000">
            <w:pPr>
              <w:widowControl w:val="0"/>
              <w:spacing w:before="80" w:after="80"/>
              <w:jc w:val="center"/>
              <w:rPr>
                <w:b/>
                <w:i/>
                <w:iCs/>
                <w:color w:val="000000"/>
                <w:sz w:val="20"/>
                <w:szCs w:val="20"/>
              </w:rPr>
            </w:pPr>
            <w:r>
              <w:rPr>
                <w:b/>
                <w:i/>
                <w:iCs/>
                <w:color w:val="000000"/>
                <w:sz w:val="20"/>
                <w:szCs w:val="20"/>
              </w:rPr>
              <w:t>%</w:t>
            </w:r>
          </w:p>
        </w:tc>
        <w:tc>
          <w:tcPr>
            <w:tcW w:w="410" w:type="pct"/>
            <w:tcBorders>
              <w:top w:val="single" w:sz="4" w:space="0" w:color="auto"/>
              <w:bottom w:val="single" w:sz="4" w:space="0" w:color="auto"/>
            </w:tcBorders>
            <w:vAlign w:val="center"/>
          </w:tcPr>
          <w:p w:rsidR="00000000" w:rsidRDefault="00000000">
            <w:pPr>
              <w:widowControl w:val="0"/>
              <w:spacing w:before="80" w:after="80"/>
              <w:jc w:val="center"/>
              <w:rPr>
                <w:b/>
                <w:bCs/>
                <w:i/>
                <w:iCs/>
                <w:color w:val="000000"/>
                <w:sz w:val="20"/>
                <w:szCs w:val="20"/>
              </w:rPr>
            </w:pPr>
            <w:r>
              <w:rPr>
                <w:b/>
                <w:bCs/>
                <w:i/>
                <w:iCs/>
                <w:sz w:val="20"/>
              </w:rPr>
              <w:t>Private</w:t>
            </w:r>
          </w:p>
        </w:tc>
        <w:tc>
          <w:tcPr>
            <w:tcW w:w="245" w:type="pct"/>
            <w:tcBorders>
              <w:top w:val="single" w:sz="4" w:space="0" w:color="auto"/>
              <w:bottom w:val="single" w:sz="4" w:space="0" w:color="auto"/>
            </w:tcBorders>
            <w:vAlign w:val="center"/>
          </w:tcPr>
          <w:p w:rsidR="00000000" w:rsidRDefault="00000000">
            <w:pPr>
              <w:widowControl w:val="0"/>
              <w:spacing w:before="80" w:after="80"/>
              <w:jc w:val="center"/>
              <w:rPr>
                <w:b/>
                <w:i/>
                <w:iCs/>
                <w:color w:val="000000"/>
                <w:sz w:val="20"/>
                <w:szCs w:val="20"/>
              </w:rPr>
            </w:pPr>
            <w:r>
              <w:rPr>
                <w:b/>
                <w:i/>
                <w:iCs/>
                <w:color w:val="000000"/>
                <w:sz w:val="20"/>
                <w:szCs w:val="20"/>
              </w:rPr>
              <w:t>%</w:t>
            </w:r>
          </w:p>
        </w:tc>
        <w:tc>
          <w:tcPr>
            <w:tcW w:w="461" w:type="pct"/>
            <w:tcBorders>
              <w:top w:val="single" w:sz="4" w:space="0" w:color="auto"/>
              <w:bottom w:val="single" w:sz="4" w:space="0" w:color="auto"/>
            </w:tcBorders>
            <w:vAlign w:val="center"/>
          </w:tcPr>
          <w:p w:rsidR="00000000" w:rsidRDefault="00000000">
            <w:pPr>
              <w:widowControl w:val="0"/>
              <w:spacing w:before="80" w:after="80"/>
              <w:jc w:val="center"/>
              <w:rPr>
                <w:b/>
                <w:i/>
                <w:iCs/>
                <w:color w:val="000000"/>
                <w:sz w:val="20"/>
                <w:szCs w:val="20"/>
              </w:rPr>
            </w:pPr>
            <w:r>
              <w:rPr>
                <w:b/>
                <w:i/>
                <w:iCs/>
                <w:color w:val="000000"/>
                <w:sz w:val="20"/>
                <w:szCs w:val="20"/>
              </w:rPr>
              <w:t>Private subsidies</w:t>
            </w:r>
          </w:p>
        </w:tc>
        <w:tc>
          <w:tcPr>
            <w:tcW w:w="278" w:type="pct"/>
            <w:tcBorders>
              <w:top w:val="single" w:sz="4" w:space="0" w:color="auto"/>
              <w:bottom w:val="single" w:sz="4" w:space="0" w:color="auto"/>
            </w:tcBorders>
            <w:vAlign w:val="center"/>
          </w:tcPr>
          <w:p w:rsidR="00000000" w:rsidRDefault="00000000">
            <w:pPr>
              <w:widowControl w:val="0"/>
              <w:spacing w:before="80" w:after="80"/>
              <w:jc w:val="center"/>
              <w:rPr>
                <w:b/>
                <w:i/>
                <w:iCs/>
                <w:color w:val="000000"/>
                <w:sz w:val="20"/>
                <w:szCs w:val="20"/>
              </w:rPr>
            </w:pPr>
            <w:r>
              <w:rPr>
                <w:b/>
                <w:i/>
                <w:iCs/>
                <w:color w:val="000000"/>
                <w:sz w:val="20"/>
                <w:szCs w:val="20"/>
              </w:rPr>
              <w:t>%</w:t>
            </w:r>
          </w:p>
        </w:tc>
        <w:tc>
          <w:tcPr>
            <w:tcW w:w="409" w:type="pct"/>
            <w:tcBorders>
              <w:top w:val="single" w:sz="4" w:space="0" w:color="auto"/>
              <w:bottom w:val="single" w:sz="4" w:space="0" w:color="auto"/>
            </w:tcBorders>
            <w:vAlign w:val="center"/>
          </w:tcPr>
          <w:p w:rsidR="00000000" w:rsidRDefault="00000000">
            <w:pPr>
              <w:widowControl w:val="0"/>
              <w:spacing w:before="80" w:after="80"/>
              <w:jc w:val="center"/>
              <w:rPr>
                <w:b/>
                <w:i/>
                <w:iCs/>
                <w:color w:val="000000"/>
                <w:sz w:val="20"/>
                <w:szCs w:val="20"/>
              </w:rPr>
            </w:pPr>
            <w:r>
              <w:rPr>
                <w:b/>
                <w:i/>
                <w:iCs/>
                <w:color w:val="000000"/>
                <w:sz w:val="20"/>
                <w:szCs w:val="20"/>
              </w:rPr>
              <w:t>Urban</w:t>
            </w:r>
          </w:p>
        </w:tc>
        <w:tc>
          <w:tcPr>
            <w:tcW w:w="328" w:type="pct"/>
            <w:tcBorders>
              <w:top w:val="single" w:sz="4" w:space="0" w:color="auto"/>
              <w:bottom w:val="single" w:sz="4" w:space="0" w:color="auto"/>
            </w:tcBorders>
            <w:vAlign w:val="center"/>
          </w:tcPr>
          <w:p w:rsidR="00000000" w:rsidRDefault="00000000">
            <w:pPr>
              <w:widowControl w:val="0"/>
              <w:spacing w:before="80" w:after="80"/>
              <w:jc w:val="center"/>
              <w:rPr>
                <w:b/>
                <w:i/>
                <w:iCs/>
                <w:color w:val="000000"/>
                <w:sz w:val="20"/>
                <w:szCs w:val="20"/>
              </w:rPr>
            </w:pPr>
            <w:r>
              <w:rPr>
                <w:b/>
                <w:i/>
                <w:iCs/>
                <w:color w:val="000000"/>
                <w:sz w:val="20"/>
                <w:szCs w:val="20"/>
              </w:rPr>
              <w:t>%</w:t>
            </w:r>
          </w:p>
        </w:tc>
        <w:tc>
          <w:tcPr>
            <w:tcW w:w="328" w:type="pct"/>
            <w:tcBorders>
              <w:top w:val="single" w:sz="4" w:space="0" w:color="auto"/>
              <w:bottom w:val="single" w:sz="4" w:space="0" w:color="auto"/>
            </w:tcBorders>
            <w:vAlign w:val="center"/>
          </w:tcPr>
          <w:p w:rsidR="00000000" w:rsidRDefault="00000000">
            <w:pPr>
              <w:widowControl w:val="0"/>
              <w:spacing w:before="80" w:after="80"/>
              <w:jc w:val="center"/>
              <w:rPr>
                <w:b/>
                <w:i/>
                <w:iCs/>
                <w:color w:val="000000"/>
                <w:sz w:val="20"/>
                <w:szCs w:val="20"/>
              </w:rPr>
            </w:pPr>
            <w:r>
              <w:rPr>
                <w:b/>
                <w:i/>
                <w:iCs/>
                <w:color w:val="000000"/>
                <w:sz w:val="20"/>
                <w:szCs w:val="20"/>
              </w:rPr>
              <w:t>Rural</w:t>
            </w:r>
          </w:p>
        </w:tc>
        <w:tc>
          <w:tcPr>
            <w:tcW w:w="246" w:type="pct"/>
            <w:tcBorders>
              <w:top w:val="single" w:sz="4" w:space="0" w:color="auto"/>
              <w:bottom w:val="single" w:sz="4" w:space="0" w:color="auto"/>
            </w:tcBorders>
            <w:vAlign w:val="center"/>
          </w:tcPr>
          <w:p w:rsidR="00000000" w:rsidRDefault="00000000">
            <w:pPr>
              <w:widowControl w:val="0"/>
              <w:spacing w:before="80" w:after="80"/>
              <w:jc w:val="center"/>
              <w:rPr>
                <w:b/>
                <w:i/>
                <w:iCs/>
                <w:color w:val="000000"/>
                <w:sz w:val="20"/>
                <w:szCs w:val="20"/>
              </w:rPr>
            </w:pPr>
            <w:r>
              <w:rPr>
                <w:b/>
                <w:i/>
                <w:iCs/>
                <w:color w:val="000000"/>
                <w:sz w:val="20"/>
                <w:szCs w:val="20"/>
              </w:rPr>
              <w:t>%</w:t>
            </w:r>
          </w:p>
        </w:tc>
        <w:tc>
          <w:tcPr>
            <w:tcW w:w="489" w:type="pct"/>
            <w:tcBorders>
              <w:top w:val="single" w:sz="4" w:space="0" w:color="auto"/>
              <w:bottom w:val="single" w:sz="4" w:space="0" w:color="auto"/>
            </w:tcBorders>
            <w:vAlign w:val="center"/>
          </w:tcPr>
          <w:p w:rsidR="00000000" w:rsidRDefault="00000000">
            <w:pPr>
              <w:widowControl w:val="0"/>
              <w:spacing w:before="80" w:after="80"/>
              <w:jc w:val="center"/>
              <w:rPr>
                <w:b/>
                <w:i/>
                <w:iCs/>
                <w:color w:val="000000"/>
                <w:sz w:val="20"/>
                <w:szCs w:val="20"/>
              </w:rPr>
            </w:pPr>
            <w:r>
              <w:rPr>
                <w:b/>
                <w:i/>
                <w:iCs/>
                <w:color w:val="000000"/>
                <w:sz w:val="20"/>
                <w:szCs w:val="20"/>
              </w:rPr>
              <w:t>Total</w:t>
            </w:r>
          </w:p>
        </w:tc>
      </w:tr>
      <w:tr w:rsidR="00000000">
        <w:tblPrEx>
          <w:tblCellMar>
            <w:top w:w="0" w:type="dxa"/>
            <w:bottom w:w="0" w:type="dxa"/>
          </w:tblCellMar>
        </w:tblPrEx>
        <w:tc>
          <w:tcPr>
            <w:tcW w:w="1149" w:type="pct"/>
            <w:tcBorders>
              <w:top w:val="single" w:sz="4" w:space="0" w:color="auto"/>
            </w:tcBorders>
          </w:tcPr>
          <w:p w:rsidR="00000000" w:rsidRDefault="00000000">
            <w:pPr>
              <w:widowControl w:val="0"/>
              <w:spacing w:before="80" w:after="80"/>
              <w:rPr>
                <w:bCs/>
                <w:color w:val="000000"/>
                <w:sz w:val="20"/>
                <w:szCs w:val="20"/>
              </w:rPr>
            </w:pPr>
            <w:r>
              <w:rPr>
                <w:sz w:val="20"/>
              </w:rPr>
              <w:t>Initial education</w:t>
            </w:r>
          </w:p>
        </w:tc>
        <w:tc>
          <w:tcPr>
            <w:tcW w:w="412" w:type="pct"/>
            <w:tcBorders>
              <w:top w:val="single" w:sz="4" w:space="0" w:color="auto"/>
            </w:tcBorders>
            <w:vAlign w:val="bottom"/>
          </w:tcPr>
          <w:p w:rsidR="00000000" w:rsidRDefault="00000000">
            <w:pPr>
              <w:widowControl w:val="0"/>
              <w:tabs>
                <w:tab w:val="decimal" w:pos="453"/>
              </w:tabs>
              <w:spacing w:before="80" w:after="80"/>
              <w:ind w:right="113"/>
              <w:jc w:val="right"/>
              <w:rPr>
                <w:bCs/>
                <w:color w:val="000000"/>
                <w:sz w:val="20"/>
                <w:szCs w:val="20"/>
              </w:rPr>
            </w:pPr>
            <w:r>
              <w:rPr>
                <w:bCs/>
                <w:color w:val="000000"/>
                <w:sz w:val="20"/>
                <w:szCs w:val="20"/>
              </w:rPr>
              <w:t>4 032</w:t>
            </w:r>
          </w:p>
        </w:tc>
        <w:tc>
          <w:tcPr>
            <w:tcW w:w="245" w:type="pct"/>
            <w:tcBorders>
              <w:top w:val="single" w:sz="4" w:space="0" w:color="auto"/>
            </w:tcBorders>
            <w:vAlign w:val="bottom"/>
          </w:tcPr>
          <w:p w:rsidR="00000000" w:rsidRDefault="00000000">
            <w:pPr>
              <w:widowControl w:val="0"/>
              <w:tabs>
                <w:tab w:val="decimal" w:pos="396"/>
              </w:tabs>
              <w:spacing w:before="80" w:after="80"/>
              <w:ind w:right="113"/>
              <w:jc w:val="right"/>
              <w:rPr>
                <w:bCs/>
                <w:color w:val="000000"/>
                <w:sz w:val="20"/>
                <w:szCs w:val="20"/>
              </w:rPr>
            </w:pPr>
            <w:r>
              <w:rPr>
                <w:bCs/>
                <w:color w:val="000000"/>
                <w:sz w:val="20"/>
                <w:szCs w:val="20"/>
              </w:rPr>
              <w:t>78</w:t>
            </w:r>
          </w:p>
        </w:tc>
        <w:tc>
          <w:tcPr>
            <w:tcW w:w="410" w:type="pct"/>
            <w:tcBorders>
              <w:top w:val="single" w:sz="4" w:space="0" w:color="auto"/>
            </w:tcBorders>
            <w:vAlign w:val="bottom"/>
          </w:tcPr>
          <w:p w:rsidR="00000000" w:rsidRDefault="00000000">
            <w:pPr>
              <w:widowControl w:val="0"/>
              <w:tabs>
                <w:tab w:val="decimal" w:pos="462"/>
              </w:tabs>
              <w:spacing w:before="80" w:after="80"/>
              <w:ind w:right="113"/>
              <w:jc w:val="right"/>
              <w:rPr>
                <w:bCs/>
                <w:color w:val="000000"/>
                <w:sz w:val="20"/>
                <w:szCs w:val="20"/>
              </w:rPr>
            </w:pPr>
            <w:r>
              <w:rPr>
                <w:bCs/>
                <w:color w:val="000000"/>
                <w:sz w:val="20"/>
                <w:szCs w:val="20"/>
              </w:rPr>
              <w:t>687</w:t>
            </w:r>
          </w:p>
        </w:tc>
        <w:tc>
          <w:tcPr>
            <w:tcW w:w="245" w:type="pct"/>
            <w:tcBorders>
              <w:top w:val="single" w:sz="4" w:space="0" w:color="auto"/>
            </w:tcBorders>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13</w:t>
            </w:r>
          </w:p>
        </w:tc>
        <w:tc>
          <w:tcPr>
            <w:tcW w:w="461" w:type="pct"/>
            <w:tcBorders>
              <w:top w:val="single" w:sz="4" w:space="0" w:color="auto"/>
            </w:tcBorders>
            <w:vAlign w:val="bottom"/>
          </w:tcPr>
          <w:p w:rsidR="00000000" w:rsidRDefault="00000000">
            <w:pPr>
              <w:widowControl w:val="0"/>
              <w:tabs>
                <w:tab w:val="decimal" w:pos="620"/>
              </w:tabs>
              <w:spacing w:before="80" w:after="80"/>
              <w:ind w:right="113"/>
              <w:jc w:val="right"/>
              <w:rPr>
                <w:bCs/>
                <w:color w:val="000000"/>
                <w:sz w:val="20"/>
                <w:szCs w:val="20"/>
              </w:rPr>
            </w:pPr>
            <w:r>
              <w:rPr>
                <w:bCs/>
                <w:color w:val="000000"/>
                <w:sz w:val="20"/>
                <w:szCs w:val="20"/>
              </w:rPr>
              <w:t>454</w:t>
            </w:r>
          </w:p>
        </w:tc>
        <w:tc>
          <w:tcPr>
            <w:tcW w:w="278" w:type="pct"/>
            <w:tcBorders>
              <w:top w:val="single" w:sz="4" w:space="0" w:color="auto"/>
            </w:tcBorders>
            <w:vAlign w:val="bottom"/>
          </w:tcPr>
          <w:p w:rsidR="00000000" w:rsidRDefault="00000000">
            <w:pPr>
              <w:widowControl w:val="0"/>
              <w:tabs>
                <w:tab w:val="decimal" w:pos="306"/>
              </w:tabs>
              <w:spacing w:before="80" w:after="80"/>
              <w:ind w:right="113"/>
              <w:jc w:val="right"/>
              <w:rPr>
                <w:bCs/>
                <w:color w:val="000000"/>
                <w:sz w:val="20"/>
                <w:szCs w:val="20"/>
              </w:rPr>
            </w:pPr>
            <w:r>
              <w:rPr>
                <w:bCs/>
                <w:color w:val="000000"/>
                <w:sz w:val="20"/>
                <w:szCs w:val="20"/>
              </w:rPr>
              <w:t>9</w:t>
            </w:r>
          </w:p>
        </w:tc>
        <w:tc>
          <w:tcPr>
            <w:tcW w:w="409" w:type="pct"/>
            <w:tcBorders>
              <w:top w:val="single" w:sz="4" w:space="0" w:color="auto"/>
            </w:tcBorders>
            <w:vAlign w:val="bottom"/>
          </w:tcPr>
          <w:p w:rsidR="00000000" w:rsidRDefault="00000000">
            <w:pPr>
              <w:widowControl w:val="0"/>
              <w:tabs>
                <w:tab w:val="decimal" w:pos="514"/>
              </w:tabs>
              <w:spacing w:before="80" w:after="80"/>
              <w:ind w:right="113"/>
              <w:jc w:val="right"/>
              <w:rPr>
                <w:bCs/>
                <w:color w:val="000000"/>
                <w:sz w:val="20"/>
                <w:szCs w:val="20"/>
              </w:rPr>
            </w:pPr>
            <w:r>
              <w:rPr>
                <w:bCs/>
                <w:color w:val="000000"/>
                <w:sz w:val="20"/>
                <w:szCs w:val="20"/>
              </w:rPr>
              <w:t>1 894</w:t>
            </w:r>
          </w:p>
        </w:tc>
        <w:tc>
          <w:tcPr>
            <w:tcW w:w="328" w:type="pct"/>
            <w:tcBorders>
              <w:top w:val="single" w:sz="4" w:space="0" w:color="auto"/>
            </w:tcBorders>
            <w:vAlign w:val="bottom"/>
          </w:tcPr>
          <w:p w:rsidR="00000000" w:rsidRDefault="00000000">
            <w:pPr>
              <w:widowControl w:val="0"/>
              <w:spacing w:before="80" w:after="80"/>
              <w:ind w:right="113"/>
              <w:jc w:val="right"/>
              <w:rPr>
                <w:bCs/>
                <w:color w:val="000000"/>
                <w:sz w:val="20"/>
                <w:szCs w:val="20"/>
              </w:rPr>
            </w:pPr>
            <w:r>
              <w:rPr>
                <w:bCs/>
                <w:color w:val="000000"/>
                <w:sz w:val="20"/>
                <w:szCs w:val="20"/>
              </w:rPr>
              <w:t>37</w:t>
            </w:r>
          </w:p>
        </w:tc>
        <w:tc>
          <w:tcPr>
            <w:tcW w:w="328" w:type="pct"/>
            <w:tcBorders>
              <w:top w:val="single" w:sz="4" w:space="0" w:color="auto"/>
            </w:tcBorders>
            <w:vAlign w:val="bottom"/>
          </w:tcPr>
          <w:p w:rsidR="00000000" w:rsidRDefault="00000000">
            <w:pPr>
              <w:widowControl w:val="0"/>
              <w:tabs>
                <w:tab w:val="decimal" w:pos="500"/>
              </w:tabs>
              <w:spacing w:before="80" w:after="80"/>
              <w:ind w:right="113"/>
              <w:jc w:val="right"/>
              <w:rPr>
                <w:bCs/>
                <w:color w:val="000000"/>
                <w:sz w:val="20"/>
                <w:szCs w:val="20"/>
              </w:rPr>
            </w:pPr>
            <w:r>
              <w:rPr>
                <w:bCs/>
                <w:color w:val="000000"/>
                <w:sz w:val="20"/>
                <w:szCs w:val="20"/>
              </w:rPr>
              <w:t>3 279</w:t>
            </w:r>
          </w:p>
        </w:tc>
        <w:tc>
          <w:tcPr>
            <w:tcW w:w="246" w:type="pct"/>
            <w:tcBorders>
              <w:top w:val="single" w:sz="4" w:space="0" w:color="auto"/>
            </w:tcBorders>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63</w:t>
            </w:r>
          </w:p>
        </w:tc>
        <w:tc>
          <w:tcPr>
            <w:tcW w:w="489" w:type="pct"/>
            <w:tcBorders>
              <w:top w:val="single" w:sz="4" w:space="0" w:color="auto"/>
            </w:tcBorders>
            <w:vAlign w:val="bottom"/>
          </w:tcPr>
          <w:p w:rsidR="00000000" w:rsidRDefault="00000000">
            <w:pPr>
              <w:widowControl w:val="0"/>
              <w:tabs>
                <w:tab w:val="decimal" w:pos="448"/>
              </w:tabs>
              <w:spacing w:before="80" w:after="80"/>
              <w:ind w:right="113"/>
              <w:jc w:val="right"/>
              <w:rPr>
                <w:bCs/>
                <w:color w:val="000000"/>
                <w:sz w:val="20"/>
                <w:szCs w:val="20"/>
              </w:rPr>
            </w:pPr>
            <w:r>
              <w:rPr>
                <w:bCs/>
                <w:color w:val="000000"/>
                <w:sz w:val="20"/>
                <w:szCs w:val="20"/>
              </w:rPr>
              <w:t>5 173</w:t>
            </w:r>
          </w:p>
        </w:tc>
      </w:tr>
      <w:tr w:rsidR="00000000">
        <w:tblPrEx>
          <w:tblCellMar>
            <w:top w:w="0" w:type="dxa"/>
            <w:bottom w:w="0" w:type="dxa"/>
          </w:tblCellMar>
        </w:tblPrEx>
        <w:tc>
          <w:tcPr>
            <w:tcW w:w="1149" w:type="pct"/>
          </w:tcPr>
          <w:p w:rsidR="00000000" w:rsidRDefault="00000000">
            <w:pPr>
              <w:widowControl w:val="0"/>
              <w:spacing w:before="80" w:after="80"/>
              <w:rPr>
                <w:bCs/>
                <w:color w:val="000000"/>
                <w:sz w:val="20"/>
                <w:szCs w:val="20"/>
              </w:rPr>
            </w:pPr>
            <w:r>
              <w:rPr>
                <w:sz w:val="20"/>
              </w:rPr>
              <w:t>Basic school education (cycles 1,, 2 &amp; 3)</w:t>
            </w:r>
          </w:p>
        </w:tc>
        <w:tc>
          <w:tcPr>
            <w:tcW w:w="412" w:type="pct"/>
            <w:vAlign w:val="bottom"/>
          </w:tcPr>
          <w:p w:rsidR="00000000" w:rsidRDefault="00000000">
            <w:pPr>
              <w:widowControl w:val="0"/>
              <w:tabs>
                <w:tab w:val="decimal" w:pos="453"/>
              </w:tabs>
              <w:spacing w:before="80" w:after="80"/>
              <w:ind w:right="113"/>
              <w:jc w:val="right"/>
              <w:rPr>
                <w:bCs/>
                <w:color w:val="000000"/>
                <w:sz w:val="20"/>
                <w:szCs w:val="20"/>
              </w:rPr>
            </w:pPr>
            <w:r>
              <w:rPr>
                <w:bCs/>
                <w:color w:val="000000"/>
                <w:sz w:val="20"/>
                <w:szCs w:val="20"/>
              </w:rPr>
              <w:t>6 920</w:t>
            </w:r>
          </w:p>
        </w:tc>
        <w:tc>
          <w:tcPr>
            <w:tcW w:w="245" w:type="pct"/>
            <w:vAlign w:val="bottom"/>
          </w:tcPr>
          <w:p w:rsidR="00000000" w:rsidRDefault="00000000">
            <w:pPr>
              <w:widowControl w:val="0"/>
              <w:tabs>
                <w:tab w:val="decimal" w:pos="396"/>
              </w:tabs>
              <w:spacing w:before="80" w:after="80"/>
              <w:ind w:right="113"/>
              <w:jc w:val="right"/>
              <w:rPr>
                <w:bCs/>
                <w:color w:val="000000"/>
                <w:sz w:val="20"/>
                <w:szCs w:val="20"/>
              </w:rPr>
            </w:pPr>
            <w:r>
              <w:rPr>
                <w:bCs/>
                <w:color w:val="000000"/>
                <w:sz w:val="20"/>
                <w:szCs w:val="20"/>
              </w:rPr>
              <w:t>85</w:t>
            </w:r>
          </w:p>
        </w:tc>
        <w:tc>
          <w:tcPr>
            <w:tcW w:w="410" w:type="pct"/>
            <w:vAlign w:val="bottom"/>
          </w:tcPr>
          <w:p w:rsidR="00000000" w:rsidRDefault="00000000">
            <w:pPr>
              <w:widowControl w:val="0"/>
              <w:tabs>
                <w:tab w:val="decimal" w:pos="462"/>
              </w:tabs>
              <w:spacing w:before="80" w:after="80"/>
              <w:ind w:right="113"/>
              <w:jc w:val="right"/>
              <w:rPr>
                <w:bCs/>
                <w:color w:val="000000"/>
                <w:sz w:val="20"/>
                <w:szCs w:val="20"/>
              </w:rPr>
            </w:pPr>
            <w:r>
              <w:rPr>
                <w:bCs/>
                <w:color w:val="000000"/>
                <w:sz w:val="20"/>
                <w:szCs w:val="20"/>
              </w:rPr>
              <w:t>646</w:t>
            </w:r>
          </w:p>
        </w:tc>
        <w:tc>
          <w:tcPr>
            <w:tcW w:w="245"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8</w:t>
            </w:r>
          </w:p>
        </w:tc>
        <w:tc>
          <w:tcPr>
            <w:tcW w:w="461" w:type="pct"/>
            <w:vAlign w:val="bottom"/>
          </w:tcPr>
          <w:p w:rsidR="00000000" w:rsidRDefault="00000000">
            <w:pPr>
              <w:widowControl w:val="0"/>
              <w:tabs>
                <w:tab w:val="decimal" w:pos="620"/>
              </w:tabs>
              <w:spacing w:before="80" w:after="80"/>
              <w:ind w:right="113"/>
              <w:jc w:val="right"/>
              <w:rPr>
                <w:bCs/>
                <w:color w:val="000000"/>
                <w:sz w:val="20"/>
                <w:szCs w:val="20"/>
              </w:rPr>
            </w:pPr>
            <w:r>
              <w:rPr>
                <w:bCs/>
                <w:color w:val="000000"/>
                <w:sz w:val="20"/>
                <w:szCs w:val="20"/>
              </w:rPr>
              <w:t>590</w:t>
            </w:r>
          </w:p>
        </w:tc>
        <w:tc>
          <w:tcPr>
            <w:tcW w:w="278" w:type="pct"/>
            <w:vAlign w:val="bottom"/>
          </w:tcPr>
          <w:p w:rsidR="00000000" w:rsidRDefault="00000000">
            <w:pPr>
              <w:widowControl w:val="0"/>
              <w:tabs>
                <w:tab w:val="decimal" w:pos="306"/>
              </w:tabs>
              <w:spacing w:before="80" w:after="80"/>
              <w:ind w:right="113"/>
              <w:jc w:val="right"/>
              <w:rPr>
                <w:bCs/>
                <w:color w:val="000000"/>
                <w:sz w:val="20"/>
                <w:szCs w:val="20"/>
              </w:rPr>
            </w:pPr>
            <w:r>
              <w:rPr>
                <w:bCs/>
                <w:color w:val="000000"/>
                <w:sz w:val="20"/>
                <w:szCs w:val="20"/>
              </w:rPr>
              <w:t>7</w:t>
            </w:r>
          </w:p>
        </w:tc>
        <w:tc>
          <w:tcPr>
            <w:tcW w:w="409" w:type="pct"/>
            <w:vAlign w:val="bottom"/>
          </w:tcPr>
          <w:p w:rsidR="00000000" w:rsidRDefault="00000000">
            <w:pPr>
              <w:widowControl w:val="0"/>
              <w:tabs>
                <w:tab w:val="decimal" w:pos="514"/>
              </w:tabs>
              <w:spacing w:before="80" w:after="80"/>
              <w:ind w:right="113"/>
              <w:jc w:val="right"/>
              <w:rPr>
                <w:bCs/>
                <w:color w:val="000000"/>
                <w:sz w:val="20"/>
                <w:szCs w:val="20"/>
              </w:rPr>
            </w:pPr>
            <w:r>
              <w:rPr>
                <w:bCs/>
                <w:color w:val="000000"/>
                <w:sz w:val="20"/>
                <w:szCs w:val="20"/>
              </w:rPr>
              <w:t>2 338</w:t>
            </w:r>
          </w:p>
        </w:tc>
        <w:tc>
          <w:tcPr>
            <w:tcW w:w="328" w:type="pct"/>
            <w:vAlign w:val="bottom"/>
          </w:tcPr>
          <w:p w:rsidR="00000000" w:rsidRDefault="00000000">
            <w:pPr>
              <w:widowControl w:val="0"/>
              <w:spacing w:before="80" w:after="80"/>
              <w:ind w:right="113"/>
              <w:jc w:val="right"/>
              <w:rPr>
                <w:bCs/>
                <w:color w:val="000000"/>
                <w:sz w:val="20"/>
                <w:szCs w:val="20"/>
              </w:rPr>
            </w:pPr>
            <w:r>
              <w:rPr>
                <w:bCs/>
                <w:color w:val="000000"/>
                <w:sz w:val="20"/>
                <w:szCs w:val="20"/>
              </w:rPr>
              <w:t>29</w:t>
            </w:r>
          </w:p>
        </w:tc>
        <w:tc>
          <w:tcPr>
            <w:tcW w:w="328" w:type="pct"/>
            <w:vAlign w:val="bottom"/>
          </w:tcPr>
          <w:p w:rsidR="00000000" w:rsidRDefault="00000000">
            <w:pPr>
              <w:widowControl w:val="0"/>
              <w:tabs>
                <w:tab w:val="decimal" w:pos="500"/>
              </w:tabs>
              <w:spacing w:before="80" w:after="80"/>
              <w:ind w:right="113"/>
              <w:jc w:val="right"/>
              <w:rPr>
                <w:bCs/>
                <w:color w:val="000000"/>
                <w:sz w:val="20"/>
                <w:szCs w:val="20"/>
              </w:rPr>
            </w:pPr>
            <w:r>
              <w:rPr>
                <w:bCs/>
                <w:color w:val="000000"/>
                <w:sz w:val="20"/>
                <w:szCs w:val="20"/>
              </w:rPr>
              <w:t>5 818</w:t>
            </w:r>
          </w:p>
        </w:tc>
        <w:tc>
          <w:tcPr>
            <w:tcW w:w="246"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71</w:t>
            </w:r>
          </w:p>
        </w:tc>
        <w:tc>
          <w:tcPr>
            <w:tcW w:w="489" w:type="pct"/>
            <w:vAlign w:val="bottom"/>
          </w:tcPr>
          <w:p w:rsidR="00000000" w:rsidRDefault="00000000">
            <w:pPr>
              <w:widowControl w:val="0"/>
              <w:tabs>
                <w:tab w:val="decimal" w:pos="448"/>
              </w:tabs>
              <w:spacing w:before="80" w:after="80"/>
              <w:ind w:right="113"/>
              <w:jc w:val="right"/>
              <w:rPr>
                <w:bCs/>
                <w:color w:val="000000"/>
                <w:sz w:val="20"/>
                <w:szCs w:val="20"/>
              </w:rPr>
            </w:pPr>
            <w:r>
              <w:rPr>
                <w:bCs/>
                <w:color w:val="000000"/>
                <w:sz w:val="20"/>
                <w:szCs w:val="20"/>
              </w:rPr>
              <w:t>8 156</w:t>
            </w:r>
          </w:p>
        </w:tc>
      </w:tr>
      <w:tr w:rsidR="00000000">
        <w:tblPrEx>
          <w:tblCellMar>
            <w:top w:w="0" w:type="dxa"/>
            <w:bottom w:w="0" w:type="dxa"/>
          </w:tblCellMar>
        </w:tblPrEx>
        <w:tc>
          <w:tcPr>
            <w:tcW w:w="1149" w:type="pct"/>
          </w:tcPr>
          <w:p w:rsidR="00000000" w:rsidRDefault="00000000">
            <w:pPr>
              <w:widowControl w:val="0"/>
              <w:spacing w:before="80" w:after="80"/>
              <w:rPr>
                <w:bCs/>
                <w:color w:val="000000"/>
                <w:sz w:val="20"/>
                <w:szCs w:val="20"/>
              </w:rPr>
            </w:pPr>
            <w:r>
              <w:rPr>
                <w:sz w:val="20"/>
              </w:rPr>
              <w:t>Secondary education</w:t>
            </w:r>
          </w:p>
        </w:tc>
        <w:tc>
          <w:tcPr>
            <w:tcW w:w="412" w:type="pct"/>
            <w:vAlign w:val="bottom"/>
          </w:tcPr>
          <w:p w:rsidR="00000000" w:rsidRDefault="00000000">
            <w:pPr>
              <w:widowControl w:val="0"/>
              <w:tabs>
                <w:tab w:val="decimal" w:pos="453"/>
              </w:tabs>
              <w:spacing w:before="80" w:after="80"/>
              <w:ind w:right="113"/>
              <w:jc w:val="right"/>
              <w:rPr>
                <w:bCs/>
                <w:color w:val="000000"/>
                <w:sz w:val="20"/>
                <w:szCs w:val="20"/>
              </w:rPr>
            </w:pPr>
            <w:r>
              <w:rPr>
                <w:bCs/>
                <w:color w:val="000000"/>
                <w:sz w:val="20"/>
                <w:szCs w:val="20"/>
              </w:rPr>
              <w:t>1 521</w:t>
            </w:r>
          </w:p>
        </w:tc>
        <w:tc>
          <w:tcPr>
            <w:tcW w:w="245" w:type="pct"/>
            <w:vAlign w:val="bottom"/>
          </w:tcPr>
          <w:p w:rsidR="00000000" w:rsidRDefault="00000000">
            <w:pPr>
              <w:widowControl w:val="0"/>
              <w:tabs>
                <w:tab w:val="decimal" w:pos="396"/>
              </w:tabs>
              <w:spacing w:before="80" w:after="80"/>
              <w:ind w:right="113"/>
              <w:jc w:val="right"/>
              <w:rPr>
                <w:bCs/>
                <w:color w:val="000000"/>
                <w:sz w:val="20"/>
                <w:szCs w:val="20"/>
              </w:rPr>
            </w:pPr>
            <w:r>
              <w:rPr>
                <w:bCs/>
                <w:color w:val="000000"/>
                <w:sz w:val="20"/>
                <w:szCs w:val="20"/>
              </w:rPr>
              <w:t>76</w:t>
            </w:r>
          </w:p>
        </w:tc>
        <w:tc>
          <w:tcPr>
            <w:tcW w:w="410" w:type="pct"/>
            <w:vAlign w:val="bottom"/>
          </w:tcPr>
          <w:p w:rsidR="00000000" w:rsidRDefault="00000000">
            <w:pPr>
              <w:widowControl w:val="0"/>
              <w:tabs>
                <w:tab w:val="decimal" w:pos="462"/>
              </w:tabs>
              <w:spacing w:before="80" w:after="80"/>
              <w:ind w:right="113"/>
              <w:jc w:val="right"/>
              <w:rPr>
                <w:bCs/>
                <w:color w:val="000000"/>
                <w:sz w:val="20"/>
                <w:szCs w:val="20"/>
              </w:rPr>
            </w:pPr>
            <w:r>
              <w:rPr>
                <w:bCs/>
                <w:color w:val="000000"/>
                <w:sz w:val="20"/>
                <w:szCs w:val="20"/>
              </w:rPr>
              <w:t>304</w:t>
            </w:r>
          </w:p>
        </w:tc>
        <w:tc>
          <w:tcPr>
            <w:tcW w:w="245"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15</w:t>
            </w:r>
          </w:p>
        </w:tc>
        <w:tc>
          <w:tcPr>
            <w:tcW w:w="461" w:type="pct"/>
            <w:vAlign w:val="bottom"/>
          </w:tcPr>
          <w:p w:rsidR="00000000" w:rsidRDefault="00000000">
            <w:pPr>
              <w:widowControl w:val="0"/>
              <w:tabs>
                <w:tab w:val="decimal" w:pos="620"/>
              </w:tabs>
              <w:spacing w:before="80" w:after="80"/>
              <w:ind w:right="113"/>
              <w:jc w:val="right"/>
              <w:rPr>
                <w:bCs/>
                <w:color w:val="000000"/>
                <w:sz w:val="20"/>
                <w:szCs w:val="20"/>
              </w:rPr>
            </w:pPr>
            <w:r>
              <w:rPr>
                <w:bCs/>
                <w:color w:val="000000"/>
                <w:sz w:val="20"/>
                <w:szCs w:val="20"/>
              </w:rPr>
              <w:t>189</w:t>
            </w:r>
          </w:p>
        </w:tc>
        <w:tc>
          <w:tcPr>
            <w:tcW w:w="278" w:type="pct"/>
            <w:vAlign w:val="bottom"/>
          </w:tcPr>
          <w:p w:rsidR="00000000" w:rsidRDefault="00000000">
            <w:pPr>
              <w:widowControl w:val="0"/>
              <w:tabs>
                <w:tab w:val="decimal" w:pos="306"/>
              </w:tabs>
              <w:spacing w:before="80" w:after="80"/>
              <w:ind w:right="113"/>
              <w:jc w:val="right"/>
              <w:rPr>
                <w:bCs/>
                <w:color w:val="000000"/>
                <w:sz w:val="20"/>
                <w:szCs w:val="20"/>
              </w:rPr>
            </w:pPr>
            <w:r>
              <w:rPr>
                <w:bCs/>
                <w:color w:val="000000"/>
                <w:sz w:val="20"/>
                <w:szCs w:val="20"/>
              </w:rPr>
              <w:t>9</w:t>
            </w:r>
          </w:p>
        </w:tc>
        <w:tc>
          <w:tcPr>
            <w:tcW w:w="409" w:type="pct"/>
            <w:vAlign w:val="bottom"/>
          </w:tcPr>
          <w:p w:rsidR="00000000" w:rsidRDefault="00000000">
            <w:pPr>
              <w:widowControl w:val="0"/>
              <w:tabs>
                <w:tab w:val="decimal" w:pos="514"/>
              </w:tabs>
              <w:spacing w:before="80" w:after="80"/>
              <w:ind w:right="113"/>
              <w:jc w:val="right"/>
              <w:rPr>
                <w:bCs/>
                <w:color w:val="000000"/>
                <w:sz w:val="20"/>
                <w:szCs w:val="20"/>
              </w:rPr>
            </w:pPr>
            <w:r>
              <w:rPr>
                <w:bCs/>
                <w:color w:val="000000"/>
                <w:sz w:val="20"/>
                <w:szCs w:val="20"/>
              </w:rPr>
              <w:t>987</w:t>
            </w:r>
          </w:p>
        </w:tc>
        <w:tc>
          <w:tcPr>
            <w:tcW w:w="328" w:type="pct"/>
            <w:vAlign w:val="bottom"/>
          </w:tcPr>
          <w:p w:rsidR="00000000" w:rsidRDefault="00000000">
            <w:pPr>
              <w:widowControl w:val="0"/>
              <w:spacing w:before="80" w:after="80"/>
              <w:ind w:right="113"/>
              <w:jc w:val="right"/>
              <w:rPr>
                <w:bCs/>
                <w:color w:val="000000"/>
                <w:sz w:val="20"/>
                <w:szCs w:val="20"/>
              </w:rPr>
            </w:pPr>
            <w:r>
              <w:rPr>
                <w:bCs/>
                <w:color w:val="000000"/>
                <w:sz w:val="20"/>
                <w:szCs w:val="20"/>
              </w:rPr>
              <w:t>49</w:t>
            </w:r>
          </w:p>
        </w:tc>
        <w:tc>
          <w:tcPr>
            <w:tcW w:w="328" w:type="pct"/>
            <w:vAlign w:val="bottom"/>
          </w:tcPr>
          <w:p w:rsidR="00000000" w:rsidRDefault="00000000">
            <w:pPr>
              <w:widowControl w:val="0"/>
              <w:tabs>
                <w:tab w:val="decimal" w:pos="500"/>
              </w:tabs>
              <w:spacing w:before="80" w:after="80"/>
              <w:ind w:right="113"/>
              <w:jc w:val="right"/>
              <w:rPr>
                <w:bCs/>
                <w:color w:val="000000"/>
                <w:sz w:val="20"/>
                <w:szCs w:val="20"/>
              </w:rPr>
            </w:pPr>
            <w:r>
              <w:rPr>
                <w:bCs/>
                <w:color w:val="000000"/>
                <w:sz w:val="20"/>
                <w:szCs w:val="20"/>
              </w:rPr>
              <w:t>1 027</w:t>
            </w:r>
          </w:p>
        </w:tc>
        <w:tc>
          <w:tcPr>
            <w:tcW w:w="246"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51</w:t>
            </w:r>
          </w:p>
        </w:tc>
        <w:tc>
          <w:tcPr>
            <w:tcW w:w="489" w:type="pct"/>
            <w:vAlign w:val="bottom"/>
          </w:tcPr>
          <w:p w:rsidR="00000000" w:rsidRDefault="00000000">
            <w:pPr>
              <w:widowControl w:val="0"/>
              <w:tabs>
                <w:tab w:val="decimal" w:pos="448"/>
              </w:tabs>
              <w:spacing w:before="80" w:after="80"/>
              <w:ind w:right="113"/>
              <w:jc w:val="right"/>
              <w:rPr>
                <w:bCs/>
                <w:color w:val="000000"/>
                <w:sz w:val="20"/>
                <w:szCs w:val="20"/>
              </w:rPr>
            </w:pPr>
            <w:r>
              <w:rPr>
                <w:bCs/>
                <w:color w:val="000000"/>
                <w:sz w:val="20"/>
                <w:szCs w:val="20"/>
              </w:rPr>
              <w:t>2 014</w:t>
            </w:r>
          </w:p>
        </w:tc>
      </w:tr>
      <w:tr w:rsidR="00000000">
        <w:tblPrEx>
          <w:tblCellMar>
            <w:top w:w="0" w:type="dxa"/>
            <w:bottom w:w="0" w:type="dxa"/>
          </w:tblCellMar>
        </w:tblPrEx>
        <w:tc>
          <w:tcPr>
            <w:tcW w:w="1149" w:type="pct"/>
          </w:tcPr>
          <w:p w:rsidR="00000000" w:rsidRDefault="00000000">
            <w:pPr>
              <w:widowControl w:val="0"/>
              <w:spacing w:before="80" w:after="80"/>
              <w:rPr>
                <w:bCs/>
                <w:color w:val="000000"/>
                <w:sz w:val="20"/>
                <w:szCs w:val="20"/>
              </w:rPr>
            </w:pPr>
            <w:r>
              <w:rPr>
                <w:sz w:val="20"/>
              </w:rPr>
              <w:t>Vocational training</w:t>
            </w:r>
          </w:p>
        </w:tc>
        <w:tc>
          <w:tcPr>
            <w:tcW w:w="412" w:type="pct"/>
            <w:vAlign w:val="bottom"/>
          </w:tcPr>
          <w:p w:rsidR="00000000" w:rsidRDefault="00000000">
            <w:pPr>
              <w:widowControl w:val="0"/>
              <w:tabs>
                <w:tab w:val="decimal" w:pos="453"/>
              </w:tabs>
              <w:spacing w:before="80" w:after="80"/>
              <w:ind w:right="113"/>
              <w:jc w:val="right"/>
              <w:rPr>
                <w:bCs/>
                <w:color w:val="000000"/>
                <w:sz w:val="20"/>
                <w:szCs w:val="20"/>
              </w:rPr>
            </w:pPr>
            <w:r>
              <w:rPr>
                <w:bCs/>
                <w:color w:val="000000"/>
                <w:sz w:val="20"/>
                <w:szCs w:val="20"/>
              </w:rPr>
              <w:t>11</w:t>
            </w:r>
          </w:p>
        </w:tc>
        <w:tc>
          <w:tcPr>
            <w:tcW w:w="245" w:type="pct"/>
            <w:vAlign w:val="bottom"/>
          </w:tcPr>
          <w:p w:rsidR="00000000" w:rsidRDefault="00000000">
            <w:pPr>
              <w:widowControl w:val="0"/>
              <w:tabs>
                <w:tab w:val="decimal" w:pos="396"/>
              </w:tabs>
              <w:spacing w:before="80" w:after="80"/>
              <w:ind w:right="113"/>
              <w:jc w:val="right"/>
              <w:rPr>
                <w:bCs/>
                <w:color w:val="000000"/>
                <w:sz w:val="20"/>
                <w:szCs w:val="20"/>
              </w:rPr>
            </w:pPr>
            <w:r>
              <w:rPr>
                <w:bCs/>
                <w:color w:val="000000"/>
                <w:sz w:val="20"/>
                <w:szCs w:val="20"/>
              </w:rPr>
              <w:t>58</w:t>
            </w:r>
          </w:p>
        </w:tc>
        <w:tc>
          <w:tcPr>
            <w:tcW w:w="410" w:type="pct"/>
            <w:vAlign w:val="bottom"/>
          </w:tcPr>
          <w:p w:rsidR="00000000" w:rsidRDefault="00000000">
            <w:pPr>
              <w:widowControl w:val="0"/>
              <w:tabs>
                <w:tab w:val="decimal" w:pos="462"/>
              </w:tabs>
              <w:spacing w:before="80" w:after="80"/>
              <w:ind w:right="113"/>
              <w:jc w:val="right"/>
              <w:rPr>
                <w:bCs/>
                <w:color w:val="000000"/>
                <w:sz w:val="20"/>
                <w:szCs w:val="20"/>
              </w:rPr>
            </w:pPr>
            <w:r>
              <w:rPr>
                <w:bCs/>
                <w:color w:val="000000"/>
                <w:sz w:val="20"/>
                <w:szCs w:val="20"/>
              </w:rPr>
              <w:t>3</w:t>
            </w:r>
          </w:p>
        </w:tc>
        <w:tc>
          <w:tcPr>
            <w:tcW w:w="245"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16</w:t>
            </w:r>
          </w:p>
        </w:tc>
        <w:tc>
          <w:tcPr>
            <w:tcW w:w="461" w:type="pct"/>
            <w:vAlign w:val="bottom"/>
          </w:tcPr>
          <w:p w:rsidR="00000000" w:rsidRDefault="00000000">
            <w:pPr>
              <w:widowControl w:val="0"/>
              <w:tabs>
                <w:tab w:val="decimal" w:pos="620"/>
              </w:tabs>
              <w:spacing w:before="80" w:after="80"/>
              <w:ind w:right="113"/>
              <w:jc w:val="right"/>
              <w:rPr>
                <w:bCs/>
                <w:color w:val="000000"/>
                <w:sz w:val="20"/>
                <w:szCs w:val="20"/>
              </w:rPr>
            </w:pPr>
            <w:r>
              <w:rPr>
                <w:bCs/>
                <w:color w:val="000000"/>
                <w:sz w:val="20"/>
                <w:szCs w:val="20"/>
              </w:rPr>
              <w:t>5</w:t>
            </w:r>
          </w:p>
        </w:tc>
        <w:tc>
          <w:tcPr>
            <w:tcW w:w="278" w:type="pct"/>
            <w:vAlign w:val="bottom"/>
          </w:tcPr>
          <w:p w:rsidR="00000000" w:rsidRDefault="00000000">
            <w:pPr>
              <w:widowControl w:val="0"/>
              <w:tabs>
                <w:tab w:val="decimal" w:pos="306"/>
              </w:tabs>
              <w:spacing w:before="80" w:after="80"/>
              <w:ind w:right="113"/>
              <w:jc w:val="right"/>
              <w:rPr>
                <w:bCs/>
                <w:color w:val="000000"/>
                <w:sz w:val="20"/>
                <w:szCs w:val="20"/>
              </w:rPr>
            </w:pPr>
            <w:r>
              <w:rPr>
                <w:bCs/>
                <w:color w:val="000000"/>
                <w:sz w:val="20"/>
                <w:szCs w:val="20"/>
              </w:rPr>
              <w:t>26</w:t>
            </w:r>
          </w:p>
        </w:tc>
        <w:tc>
          <w:tcPr>
            <w:tcW w:w="409" w:type="pct"/>
            <w:vAlign w:val="bottom"/>
          </w:tcPr>
          <w:p w:rsidR="00000000" w:rsidRDefault="00000000">
            <w:pPr>
              <w:widowControl w:val="0"/>
              <w:tabs>
                <w:tab w:val="decimal" w:pos="514"/>
              </w:tabs>
              <w:spacing w:before="80" w:after="80"/>
              <w:ind w:right="113"/>
              <w:jc w:val="right"/>
              <w:rPr>
                <w:bCs/>
                <w:color w:val="000000"/>
                <w:sz w:val="20"/>
                <w:szCs w:val="20"/>
              </w:rPr>
            </w:pPr>
            <w:r>
              <w:rPr>
                <w:bCs/>
                <w:color w:val="000000"/>
                <w:sz w:val="20"/>
                <w:szCs w:val="20"/>
              </w:rPr>
              <w:t>16</w:t>
            </w:r>
          </w:p>
        </w:tc>
        <w:tc>
          <w:tcPr>
            <w:tcW w:w="328" w:type="pct"/>
            <w:vAlign w:val="bottom"/>
          </w:tcPr>
          <w:p w:rsidR="00000000" w:rsidRDefault="00000000">
            <w:pPr>
              <w:widowControl w:val="0"/>
              <w:spacing w:before="80" w:after="80"/>
              <w:ind w:right="113"/>
              <w:jc w:val="right"/>
              <w:rPr>
                <w:bCs/>
                <w:color w:val="000000"/>
                <w:sz w:val="20"/>
                <w:szCs w:val="20"/>
              </w:rPr>
            </w:pPr>
            <w:r>
              <w:rPr>
                <w:bCs/>
                <w:color w:val="000000"/>
                <w:sz w:val="20"/>
                <w:szCs w:val="20"/>
              </w:rPr>
              <w:t>84</w:t>
            </w:r>
          </w:p>
        </w:tc>
        <w:tc>
          <w:tcPr>
            <w:tcW w:w="328" w:type="pct"/>
            <w:vAlign w:val="bottom"/>
          </w:tcPr>
          <w:p w:rsidR="00000000" w:rsidRDefault="00000000">
            <w:pPr>
              <w:widowControl w:val="0"/>
              <w:tabs>
                <w:tab w:val="decimal" w:pos="500"/>
              </w:tabs>
              <w:spacing w:before="80" w:after="80"/>
              <w:ind w:right="113"/>
              <w:jc w:val="right"/>
              <w:rPr>
                <w:bCs/>
                <w:color w:val="000000"/>
                <w:sz w:val="20"/>
                <w:szCs w:val="20"/>
              </w:rPr>
            </w:pPr>
            <w:r>
              <w:rPr>
                <w:bCs/>
                <w:color w:val="000000"/>
                <w:sz w:val="20"/>
                <w:szCs w:val="20"/>
              </w:rPr>
              <w:t>3</w:t>
            </w:r>
          </w:p>
        </w:tc>
        <w:tc>
          <w:tcPr>
            <w:tcW w:w="246"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16</w:t>
            </w:r>
          </w:p>
        </w:tc>
        <w:tc>
          <w:tcPr>
            <w:tcW w:w="489" w:type="pct"/>
            <w:vAlign w:val="bottom"/>
          </w:tcPr>
          <w:p w:rsidR="00000000" w:rsidRDefault="00000000">
            <w:pPr>
              <w:widowControl w:val="0"/>
              <w:tabs>
                <w:tab w:val="decimal" w:pos="448"/>
              </w:tabs>
              <w:spacing w:before="80" w:after="80"/>
              <w:ind w:right="113"/>
              <w:jc w:val="right"/>
              <w:rPr>
                <w:bCs/>
                <w:color w:val="000000"/>
                <w:sz w:val="20"/>
                <w:szCs w:val="20"/>
              </w:rPr>
            </w:pPr>
            <w:r>
              <w:rPr>
                <w:bCs/>
                <w:color w:val="000000"/>
                <w:sz w:val="20"/>
                <w:szCs w:val="20"/>
              </w:rPr>
              <w:t>19</w:t>
            </w:r>
          </w:p>
        </w:tc>
      </w:tr>
      <w:tr w:rsidR="00000000">
        <w:tblPrEx>
          <w:tblCellMar>
            <w:top w:w="0" w:type="dxa"/>
            <w:bottom w:w="0" w:type="dxa"/>
          </w:tblCellMar>
        </w:tblPrEx>
        <w:tc>
          <w:tcPr>
            <w:tcW w:w="1149" w:type="pct"/>
          </w:tcPr>
          <w:p w:rsidR="00000000" w:rsidRDefault="00000000">
            <w:pPr>
              <w:widowControl w:val="0"/>
              <w:spacing w:before="80" w:after="80"/>
              <w:rPr>
                <w:bCs/>
                <w:color w:val="000000"/>
                <w:sz w:val="20"/>
                <w:szCs w:val="20"/>
              </w:rPr>
            </w:pPr>
            <w:r>
              <w:rPr>
                <w:sz w:val="20"/>
              </w:rPr>
              <w:t>Teacher training</w:t>
            </w:r>
          </w:p>
        </w:tc>
        <w:tc>
          <w:tcPr>
            <w:tcW w:w="412" w:type="pct"/>
            <w:vAlign w:val="bottom"/>
          </w:tcPr>
          <w:p w:rsidR="00000000" w:rsidRDefault="00000000">
            <w:pPr>
              <w:widowControl w:val="0"/>
              <w:tabs>
                <w:tab w:val="decimal" w:pos="453"/>
              </w:tabs>
              <w:spacing w:before="80" w:after="80"/>
              <w:ind w:right="113"/>
              <w:jc w:val="right"/>
              <w:rPr>
                <w:bCs/>
                <w:color w:val="000000"/>
                <w:sz w:val="20"/>
                <w:szCs w:val="20"/>
              </w:rPr>
            </w:pPr>
            <w:r>
              <w:rPr>
                <w:bCs/>
                <w:color w:val="000000"/>
                <w:sz w:val="20"/>
                <w:szCs w:val="20"/>
              </w:rPr>
              <w:t>35</w:t>
            </w:r>
          </w:p>
        </w:tc>
        <w:tc>
          <w:tcPr>
            <w:tcW w:w="245" w:type="pct"/>
            <w:vAlign w:val="bottom"/>
          </w:tcPr>
          <w:p w:rsidR="00000000" w:rsidRDefault="00000000">
            <w:pPr>
              <w:widowControl w:val="0"/>
              <w:tabs>
                <w:tab w:val="decimal" w:pos="396"/>
              </w:tabs>
              <w:spacing w:before="80" w:after="80"/>
              <w:ind w:right="113"/>
              <w:jc w:val="right"/>
              <w:rPr>
                <w:bCs/>
                <w:color w:val="000000"/>
                <w:sz w:val="20"/>
                <w:szCs w:val="20"/>
              </w:rPr>
            </w:pPr>
            <w:r>
              <w:rPr>
                <w:bCs/>
                <w:color w:val="000000"/>
                <w:sz w:val="20"/>
                <w:szCs w:val="20"/>
              </w:rPr>
              <w:t>33</w:t>
            </w:r>
          </w:p>
        </w:tc>
        <w:tc>
          <w:tcPr>
            <w:tcW w:w="410" w:type="pct"/>
            <w:vAlign w:val="bottom"/>
          </w:tcPr>
          <w:p w:rsidR="00000000" w:rsidRDefault="00000000">
            <w:pPr>
              <w:widowControl w:val="0"/>
              <w:tabs>
                <w:tab w:val="decimal" w:pos="462"/>
              </w:tabs>
              <w:spacing w:before="80" w:after="80"/>
              <w:ind w:right="113"/>
              <w:jc w:val="right"/>
              <w:rPr>
                <w:bCs/>
                <w:color w:val="000000"/>
                <w:sz w:val="20"/>
                <w:szCs w:val="20"/>
              </w:rPr>
            </w:pPr>
            <w:r>
              <w:rPr>
                <w:bCs/>
                <w:color w:val="000000"/>
                <w:sz w:val="20"/>
                <w:szCs w:val="20"/>
              </w:rPr>
              <w:t>61</w:t>
            </w:r>
          </w:p>
        </w:tc>
        <w:tc>
          <w:tcPr>
            <w:tcW w:w="245"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58</w:t>
            </w:r>
          </w:p>
        </w:tc>
        <w:tc>
          <w:tcPr>
            <w:tcW w:w="461" w:type="pct"/>
            <w:vAlign w:val="bottom"/>
          </w:tcPr>
          <w:p w:rsidR="00000000" w:rsidRDefault="00000000">
            <w:pPr>
              <w:widowControl w:val="0"/>
              <w:tabs>
                <w:tab w:val="decimal" w:pos="620"/>
              </w:tabs>
              <w:spacing w:before="80" w:after="80"/>
              <w:ind w:right="113"/>
              <w:jc w:val="right"/>
              <w:rPr>
                <w:bCs/>
                <w:color w:val="000000"/>
                <w:sz w:val="20"/>
                <w:szCs w:val="20"/>
              </w:rPr>
            </w:pPr>
            <w:r>
              <w:rPr>
                <w:bCs/>
                <w:color w:val="000000"/>
                <w:sz w:val="20"/>
                <w:szCs w:val="20"/>
              </w:rPr>
              <w:t>10</w:t>
            </w:r>
          </w:p>
        </w:tc>
        <w:tc>
          <w:tcPr>
            <w:tcW w:w="278" w:type="pct"/>
            <w:vAlign w:val="bottom"/>
          </w:tcPr>
          <w:p w:rsidR="00000000" w:rsidRDefault="00000000">
            <w:pPr>
              <w:widowControl w:val="0"/>
              <w:tabs>
                <w:tab w:val="decimal" w:pos="306"/>
              </w:tabs>
              <w:spacing w:before="80" w:after="80"/>
              <w:ind w:right="113"/>
              <w:jc w:val="right"/>
              <w:rPr>
                <w:bCs/>
                <w:color w:val="000000"/>
                <w:sz w:val="20"/>
                <w:szCs w:val="20"/>
              </w:rPr>
            </w:pPr>
            <w:r>
              <w:rPr>
                <w:bCs/>
                <w:color w:val="000000"/>
                <w:sz w:val="20"/>
                <w:szCs w:val="20"/>
              </w:rPr>
              <w:t>9</w:t>
            </w:r>
          </w:p>
        </w:tc>
        <w:tc>
          <w:tcPr>
            <w:tcW w:w="409" w:type="pct"/>
            <w:vAlign w:val="bottom"/>
          </w:tcPr>
          <w:p w:rsidR="00000000" w:rsidRDefault="00000000">
            <w:pPr>
              <w:widowControl w:val="0"/>
              <w:tabs>
                <w:tab w:val="decimal" w:pos="514"/>
              </w:tabs>
              <w:spacing w:before="80" w:after="80"/>
              <w:ind w:right="113"/>
              <w:jc w:val="right"/>
              <w:rPr>
                <w:bCs/>
                <w:color w:val="000000"/>
                <w:sz w:val="20"/>
                <w:szCs w:val="20"/>
              </w:rPr>
            </w:pPr>
            <w:r>
              <w:rPr>
                <w:bCs/>
                <w:color w:val="000000"/>
                <w:sz w:val="20"/>
                <w:szCs w:val="20"/>
              </w:rPr>
              <w:t>96</w:t>
            </w:r>
          </w:p>
        </w:tc>
        <w:tc>
          <w:tcPr>
            <w:tcW w:w="328" w:type="pct"/>
            <w:vAlign w:val="bottom"/>
          </w:tcPr>
          <w:p w:rsidR="00000000" w:rsidRDefault="00000000">
            <w:pPr>
              <w:widowControl w:val="0"/>
              <w:spacing w:before="80" w:after="80"/>
              <w:ind w:right="113"/>
              <w:jc w:val="right"/>
              <w:rPr>
                <w:bCs/>
                <w:color w:val="000000"/>
                <w:sz w:val="20"/>
                <w:szCs w:val="20"/>
              </w:rPr>
            </w:pPr>
            <w:r>
              <w:rPr>
                <w:bCs/>
                <w:color w:val="000000"/>
                <w:sz w:val="20"/>
                <w:szCs w:val="20"/>
              </w:rPr>
              <w:t>91</w:t>
            </w:r>
          </w:p>
        </w:tc>
        <w:tc>
          <w:tcPr>
            <w:tcW w:w="328" w:type="pct"/>
            <w:vAlign w:val="bottom"/>
          </w:tcPr>
          <w:p w:rsidR="00000000" w:rsidRDefault="00000000">
            <w:pPr>
              <w:widowControl w:val="0"/>
              <w:tabs>
                <w:tab w:val="decimal" w:pos="500"/>
              </w:tabs>
              <w:spacing w:before="80" w:after="80"/>
              <w:ind w:right="113"/>
              <w:jc w:val="right"/>
              <w:rPr>
                <w:bCs/>
                <w:color w:val="000000"/>
                <w:sz w:val="20"/>
                <w:szCs w:val="20"/>
              </w:rPr>
            </w:pPr>
            <w:r>
              <w:rPr>
                <w:bCs/>
                <w:color w:val="000000"/>
                <w:sz w:val="20"/>
                <w:szCs w:val="20"/>
              </w:rPr>
              <w:t>10</w:t>
            </w:r>
          </w:p>
        </w:tc>
        <w:tc>
          <w:tcPr>
            <w:tcW w:w="246"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9</w:t>
            </w:r>
          </w:p>
        </w:tc>
        <w:tc>
          <w:tcPr>
            <w:tcW w:w="489" w:type="pct"/>
            <w:vAlign w:val="bottom"/>
          </w:tcPr>
          <w:p w:rsidR="00000000" w:rsidRDefault="00000000">
            <w:pPr>
              <w:widowControl w:val="0"/>
              <w:tabs>
                <w:tab w:val="decimal" w:pos="448"/>
              </w:tabs>
              <w:spacing w:before="80" w:after="80"/>
              <w:ind w:right="113"/>
              <w:jc w:val="right"/>
              <w:rPr>
                <w:bCs/>
                <w:color w:val="000000"/>
                <w:sz w:val="20"/>
                <w:szCs w:val="20"/>
              </w:rPr>
            </w:pPr>
            <w:r>
              <w:rPr>
                <w:bCs/>
                <w:color w:val="000000"/>
                <w:sz w:val="20"/>
                <w:szCs w:val="20"/>
              </w:rPr>
              <w:t>106</w:t>
            </w:r>
          </w:p>
        </w:tc>
      </w:tr>
      <w:tr w:rsidR="00000000">
        <w:tblPrEx>
          <w:tblCellMar>
            <w:top w:w="0" w:type="dxa"/>
            <w:bottom w:w="0" w:type="dxa"/>
          </w:tblCellMar>
        </w:tblPrEx>
        <w:tc>
          <w:tcPr>
            <w:tcW w:w="1149" w:type="pct"/>
          </w:tcPr>
          <w:p w:rsidR="00000000" w:rsidRDefault="00000000">
            <w:pPr>
              <w:widowControl w:val="0"/>
              <w:spacing w:before="80" w:after="80"/>
              <w:rPr>
                <w:bCs/>
                <w:color w:val="000000"/>
                <w:sz w:val="20"/>
                <w:szCs w:val="20"/>
              </w:rPr>
            </w:pPr>
            <w:r>
              <w:rPr>
                <w:sz w:val="20"/>
              </w:rPr>
              <w:t>Higher technical education</w:t>
            </w:r>
          </w:p>
        </w:tc>
        <w:tc>
          <w:tcPr>
            <w:tcW w:w="412" w:type="pct"/>
            <w:vAlign w:val="bottom"/>
          </w:tcPr>
          <w:p w:rsidR="00000000" w:rsidRDefault="00000000">
            <w:pPr>
              <w:widowControl w:val="0"/>
              <w:tabs>
                <w:tab w:val="decimal" w:pos="453"/>
              </w:tabs>
              <w:spacing w:before="80" w:after="80"/>
              <w:ind w:right="113"/>
              <w:jc w:val="right"/>
              <w:rPr>
                <w:bCs/>
                <w:color w:val="000000"/>
                <w:sz w:val="20"/>
                <w:szCs w:val="20"/>
              </w:rPr>
            </w:pPr>
            <w:r>
              <w:rPr>
                <w:bCs/>
                <w:color w:val="000000"/>
                <w:sz w:val="20"/>
                <w:szCs w:val="20"/>
              </w:rPr>
              <w:t>2</w:t>
            </w:r>
          </w:p>
        </w:tc>
        <w:tc>
          <w:tcPr>
            <w:tcW w:w="245" w:type="pct"/>
            <w:vAlign w:val="bottom"/>
          </w:tcPr>
          <w:p w:rsidR="00000000" w:rsidRDefault="00000000">
            <w:pPr>
              <w:widowControl w:val="0"/>
              <w:tabs>
                <w:tab w:val="decimal" w:pos="396"/>
              </w:tabs>
              <w:spacing w:before="80" w:after="80"/>
              <w:ind w:right="113"/>
              <w:jc w:val="right"/>
              <w:rPr>
                <w:bCs/>
                <w:color w:val="000000"/>
                <w:sz w:val="20"/>
                <w:szCs w:val="20"/>
              </w:rPr>
            </w:pPr>
            <w:r>
              <w:rPr>
                <w:bCs/>
                <w:color w:val="000000"/>
                <w:sz w:val="20"/>
                <w:szCs w:val="20"/>
              </w:rPr>
              <w:t>13</w:t>
            </w:r>
          </w:p>
        </w:tc>
        <w:tc>
          <w:tcPr>
            <w:tcW w:w="410" w:type="pct"/>
            <w:vAlign w:val="bottom"/>
          </w:tcPr>
          <w:p w:rsidR="00000000" w:rsidRDefault="00000000">
            <w:pPr>
              <w:widowControl w:val="0"/>
              <w:tabs>
                <w:tab w:val="decimal" w:pos="462"/>
              </w:tabs>
              <w:spacing w:before="80" w:after="80"/>
              <w:ind w:right="113"/>
              <w:jc w:val="right"/>
              <w:rPr>
                <w:bCs/>
                <w:color w:val="000000"/>
                <w:sz w:val="20"/>
                <w:szCs w:val="20"/>
              </w:rPr>
            </w:pPr>
            <w:r>
              <w:rPr>
                <w:bCs/>
                <w:color w:val="000000"/>
                <w:sz w:val="20"/>
                <w:szCs w:val="20"/>
              </w:rPr>
              <w:t>13</w:t>
            </w:r>
          </w:p>
        </w:tc>
        <w:tc>
          <w:tcPr>
            <w:tcW w:w="245"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87</w:t>
            </w:r>
          </w:p>
        </w:tc>
        <w:tc>
          <w:tcPr>
            <w:tcW w:w="461" w:type="pct"/>
            <w:vAlign w:val="bottom"/>
          </w:tcPr>
          <w:p w:rsidR="00000000" w:rsidRDefault="00000000">
            <w:pPr>
              <w:widowControl w:val="0"/>
              <w:tabs>
                <w:tab w:val="decimal" w:pos="620"/>
              </w:tabs>
              <w:spacing w:before="80" w:after="80"/>
              <w:ind w:right="113"/>
              <w:jc w:val="right"/>
              <w:rPr>
                <w:bCs/>
                <w:color w:val="000000"/>
                <w:sz w:val="20"/>
                <w:szCs w:val="20"/>
              </w:rPr>
            </w:pPr>
            <w:r>
              <w:rPr>
                <w:bCs/>
                <w:color w:val="000000"/>
                <w:sz w:val="20"/>
                <w:szCs w:val="20"/>
              </w:rPr>
              <w:t>-</w:t>
            </w:r>
          </w:p>
        </w:tc>
        <w:tc>
          <w:tcPr>
            <w:tcW w:w="278" w:type="pct"/>
            <w:vAlign w:val="bottom"/>
          </w:tcPr>
          <w:p w:rsidR="00000000" w:rsidRDefault="00000000">
            <w:pPr>
              <w:widowControl w:val="0"/>
              <w:tabs>
                <w:tab w:val="decimal" w:pos="306"/>
              </w:tabs>
              <w:spacing w:before="80" w:after="80"/>
              <w:ind w:right="113"/>
              <w:jc w:val="right"/>
              <w:rPr>
                <w:bCs/>
                <w:color w:val="000000"/>
                <w:sz w:val="20"/>
                <w:szCs w:val="20"/>
              </w:rPr>
            </w:pPr>
            <w:r>
              <w:rPr>
                <w:bCs/>
                <w:color w:val="000000"/>
                <w:sz w:val="20"/>
                <w:szCs w:val="20"/>
              </w:rPr>
              <w:t>-</w:t>
            </w:r>
          </w:p>
        </w:tc>
        <w:tc>
          <w:tcPr>
            <w:tcW w:w="409" w:type="pct"/>
            <w:vAlign w:val="bottom"/>
          </w:tcPr>
          <w:p w:rsidR="00000000" w:rsidRDefault="00000000">
            <w:pPr>
              <w:widowControl w:val="0"/>
              <w:tabs>
                <w:tab w:val="decimal" w:pos="514"/>
              </w:tabs>
              <w:spacing w:before="80" w:after="80"/>
              <w:ind w:right="113"/>
              <w:jc w:val="right"/>
              <w:rPr>
                <w:bCs/>
                <w:color w:val="000000"/>
                <w:sz w:val="20"/>
                <w:szCs w:val="20"/>
              </w:rPr>
            </w:pPr>
            <w:r>
              <w:rPr>
                <w:bCs/>
                <w:color w:val="000000"/>
                <w:sz w:val="20"/>
                <w:szCs w:val="20"/>
              </w:rPr>
              <w:t>14</w:t>
            </w:r>
          </w:p>
        </w:tc>
        <w:tc>
          <w:tcPr>
            <w:tcW w:w="328" w:type="pct"/>
            <w:vAlign w:val="bottom"/>
          </w:tcPr>
          <w:p w:rsidR="00000000" w:rsidRDefault="00000000">
            <w:pPr>
              <w:widowControl w:val="0"/>
              <w:spacing w:before="80" w:after="80"/>
              <w:ind w:right="113"/>
              <w:jc w:val="right"/>
              <w:rPr>
                <w:bCs/>
                <w:color w:val="000000"/>
                <w:sz w:val="20"/>
                <w:szCs w:val="20"/>
              </w:rPr>
            </w:pPr>
            <w:r>
              <w:rPr>
                <w:bCs/>
                <w:color w:val="000000"/>
                <w:sz w:val="20"/>
                <w:szCs w:val="20"/>
              </w:rPr>
              <w:t>93</w:t>
            </w:r>
          </w:p>
        </w:tc>
        <w:tc>
          <w:tcPr>
            <w:tcW w:w="328" w:type="pct"/>
            <w:vAlign w:val="bottom"/>
          </w:tcPr>
          <w:p w:rsidR="00000000" w:rsidRDefault="00000000">
            <w:pPr>
              <w:widowControl w:val="0"/>
              <w:tabs>
                <w:tab w:val="decimal" w:pos="500"/>
              </w:tabs>
              <w:spacing w:before="80" w:after="80"/>
              <w:ind w:right="113"/>
              <w:jc w:val="right"/>
              <w:rPr>
                <w:bCs/>
                <w:color w:val="000000"/>
                <w:sz w:val="20"/>
                <w:szCs w:val="20"/>
              </w:rPr>
            </w:pPr>
            <w:r>
              <w:rPr>
                <w:bCs/>
                <w:color w:val="000000"/>
                <w:sz w:val="20"/>
                <w:szCs w:val="20"/>
              </w:rPr>
              <w:t>1</w:t>
            </w:r>
          </w:p>
        </w:tc>
        <w:tc>
          <w:tcPr>
            <w:tcW w:w="246"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7</w:t>
            </w:r>
          </w:p>
        </w:tc>
        <w:tc>
          <w:tcPr>
            <w:tcW w:w="489" w:type="pct"/>
            <w:vAlign w:val="bottom"/>
          </w:tcPr>
          <w:p w:rsidR="00000000" w:rsidRDefault="00000000">
            <w:pPr>
              <w:widowControl w:val="0"/>
              <w:tabs>
                <w:tab w:val="decimal" w:pos="448"/>
              </w:tabs>
              <w:spacing w:before="80" w:after="80"/>
              <w:ind w:right="113"/>
              <w:jc w:val="right"/>
              <w:rPr>
                <w:bCs/>
                <w:color w:val="000000"/>
                <w:sz w:val="20"/>
                <w:szCs w:val="20"/>
              </w:rPr>
            </w:pPr>
            <w:r>
              <w:rPr>
                <w:bCs/>
                <w:color w:val="000000"/>
                <w:sz w:val="20"/>
                <w:szCs w:val="20"/>
              </w:rPr>
              <w:t>15</w:t>
            </w:r>
          </w:p>
        </w:tc>
      </w:tr>
      <w:tr w:rsidR="00000000">
        <w:tblPrEx>
          <w:tblCellMar>
            <w:top w:w="0" w:type="dxa"/>
            <w:bottom w:w="0" w:type="dxa"/>
          </w:tblCellMar>
        </w:tblPrEx>
        <w:tc>
          <w:tcPr>
            <w:tcW w:w="1149" w:type="pct"/>
          </w:tcPr>
          <w:p w:rsidR="00000000" w:rsidRDefault="00000000">
            <w:pPr>
              <w:widowControl w:val="0"/>
              <w:spacing w:before="80" w:after="80"/>
              <w:rPr>
                <w:bCs/>
                <w:color w:val="000000"/>
                <w:sz w:val="20"/>
                <w:szCs w:val="20"/>
              </w:rPr>
            </w:pPr>
            <w:r>
              <w:rPr>
                <w:sz w:val="20"/>
              </w:rPr>
              <w:t>Special education</w:t>
            </w:r>
          </w:p>
        </w:tc>
        <w:tc>
          <w:tcPr>
            <w:tcW w:w="412" w:type="pct"/>
            <w:vAlign w:val="bottom"/>
          </w:tcPr>
          <w:p w:rsidR="00000000" w:rsidRDefault="00000000">
            <w:pPr>
              <w:widowControl w:val="0"/>
              <w:tabs>
                <w:tab w:val="decimal" w:pos="453"/>
              </w:tabs>
              <w:spacing w:before="80" w:after="80"/>
              <w:ind w:right="113"/>
              <w:jc w:val="right"/>
              <w:rPr>
                <w:bCs/>
                <w:color w:val="000000"/>
                <w:sz w:val="20"/>
                <w:szCs w:val="20"/>
              </w:rPr>
            </w:pPr>
            <w:r>
              <w:rPr>
                <w:bCs/>
                <w:color w:val="000000"/>
                <w:sz w:val="20"/>
                <w:szCs w:val="20"/>
              </w:rPr>
              <w:t>26</w:t>
            </w:r>
          </w:p>
        </w:tc>
        <w:tc>
          <w:tcPr>
            <w:tcW w:w="245" w:type="pct"/>
            <w:vAlign w:val="bottom"/>
          </w:tcPr>
          <w:p w:rsidR="00000000" w:rsidRDefault="00000000">
            <w:pPr>
              <w:widowControl w:val="0"/>
              <w:tabs>
                <w:tab w:val="decimal" w:pos="396"/>
              </w:tabs>
              <w:spacing w:before="80" w:after="80"/>
              <w:ind w:right="113"/>
              <w:jc w:val="right"/>
              <w:rPr>
                <w:bCs/>
                <w:color w:val="000000"/>
                <w:sz w:val="20"/>
                <w:szCs w:val="20"/>
              </w:rPr>
            </w:pPr>
            <w:r>
              <w:rPr>
                <w:bCs/>
                <w:color w:val="000000"/>
                <w:sz w:val="20"/>
                <w:szCs w:val="20"/>
              </w:rPr>
              <w:t>46</w:t>
            </w:r>
          </w:p>
        </w:tc>
        <w:tc>
          <w:tcPr>
            <w:tcW w:w="410" w:type="pct"/>
            <w:vAlign w:val="bottom"/>
          </w:tcPr>
          <w:p w:rsidR="00000000" w:rsidRDefault="00000000">
            <w:pPr>
              <w:widowControl w:val="0"/>
              <w:tabs>
                <w:tab w:val="decimal" w:pos="462"/>
              </w:tabs>
              <w:spacing w:before="80" w:after="80"/>
              <w:ind w:right="113"/>
              <w:jc w:val="right"/>
              <w:rPr>
                <w:bCs/>
                <w:color w:val="000000"/>
                <w:sz w:val="20"/>
                <w:szCs w:val="20"/>
              </w:rPr>
            </w:pPr>
            <w:r>
              <w:rPr>
                <w:bCs/>
                <w:color w:val="000000"/>
                <w:sz w:val="20"/>
                <w:szCs w:val="20"/>
              </w:rPr>
              <w:t>9</w:t>
            </w:r>
          </w:p>
        </w:tc>
        <w:tc>
          <w:tcPr>
            <w:tcW w:w="245"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16</w:t>
            </w:r>
          </w:p>
        </w:tc>
        <w:tc>
          <w:tcPr>
            <w:tcW w:w="461" w:type="pct"/>
            <w:vAlign w:val="bottom"/>
          </w:tcPr>
          <w:p w:rsidR="00000000" w:rsidRDefault="00000000">
            <w:pPr>
              <w:widowControl w:val="0"/>
              <w:tabs>
                <w:tab w:val="decimal" w:pos="620"/>
              </w:tabs>
              <w:spacing w:before="80" w:after="80"/>
              <w:ind w:right="113"/>
              <w:jc w:val="right"/>
              <w:rPr>
                <w:bCs/>
                <w:color w:val="000000"/>
                <w:sz w:val="20"/>
                <w:szCs w:val="20"/>
              </w:rPr>
            </w:pPr>
            <w:r>
              <w:rPr>
                <w:bCs/>
                <w:color w:val="000000"/>
                <w:sz w:val="20"/>
                <w:szCs w:val="20"/>
              </w:rPr>
              <w:t>22</w:t>
            </w:r>
          </w:p>
        </w:tc>
        <w:tc>
          <w:tcPr>
            <w:tcW w:w="278" w:type="pct"/>
            <w:vAlign w:val="bottom"/>
          </w:tcPr>
          <w:p w:rsidR="00000000" w:rsidRDefault="00000000">
            <w:pPr>
              <w:widowControl w:val="0"/>
              <w:tabs>
                <w:tab w:val="decimal" w:pos="306"/>
              </w:tabs>
              <w:spacing w:before="80" w:after="80"/>
              <w:ind w:right="113"/>
              <w:jc w:val="right"/>
              <w:rPr>
                <w:bCs/>
                <w:color w:val="000000"/>
                <w:sz w:val="20"/>
                <w:szCs w:val="20"/>
              </w:rPr>
            </w:pPr>
            <w:r>
              <w:rPr>
                <w:bCs/>
                <w:color w:val="000000"/>
                <w:sz w:val="20"/>
                <w:szCs w:val="20"/>
              </w:rPr>
              <w:t>39</w:t>
            </w:r>
          </w:p>
        </w:tc>
        <w:tc>
          <w:tcPr>
            <w:tcW w:w="409" w:type="pct"/>
            <w:vAlign w:val="bottom"/>
          </w:tcPr>
          <w:p w:rsidR="00000000" w:rsidRDefault="00000000">
            <w:pPr>
              <w:widowControl w:val="0"/>
              <w:tabs>
                <w:tab w:val="decimal" w:pos="514"/>
              </w:tabs>
              <w:spacing w:before="80" w:after="80"/>
              <w:ind w:right="113"/>
              <w:jc w:val="right"/>
              <w:rPr>
                <w:bCs/>
                <w:color w:val="000000"/>
                <w:sz w:val="20"/>
                <w:szCs w:val="20"/>
              </w:rPr>
            </w:pPr>
            <w:r>
              <w:rPr>
                <w:bCs/>
                <w:color w:val="000000"/>
                <w:sz w:val="20"/>
                <w:szCs w:val="20"/>
              </w:rPr>
              <w:t>55</w:t>
            </w:r>
          </w:p>
        </w:tc>
        <w:tc>
          <w:tcPr>
            <w:tcW w:w="328" w:type="pct"/>
            <w:vAlign w:val="bottom"/>
          </w:tcPr>
          <w:p w:rsidR="00000000" w:rsidRDefault="00000000">
            <w:pPr>
              <w:widowControl w:val="0"/>
              <w:spacing w:before="80" w:after="80"/>
              <w:ind w:right="113"/>
              <w:jc w:val="right"/>
              <w:rPr>
                <w:bCs/>
                <w:color w:val="000000"/>
                <w:sz w:val="20"/>
                <w:szCs w:val="20"/>
              </w:rPr>
            </w:pPr>
            <w:r>
              <w:rPr>
                <w:bCs/>
                <w:color w:val="000000"/>
                <w:sz w:val="20"/>
                <w:szCs w:val="20"/>
              </w:rPr>
              <w:t>96</w:t>
            </w:r>
          </w:p>
        </w:tc>
        <w:tc>
          <w:tcPr>
            <w:tcW w:w="328" w:type="pct"/>
            <w:vAlign w:val="bottom"/>
          </w:tcPr>
          <w:p w:rsidR="00000000" w:rsidRDefault="00000000">
            <w:pPr>
              <w:widowControl w:val="0"/>
              <w:tabs>
                <w:tab w:val="decimal" w:pos="500"/>
              </w:tabs>
              <w:spacing w:before="80" w:after="80"/>
              <w:ind w:right="113"/>
              <w:jc w:val="right"/>
              <w:rPr>
                <w:bCs/>
                <w:color w:val="000000"/>
                <w:sz w:val="20"/>
                <w:szCs w:val="20"/>
              </w:rPr>
            </w:pPr>
            <w:r>
              <w:rPr>
                <w:bCs/>
                <w:color w:val="000000"/>
                <w:sz w:val="20"/>
                <w:szCs w:val="20"/>
              </w:rPr>
              <w:t>2</w:t>
            </w:r>
          </w:p>
        </w:tc>
        <w:tc>
          <w:tcPr>
            <w:tcW w:w="246"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4</w:t>
            </w:r>
          </w:p>
        </w:tc>
        <w:tc>
          <w:tcPr>
            <w:tcW w:w="489" w:type="pct"/>
            <w:vAlign w:val="bottom"/>
          </w:tcPr>
          <w:p w:rsidR="00000000" w:rsidRDefault="00000000">
            <w:pPr>
              <w:widowControl w:val="0"/>
              <w:tabs>
                <w:tab w:val="decimal" w:pos="448"/>
              </w:tabs>
              <w:spacing w:before="80" w:after="80"/>
              <w:ind w:right="113"/>
              <w:jc w:val="right"/>
              <w:rPr>
                <w:bCs/>
                <w:color w:val="000000"/>
                <w:sz w:val="20"/>
                <w:szCs w:val="20"/>
              </w:rPr>
            </w:pPr>
            <w:r>
              <w:rPr>
                <w:bCs/>
                <w:color w:val="000000"/>
                <w:sz w:val="20"/>
                <w:szCs w:val="20"/>
              </w:rPr>
              <w:t>57</w:t>
            </w:r>
          </w:p>
        </w:tc>
      </w:tr>
      <w:tr w:rsidR="00000000">
        <w:tblPrEx>
          <w:tblCellMar>
            <w:top w:w="0" w:type="dxa"/>
            <w:bottom w:w="0" w:type="dxa"/>
          </w:tblCellMar>
        </w:tblPrEx>
        <w:tc>
          <w:tcPr>
            <w:tcW w:w="1149" w:type="pct"/>
          </w:tcPr>
          <w:p w:rsidR="00000000" w:rsidRDefault="00000000">
            <w:pPr>
              <w:widowControl w:val="0"/>
              <w:spacing w:before="80" w:after="80"/>
              <w:rPr>
                <w:bCs/>
                <w:color w:val="000000"/>
                <w:sz w:val="20"/>
                <w:szCs w:val="20"/>
              </w:rPr>
            </w:pPr>
            <w:r>
              <w:rPr>
                <w:sz w:val="20"/>
              </w:rPr>
              <w:t>Special within basic school education</w:t>
            </w:r>
          </w:p>
        </w:tc>
        <w:tc>
          <w:tcPr>
            <w:tcW w:w="412" w:type="pct"/>
            <w:vAlign w:val="bottom"/>
          </w:tcPr>
          <w:p w:rsidR="00000000" w:rsidRDefault="00000000">
            <w:pPr>
              <w:widowControl w:val="0"/>
              <w:tabs>
                <w:tab w:val="decimal" w:pos="453"/>
              </w:tabs>
              <w:spacing w:before="80" w:after="80"/>
              <w:ind w:right="113"/>
              <w:jc w:val="right"/>
              <w:rPr>
                <w:bCs/>
                <w:color w:val="000000"/>
                <w:sz w:val="20"/>
                <w:szCs w:val="20"/>
              </w:rPr>
            </w:pPr>
            <w:r>
              <w:rPr>
                <w:bCs/>
                <w:color w:val="000000"/>
                <w:sz w:val="20"/>
                <w:szCs w:val="20"/>
              </w:rPr>
              <w:t>505</w:t>
            </w:r>
          </w:p>
        </w:tc>
        <w:tc>
          <w:tcPr>
            <w:tcW w:w="245" w:type="pct"/>
            <w:vAlign w:val="bottom"/>
          </w:tcPr>
          <w:p w:rsidR="00000000" w:rsidRDefault="00000000">
            <w:pPr>
              <w:widowControl w:val="0"/>
              <w:tabs>
                <w:tab w:val="decimal" w:pos="396"/>
              </w:tabs>
              <w:spacing w:before="80" w:after="80"/>
              <w:ind w:right="113"/>
              <w:jc w:val="right"/>
              <w:rPr>
                <w:bCs/>
                <w:color w:val="000000"/>
                <w:sz w:val="20"/>
                <w:szCs w:val="20"/>
              </w:rPr>
            </w:pPr>
            <w:r>
              <w:rPr>
                <w:bCs/>
                <w:color w:val="000000"/>
                <w:sz w:val="20"/>
                <w:szCs w:val="20"/>
              </w:rPr>
              <w:t>88</w:t>
            </w:r>
          </w:p>
        </w:tc>
        <w:tc>
          <w:tcPr>
            <w:tcW w:w="410" w:type="pct"/>
            <w:vAlign w:val="bottom"/>
          </w:tcPr>
          <w:p w:rsidR="00000000" w:rsidRDefault="00000000">
            <w:pPr>
              <w:widowControl w:val="0"/>
              <w:tabs>
                <w:tab w:val="decimal" w:pos="462"/>
              </w:tabs>
              <w:spacing w:before="80" w:after="80"/>
              <w:ind w:right="113"/>
              <w:jc w:val="right"/>
              <w:rPr>
                <w:bCs/>
                <w:color w:val="000000"/>
                <w:sz w:val="20"/>
                <w:szCs w:val="20"/>
              </w:rPr>
            </w:pPr>
            <w:r>
              <w:rPr>
                <w:bCs/>
                <w:color w:val="000000"/>
                <w:sz w:val="20"/>
                <w:szCs w:val="20"/>
              </w:rPr>
              <w:t>2</w:t>
            </w:r>
          </w:p>
        </w:tc>
        <w:tc>
          <w:tcPr>
            <w:tcW w:w="245"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0</w:t>
            </w:r>
          </w:p>
        </w:tc>
        <w:tc>
          <w:tcPr>
            <w:tcW w:w="461" w:type="pct"/>
            <w:vAlign w:val="bottom"/>
          </w:tcPr>
          <w:p w:rsidR="00000000" w:rsidRDefault="00000000">
            <w:pPr>
              <w:widowControl w:val="0"/>
              <w:tabs>
                <w:tab w:val="decimal" w:pos="620"/>
              </w:tabs>
              <w:spacing w:before="80" w:after="80"/>
              <w:ind w:right="113"/>
              <w:jc w:val="right"/>
              <w:rPr>
                <w:bCs/>
                <w:color w:val="000000"/>
                <w:sz w:val="20"/>
                <w:szCs w:val="20"/>
              </w:rPr>
            </w:pPr>
            <w:r>
              <w:rPr>
                <w:bCs/>
                <w:color w:val="000000"/>
                <w:sz w:val="20"/>
                <w:szCs w:val="20"/>
              </w:rPr>
              <w:t>66</w:t>
            </w:r>
          </w:p>
        </w:tc>
        <w:tc>
          <w:tcPr>
            <w:tcW w:w="278" w:type="pct"/>
            <w:vAlign w:val="bottom"/>
          </w:tcPr>
          <w:p w:rsidR="00000000" w:rsidRDefault="00000000">
            <w:pPr>
              <w:widowControl w:val="0"/>
              <w:tabs>
                <w:tab w:val="decimal" w:pos="306"/>
              </w:tabs>
              <w:spacing w:before="80" w:after="80"/>
              <w:ind w:right="113"/>
              <w:jc w:val="right"/>
              <w:rPr>
                <w:bCs/>
                <w:color w:val="000000"/>
                <w:sz w:val="20"/>
                <w:szCs w:val="20"/>
              </w:rPr>
            </w:pPr>
            <w:r>
              <w:rPr>
                <w:bCs/>
                <w:color w:val="000000"/>
                <w:sz w:val="20"/>
                <w:szCs w:val="20"/>
              </w:rPr>
              <w:t>12</w:t>
            </w:r>
          </w:p>
        </w:tc>
        <w:tc>
          <w:tcPr>
            <w:tcW w:w="409" w:type="pct"/>
            <w:vAlign w:val="bottom"/>
          </w:tcPr>
          <w:p w:rsidR="00000000" w:rsidRDefault="00000000">
            <w:pPr>
              <w:widowControl w:val="0"/>
              <w:tabs>
                <w:tab w:val="decimal" w:pos="514"/>
              </w:tabs>
              <w:spacing w:before="80" w:after="80"/>
              <w:ind w:right="113"/>
              <w:jc w:val="right"/>
              <w:rPr>
                <w:bCs/>
                <w:color w:val="000000"/>
                <w:sz w:val="20"/>
                <w:szCs w:val="20"/>
              </w:rPr>
            </w:pPr>
            <w:r>
              <w:rPr>
                <w:bCs/>
                <w:color w:val="000000"/>
                <w:sz w:val="20"/>
                <w:szCs w:val="20"/>
              </w:rPr>
              <w:t>317</w:t>
            </w:r>
          </w:p>
        </w:tc>
        <w:tc>
          <w:tcPr>
            <w:tcW w:w="328" w:type="pct"/>
            <w:vAlign w:val="bottom"/>
          </w:tcPr>
          <w:p w:rsidR="00000000" w:rsidRDefault="00000000">
            <w:pPr>
              <w:widowControl w:val="0"/>
              <w:spacing w:before="80" w:after="80"/>
              <w:ind w:right="113"/>
              <w:jc w:val="right"/>
              <w:rPr>
                <w:bCs/>
                <w:color w:val="000000"/>
                <w:sz w:val="20"/>
                <w:szCs w:val="20"/>
              </w:rPr>
            </w:pPr>
            <w:r>
              <w:rPr>
                <w:bCs/>
                <w:color w:val="000000"/>
                <w:sz w:val="20"/>
                <w:szCs w:val="20"/>
              </w:rPr>
              <w:t>55</w:t>
            </w:r>
          </w:p>
        </w:tc>
        <w:tc>
          <w:tcPr>
            <w:tcW w:w="328" w:type="pct"/>
            <w:vAlign w:val="bottom"/>
          </w:tcPr>
          <w:p w:rsidR="00000000" w:rsidRDefault="00000000">
            <w:pPr>
              <w:widowControl w:val="0"/>
              <w:tabs>
                <w:tab w:val="decimal" w:pos="500"/>
              </w:tabs>
              <w:spacing w:before="80" w:after="80"/>
              <w:ind w:right="113"/>
              <w:jc w:val="right"/>
              <w:rPr>
                <w:bCs/>
                <w:color w:val="000000"/>
                <w:sz w:val="20"/>
                <w:szCs w:val="20"/>
              </w:rPr>
            </w:pPr>
            <w:r>
              <w:rPr>
                <w:bCs/>
                <w:color w:val="000000"/>
                <w:sz w:val="20"/>
                <w:szCs w:val="20"/>
              </w:rPr>
              <w:t>256</w:t>
            </w:r>
          </w:p>
        </w:tc>
        <w:tc>
          <w:tcPr>
            <w:tcW w:w="246"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45</w:t>
            </w:r>
          </w:p>
        </w:tc>
        <w:tc>
          <w:tcPr>
            <w:tcW w:w="489" w:type="pct"/>
            <w:vAlign w:val="bottom"/>
          </w:tcPr>
          <w:p w:rsidR="00000000" w:rsidRDefault="00000000">
            <w:pPr>
              <w:widowControl w:val="0"/>
              <w:tabs>
                <w:tab w:val="decimal" w:pos="448"/>
              </w:tabs>
              <w:spacing w:before="80" w:after="80"/>
              <w:ind w:right="113"/>
              <w:jc w:val="right"/>
              <w:rPr>
                <w:bCs/>
                <w:color w:val="000000"/>
                <w:sz w:val="20"/>
                <w:szCs w:val="20"/>
              </w:rPr>
            </w:pPr>
            <w:r>
              <w:rPr>
                <w:bCs/>
                <w:color w:val="000000"/>
                <w:sz w:val="20"/>
                <w:szCs w:val="20"/>
              </w:rPr>
              <w:t>573</w:t>
            </w:r>
          </w:p>
        </w:tc>
      </w:tr>
      <w:tr w:rsidR="00000000">
        <w:tblPrEx>
          <w:tblCellMar>
            <w:top w:w="0" w:type="dxa"/>
            <w:bottom w:w="0" w:type="dxa"/>
          </w:tblCellMar>
        </w:tblPrEx>
        <w:tc>
          <w:tcPr>
            <w:tcW w:w="1149" w:type="pct"/>
          </w:tcPr>
          <w:p w:rsidR="00000000" w:rsidRDefault="00000000">
            <w:pPr>
              <w:widowControl w:val="0"/>
              <w:spacing w:before="80" w:after="80"/>
              <w:rPr>
                <w:bCs/>
                <w:color w:val="000000"/>
                <w:sz w:val="20"/>
                <w:szCs w:val="20"/>
              </w:rPr>
            </w:pPr>
            <w:r>
              <w:rPr>
                <w:sz w:val="20"/>
              </w:rPr>
              <w:t>Special within secondary education</w:t>
            </w:r>
          </w:p>
        </w:tc>
        <w:tc>
          <w:tcPr>
            <w:tcW w:w="412" w:type="pct"/>
            <w:vAlign w:val="bottom"/>
          </w:tcPr>
          <w:p w:rsidR="00000000" w:rsidRDefault="00000000">
            <w:pPr>
              <w:widowControl w:val="0"/>
              <w:tabs>
                <w:tab w:val="decimal" w:pos="453"/>
              </w:tabs>
              <w:spacing w:before="80" w:after="80"/>
              <w:ind w:right="113"/>
              <w:jc w:val="right"/>
              <w:rPr>
                <w:bCs/>
                <w:color w:val="000000"/>
                <w:sz w:val="20"/>
                <w:szCs w:val="20"/>
              </w:rPr>
            </w:pPr>
            <w:r>
              <w:rPr>
                <w:bCs/>
                <w:color w:val="000000"/>
                <w:sz w:val="20"/>
                <w:szCs w:val="20"/>
              </w:rPr>
              <w:t>-</w:t>
            </w:r>
          </w:p>
        </w:tc>
        <w:tc>
          <w:tcPr>
            <w:tcW w:w="245" w:type="pct"/>
            <w:vAlign w:val="bottom"/>
          </w:tcPr>
          <w:p w:rsidR="00000000" w:rsidRDefault="00000000">
            <w:pPr>
              <w:widowControl w:val="0"/>
              <w:tabs>
                <w:tab w:val="decimal" w:pos="396"/>
              </w:tabs>
              <w:spacing w:before="80" w:after="80"/>
              <w:ind w:right="113"/>
              <w:jc w:val="right"/>
              <w:rPr>
                <w:bCs/>
                <w:color w:val="000000"/>
                <w:sz w:val="20"/>
                <w:szCs w:val="20"/>
              </w:rPr>
            </w:pPr>
            <w:r>
              <w:rPr>
                <w:bCs/>
                <w:color w:val="000000"/>
                <w:sz w:val="20"/>
                <w:szCs w:val="20"/>
              </w:rPr>
              <w:t>-</w:t>
            </w:r>
          </w:p>
        </w:tc>
        <w:tc>
          <w:tcPr>
            <w:tcW w:w="410" w:type="pct"/>
            <w:vAlign w:val="bottom"/>
          </w:tcPr>
          <w:p w:rsidR="00000000" w:rsidRDefault="00000000">
            <w:pPr>
              <w:widowControl w:val="0"/>
              <w:tabs>
                <w:tab w:val="decimal" w:pos="462"/>
              </w:tabs>
              <w:spacing w:before="80" w:after="80"/>
              <w:ind w:right="113"/>
              <w:jc w:val="right"/>
              <w:rPr>
                <w:bCs/>
                <w:color w:val="000000"/>
                <w:sz w:val="20"/>
                <w:szCs w:val="20"/>
              </w:rPr>
            </w:pPr>
            <w:r>
              <w:rPr>
                <w:bCs/>
                <w:color w:val="000000"/>
                <w:sz w:val="20"/>
                <w:szCs w:val="20"/>
              </w:rPr>
              <w:t>141</w:t>
            </w:r>
          </w:p>
        </w:tc>
        <w:tc>
          <w:tcPr>
            <w:tcW w:w="245"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100</w:t>
            </w:r>
          </w:p>
        </w:tc>
        <w:tc>
          <w:tcPr>
            <w:tcW w:w="461" w:type="pct"/>
            <w:vAlign w:val="bottom"/>
          </w:tcPr>
          <w:p w:rsidR="00000000" w:rsidRDefault="00000000">
            <w:pPr>
              <w:widowControl w:val="0"/>
              <w:tabs>
                <w:tab w:val="decimal" w:pos="620"/>
              </w:tabs>
              <w:spacing w:before="80" w:after="80"/>
              <w:ind w:right="113"/>
              <w:jc w:val="right"/>
              <w:rPr>
                <w:bCs/>
                <w:color w:val="000000"/>
                <w:sz w:val="20"/>
                <w:szCs w:val="20"/>
              </w:rPr>
            </w:pPr>
            <w:r>
              <w:rPr>
                <w:bCs/>
                <w:color w:val="000000"/>
                <w:sz w:val="20"/>
                <w:szCs w:val="20"/>
              </w:rPr>
              <w:t>-</w:t>
            </w:r>
          </w:p>
        </w:tc>
        <w:tc>
          <w:tcPr>
            <w:tcW w:w="278" w:type="pct"/>
            <w:vAlign w:val="bottom"/>
          </w:tcPr>
          <w:p w:rsidR="00000000" w:rsidRDefault="00000000">
            <w:pPr>
              <w:widowControl w:val="0"/>
              <w:tabs>
                <w:tab w:val="decimal" w:pos="306"/>
              </w:tabs>
              <w:spacing w:before="80" w:after="80"/>
              <w:ind w:right="113"/>
              <w:jc w:val="right"/>
              <w:rPr>
                <w:bCs/>
                <w:color w:val="000000"/>
                <w:sz w:val="20"/>
                <w:szCs w:val="20"/>
              </w:rPr>
            </w:pPr>
            <w:r>
              <w:rPr>
                <w:bCs/>
                <w:color w:val="000000"/>
                <w:sz w:val="20"/>
                <w:szCs w:val="20"/>
              </w:rPr>
              <w:t>-</w:t>
            </w:r>
          </w:p>
        </w:tc>
        <w:tc>
          <w:tcPr>
            <w:tcW w:w="409" w:type="pct"/>
            <w:vAlign w:val="bottom"/>
          </w:tcPr>
          <w:p w:rsidR="00000000" w:rsidRDefault="00000000">
            <w:pPr>
              <w:widowControl w:val="0"/>
              <w:tabs>
                <w:tab w:val="decimal" w:pos="514"/>
              </w:tabs>
              <w:spacing w:before="80" w:after="80"/>
              <w:ind w:right="113"/>
              <w:jc w:val="right"/>
              <w:rPr>
                <w:bCs/>
                <w:color w:val="000000"/>
                <w:sz w:val="20"/>
                <w:szCs w:val="20"/>
              </w:rPr>
            </w:pPr>
            <w:r>
              <w:rPr>
                <w:bCs/>
                <w:color w:val="000000"/>
                <w:sz w:val="20"/>
                <w:szCs w:val="20"/>
              </w:rPr>
              <w:t>121</w:t>
            </w:r>
          </w:p>
        </w:tc>
        <w:tc>
          <w:tcPr>
            <w:tcW w:w="328" w:type="pct"/>
            <w:vAlign w:val="bottom"/>
          </w:tcPr>
          <w:p w:rsidR="00000000" w:rsidRDefault="00000000">
            <w:pPr>
              <w:widowControl w:val="0"/>
              <w:spacing w:before="80" w:after="80"/>
              <w:ind w:right="113"/>
              <w:jc w:val="right"/>
              <w:rPr>
                <w:bCs/>
                <w:color w:val="000000"/>
                <w:sz w:val="20"/>
                <w:szCs w:val="20"/>
              </w:rPr>
            </w:pPr>
            <w:r>
              <w:rPr>
                <w:bCs/>
                <w:color w:val="000000"/>
                <w:sz w:val="20"/>
                <w:szCs w:val="20"/>
              </w:rPr>
              <w:t>86</w:t>
            </w:r>
          </w:p>
        </w:tc>
        <w:tc>
          <w:tcPr>
            <w:tcW w:w="328" w:type="pct"/>
            <w:vAlign w:val="bottom"/>
          </w:tcPr>
          <w:p w:rsidR="00000000" w:rsidRDefault="00000000">
            <w:pPr>
              <w:widowControl w:val="0"/>
              <w:tabs>
                <w:tab w:val="decimal" w:pos="500"/>
              </w:tabs>
              <w:spacing w:before="80" w:after="80"/>
              <w:ind w:right="113"/>
              <w:jc w:val="right"/>
              <w:rPr>
                <w:bCs/>
                <w:color w:val="000000"/>
                <w:sz w:val="20"/>
                <w:szCs w:val="20"/>
              </w:rPr>
            </w:pPr>
            <w:r>
              <w:rPr>
                <w:bCs/>
                <w:color w:val="000000"/>
                <w:sz w:val="20"/>
                <w:szCs w:val="20"/>
              </w:rPr>
              <w:t>20</w:t>
            </w:r>
          </w:p>
        </w:tc>
        <w:tc>
          <w:tcPr>
            <w:tcW w:w="246"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14</w:t>
            </w:r>
          </w:p>
        </w:tc>
        <w:tc>
          <w:tcPr>
            <w:tcW w:w="489" w:type="pct"/>
            <w:vAlign w:val="bottom"/>
          </w:tcPr>
          <w:p w:rsidR="00000000" w:rsidRDefault="00000000">
            <w:pPr>
              <w:widowControl w:val="0"/>
              <w:tabs>
                <w:tab w:val="decimal" w:pos="448"/>
              </w:tabs>
              <w:spacing w:before="80" w:after="80"/>
              <w:ind w:right="113"/>
              <w:jc w:val="right"/>
              <w:rPr>
                <w:bCs/>
                <w:color w:val="000000"/>
                <w:sz w:val="20"/>
                <w:szCs w:val="20"/>
              </w:rPr>
            </w:pPr>
            <w:r>
              <w:rPr>
                <w:bCs/>
                <w:color w:val="000000"/>
                <w:sz w:val="20"/>
                <w:szCs w:val="20"/>
              </w:rPr>
              <w:t>141</w:t>
            </w:r>
          </w:p>
        </w:tc>
      </w:tr>
      <w:tr w:rsidR="00000000">
        <w:tblPrEx>
          <w:tblCellMar>
            <w:top w:w="0" w:type="dxa"/>
            <w:bottom w:w="0" w:type="dxa"/>
          </w:tblCellMar>
        </w:tblPrEx>
        <w:tc>
          <w:tcPr>
            <w:tcW w:w="1149" w:type="pct"/>
          </w:tcPr>
          <w:p w:rsidR="00000000" w:rsidRDefault="00000000">
            <w:pPr>
              <w:widowControl w:val="0"/>
              <w:spacing w:before="80" w:after="80"/>
              <w:rPr>
                <w:bCs/>
                <w:color w:val="000000"/>
                <w:sz w:val="20"/>
                <w:szCs w:val="20"/>
              </w:rPr>
            </w:pPr>
            <w:r>
              <w:rPr>
                <w:sz w:val="20"/>
              </w:rPr>
              <w:t>Education of juveniles &amp; adults</w:t>
            </w:r>
          </w:p>
        </w:tc>
        <w:tc>
          <w:tcPr>
            <w:tcW w:w="412" w:type="pct"/>
            <w:vAlign w:val="bottom"/>
          </w:tcPr>
          <w:p w:rsidR="00000000" w:rsidRDefault="00000000">
            <w:pPr>
              <w:widowControl w:val="0"/>
              <w:tabs>
                <w:tab w:val="decimal" w:pos="453"/>
              </w:tabs>
              <w:spacing w:before="80" w:after="80"/>
              <w:ind w:right="113"/>
              <w:jc w:val="right"/>
              <w:rPr>
                <w:bCs/>
                <w:color w:val="000000"/>
                <w:sz w:val="20"/>
                <w:szCs w:val="20"/>
              </w:rPr>
            </w:pPr>
            <w:r>
              <w:rPr>
                <w:bCs/>
                <w:color w:val="000000"/>
                <w:sz w:val="20"/>
                <w:szCs w:val="20"/>
              </w:rPr>
              <w:t>1 047</w:t>
            </w:r>
          </w:p>
        </w:tc>
        <w:tc>
          <w:tcPr>
            <w:tcW w:w="245" w:type="pct"/>
            <w:vAlign w:val="bottom"/>
          </w:tcPr>
          <w:p w:rsidR="00000000" w:rsidRDefault="00000000">
            <w:pPr>
              <w:widowControl w:val="0"/>
              <w:tabs>
                <w:tab w:val="decimal" w:pos="396"/>
              </w:tabs>
              <w:spacing w:before="80" w:after="80"/>
              <w:ind w:right="113"/>
              <w:jc w:val="right"/>
              <w:rPr>
                <w:bCs/>
                <w:color w:val="000000"/>
                <w:sz w:val="20"/>
                <w:szCs w:val="20"/>
              </w:rPr>
            </w:pPr>
            <w:r>
              <w:rPr>
                <w:bCs/>
                <w:color w:val="000000"/>
                <w:sz w:val="20"/>
                <w:szCs w:val="20"/>
              </w:rPr>
              <w:t>70</w:t>
            </w:r>
          </w:p>
        </w:tc>
        <w:tc>
          <w:tcPr>
            <w:tcW w:w="410" w:type="pct"/>
            <w:vAlign w:val="bottom"/>
          </w:tcPr>
          <w:p w:rsidR="00000000" w:rsidRDefault="00000000">
            <w:pPr>
              <w:widowControl w:val="0"/>
              <w:tabs>
                <w:tab w:val="decimal" w:pos="462"/>
              </w:tabs>
              <w:spacing w:before="80" w:after="80"/>
              <w:ind w:right="113"/>
              <w:jc w:val="right"/>
              <w:rPr>
                <w:bCs/>
                <w:color w:val="000000"/>
                <w:sz w:val="20"/>
                <w:szCs w:val="20"/>
              </w:rPr>
            </w:pPr>
            <w:r>
              <w:rPr>
                <w:bCs/>
                <w:color w:val="000000"/>
                <w:sz w:val="20"/>
                <w:szCs w:val="20"/>
              </w:rPr>
              <w:t>414</w:t>
            </w:r>
          </w:p>
        </w:tc>
        <w:tc>
          <w:tcPr>
            <w:tcW w:w="245"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28</w:t>
            </w:r>
          </w:p>
        </w:tc>
        <w:tc>
          <w:tcPr>
            <w:tcW w:w="461" w:type="pct"/>
            <w:vAlign w:val="bottom"/>
          </w:tcPr>
          <w:p w:rsidR="00000000" w:rsidRDefault="00000000">
            <w:pPr>
              <w:widowControl w:val="0"/>
              <w:tabs>
                <w:tab w:val="decimal" w:pos="620"/>
              </w:tabs>
              <w:spacing w:before="80" w:after="80"/>
              <w:ind w:right="113"/>
              <w:jc w:val="right"/>
              <w:rPr>
                <w:bCs/>
                <w:color w:val="000000"/>
                <w:sz w:val="20"/>
                <w:szCs w:val="20"/>
              </w:rPr>
            </w:pPr>
            <w:r>
              <w:rPr>
                <w:bCs/>
                <w:color w:val="000000"/>
                <w:sz w:val="20"/>
                <w:szCs w:val="20"/>
              </w:rPr>
              <w:t>33</w:t>
            </w:r>
          </w:p>
        </w:tc>
        <w:tc>
          <w:tcPr>
            <w:tcW w:w="278" w:type="pct"/>
            <w:vAlign w:val="bottom"/>
          </w:tcPr>
          <w:p w:rsidR="00000000" w:rsidRDefault="00000000">
            <w:pPr>
              <w:widowControl w:val="0"/>
              <w:tabs>
                <w:tab w:val="decimal" w:pos="306"/>
              </w:tabs>
              <w:spacing w:before="80" w:after="80"/>
              <w:ind w:right="113"/>
              <w:jc w:val="right"/>
              <w:rPr>
                <w:bCs/>
                <w:color w:val="000000"/>
                <w:sz w:val="20"/>
                <w:szCs w:val="20"/>
              </w:rPr>
            </w:pPr>
            <w:r>
              <w:rPr>
                <w:bCs/>
                <w:color w:val="000000"/>
                <w:sz w:val="20"/>
                <w:szCs w:val="20"/>
              </w:rPr>
              <w:t>2</w:t>
            </w:r>
          </w:p>
        </w:tc>
        <w:tc>
          <w:tcPr>
            <w:tcW w:w="409" w:type="pct"/>
            <w:vAlign w:val="bottom"/>
          </w:tcPr>
          <w:p w:rsidR="00000000" w:rsidRDefault="00000000">
            <w:pPr>
              <w:widowControl w:val="0"/>
              <w:tabs>
                <w:tab w:val="decimal" w:pos="514"/>
              </w:tabs>
              <w:spacing w:before="80" w:after="80"/>
              <w:ind w:right="113"/>
              <w:jc w:val="right"/>
              <w:rPr>
                <w:bCs/>
                <w:color w:val="000000"/>
                <w:sz w:val="20"/>
                <w:szCs w:val="20"/>
              </w:rPr>
            </w:pPr>
            <w:r>
              <w:rPr>
                <w:bCs/>
                <w:color w:val="000000"/>
                <w:sz w:val="20"/>
                <w:szCs w:val="20"/>
              </w:rPr>
              <w:t>706</w:t>
            </w:r>
          </w:p>
        </w:tc>
        <w:tc>
          <w:tcPr>
            <w:tcW w:w="328" w:type="pct"/>
            <w:vAlign w:val="bottom"/>
          </w:tcPr>
          <w:p w:rsidR="00000000" w:rsidRDefault="00000000">
            <w:pPr>
              <w:widowControl w:val="0"/>
              <w:spacing w:before="80" w:after="80"/>
              <w:ind w:right="113"/>
              <w:jc w:val="right"/>
              <w:rPr>
                <w:bCs/>
                <w:color w:val="000000"/>
                <w:sz w:val="20"/>
                <w:szCs w:val="20"/>
              </w:rPr>
            </w:pPr>
            <w:r>
              <w:rPr>
                <w:bCs/>
                <w:color w:val="000000"/>
                <w:sz w:val="20"/>
                <w:szCs w:val="20"/>
              </w:rPr>
              <w:t>47</w:t>
            </w:r>
          </w:p>
        </w:tc>
        <w:tc>
          <w:tcPr>
            <w:tcW w:w="328" w:type="pct"/>
            <w:vAlign w:val="bottom"/>
          </w:tcPr>
          <w:p w:rsidR="00000000" w:rsidRDefault="00000000">
            <w:pPr>
              <w:widowControl w:val="0"/>
              <w:tabs>
                <w:tab w:val="decimal" w:pos="500"/>
              </w:tabs>
              <w:spacing w:before="80" w:after="80"/>
              <w:ind w:right="113"/>
              <w:jc w:val="right"/>
              <w:rPr>
                <w:bCs/>
                <w:color w:val="000000"/>
                <w:sz w:val="20"/>
                <w:szCs w:val="20"/>
              </w:rPr>
            </w:pPr>
            <w:r>
              <w:rPr>
                <w:bCs/>
                <w:color w:val="000000"/>
                <w:sz w:val="20"/>
                <w:szCs w:val="20"/>
              </w:rPr>
              <w:t>788</w:t>
            </w:r>
          </w:p>
        </w:tc>
        <w:tc>
          <w:tcPr>
            <w:tcW w:w="246" w:type="pct"/>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53</w:t>
            </w:r>
          </w:p>
        </w:tc>
        <w:tc>
          <w:tcPr>
            <w:tcW w:w="489" w:type="pct"/>
            <w:vAlign w:val="bottom"/>
          </w:tcPr>
          <w:p w:rsidR="00000000" w:rsidRDefault="00000000">
            <w:pPr>
              <w:widowControl w:val="0"/>
              <w:tabs>
                <w:tab w:val="decimal" w:pos="448"/>
              </w:tabs>
              <w:spacing w:before="80" w:after="80"/>
              <w:ind w:right="113"/>
              <w:jc w:val="right"/>
              <w:rPr>
                <w:bCs/>
                <w:color w:val="000000"/>
                <w:sz w:val="20"/>
                <w:szCs w:val="20"/>
              </w:rPr>
            </w:pPr>
            <w:r>
              <w:rPr>
                <w:bCs/>
                <w:color w:val="000000"/>
                <w:sz w:val="20"/>
                <w:szCs w:val="20"/>
              </w:rPr>
              <w:t>1 494</w:t>
            </w:r>
          </w:p>
        </w:tc>
      </w:tr>
      <w:tr w:rsidR="00000000">
        <w:tblPrEx>
          <w:tblCellMar>
            <w:top w:w="0" w:type="dxa"/>
            <w:bottom w:w="0" w:type="dxa"/>
          </w:tblCellMar>
        </w:tblPrEx>
        <w:tc>
          <w:tcPr>
            <w:tcW w:w="1149" w:type="pct"/>
            <w:tcBorders>
              <w:bottom w:val="single" w:sz="4" w:space="0" w:color="auto"/>
            </w:tcBorders>
          </w:tcPr>
          <w:p w:rsidR="00000000" w:rsidRDefault="00000000">
            <w:pPr>
              <w:widowControl w:val="0"/>
              <w:spacing w:before="80" w:after="80"/>
              <w:rPr>
                <w:bCs/>
                <w:color w:val="000000"/>
                <w:sz w:val="20"/>
                <w:szCs w:val="20"/>
              </w:rPr>
            </w:pPr>
            <w:r>
              <w:rPr>
                <w:sz w:val="20"/>
              </w:rPr>
              <w:t>Professional education</w:t>
            </w:r>
          </w:p>
        </w:tc>
        <w:tc>
          <w:tcPr>
            <w:tcW w:w="412" w:type="pct"/>
            <w:tcBorders>
              <w:bottom w:val="single" w:sz="4" w:space="0" w:color="auto"/>
            </w:tcBorders>
            <w:vAlign w:val="bottom"/>
          </w:tcPr>
          <w:p w:rsidR="00000000" w:rsidRDefault="00000000">
            <w:pPr>
              <w:widowControl w:val="0"/>
              <w:tabs>
                <w:tab w:val="decimal" w:pos="453"/>
              </w:tabs>
              <w:spacing w:before="80" w:after="80"/>
              <w:ind w:right="113"/>
              <w:jc w:val="right"/>
              <w:rPr>
                <w:bCs/>
                <w:color w:val="000000"/>
                <w:sz w:val="20"/>
                <w:szCs w:val="20"/>
              </w:rPr>
            </w:pPr>
            <w:r>
              <w:rPr>
                <w:bCs/>
                <w:color w:val="000000"/>
                <w:sz w:val="20"/>
                <w:szCs w:val="20"/>
              </w:rPr>
              <w:t>33</w:t>
            </w:r>
          </w:p>
        </w:tc>
        <w:tc>
          <w:tcPr>
            <w:tcW w:w="245" w:type="pct"/>
            <w:tcBorders>
              <w:bottom w:val="single" w:sz="4" w:space="0" w:color="auto"/>
            </w:tcBorders>
            <w:vAlign w:val="bottom"/>
          </w:tcPr>
          <w:p w:rsidR="00000000" w:rsidRDefault="00000000">
            <w:pPr>
              <w:widowControl w:val="0"/>
              <w:tabs>
                <w:tab w:val="decimal" w:pos="396"/>
              </w:tabs>
              <w:spacing w:before="80" w:after="80"/>
              <w:ind w:right="113"/>
              <w:jc w:val="right"/>
              <w:rPr>
                <w:bCs/>
                <w:color w:val="000000"/>
                <w:sz w:val="20"/>
                <w:szCs w:val="20"/>
              </w:rPr>
            </w:pPr>
            <w:r>
              <w:rPr>
                <w:bCs/>
                <w:color w:val="000000"/>
                <w:sz w:val="20"/>
                <w:szCs w:val="20"/>
              </w:rPr>
              <w:t>9</w:t>
            </w:r>
          </w:p>
        </w:tc>
        <w:tc>
          <w:tcPr>
            <w:tcW w:w="410" w:type="pct"/>
            <w:tcBorders>
              <w:bottom w:val="single" w:sz="4" w:space="0" w:color="auto"/>
            </w:tcBorders>
            <w:vAlign w:val="bottom"/>
          </w:tcPr>
          <w:p w:rsidR="00000000" w:rsidRDefault="00000000">
            <w:pPr>
              <w:widowControl w:val="0"/>
              <w:tabs>
                <w:tab w:val="decimal" w:pos="462"/>
              </w:tabs>
              <w:spacing w:before="80" w:after="80"/>
              <w:ind w:right="113"/>
              <w:jc w:val="right"/>
              <w:rPr>
                <w:bCs/>
                <w:color w:val="000000"/>
                <w:sz w:val="20"/>
                <w:szCs w:val="20"/>
              </w:rPr>
            </w:pPr>
            <w:r>
              <w:rPr>
                <w:bCs/>
                <w:color w:val="000000"/>
                <w:sz w:val="20"/>
                <w:szCs w:val="20"/>
              </w:rPr>
              <w:t>258</w:t>
            </w:r>
          </w:p>
        </w:tc>
        <w:tc>
          <w:tcPr>
            <w:tcW w:w="245" w:type="pct"/>
            <w:tcBorders>
              <w:bottom w:val="single" w:sz="4" w:space="0" w:color="auto"/>
            </w:tcBorders>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72</w:t>
            </w:r>
          </w:p>
        </w:tc>
        <w:tc>
          <w:tcPr>
            <w:tcW w:w="461" w:type="pct"/>
            <w:tcBorders>
              <w:bottom w:val="single" w:sz="4" w:space="0" w:color="auto"/>
            </w:tcBorders>
            <w:vAlign w:val="bottom"/>
          </w:tcPr>
          <w:p w:rsidR="00000000" w:rsidRDefault="00000000">
            <w:pPr>
              <w:widowControl w:val="0"/>
              <w:tabs>
                <w:tab w:val="decimal" w:pos="620"/>
              </w:tabs>
              <w:spacing w:before="80" w:after="80"/>
              <w:ind w:right="113"/>
              <w:jc w:val="right"/>
              <w:rPr>
                <w:bCs/>
                <w:color w:val="000000"/>
                <w:sz w:val="20"/>
                <w:szCs w:val="20"/>
              </w:rPr>
            </w:pPr>
            <w:r>
              <w:rPr>
                <w:bCs/>
                <w:color w:val="000000"/>
                <w:sz w:val="20"/>
                <w:szCs w:val="20"/>
              </w:rPr>
              <w:t>66</w:t>
            </w:r>
          </w:p>
        </w:tc>
        <w:tc>
          <w:tcPr>
            <w:tcW w:w="278" w:type="pct"/>
            <w:tcBorders>
              <w:bottom w:val="single" w:sz="4" w:space="0" w:color="auto"/>
            </w:tcBorders>
            <w:vAlign w:val="bottom"/>
          </w:tcPr>
          <w:p w:rsidR="00000000" w:rsidRDefault="00000000">
            <w:pPr>
              <w:widowControl w:val="0"/>
              <w:tabs>
                <w:tab w:val="decimal" w:pos="306"/>
              </w:tabs>
              <w:spacing w:before="80" w:after="80"/>
              <w:ind w:right="113"/>
              <w:jc w:val="right"/>
              <w:rPr>
                <w:bCs/>
                <w:color w:val="000000"/>
                <w:sz w:val="20"/>
                <w:szCs w:val="20"/>
              </w:rPr>
            </w:pPr>
            <w:r>
              <w:rPr>
                <w:bCs/>
                <w:color w:val="000000"/>
                <w:sz w:val="20"/>
                <w:szCs w:val="20"/>
              </w:rPr>
              <w:t>18</w:t>
            </w:r>
          </w:p>
        </w:tc>
        <w:tc>
          <w:tcPr>
            <w:tcW w:w="409" w:type="pct"/>
            <w:tcBorders>
              <w:bottom w:val="single" w:sz="4" w:space="0" w:color="auto"/>
            </w:tcBorders>
            <w:vAlign w:val="bottom"/>
          </w:tcPr>
          <w:p w:rsidR="00000000" w:rsidRDefault="00000000">
            <w:pPr>
              <w:widowControl w:val="0"/>
              <w:tabs>
                <w:tab w:val="decimal" w:pos="514"/>
              </w:tabs>
              <w:spacing w:before="80" w:after="80"/>
              <w:ind w:right="113"/>
              <w:jc w:val="right"/>
              <w:rPr>
                <w:bCs/>
                <w:color w:val="000000"/>
                <w:sz w:val="20"/>
                <w:szCs w:val="20"/>
              </w:rPr>
            </w:pPr>
            <w:r>
              <w:rPr>
                <w:bCs/>
                <w:color w:val="000000"/>
                <w:sz w:val="20"/>
                <w:szCs w:val="20"/>
              </w:rPr>
              <w:t>332</w:t>
            </w:r>
          </w:p>
        </w:tc>
        <w:tc>
          <w:tcPr>
            <w:tcW w:w="328" w:type="pct"/>
            <w:tcBorders>
              <w:bottom w:val="single" w:sz="4" w:space="0" w:color="auto"/>
            </w:tcBorders>
            <w:vAlign w:val="bottom"/>
          </w:tcPr>
          <w:p w:rsidR="00000000" w:rsidRDefault="00000000">
            <w:pPr>
              <w:widowControl w:val="0"/>
              <w:spacing w:before="80" w:after="80"/>
              <w:ind w:right="113"/>
              <w:jc w:val="right"/>
              <w:rPr>
                <w:bCs/>
                <w:color w:val="000000"/>
                <w:sz w:val="20"/>
                <w:szCs w:val="20"/>
              </w:rPr>
            </w:pPr>
            <w:r>
              <w:rPr>
                <w:bCs/>
                <w:color w:val="000000"/>
                <w:sz w:val="20"/>
                <w:szCs w:val="20"/>
              </w:rPr>
              <w:t>93</w:t>
            </w:r>
          </w:p>
        </w:tc>
        <w:tc>
          <w:tcPr>
            <w:tcW w:w="328" w:type="pct"/>
            <w:tcBorders>
              <w:bottom w:val="single" w:sz="4" w:space="0" w:color="auto"/>
            </w:tcBorders>
            <w:vAlign w:val="bottom"/>
          </w:tcPr>
          <w:p w:rsidR="00000000" w:rsidRDefault="00000000">
            <w:pPr>
              <w:widowControl w:val="0"/>
              <w:tabs>
                <w:tab w:val="decimal" w:pos="500"/>
              </w:tabs>
              <w:spacing w:before="80" w:after="80"/>
              <w:ind w:right="113"/>
              <w:jc w:val="right"/>
              <w:rPr>
                <w:bCs/>
                <w:color w:val="000000"/>
                <w:sz w:val="20"/>
                <w:szCs w:val="20"/>
              </w:rPr>
            </w:pPr>
            <w:r>
              <w:rPr>
                <w:bCs/>
                <w:color w:val="000000"/>
                <w:sz w:val="20"/>
                <w:szCs w:val="20"/>
              </w:rPr>
              <w:t>25</w:t>
            </w:r>
          </w:p>
        </w:tc>
        <w:tc>
          <w:tcPr>
            <w:tcW w:w="246" w:type="pct"/>
            <w:tcBorders>
              <w:bottom w:val="single" w:sz="4" w:space="0" w:color="auto"/>
            </w:tcBorders>
            <w:vAlign w:val="bottom"/>
          </w:tcPr>
          <w:p w:rsidR="00000000" w:rsidRDefault="00000000">
            <w:pPr>
              <w:widowControl w:val="0"/>
              <w:tabs>
                <w:tab w:val="decimal" w:pos="378"/>
              </w:tabs>
              <w:spacing w:before="80" w:after="80"/>
              <w:ind w:right="113"/>
              <w:jc w:val="right"/>
              <w:rPr>
                <w:bCs/>
                <w:color w:val="000000"/>
                <w:sz w:val="20"/>
                <w:szCs w:val="20"/>
              </w:rPr>
            </w:pPr>
            <w:r>
              <w:rPr>
                <w:bCs/>
                <w:color w:val="000000"/>
                <w:sz w:val="20"/>
                <w:szCs w:val="20"/>
              </w:rPr>
              <w:t>7</w:t>
            </w:r>
          </w:p>
        </w:tc>
        <w:tc>
          <w:tcPr>
            <w:tcW w:w="489" w:type="pct"/>
            <w:tcBorders>
              <w:bottom w:val="single" w:sz="4" w:space="0" w:color="auto"/>
            </w:tcBorders>
            <w:vAlign w:val="bottom"/>
          </w:tcPr>
          <w:p w:rsidR="00000000" w:rsidRDefault="00000000">
            <w:pPr>
              <w:widowControl w:val="0"/>
              <w:tabs>
                <w:tab w:val="decimal" w:pos="448"/>
              </w:tabs>
              <w:spacing w:before="80" w:after="80"/>
              <w:ind w:right="113"/>
              <w:jc w:val="right"/>
              <w:rPr>
                <w:bCs/>
                <w:color w:val="000000"/>
                <w:sz w:val="20"/>
                <w:szCs w:val="20"/>
              </w:rPr>
            </w:pPr>
            <w:r>
              <w:rPr>
                <w:bCs/>
                <w:color w:val="000000"/>
                <w:sz w:val="20"/>
                <w:szCs w:val="20"/>
              </w:rPr>
              <w:t>357</w:t>
            </w:r>
          </w:p>
        </w:tc>
      </w:tr>
    </w:tbl>
    <w:p w:rsidR="00000000" w:rsidRDefault="00000000">
      <w:pPr>
        <w:spacing w:before="80" w:after="80"/>
        <w:ind w:firstLine="567"/>
        <w:rPr>
          <w:sz w:val="20"/>
          <w:szCs w:val="18"/>
          <w:lang w:val="fr-FR"/>
        </w:rPr>
      </w:pPr>
      <w:r>
        <w:rPr>
          <w:i/>
          <w:iCs/>
          <w:sz w:val="20"/>
          <w:szCs w:val="18"/>
          <w:lang w:val="fr-FR"/>
        </w:rPr>
        <w:t xml:space="preserve">Source: </w:t>
      </w:r>
      <w:r>
        <w:rPr>
          <w:sz w:val="20"/>
          <w:szCs w:val="18"/>
          <w:lang w:val="fr-FR"/>
        </w:rPr>
        <w:t>MEC, DGPEC.</w:t>
      </w:r>
    </w:p>
    <w:p w:rsidR="00000000" w:rsidRDefault="00000000">
      <w:pPr>
        <w:spacing w:after="240"/>
        <w:ind w:firstLine="567"/>
        <w:rPr>
          <w:sz w:val="20"/>
          <w:szCs w:val="18"/>
        </w:rPr>
      </w:pPr>
      <w:r>
        <w:rPr>
          <w:bCs/>
          <w:i/>
          <w:iCs/>
          <w:sz w:val="20"/>
          <w:szCs w:val="18"/>
        </w:rPr>
        <w:t xml:space="preserve">Note: </w:t>
      </w:r>
      <w:r>
        <w:rPr>
          <w:bCs/>
          <w:sz w:val="20"/>
          <w:szCs w:val="18"/>
        </w:rPr>
        <w:t>There are institutions that offer more than one level and/or educational modality.</w:t>
      </w:r>
    </w:p>
    <w:p w:rsidR="00000000" w:rsidRDefault="00000000">
      <w:pPr>
        <w:numPr>
          <w:ilvl w:val="1"/>
          <w:numId w:val="4"/>
        </w:numPr>
        <w:spacing w:after="240"/>
        <w:ind w:left="0" w:firstLine="0"/>
      </w:pPr>
      <w:r>
        <w:rPr>
          <w:b/>
        </w:rPr>
        <w:t>School buildings</w:t>
      </w:r>
    </w:p>
    <w:p w:rsidR="00000000" w:rsidRDefault="00000000">
      <w:pPr>
        <w:spacing w:after="240"/>
        <w:rPr>
          <w:spacing w:val="-2"/>
        </w:rPr>
      </w:pPr>
      <w:r>
        <w:rPr>
          <w:spacing w:val="-2"/>
          <w:lang w:val="en-US"/>
        </w:rPr>
        <w:t>576</w:t>
      </w:r>
      <w:r>
        <w:rPr>
          <w:spacing w:val="-2"/>
        </w:rPr>
        <w:t>.</w:t>
      </w:r>
      <w:r>
        <w:rPr>
          <w:spacing w:val="-2"/>
        </w:rPr>
        <w:tab/>
        <w:t>School building: this is carried out in different forms and with different funding sources: for instance, direct construction carried out by the Ministry of Education and Culture, building through grants to School Cooperative Associations (ACEs), through local donations or investments (e.g. Itaipú Social Works. departmental authorities, etc.). Building during the current year is set out in detail below (does not include works executed by Itaipú and departmental authorities):</w:t>
      </w:r>
    </w:p>
    <w:p w:rsidR="00000000" w:rsidRDefault="00000000">
      <w:pPr>
        <w:spacing w:after="240"/>
        <w:ind w:left="1134" w:hanging="567"/>
      </w:pPr>
      <w:r>
        <w:rPr>
          <w:szCs w:val="22"/>
        </w:rPr>
        <w:t>–</w:t>
      </w:r>
      <w:r>
        <w:tab/>
      </w:r>
      <w:r>
        <w:rPr>
          <w:bCs/>
          <w:i/>
          <w:iCs/>
        </w:rPr>
        <w:t xml:space="preserve">Programme for strengthening educational reform in basic school education – “Viva Hekokatuva School”: </w:t>
      </w:r>
      <w:r>
        <w:t>assists 130 educational establishments with infrastructure investment for construction and repairs: 337 new classrooms, 97 differentiated sanitation systems and 48 artesian wells.</w:t>
      </w:r>
    </w:p>
    <w:p w:rsidR="00000000" w:rsidRDefault="00000000">
      <w:pPr>
        <w:spacing w:after="240"/>
        <w:ind w:left="1134" w:hanging="567"/>
      </w:pPr>
      <w:r>
        <w:rPr>
          <w:szCs w:val="22"/>
        </w:rPr>
        <w:t>–</w:t>
      </w:r>
      <w:r>
        <w:tab/>
      </w:r>
      <w:r>
        <w:rPr>
          <w:bCs/>
          <w:i/>
          <w:iCs/>
        </w:rPr>
        <w:t xml:space="preserve">Programme for improving initial and pre-school education: </w:t>
      </w:r>
      <w:r>
        <w:t>there are plans to install 244 new classrooms, 258 differentiated sanitation systems and 134 artesian wells.</w:t>
      </w:r>
    </w:p>
    <w:p w:rsidR="00000000" w:rsidRDefault="00000000">
      <w:pPr>
        <w:spacing w:after="240"/>
        <w:ind w:left="1134" w:hanging="567"/>
      </w:pPr>
      <w:r>
        <w:rPr>
          <w:szCs w:val="22"/>
        </w:rPr>
        <w:t>–</w:t>
      </w:r>
      <w:r>
        <w:tab/>
      </w:r>
      <w:r>
        <w:rPr>
          <w:bCs/>
          <w:i/>
          <w:iCs/>
        </w:rPr>
        <w:t xml:space="preserve">Educational reform programme with emphasis on secondary education: </w:t>
      </w:r>
      <w:r>
        <w:t>a start has been made on the design for construction of three prototype high schools in marginal urban areas in the departments of Caaguazú and Central.</w:t>
      </w:r>
    </w:p>
    <w:p w:rsidR="00000000" w:rsidRDefault="00000000">
      <w:pPr>
        <w:spacing w:after="240"/>
      </w:pPr>
      <w:r>
        <w:rPr>
          <w:lang w:val="en-US"/>
        </w:rPr>
        <w:t>577</w:t>
      </w:r>
      <w:r>
        <w:t>.</w:t>
      </w:r>
      <w:r>
        <w:tab/>
        <w:t>Likewise. there are plans for 2005 to build 476 classrooms and 78 sanitation systems for basic and secondary education with budgetary resources from the Ministry of Education and Culture. During 2005 grants were made to the School Cooperative Associations (ACEs) of basic and secondary education establishments for improving infrastructure under the MEC-IDB and MEC-IBRD programmes. Contributions to 133 basic school education ACEs amount to 18,000,000 guaraníes on average to each cooperative, exclusively for improving, maintaining and expanding the physical structure of school establishments (a total of 2,398,399,391 guaraníes).</w:t>
      </w:r>
    </w:p>
    <w:p w:rsidR="00000000" w:rsidRDefault="00000000">
      <w:pPr>
        <w:spacing w:after="240"/>
      </w:pPr>
      <w:r>
        <w:rPr>
          <w:lang w:val="en-US"/>
        </w:rPr>
        <w:t>578</w:t>
      </w:r>
      <w:r>
        <w:t>.</w:t>
      </w:r>
      <w:r>
        <w:tab/>
        <w:t>Meanwhile, grants to 60 secondary and technical education ACEs amount to roughly 18,000,000 guaraníes on average to each cooperative, exclusively for the improvement of physical infrastructure (a total of 1,087,600,609 guaraníes approximately).</w:t>
      </w:r>
    </w:p>
    <w:p w:rsidR="00000000" w:rsidRDefault="00000000">
      <w:pPr>
        <w:numPr>
          <w:ilvl w:val="1"/>
          <w:numId w:val="5"/>
        </w:numPr>
        <w:spacing w:after="240"/>
        <w:ind w:left="0" w:firstLine="0"/>
      </w:pPr>
      <w:r>
        <w:rPr>
          <w:b/>
        </w:rPr>
        <w:t>School calendar</w:t>
      </w:r>
    </w:p>
    <w:p w:rsidR="00000000" w:rsidRDefault="00000000">
      <w:pPr>
        <w:spacing w:after="240"/>
      </w:pPr>
      <w:r>
        <w:rPr>
          <w:lang w:val="en-US"/>
        </w:rPr>
        <w:t>579</w:t>
      </w:r>
      <w:r>
        <w:t>.</w:t>
      </w:r>
      <w:r>
        <w:rPr>
          <w:b/>
        </w:rPr>
        <w:tab/>
      </w:r>
      <w:r>
        <w:t>The school calendar is established on the basis of the following articles of the General Education Act (No. 1264)</w:t>
      </w:r>
    </w:p>
    <w:p w:rsidR="00000000" w:rsidRDefault="00000000">
      <w:pPr>
        <w:spacing w:after="240"/>
        <w:ind w:left="1134" w:hanging="567"/>
      </w:pPr>
      <w:r>
        <w:rPr>
          <w:szCs w:val="22"/>
        </w:rPr>
        <w:t>–</w:t>
      </w:r>
      <w:r>
        <w:rPr>
          <w:szCs w:val="22"/>
        </w:rPr>
        <w:tab/>
      </w:r>
      <w:r>
        <w:rPr>
          <w:bCs/>
          <w:i/>
          <w:iCs/>
        </w:rPr>
        <w:t xml:space="preserve">Article 114.  </w:t>
      </w:r>
      <w:r>
        <w:t>The school year for basic, secondary and vocational school education shall comprise a minimum of 200 working days and each day shall consist of at least four hours, excluding examination days.</w:t>
      </w:r>
      <w:r>
        <w:tab/>
      </w:r>
    </w:p>
    <w:p w:rsidR="00000000" w:rsidRDefault="00000000">
      <w:pPr>
        <w:spacing w:after="240"/>
        <w:ind w:left="1134" w:hanging="567"/>
      </w:pPr>
      <w:r>
        <w:rPr>
          <w:szCs w:val="22"/>
        </w:rPr>
        <w:t>–</w:t>
      </w:r>
      <w:r>
        <w:rPr>
          <w:szCs w:val="22"/>
        </w:rPr>
        <w:tab/>
      </w:r>
      <w:r>
        <w:rPr>
          <w:i/>
          <w:iCs/>
        </w:rPr>
        <w:t xml:space="preserve">Article 115. </w:t>
      </w:r>
      <w:r>
        <w:t xml:space="preserve"> The Ministry of Education and Culture shall determine the characteristics of school administration in public education centres and shall decide in consultation with private educational centres on the features which, according to the existing laws, require ministerial approval. It shall set the dates of admission and registration in public schools and  the annual calendar and daily timetable for the various shifts and shall determine classroom periods and rest days. It shall always take into account the various circumstances, characteristics and cycles of agricultural production and harvests in the departments.</w:t>
      </w:r>
    </w:p>
    <w:p w:rsidR="00000000" w:rsidRDefault="00000000">
      <w:pPr>
        <w:spacing w:after="240"/>
        <w:rPr>
          <w:b/>
        </w:rPr>
      </w:pPr>
      <w:r>
        <w:rPr>
          <w:b/>
        </w:rPr>
        <w:t xml:space="preserve">Summary of schooldays </w:t>
      </w:r>
    </w:p>
    <w:p w:rsidR="00000000" w:rsidRDefault="00000000">
      <w:pPr>
        <w:ind w:firstLine="567"/>
        <w:rPr>
          <w:bCs/>
        </w:rPr>
      </w:pPr>
      <w:r>
        <w:rPr>
          <w:bCs/>
        </w:rPr>
        <w:t>February:</w:t>
      </w:r>
      <w:r>
        <w:rPr>
          <w:bCs/>
        </w:rPr>
        <w:tab/>
        <w:t>6 (from 21 February)</w:t>
      </w:r>
      <w:r>
        <w:rPr>
          <w:bCs/>
        </w:rPr>
        <w:tab/>
      </w:r>
      <w:r>
        <w:rPr>
          <w:bCs/>
        </w:rPr>
        <w:tab/>
      </w:r>
      <w:r>
        <w:rPr>
          <w:bCs/>
        </w:rPr>
        <w:tab/>
        <w:t>August:</w:t>
      </w:r>
      <w:r>
        <w:rPr>
          <w:bCs/>
        </w:rPr>
        <w:tab/>
      </w:r>
      <w:r>
        <w:rPr>
          <w:bCs/>
        </w:rPr>
        <w:tab/>
        <w:t>22</w:t>
      </w:r>
    </w:p>
    <w:p w:rsidR="00000000" w:rsidRDefault="00000000">
      <w:pPr>
        <w:ind w:firstLine="567"/>
        <w:rPr>
          <w:bCs/>
        </w:rPr>
      </w:pPr>
      <w:r>
        <w:rPr>
          <w:bCs/>
        </w:rPr>
        <w:t>March:</w:t>
      </w:r>
      <w:r>
        <w:rPr>
          <w:bCs/>
        </w:rPr>
        <w:tab/>
        <w:t>20</w:t>
      </w:r>
      <w:r>
        <w:rPr>
          <w:bCs/>
        </w:rPr>
        <w:tab/>
      </w:r>
      <w:r>
        <w:rPr>
          <w:bCs/>
        </w:rPr>
        <w:tab/>
      </w:r>
      <w:r>
        <w:rPr>
          <w:bCs/>
        </w:rPr>
        <w:tab/>
      </w:r>
      <w:r>
        <w:rPr>
          <w:bCs/>
        </w:rPr>
        <w:tab/>
      </w:r>
      <w:r>
        <w:rPr>
          <w:bCs/>
        </w:rPr>
        <w:tab/>
      </w:r>
      <w:r>
        <w:rPr>
          <w:bCs/>
        </w:rPr>
        <w:tab/>
        <w:t>September:</w:t>
      </w:r>
      <w:r>
        <w:rPr>
          <w:bCs/>
        </w:rPr>
        <w:tab/>
      </w:r>
      <w:r>
        <w:rPr>
          <w:bCs/>
        </w:rPr>
        <w:tab/>
        <w:t>21</w:t>
      </w:r>
    </w:p>
    <w:p w:rsidR="00000000" w:rsidRDefault="00000000">
      <w:pPr>
        <w:ind w:firstLine="567"/>
        <w:rPr>
          <w:bCs/>
        </w:rPr>
      </w:pPr>
      <w:r>
        <w:rPr>
          <w:bCs/>
        </w:rPr>
        <w:t>April:</w:t>
      </w:r>
      <w:r>
        <w:rPr>
          <w:bCs/>
        </w:rPr>
        <w:tab/>
        <w:t>21</w:t>
      </w:r>
      <w:r>
        <w:rPr>
          <w:bCs/>
        </w:rPr>
        <w:tab/>
      </w:r>
      <w:r>
        <w:rPr>
          <w:bCs/>
        </w:rPr>
        <w:tab/>
      </w:r>
      <w:r>
        <w:rPr>
          <w:bCs/>
        </w:rPr>
        <w:tab/>
      </w:r>
      <w:r>
        <w:rPr>
          <w:bCs/>
        </w:rPr>
        <w:tab/>
      </w:r>
      <w:r>
        <w:rPr>
          <w:bCs/>
        </w:rPr>
        <w:tab/>
      </w:r>
      <w:r>
        <w:rPr>
          <w:bCs/>
        </w:rPr>
        <w:tab/>
        <w:t>October:</w:t>
      </w:r>
      <w:r>
        <w:rPr>
          <w:bCs/>
        </w:rPr>
        <w:tab/>
      </w:r>
      <w:r>
        <w:rPr>
          <w:bCs/>
        </w:rPr>
        <w:tab/>
        <w:t>21</w:t>
      </w:r>
    </w:p>
    <w:p w:rsidR="00000000" w:rsidRDefault="00000000">
      <w:pPr>
        <w:ind w:firstLine="567"/>
        <w:rPr>
          <w:bCs/>
        </w:rPr>
      </w:pPr>
      <w:r>
        <w:rPr>
          <w:bCs/>
        </w:rPr>
        <w:t>May:</w:t>
      </w:r>
      <w:r>
        <w:rPr>
          <w:bCs/>
        </w:rPr>
        <w:tab/>
      </w:r>
      <w:r>
        <w:rPr>
          <w:bCs/>
        </w:rPr>
        <w:tab/>
        <w:t>22</w:t>
      </w:r>
      <w:r>
        <w:rPr>
          <w:bCs/>
        </w:rPr>
        <w:tab/>
      </w:r>
      <w:r>
        <w:rPr>
          <w:bCs/>
        </w:rPr>
        <w:tab/>
      </w:r>
      <w:r>
        <w:rPr>
          <w:bCs/>
        </w:rPr>
        <w:tab/>
      </w:r>
      <w:r>
        <w:rPr>
          <w:bCs/>
        </w:rPr>
        <w:tab/>
      </w:r>
      <w:r>
        <w:rPr>
          <w:bCs/>
        </w:rPr>
        <w:tab/>
      </w:r>
      <w:r>
        <w:rPr>
          <w:bCs/>
        </w:rPr>
        <w:tab/>
        <w:t>November:</w:t>
      </w:r>
      <w:r>
        <w:rPr>
          <w:bCs/>
        </w:rPr>
        <w:tab/>
      </w:r>
      <w:r>
        <w:rPr>
          <w:bCs/>
        </w:rPr>
        <w:tab/>
        <w:t>22</w:t>
      </w:r>
    </w:p>
    <w:p w:rsidR="00000000" w:rsidRDefault="00000000">
      <w:pPr>
        <w:ind w:left="567"/>
        <w:rPr>
          <w:bCs/>
        </w:rPr>
      </w:pPr>
      <w:r>
        <w:rPr>
          <w:bCs/>
        </w:rPr>
        <w:t>June:</w:t>
      </w:r>
      <w:r>
        <w:rPr>
          <w:bCs/>
        </w:rPr>
        <w:tab/>
      </w:r>
      <w:r>
        <w:rPr>
          <w:bCs/>
        </w:rPr>
        <w:tab/>
        <w:t>22</w:t>
      </w:r>
      <w:r>
        <w:rPr>
          <w:bCs/>
        </w:rPr>
        <w:tab/>
      </w:r>
      <w:r>
        <w:rPr>
          <w:bCs/>
        </w:rPr>
        <w:tab/>
      </w:r>
      <w:r>
        <w:rPr>
          <w:bCs/>
        </w:rPr>
        <w:tab/>
      </w:r>
      <w:r>
        <w:rPr>
          <w:bCs/>
        </w:rPr>
        <w:tab/>
      </w:r>
      <w:r>
        <w:rPr>
          <w:bCs/>
        </w:rPr>
        <w:tab/>
      </w:r>
      <w:r>
        <w:rPr>
          <w:bCs/>
        </w:rPr>
        <w:tab/>
        <w:t>December:</w:t>
      </w:r>
      <w:r>
        <w:rPr>
          <w:bCs/>
        </w:rPr>
        <w:tab/>
      </w:r>
      <w:r>
        <w:rPr>
          <w:bCs/>
        </w:rPr>
        <w:tab/>
        <w:t>11 (additional evaluation:</w:t>
      </w:r>
      <w:r>
        <w:rPr>
          <w:bCs/>
        </w:rPr>
        <w:br/>
        <w:t>July:</w:t>
      </w:r>
      <w:r>
        <w:rPr>
          <w:bCs/>
        </w:rPr>
        <w:tab/>
      </w:r>
      <w:r>
        <w:rPr>
          <w:bCs/>
        </w:rPr>
        <w:tab/>
        <w:t>11 (2 weeks of winter recess)</w:t>
      </w:r>
      <w:r>
        <w:rPr>
          <w:bCs/>
        </w:rPr>
        <w:tab/>
      </w:r>
      <w:r>
        <w:rPr>
          <w:bCs/>
        </w:rPr>
        <w:tab/>
      </w:r>
      <w:r>
        <w:rPr>
          <w:bCs/>
        </w:rPr>
        <w:tab/>
        <w:t>up to the 16</w:t>
      </w:r>
      <w:r>
        <w:rPr>
          <w:bCs/>
          <w:vertAlign w:val="superscript"/>
        </w:rPr>
        <w:t>th</w:t>
      </w:r>
      <w:r>
        <w:rPr>
          <w:bCs/>
        </w:rPr>
        <w:t>)</w:t>
      </w:r>
    </w:p>
    <w:p w:rsidR="00000000" w:rsidRDefault="00000000">
      <w:pPr>
        <w:ind w:firstLine="567"/>
        <w:rPr>
          <w:bCs/>
        </w:rPr>
      </w:pPr>
    </w:p>
    <w:p w:rsidR="00000000" w:rsidRDefault="00000000">
      <w:pPr>
        <w:ind w:left="2835" w:firstLine="567"/>
        <w:rPr>
          <w:b/>
        </w:rPr>
      </w:pPr>
      <w:r>
        <w:rPr>
          <w:b/>
        </w:rPr>
        <w:t>Total:</w:t>
      </w:r>
      <w:r>
        <w:rPr>
          <w:b/>
        </w:rPr>
        <w:tab/>
        <w:t>199</w:t>
      </w:r>
    </w:p>
    <w:p w:rsidR="00000000" w:rsidRDefault="00000000">
      <w:pPr>
        <w:spacing w:after="240"/>
      </w:pPr>
      <w:r>
        <w:rPr>
          <w:b/>
        </w:rPr>
        <w:t>3.</w:t>
      </w:r>
      <w:r>
        <w:rPr>
          <w:b/>
        </w:rPr>
        <w:tab/>
        <w:t>Access to education</w:t>
      </w:r>
    </w:p>
    <w:p w:rsidR="00000000" w:rsidRDefault="00000000">
      <w:pPr>
        <w:spacing w:after="240"/>
      </w:pPr>
      <w:r>
        <w:rPr>
          <w:lang w:val="en-US"/>
        </w:rPr>
        <w:t>580</w:t>
      </w:r>
      <w:r>
        <w:t>.</w:t>
      </w:r>
      <w:r>
        <w:tab/>
        <w:t>The rate of access to the education system shows the number of children who enter a particular level for the first time as a percentage of those children who have the right to be admitted. The gross admission rate for the first grade of basic school education is over 100 per cent (129 per cent in 2004), which means that the system has sufficient capacity to absorb the entire population of the officially established age. The rate of over 100 per cent also shows that there are over-age children in the system.</w:t>
      </w:r>
    </w:p>
    <w:p w:rsidR="00000000" w:rsidRDefault="00000000">
      <w:pPr>
        <w:spacing w:after="240"/>
      </w:pPr>
      <w:r>
        <w:rPr>
          <w:lang w:val="en-US"/>
        </w:rPr>
        <w:t>581</w:t>
      </w:r>
      <w:r>
        <w:t>.</w:t>
      </w:r>
      <w:r>
        <w:tab/>
        <w:t>There was a significant increase in enrolment at all educational levels, with the secondary and pre-school level showing the highest percentage growth (177 per cent and 137 per cent respectively for the period 1994-2004).</w:t>
      </w:r>
    </w:p>
    <w:p w:rsidR="00000000" w:rsidRDefault="00000000">
      <w:pPr>
        <w:spacing w:after="240"/>
        <w:jc w:val="center"/>
        <w:rPr>
          <w:sz w:val="28"/>
        </w:rPr>
      </w:pPr>
      <w:r>
        <w:rPr>
          <w:b/>
          <w:bCs/>
          <w:sz w:val="22"/>
          <w:lang w:val="en-US"/>
        </w:rPr>
        <w:t xml:space="preserve">Enrolment by level and sex. </w:t>
      </w:r>
      <w:r>
        <w:rPr>
          <w:b/>
          <w:bCs/>
          <w:sz w:val="22"/>
        </w:rPr>
        <w:t>Period 1994 – 2004</w:t>
      </w:r>
    </w:p>
    <w:tbl>
      <w:tblPr>
        <w:tblW w:w="5004" w:type="pct"/>
        <w:tblLayout w:type="fixed"/>
        <w:tblCellMar>
          <w:left w:w="0" w:type="dxa"/>
          <w:right w:w="0" w:type="dxa"/>
        </w:tblCellMar>
        <w:tblLook w:val="0000" w:firstRow="0" w:lastRow="0" w:firstColumn="0" w:lastColumn="0" w:noHBand="0" w:noVBand="0"/>
      </w:tblPr>
      <w:tblGrid>
        <w:gridCol w:w="910"/>
        <w:gridCol w:w="774"/>
        <w:gridCol w:w="1154"/>
        <w:gridCol w:w="1156"/>
        <w:gridCol w:w="1164"/>
        <w:gridCol w:w="1175"/>
        <w:gridCol w:w="961"/>
        <w:gridCol w:w="13"/>
        <w:gridCol w:w="1162"/>
        <w:gridCol w:w="975"/>
      </w:tblGrid>
      <w:tr w:rsidR="00000000">
        <w:trPr>
          <w:cantSplit/>
        </w:trPr>
        <w:tc>
          <w:tcPr>
            <w:tcW w:w="482" w:type="pct"/>
            <w:vMerge w:val="restart"/>
            <w:tcBorders>
              <w:top w:val="single" w:sz="4" w:space="0" w:color="auto"/>
            </w:tcBorders>
            <w:noWrap/>
            <w:tcMar>
              <w:top w:w="15" w:type="dxa"/>
              <w:left w:w="15" w:type="dxa"/>
              <w:bottom w:w="0" w:type="dxa"/>
              <w:right w:w="15" w:type="dxa"/>
            </w:tcMar>
            <w:vAlign w:val="center"/>
          </w:tcPr>
          <w:p w:rsidR="00000000" w:rsidRDefault="00000000">
            <w:pPr>
              <w:widowControl w:val="0"/>
              <w:spacing w:before="80" w:after="80"/>
              <w:jc w:val="center"/>
              <w:rPr>
                <w:rFonts w:eastAsia="Arial Unicode MS"/>
                <w:b/>
                <w:bCs/>
                <w:i/>
                <w:iCs/>
                <w:sz w:val="20"/>
              </w:rPr>
            </w:pPr>
            <w:r>
              <w:rPr>
                <w:b/>
                <w:bCs/>
                <w:i/>
                <w:iCs/>
                <w:sz w:val="20"/>
              </w:rPr>
              <w:t>Year</w:t>
            </w:r>
          </w:p>
        </w:tc>
        <w:tc>
          <w:tcPr>
            <w:tcW w:w="1021" w:type="pct"/>
            <w:gridSpan w:val="2"/>
            <w:vMerge w:val="restart"/>
            <w:tcBorders>
              <w:top w:val="single" w:sz="4" w:space="0" w:color="auto"/>
            </w:tcBorders>
            <w:tcMar>
              <w:top w:w="15" w:type="dxa"/>
              <w:left w:w="15" w:type="dxa"/>
              <w:bottom w:w="0" w:type="dxa"/>
              <w:right w:w="15" w:type="dxa"/>
            </w:tcMar>
            <w:vAlign w:val="center"/>
          </w:tcPr>
          <w:p w:rsidR="00000000" w:rsidRDefault="00000000">
            <w:pPr>
              <w:widowControl w:val="0"/>
              <w:spacing w:before="80" w:after="80"/>
              <w:jc w:val="center"/>
              <w:rPr>
                <w:rFonts w:eastAsia="Arial Unicode MS"/>
                <w:b/>
                <w:bCs/>
                <w:i/>
                <w:iCs/>
                <w:sz w:val="20"/>
              </w:rPr>
            </w:pPr>
            <w:r>
              <w:rPr>
                <w:b/>
                <w:bCs/>
                <w:i/>
                <w:iCs/>
                <w:sz w:val="20"/>
              </w:rPr>
              <w:t>Pre-school</w:t>
            </w:r>
          </w:p>
        </w:tc>
        <w:tc>
          <w:tcPr>
            <w:tcW w:w="2359" w:type="pct"/>
            <w:gridSpan w:val="4"/>
            <w:tcBorders>
              <w:top w:val="single" w:sz="4" w:space="0" w:color="auto"/>
              <w:bottom w:val="single" w:sz="4" w:space="0" w:color="auto"/>
            </w:tcBorders>
            <w:tcMar>
              <w:top w:w="15" w:type="dxa"/>
              <w:left w:w="15" w:type="dxa"/>
              <w:bottom w:w="0" w:type="dxa"/>
              <w:right w:w="15" w:type="dxa"/>
            </w:tcMar>
            <w:vAlign w:val="center"/>
          </w:tcPr>
          <w:p w:rsidR="00000000" w:rsidRDefault="00000000">
            <w:pPr>
              <w:widowControl w:val="0"/>
              <w:spacing w:before="80" w:after="80"/>
              <w:jc w:val="center"/>
              <w:rPr>
                <w:b/>
                <w:bCs/>
                <w:i/>
                <w:iCs/>
                <w:sz w:val="20"/>
              </w:rPr>
            </w:pPr>
            <w:r>
              <w:rPr>
                <w:b/>
                <w:bCs/>
                <w:i/>
                <w:iCs/>
                <w:sz w:val="20"/>
              </w:rPr>
              <w:t>Basic School Education</w:t>
            </w:r>
          </w:p>
        </w:tc>
        <w:tc>
          <w:tcPr>
            <w:tcW w:w="1138" w:type="pct"/>
            <w:gridSpan w:val="3"/>
            <w:vMerge w:val="restart"/>
            <w:tcBorders>
              <w:top w:val="single" w:sz="4" w:space="0" w:color="auto"/>
            </w:tcBorders>
            <w:vAlign w:val="center"/>
          </w:tcPr>
          <w:p w:rsidR="00000000" w:rsidRDefault="00000000">
            <w:pPr>
              <w:widowControl w:val="0"/>
              <w:spacing w:before="80" w:after="80"/>
              <w:jc w:val="center"/>
              <w:rPr>
                <w:b/>
                <w:bCs/>
                <w:i/>
                <w:iCs/>
                <w:sz w:val="20"/>
              </w:rPr>
            </w:pPr>
            <w:r>
              <w:rPr>
                <w:b/>
                <w:bCs/>
                <w:i/>
                <w:iCs/>
                <w:sz w:val="20"/>
              </w:rPr>
              <w:t>Secondary Education</w:t>
            </w:r>
          </w:p>
        </w:tc>
      </w:tr>
      <w:tr w:rsidR="00000000">
        <w:trPr>
          <w:cantSplit/>
        </w:trPr>
        <w:tc>
          <w:tcPr>
            <w:tcW w:w="482" w:type="pct"/>
            <w:vMerge/>
            <w:vAlign w:val="center"/>
          </w:tcPr>
          <w:p w:rsidR="00000000" w:rsidRDefault="00000000">
            <w:pPr>
              <w:widowControl w:val="0"/>
              <w:spacing w:before="80" w:after="80"/>
              <w:jc w:val="center"/>
              <w:rPr>
                <w:rFonts w:eastAsia="Arial Unicode MS"/>
                <w:b/>
                <w:bCs/>
                <w:i/>
                <w:iCs/>
                <w:sz w:val="20"/>
              </w:rPr>
            </w:pPr>
          </w:p>
        </w:tc>
        <w:tc>
          <w:tcPr>
            <w:tcW w:w="1021" w:type="pct"/>
            <w:gridSpan w:val="2"/>
            <w:vMerge/>
            <w:tcBorders>
              <w:bottom w:val="single" w:sz="4" w:space="0" w:color="auto"/>
            </w:tcBorders>
            <w:vAlign w:val="center"/>
          </w:tcPr>
          <w:p w:rsidR="00000000" w:rsidRDefault="00000000">
            <w:pPr>
              <w:widowControl w:val="0"/>
              <w:spacing w:before="80" w:after="80"/>
              <w:jc w:val="center"/>
              <w:rPr>
                <w:rFonts w:eastAsia="Arial Unicode MS"/>
                <w:b/>
                <w:bCs/>
                <w:i/>
                <w:iCs/>
                <w:sz w:val="20"/>
              </w:rPr>
            </w:pPr>
          </w:p>
        </w:tc>
        <w:tc>
          <w:tcPr>
            <w:tcW w:w="1228" w:type="pct"/>
            <w:gridSpan w:val="2"/>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widowControl w:val="0"/>
              <w:spacing w:before="80" w:after="80"/>
              <w:jc w:val="center"/>
              <w:rPr>
                <w:rFonts w:eastAsia="Arial Unicode MS"/>
                <w:b/>
                <w:bCs/>
                <w:i/>
                <w:iCs/>
                <w:sz w:val="20"/>
              </w:rPr>
            </w:pPr>
            <w:r>
              <w:rPr>
                <w:b/>
                <w:bCs/>
                <w:i/>
                <w:iCs/>
                <w:sz w:val="20"/>
              </w:rPr>
              <w:t>1</w:t>
            </w:r>
            <w:r>
              <w:rPr>
                <w:b/>
                <w:bCs/>
                <w:i/>
                <w:iCs/>
                <w:sz w:val="20"/>
                <w:vertAlign w:val="superscript"/>
              </w:rPr>
              <w:t>st</w:t>
            </w:r>
            <w:r>
              <w:rPr>
                <w:b/>
                <w:bCs/>
                <w:i/>
                <w:iCs/>
                <w:sz w:val="20"/>
              </w:rPr>
              <w:t xml:space="preserve"> and 2</w:t>
            </w:r>
            <w:r>
              <w:rPr>
                <w:b/>
                <w:bCs/>
                <w:i/>
                <w:iCs/>
                <w:sz w:val="20"/>
                <w:vertAlign w:val="superscript"/>
              </w:rPr>
              <w:t>nd</w:t>
            </w:r>
            <w:r>
              <w:rPr>
                <w:b/>
                <w:bCs/>
                <w:i/>
                <w:iCs/>
                <w:sz w:val="20"/>
              </w:rPr>
              <w:t xml:space="preserve"> cycle</w:t>
            </w:r>
          </w:p>
        </w:tc>
        <w:tc>
          <w:tcPr>
            <w:tcW w:w="1131" w:type="pct"/>
            <w:gridSpan w:val="2"/>
            <w:tcBorders>
              <w:top w:val="single" w:sz="4" w:space="0" w:color="auto"/>
              <w:bottom w:val="single" w:sz="4" w:space="0" w:color="auto"/>
            </w:tcBorders>
          </w:tcPr>
          <w:p w:rsidR="00000000" w:rsidRDefault="00000000">
            <w:pPr>
              <w:widowControl w:val="0"/>
              <w:spacing w:before="80" w:after="80"/>
              <w:jc w:val="center"/>
              <w:rPr>
                <w:rFonts w:eastAsia="Arial Unicode MS"/>
                <w:b/>
                <w:bCs/>
                <w:i/>
                <w:iCs/>
                <w:sz w:val="20"/>
              </w:rPr>
            </w:pPr>
            <w:r>
              <w:rPr>
                <w:b/>
                <w:bCs/>
                <w:i/>
                <w:iCs/>
                <w:sz w:val="20"/>
              </w:rPr>
              <w:t>3</w:t>
            </w:r>
            <w:r>
              <w:rPr>
                <w:b/>
                <w:bCs/>
                <w:i/>
                <w:iCs/>
                <w:sz w:val="20"/>
                <w:vertAlign w:val="superscript"/>
              </w:rPr>
              <w:t>rd</w:t>
            </w:r>
            <w:r>
              <w:rPr>
                <w:b/>
                <w:bCs/>
                <w:i/>
                <w:iCs/>
                <w:sz w:val="20"/>
              </w:rPr>
              <w:t xml:space="preserve"> cycle</w:t>
            </w:r>
          </w:p>
        </w:tc>
        <w:tc>
          <w:tcPr>
            <w:tcW w:w="1138" w:type="pct"/>
            <w:gridSpan w:val="3"/>
            <w:vMerge/>
            <w:tcBorders>
              <w:bottom w:val="single" w:sz="4" w:space="0" w:color="auto"/>
            </w:tcBorders>
          </w:tcPr>
          <w:p w:rsidR="00000000" w:rsidRDefault="00000000">
            <w:pPr>
              <w:widowControl w:val="0"/>
              <w:spacing w:before="80" w:after="80"/>
              <w:jc w:val="center"/>
              <w:rPr>
                <w:rFonts w:eastAsia="Arial Unicode MS"/>
                <w:b/>
                <w:bCs/>
                <w:i/>
                <w:iCs/>
                <w:sz w:val="20"/>
              </w:rPr>
            </w:pPr>
          </w:p>
        </w:tc>
      </w:tr>
      <w:tr w:rsidR="00000000">
        <w:trPr>
          <w:cantSplit/>
        </w:trPr>
        <w:tc>
          <w:tcPr>
            <w:tcW w:w="482" w:type="pct"/>
            <w:vMerge/>
            <w:tcBorders>
              <w:bottom w:val="single" w:sz="4" w:space="0" w:color="auto"/>
            </w:tcBorders>
            <w:vAlign w:val="center"/>
          </w:tcPr>
          <w:p w:rsidR="00000000" w:rsidRDefault="00000000">
            <w:pPr>
              <w:widowControl w:val="0"/>
              <w:spacing w:before="80" w:after="80"/>
              <w:jc w:val="center"/>
              <w:rPr>
                <w:rFonts w:eastAsia="Arial Unicode MS"/>
                <w:b/>
                <w:bCs/>
                <w:i/>
                <w:iCs/>
                <w:sz w:val="20"/>
              </w:rPr>
            </w:pPr>
          </w:p>
        </w:tc>
        <w:tc>
          <w:tcPr>
            <w:tcW w:w="410" w:type="pct"/>
            <w:tcBorders>
              <w:top w:val="single" w:sz="4" w:space="0" w:color="auto"/>
              <w:bottom w:val="single" w:sz="4" w:space="0" w:color="auto"/>
            </w:tcBorders>
            <w:tcMar>
              <w:top w:w="15" w:type="dxa"/>
              <w:left w:w="15" w:type="dxa"/>
              <w:bottom w:w="0" w:type="dxa"/>
              <w:right w:w="15" w:type="dxa"/>
            </w:tcMar>
            <w:vAlign w:val="center"/>
          </w:tcPr>
          <w:p w:rsidR="00000000" w:rsidRDefault="00000000">
            <w:pPr>
              <w:widowControl w:val="0"/>
              <w:spacing w:before="80" w:after="80"/>
              <w:jc w:val="center"/>
              <w:rPr>
                <w:rFonts w:eastAsia="Arial Unicode MS"/>
                <w:b/>
                <w:bCs/>
                <w:i/>
                <w:iCs/>
                <w:sz w:val="20"/>
              </w:rPr>
            </w:pPr>
            <w:r>
              <w:rPr>
                <w:b/>
                <w:bCs/>
                <w:i/>
                <w:iCs/>
                <w:sz w:val="20"/>
              </w:rPr>
              <w:t>Men</w:t>
            </w:r>
          </w:p>
        </w:tc>
        <w:tc>
          <w:tcPr>
            <w:tcW w:w="611" w:type="pct"/>
            <w:tcBorders>
              <w:top w:val="single" w:sz="4" w:space="0" w:color="auto"/>
              <w:bottom w:val="single" w:sz="4" w:space="0" w:color="auto"/>
            </w:tcBorders>
            <w:tcMar>
              <w:top w:w="15" w:type="dxa"/>
              <w:left w:w="15" w:type="dxa"/>
              <w:bottom w:w="0" w:type="dxa"/>
              <w:right w:w="15" w:type="dxa"/>
            </w:tcMar>
            <w:vAlign w:val="center"/>
          </w:tcPr>
          <w:p w:rsidR="00000000" w:rsidRDefault="00000000">
            <w:pPr>
              <w:widowControl w:val="0"/>
              <w:spacing w:before="80" w:after="80"/>
              <w:jc w:val="center"/>
              <w:rPr>
                <w:rFonts w:eastAsia="Arial Unicode MS"/>
                <w:b/>
                <w:bCs/>
                <w:i/>
                <w:iCs/>
                <w:sz w:val="20"/>
              </w:rPr>
            </w:pPr>
            <w:r>
              <w:rPr>
                <w:b/>
                <w:bCs/>
                <w:i/>
                <w:iCs/>
                <w:sz w:val="20"/>
              </w:rPr>
              <w:t>Women</w:t>
            </w:r>
          </w:p>
        </w:tc>
        <w:tc>
          <w:tcPr>
            <w:tcW w:w="612" w:type="pct"/>
            <w:tcBorders>
              <w:top w:val="single" w:sz="4" w:space="0" w:color="auto"/>
              <w:bottom w:val="single" w:sz="4" w:space="0" w:color="auto"/>
            </w:tcBorders>
            <w:vAlign w:val="center"/>
          </w:tcPr>
          <w:p w:rsidR="00000000" w:rsidRDefault="00000000">
            <w:pPr>
              <w:widowControl w:val="0"/>
              <w:spacing w:before="80" w:after="80"/>
              <w:jc w:val="center"/>
              <w:rPr>
                <w:rFonts w:eastAsia="Arial Unicode MS"/>
                <w:b/>
                <w:bCs/>
                <w:i/>
                <w:iCs/>
                <w:sz w:val="20"/>
              </w:rPr>
            </w:pPr>
            <w:r>
              <w:rPr>
                <w:b/>
                <w:bCs/>
                <w:i/>
                <w:iCs/>
                <w:sz w:val="20"/>
              </w:rPr>
              <w:t>Men</w:t>
            </w:r>
          </w:p>
        </w:tc>
        <w:tc>
          <w:tcPr>
            <w:tcW w:w="616" w:type="pct"/>
            <w:tcBorders>
              <w:top w:val="single" w:sz="4" w:space="0" w:color="auto"/>
              <w:bottom w:val="single" w:sz="4" w:space="0" w:color="auto"/>
            </w:tcBorders>
            <w:vAlign w:val="center"/>
          </w:tcPr>
          <w:p w:rsidR="00000000" w:rsidRDefault="00000000">
            <w:pPr>
              <w:widowControl w:val="0"/>
              <w:spacing w:before="80" w:after="80"/>
              <w:jc w:val="center"/>
              <w:rPr>
                <w:rFonts w:eastAsia="Arial Unicode MS"/>
                <w:b/>
                <w:bCs/>
                <w:i/>
                <w:iCs/>
                <w:sz w:val="20"/>
              </w:rPr>
            </w:pPr>
            <w:r>
              <w:rPr>
                <w:b/>
                <w:bCs/>
                <w:i/>
                <w:iCs/>
                <w:sz w:val="20"/>
              </w:rPr>
              <w:t>Women</w:t>
            </w:r>
          </w:p>
        </w:tc>
        <w:tc>
          <w:tcPr>
            <w:tcW w:w="622" w:type="pct"/>
            <w:tcBorders>
              <w:top w:val="single" w:sz="4" w:space="0" w:color="auto"/>
              <w:bottom w:val="single" w:sz="4" w:space="0" w:color="auto"/>
            </w:tcBorders>
            <w:tcMar>
              <w:top w:w="15" w:type="dxa"/>
              <w:left w:w="15" w:type="dxa"/>
              <w:bottom w:w="0" w:type="dxa"/>
              <w:right w:w="15" w:type="dxa"/>
            </w:tcMar>
            <w:vAlign w:val="center"/>
          </w:tcPr>
          <w:p w:rsidR="00000000" w:rsidRDefault="00000000">
            <w:pPr>
              <w:widowControl w:val="0"/>
              <w:spacing w:before="80" w:after="80"/>
              <w:jc w:val="center"/>
              <w:rPr>
                <w:rFonts w:eastAsia="Arial Unicode MS"/>
                <w:b/>
                <w:bCs/>
                <w:i/>
                <w:iCs/>
                <w:sz w:val="20"/>
              </w:rPr>
            </w:pPr>
            <w:r>
              <w:rPr>
                <w:b/>
                <w:bCs/>
                <w:i/>
                <w:iCs/>
                <w:sz w:val="20"/>
              </w:rPr>
              <w:t>Men</w:t>
            </w:r>
          </w:p>
        </w:tc>
        <w:tc>
          <w:tcPr>
            <w:tcW w:w="516" w:type="pct"/>
            <w:gridSpan w:val="2"/>
            <w:tcBorders>
              <w:top w:val="single" w:sz="4" w:space="0" w:color="auto"/>
              <w:bottom w:val="single" w:sz="4" w:space="0" w:color="auto"/>
            </w:tcBorders>
            <w:tcMar>
              <w:top w:w="15" w:type="dxa"/>
              <w:left w:w="15" w:type="dxa"/>
              <w:bottom w:w="0" w:type="dxa"/>
              <w:right w:w="15" w:type="dxa"/>
            </w:tcMar>
            <w:vAlign w:val="center"/>
          </w:tcPr>
          <w:p w:rsidR="00000000" w:rsidRDefault="00000000">
            <w:pPr>
              <w:widowControl w:val="0"/>
              <w:spacing w:before="80" w:after="80"/>
              <w:jc w:val="center"/>
              <w:rPr>
                <w:rFonts w:eastAsia="Arial Unicode MS"/>
                <w:b/>
                <w:bCs/>
                <w:i/>
                <w:iCs/>
                <w:sz w:val="20"/>
              </w:rPr>
            </w:pPr>
            <w:r>
              <w:rPr>
                <w:b/>
                <w:bCs/>
                <w:i/>
                <w:iCs/>
                <w:sz w:val="20"/>
              </w:rPr>
              <w:t>Women</w:t>
            </w:r>
          </w:p>
        </w:tc>
        <w:tc>
          <w:tcPr>
            <w:tcW w:w="615" w:type="pct"/>
            <w:tcBorders>
              <w:top w:val="single" w:sz="4" w:space="0" w:color="auto"/>
              <w:bottom w:val="single" w:sz="4" w:space="0" w:color="auto"/>
            </w:tcBorders>
            <w:tcMar>
              <w:top w:w="15" w:type="dxa"/>
              <w:left w:w="15" w:type="dxa"/>
              <w:bottom w:w="0" w:type="dxa"/>
              <w:right w:w="15" w:type="dxa"/>
            </w:tcMar>
            <w:vAlign w:val="center"/>
          </w:tcPr>
          <w:p w:rsidR="00000000" w:rsidRDefault="00000000">
            <w:pPr>
              <w:widowControl w:val="0"/>
              <w:spacing w:before="80" w:after="80"/>
              <w:jc w:val="center"/>
              <w:rPr>
                <w:rFonts w:eastAsia="Arial Unicode MS"/>
                <w:b/>
                <w:bCs/>
                <w:i/>
                <w:iCs/>
                <w:sz w:val="20"/>
              </w:rPr>
            </w:pPr>
            <w:r>
              <w:rPr>
                <w:b/>
                <w:bCs/>
                <w:i/>
                <w:iCs/>
                <w:sz w:val="20"/>
              </w:rPr>
              <w:t>Men</w:t>
            </w:r>
          </w:p>
        </w:tc>
        <w:tc>
          <w:tcPr>
            <w:tcW w:w="516" w:type="pct"/>
            <w:tcBorders>
              <w:top w:val="single" w:sz="4" w:space="0" w:color="auto"/>
              <w:bottom w:val="single" w:sz="4" w:space="0" w:color="auto"/>
            </w:tcBorders>
            <w:tcMar>
              <w:top w:w="15" w:type="dxa"/>
              <w:left w:w="15" w:type="dxa"/>
              <w:bottom w:w="0" w:type="dxa"/>
              <w:right w:w="15" w:type="dxa"/>
            </w:tcMar>
            <w:vAlign w:val="center"/>
          </w:tcPr>
          <w:p w:rsidR="00000000" w:rsidRDefault="00000000">
            <w:pPr>
              <w:widowControl w:val="0"/>
              <w:spacing w:before="80" w:after="80"/>
              <w:jc w:val="center"/>
              <w:rPr>
                <w:rFonts w:eastAsia="Arial Unicode MS"/>
                <w:b/>
                <w:bCs/>
                <w:i/>
                <w:iCs/>
                <w:sz w:val="20"/>
              </w:rPr>
            </w:pPr>
            <w:r>
              <w:rPr>
                <w:b/>
                <w:bCs/>
                <w:i/>
                <w:iCs/>
                <w:sz w:val="20"/>
              </w:rPr>
              <w:t>Women</w:t>
            </w:r>
          </w:p>
        </w:tc>
      </w:tr>
      <w:tr w:rsidR="00000000">
        <w:tc>
          <w:tcPr>
            <w:tcW w:w="482" w:type="pct"/>
            <w:tcBorders>
              <w:top w:val="single" w:sz="4" w:space="0" w:color="auto"/>
            </w:tcBorders>
            <w:noWrap/>
            <w:tcMar>
              <w:top w:w="15" w:type="dxa"/>
              <w:left w:w="15" w:type="dxa"/>
              <w:bottom w:w="0" w:type="dxa"/>
              <w:right w:w="15" w:type="dxa"/>
            </w:tcMar>
            <w:vAlign w:val="bottom"/>
          </w:tcPr>
          <w:p w:rsidR="00000000" w:rsidRDefault="00000000">
            <w:pPr>
              <w:widowControl w:val="0"/>
              <w:spacing w:before="80" w:after="80"/>
              <w:rPr>
                <w:rFonts w:eastAsia="Arial Unicode MS"/>
                <w:sz w:val="20"/>
              </w:rPr>
            </w:pPr>
            <w:r>
              <w:rPr>
                <w:sz w:val="20"/>
              </w:rPr>
              <w:t>1994</w:t>
            </w:r>
          </w:p>
        </w:tc>
        <w:tc>
          <w:tcPr>
            <w:tcW w:w="410" w:type="pct"/>
            <w:tcBorders>
              <w:top w:val="single" w:sz="4" w:space="0" w:color="auto"/>
            </w:tcBorders>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26 056</w:t>
            </w:r>
          </w:p>
        </w:tc>
        <w:tc>
          <w:tcPr>
            <w:tcW w:w="611" w:type="pct"/>
            <w:tcBorders>
              <w:top w:val="single" w:sz="4" w:space="0" w:color="auto"/>
            </w:tcBorders>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25 615</w:t>
            </w:r>
          </w:p>
        </w:tc>
        <w:tc>
          <w:tcPr>
            <w:tcW w:w="612" w:type="pct"/>
            <w:tcBorders>
              <w:top w:val="single" w:sz="4" w:space="0" w:color="auto"/>
            </w:tcBorders>
            <w:vAlign w:val="bottom"/>
          </w:tcPr>
          <w:p w:rsidR="00000000" w:rsidRDefault="00000000">
            <w:pPr>
              <w:widowControl w:val="0"/>
              <w:spacing w:before="80" w:after="80"/>
              <w:ind w:right="170"/>
              <w:jc w:val="right"/>
              <w:rPr>
                <w:rFonts w:eastAsia="Arial Unicode MS"/>
                <w:color w:val="000000"/>
                <w:sz w:val="20"/>
              </w:rPr>
            </w:pPr>
            <w:r>
              <w:rPr>
                <w:color w:val="000000"/>
                <w:sz w:val="20"/>
              </w:rPr>
              <w:t>431 189</w:t>
            </w:r>
          </w:p>
        </w:tc>
        <w:tc>
          <w:tcPr>
            <w:tcW w:w="616" w:type="pct"/>
            <w:tcBorders>
              <w:top w:val="single" w:sz="4" w:space="0" w:color="auto"/>
            </w:tcBorders>
            <w:vAlign w:val="bottom"/>
          </w:tcPr>
          <w:p w:rsidR="00000000" w:rsidRDefault="00000000">
            <w:pPr>
              <w:widowControl w:val="0"/>
              <w:spacing w:before="80" w:after="80"/>
              <w:ind w:right="170"/>
              <w:jc w:val="right"/>
              <w:rPr>
                <w:rFonts w:eastAsia="Arial Unicode MS"/>
                <w:sz w:val="20"/>
              </w:rPr>
            </w:pPr>
            <w:r>
              <w:rPr>
                <w:sz w:val="20"/>
              </w:rPr>
              <w:t>430 900</w:t>
            </w:r>
          </w:p>
        </w:tc>
        <w:tc>
          <w:tcPr>
            <w:tcW w:w="622" w:type="pct"/>
            <w:tcBorders>
              <w:top w:val="single" w:sz="4" w:space="0" w:color="auto"/>
            </w:tcBorders>
            <w:noWrap/>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79 721</w:t>
            </w:r>
          </w:p>
        </w:tc>
        <w:tc>
          <w:tcPr>
            <w:tcW w:w="516" w:type="pct"/>
            <w:gridSpan w:val="2"/>
            <w:tcBorders>
              <w:top w:val="single" w:sz="4" w:space="0" w:color="auto"/>
            </w:tcBorders>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79 954</w:t>
            </w:r>
          </w:p>
        </w:tc>
        <w:tc>
          <w:tcPr>
            <w:tcW w:w="615" w:type="pct"/>
            <w:tcBorders>
              <w:top w:val="single" w:sz="4" w:space="0" w:color="auto"/>
            </w:tcBorders>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35 727</w:t>
            </w:r>
          </w:p>
        </w:tc>
        <w:tc>
          <w:tcPr>
            <w:tcW w:w="516" w:type="pct"/>
            <w:tcBorders>
              <w:top w:val="single" w:sz="4" w:space="0" w:color="auto"/>
            </w:tcBorders>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40 512</w:t>
            </w:r>
          </w:p>
        </w:tc>
      </w:tr>
      <w:tr w:rsidR="00000000">
        <w:tc>
          <w:tcPr>
            <w:tcW w:w="482" w:type="pct"/>
            <w:noWrap/>
            <w:tcMar>
              <w:top w:w="15" w:type="dxa"/>
              <w:left w:w="15" w:type="dxa"/>
              <w:bottom w:w="0" w:type="dxa"/>
              <w:right w:w="15" w:type="dxa"/>
            </w:tcMar>
            <w:vAlign w:val="bottom"/>
          </w:tcPr>
          <w:p w:rsidR="00000000" w:rsidRDefault="00000000">
            <w:pPr>
              <w:widowControl w:val="0"/>
              <w:spacing w:before="80" w:after="80"/>
              <w:rPr>
                <w:rFonts w:eastAsia="Arial Unicode MS"/>
                <w:sz w:val="20"/>
              </w:rPr>
            </w:pPr>
            <w:r>
              <w:rPr>
                <w:sz w:val="20"/>
              </w:rPr>
              <w:t>1995</w:t>
            </w:r>
          </w:p>
        </w:tc>
        <w:tc>
          <w:tcPr>
            <w:tcW w:w="410"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29 933</w:t>
            </w:r>
          </w:p>
        </w:tc>
        <w:tc>
          <w:tcPr>
            <w:tcW w:w="611"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29 680</w:t>
            </w:r>
          </w:p>
        </w:tc>
        <w:tc>
          <w:tcPr>
            <w:tcW w:w="612" w:type="pct"/>
            <w:vAlign w:val="bottom"/>
          </w:tcPr>
          <w:p w:rsidR="00000000" w:rsidRDefault="00000000">
            <w:pPr>
              <w:widowControl w:val="0"/>
              <w:spacing w:before="80" w:after="80"/>
              <w:ind w:right="170"/>
              <w:jc w:val="right"/>
              <w:rPr>
                <w:rFonts w:eastAsia="Arial Unicode MS"/>
                <w:color w:val="000000"/>
                <w:sz w:val="20"/>
              </w:rPr>
            </w:pPr>
            <w:r>
              <w:rPr>
                <w:color w:val="000000"/>
                <w:sz w:val="20"/>
              </w:rPr>
              <w:t>449 050</w:t>
            </w:r>
          </w:p>
        </w:tc>
        <w:tc>
          <w:tcPr>
            <w:tcW w:w="616" w:type="pct"/>
            <w:vAlign w:val="bottom"/>
          </w:tcPr>
          <w:p w:rsidR="00000000" w:rsidRDefault="00000000">
            <w:pPr>
              <w:widowControl w:val="0"/>
              <w:spacing w:before="80" w:after="80"/>
              <w:ind w:right="170"/>
              <w:jc w:val="right"/>
              <w:rPr>
                <w:rFonts w:eastAsia="Arial Unicode MS"/>
                <w:sz w:val="20"/>
              </w:rPr>
            </w:pPr>
            <w:r>
              <w:rPr>
                <w:sz w:val="20"/>
              </w:rPr>
              <w:t>420 553</w:t>
            </w:r>
          </w:p>
        </w:tc>
        <w:tc>
          <w:tcPr>
            <w:tcW w:w="622"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85 824</w:t>
            </w:r>
          </w:p>
        </w:tc>
        <w:tc>
          <w:tcPr>
            <w:tcW w:w="516" w:type="pct"/>
            <w:gridSpan w:val="2"/>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86 856</w:t>
            </w:r>
          </w:p>
        </w:tc>
        <w:tc>
          <w:tcPr>
            <w:tcW w:w="615" w:type="pct"/>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38357</w:t>
            </w:r>
          </w:p>
        </w:tc>
        <w:tc>
          <w:tcPr>
            <w:tcW w:w="516"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43 969</w:t>
            </w:r>
          </w:p>
        </w:tc>
      </w:tr>
      <w:tr w:rsidR="00000000">
        <w:tc>
          <w:tcPr>
            <w:tcW w:w="482" w:type="pct"/>
            <w:noWrap/>
            <w:tcMar>
              <w:top w:w="15" w:type="dxa"/>
              <w:left w:w="15" w:type="dxa"/>
              <w:bottom w:w="0" w:type="dxa"/>
              <w:right w:w="15" w:type="dxa"/>
            </w:tcMar>
            <w:vAlign w:val="bottom"/>
          </w:tcPr>
          <w:p w:rsidR="00000000" w:rsidRDefault="00000000">
            <w:pPr>
              <w:widowControl w:val="0"/>
              <w:spacing w:before="80" w:after="80"/>
              <w:rPr>
                <w:rFonts w:eastAsia="Arial Unicode MS"/>
                <w:sz w:val="20"/>
              </w:rPr>
            </w:pPr>
            <w:r>
              <w:rPr>
                <w:sz w:val="20"/>
              </w:rPr>
              <w:t>1996</w:t>
            </w:r>
          </w:p>
        </w:tc>
        <w:tc>
          <w:tcPr>
            <w:tcW w:w="410"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37 377</w:t>
            </w:r>
          </w:p>
        </w:tc>
        <w:tc>
          <w:tcPr>
            <w:tcW w:w="611"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37 336</w:t>
            </w:r>
          </w:p>
        </w:tc>
        <w:tc>
          <w:tcPr>
            <w:tcW w:w="612" w:type="pct"/>
            <w:vAlign w:val="bottom"/>
          </w:tcPr>
          <w:p w:rsidR="00000000" w:rsidRDefault="00000000">
            <w:pPr>
              <w:widowControl w:val="0"/>
              <w:spacing w:before="80" w:after="80"/>
              <w:ind w:right="170"/>
              <w:jc w:val="right"/>
              <w:rPr>
                <w:rFonts w:eastAsia="Arial Unicode MS"/>
                <w:color w:val="000000"/>
                <w:sz w:val="20"/>
              </w:rPr>
            </w:pPr>
            <w:r>
              <w:rPr>
                <w:color w:val="000000"/>
                <w:sz w:val="20"/>
              </w:rPr>
              <w:t>461 657</w:t>
            </w:r>
          </w:p>
        </w:tc>
        <w:tc>
          <w:tcPr>
            <w:tcW w:w="616" w:type="pct"/>
            <w:vAlign w:val="center"/>
          </w:tcPr>
          <w:p w:rsidR="00000000" w:rsidRDefault="00000000">
            <w:pPr>
              <w:widowControl w:val="0"/>
              <w:spacing w:before="80" w:after="80"/>
              <w:ind w:right="170"/>
              <w:jc w:val="right"/>
              <w:rPr>
                <w:rFonts w:eastAsia="Arial Unicode MS"/>
                <w:sz w:val="20"/>
              </w:rPr>
            </w:pPr>
            <w:r>
              <w:rPr>
                <w:sz w:val="20"/>
              </w:rPr>
              <w:t>434 120</w:t>
            </w:r>
          </w:p>
        </w:tc>
        <w:tc>
          <w:tcPr>
            <w:tcW w:w="622" w:type="pct"/>
            <w:noWrap/>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96 141</w:t>
            </w:r>
          </w:p>
        </w:tc>
        <w:tc>
          <w:tcPr>
            <w:tcW w:w="516" w:type="pct"/>
            <w:gridSpan w:val="2"/>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95 765</w:t>
            </w:r>
          </w:p>
        </w:tc>
        <w:tc>
          <w:tcPr>
            <w:tcW w:w="615" w:type="pct"/>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47 631</w:t>
            </w:r>
          </w:p>
        </w:tc>
        <w:tc>
          <w:tcPr>
            <w:tcW w:w="516"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52 795</w:t>
            </w:r>
          </w:p>
        </w:tc>
      </w:tr>
      <w:tr w:rsidR="00000000">
        <w:tc>
          <w:tcPr>
            <w:tcW w:w="482" w:type="pct"/>
            <w:noWrap/>
            <w:tcMar>
              <w:top w:w="15" w:type="dxa"/>
              <w:left w:w="15" w:type="dxa"/>
              <w:bottom w:w="0" w:type="dxa"/>
              <w:right w:w="15" w:type="dxa"/>
            </w:tcMar>
            <w:vAlign w:val="bottom"/>
          </w:tcPr>
          <w:p w:rsidR="00000000" w:rsidRDefault="00000000">
            <w:pPr>
              <w:widowControl w:val="0"/>
              <w:spacing w:before="80" w:after="80"/>
              <w:rPr>
                <w:rFonts w:eastAsia="Arial Unicode MS"/>
                <w:sz w:val="20"/>
              </w:rPr>
            </w:pPr>
            <w:r>
              <w:rPr>
                <w:sz w:val="20"/>
              </w:rPr>
              <w:t>1997</w:t>
            </w:r>
          </w:p>
        </w:tc>
        <w:tc>
          <w:tcPr>
            <w:tcW w:w="410"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43 998</w:t>
            </w:r>
          </w:p>
        </w:tc>
        <w:tc>
          <w:tcPr>
            <w:tcW w:w="611"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43 668</w:t>
            </w:r>
          </w:p>
        </w:tc>
        <w:tc>
          <w:tcPr>
            <w:tcW w:w="612" w:type="pct"/>
            <w:vAlign w:val="bottom"/>
          </w:tcPr>
          <w:p w:rsidR="00000000" w:rsidRDefault="00000000">
            <w:pPr>
              <w:widowControl w:val="0"/>
              <w:spacing w:before="80" w:after="80"/>
              <w:ind w:right="170"/>
              <w:jc w:val="right"/>
              <w:rPr>
                <w:rFonts w:eastAsia="Arial Unicode MS"/>
                <w:color w:val="000000"/>
                <w:sz w:val="20"/>
              </w:rPr>
            </w:pPr>
            <w:r>
              <w:rPr>
                <w:color w:val="000000"/>
                <w:sz w:val="20"/>
              </w:rPr>
              <w:t>466 682</w:t>
            </w:r>
          </w:p>
        </w:tc>
        <w:tc>
          <w:tcPr>
            <w:tcW w:w="616" w:type="pct"/>
            <w:vAlign w:val="bottom"/>
          </w:tcPr>
          <w:p w:rsidR="00000000" w:rsidRDefault="00000000">
            <w:pPr>
              <w:widowControl w:val="0"/>
              <w:spacing w:before="80" w:after="80"/>
              <w:ind w:right="170"/>
              <w:jc w:val="right"/>
              <w:rPr>
                <w:rFonts w:eastAsia="Arial Unicode MS"/>
                <w:sz w:val="20"/>
              </w:rPr>
            </w:pPr>
            <w:r>
              <w:rPr>
                <w:sz w:val="20"/>
              </w:rPr>
              <w:t>439 131</w:t>
            </w:r>
          </w:p>
        </w:tc>
        <w:tc>
          <w:tcPr>
            <w:tcW w:w="622"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109 403</w:t>
            </w:r>
          </w:p>
        </w:tc>
        <w:tc>
          <w:tcPr>
            <w:tcW w:w="516" w:type="pct"/>
            <w:gridSpan w:val="2"/>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107 306</w:t>
            </w:r>
          </w:p>
        </w:tc>
        <w:tc>
          <w:tcPr>
            <w:tcW w:w="615" w:type="pct"/>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52 592</w:t>
            </w:r>
          </w:p>
        </w:tc>
        <w:tc>
          <w:tcPr>
            <w:tcW w:w="516"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58 474</w:t>
            </w:r>
          </w:p>
        </w:tc>
      </w:tr>
      <w:tr w:rsidR="00000000">
        <w:tc>
          <w:tcPr>
            <w:tcW w:w="482" w:type="pct"/>
            <w:noWrap/>
            <w:tcMar>
              <w:top w:w="15" w:type="dxa"/>
              <w:left w:w="15" w:type="dxa"/>
              <w:bottom w:w="0" w:type="dxa"/>
              <w:right w:w="15" w:type="dxa"/>
            </w:tcMar>
            <w:vAlign w:val="bottom"/>
          </w:tcPr>
          <w:p w:rsidR="00000000" w:rsidRDefault="00000000">
            <w:pPr>
              <w:widowControl w:val="0"/>
              <w:spacing w:before="80" w:after="80"/>
              <w:rPr>
                <w:rFonts w:eastAsia="Arial Unicode MS"/>
                <w:sz w:val="20"/>
              </w:rPr>
            </w:pPr>
            <w:r>
              <w:rPr>
                <w:sz w:val="20"/>
              </w:rPr>
              <w:t>1998</w:t>
            </w:r>
          </w:p>
        </w:tc>
        <w:tc>
          <w:tcPr>
            <w:tcW w:w="410"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48 457</w:t>
            </w:r>
          </w:p>
        </w:tc>
        <w:tc>
          <w:tcPr>
            <w:tcW w:w="611"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48 319</w:t>
            </w:r>
          </w:p>
        </w:tc>
        <w:tc>
          <w:tcPr>
            <w:tcW w:w="612" w:type="pct"/>
            <w:vAlign w:val="bottom"/>
          </w:tcPr>
          <w:p w:rsidR="00000000" w:rsidRDefault="00000000">
            <w:pPr>
              <w:widowControl w:val="0"/>
              <w:spacing w:before="80" w:after="80"/>
              <w:ind w:right="170"/>
              <w:jc w:val="right"/>
              <w:rPr>
                <w:rFonts w:eastAsia="Arial Unicode MS"/>
                <w:color w:val="000000"/>
                <w:sz w:val="20"/>
              </w:rPr>
            </w:pPr>
            <w:r>
              <w:rPr>
                <w:color w:val="000000"/>
                <w:sz w:val="20"/>
              </w:rPr>
              <w:t>479 927</w:t>
            </w:r>
          </w:p>
        </w:tc>
        <w:tc>
          <w:tcPr>
            <w:tcW w:w="616" w:type="pct"/>
            <w:vAlign w:val="center"/>
          </w:tcPr>
          <w:p w:rsidR="00000000" w:rsidRDefault="00000000">
            <w:pPr>
              <w:widowControl w:val="0"/>
              <w:spacing w:before="80" w:after="80"/>
              <w:ind w:right="170"/>
              <w:jc w:val="right"/>
              <w:rPr>
                <w:rFonts w:eastAsia="Arial Unicode MS"/>
                <w:sz w:val="20"/>
              </w:rPr>
            </w:pPr>
            <w:r>
              <w:rPr>
                <w:sz w:val="20"/>
              </w:rPr>
              <w:t>453 362</w:t>
            </w:r>
          </w:p>
        </w:tc>
        <w:tc>
          <w:tcPr>
            <w:tcW w:w="622" w:type="pct"/>
            <w:noWrap/>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116 670</w:t>
            </w:r>
          </w:p>
        </w:tc>
        <w:tc>
          <w:tcPr>
            <w:tcW w:w="516" w:type="pct"/>
            <w:gridSpan w:val="2"/>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113 961</w:t>
            </w:r>
          </w:p>
        </w:tc>
        <w:tc>
          <w:tcPr>
            <w:tcW w:w="615" w:type="pct"/>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59 588</w:t>
            </w:r>
          </w:p>
        </w:tc>
        <w:tc>
          <w:tcPr>
            <w:tcW w:w="516"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64 996</w:t>
            </w:r>
          </w:p>
        </w:tc>
      </w:tr>
      <w:tr w:rsidR="00000000">
        <w:tc>
          <w:tcPr>
            <w:tcW w:w="482" w:type="pct"/>
            <w:noWrap/>
            <w:tcMar>
              <w:top w:w="15" w:type="dxa"/>
              <w:left w:w="15" w:type="dxa"/>
              <w:bottom w:w="0" w:type="dxa"/>
              <w:right w:w="15" w:type="dxa"/>
            </w:tcMar>
            <w:vAlign w:val="bottom"/>
          </w:tcPr>
          <w:p w:rsidR="00000000" w:rsidRDefault="00000000">
            <w:pPr>
              <w:widowControl w:val="0"/>
              <w:spacing w:before="80" w:after="80"/>
              <w:rPr>
                <w:rFonts w:eastAsia="Arial Unicode MS"/>
                <w:sz w:val="20"/>
              </w:rPr>
            </w:pPr>
            <w:r>
              <w:rPr>
                <w:sz w:val="20"/>
              </w:rPr>
              <w:t>1999</w:t>
            </w:r>
          </w:p>
        </w:tc>
        <w:tc>
          <w:tcPr>
            <w:tcW w:w="410"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53 859</w:t>
            </w:r>
          </w:p>
        </w:tc>
        <w:tc>
          <w:tcPr>
            <w:tcW w:w="611"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53 426</w:t>
            </w:r>
          </w:p>
        </w:tc>
        <w:tc>
          <w:tcPr>
            <w:tcW w:w="612" w:type="pct"/>
            <w:vAlign w:val="bottom"/>
          </w:tcPr>
          <w:p w:rsidR="00000000" w:rsidRDefault="00000000">
            <w:pPr>
              <w:widowControl w:val="0"/>
              <w:spacing w:before="80" w:after="80"/>
              <w:ind w:right="170"/>
              <w:jc w:val="right"/>
              <w:rPr>
                <w:rFonts w:eastAsia="Arial Unicode MS"/>
                <w:color w:val="000000"/>
                <w:sz w:val="20"/>
              </w:rPr>
            </w:pPr>
            <w:r>
              <w:rPr>
                <w:color w:val="000000"/>
                <w:sz w:val="20"/>
              </w:rPr>
              <w:t>481 055</w:t>
            </w:r>
          </w:p>
        </w:tc>
        <w:tc>
          <w:tcPr>
            <w:tcW w:w="616" w:type="pct"/>
            <w:vAlign w:val="bottom"/>
          </w:tcPr>
          <w:p w:rsidR="00000000" w:rsidRDefault="00000000">
            <w:pPr>
              <w:widowControl w:val="0"/>
              <w:spacing w:before="80" w:after="80"/>
              <w:ind w:right="170"/>
              <w:jc w:val="right"/>
              <w:rPr>
                <w:rFonts w:eastAsia="Arial Unicode MS"/>
                <w:sz w:val="20"/>
              </w:rPr>
            </w:pPr>
            <w:r>
              <w:rPr>
                <w:sz w:val="20"/>
              </w:rPr>
              <w:t>451 943</w:t>
            </w:r>
          </w:p>
        </w:tc>
        <w:tc>
          <w:tcPr>
            <w:tcW w:w="622"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127 720</w:t>
            </w:r>
          </w:p>
        </w:tc>
        <w:tc>
          <w:tcPr>
            <w:tcW w:w="516" w:type="pct"/>
            <w:gridSpan w:val="2"/>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125 532</w:t>
            </w:r>
          </w:p>
        </w:tc>
        <w:tc>
          <w:tcPr>
            <w:tcW w:w="615" w:type="pct"/>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68 339</w:t>
            </w:r>
          </w:p>
        </w:tc>
        <w:tc>
          <w:tcPr>
            <w:tcW w:w="516"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72 455</w:t>
            </w:r>
          </w:p>
        </w:tc>
      </w:tr>
      <w:tr w:rsidR="00000000">
        <w:tc>
          <w:tcPr>
            <w:tcW w:w="482" w:type="pct"/>
            <w:noWrap/>
            <w:tcMar>
              <w:top w:w="15" w:type="dxa"/>
              <w:left w:w="15" w:type="dxa"/>
              <w:bottom w:w="0" w:type="dxa"/>
              <w:right w:w="15" w:type="dxa"/>
            </w:tcMar>
            <w:vAlign w:val="bottom"/>
          </w:tcPr>
          <w:p w:rsidR="00000000" w:rsidRDefault="00000000">
            <w:pPr>
              <w:widowControl w:val="0"/>
              <w:spacing w:before="80" w:after="80"/>
              <w:rPr>
                <w:rFonts w:eastAsia="Arial Unicode MS"/>
                <w:sz w:val="20"/>
              </w:rPr>
            </w:pPr>
            <w:r>
              <w:rPr>
                <w:sz w:val="20"/>
              </w:rPr>
              <w:t>2000</w:t>
            </w:r>
          </w:p>
        </w:tc>
        <w:tc>
          <w:tcPr>
            <w:tcW w:w="410"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57 806</w:t>
            </w:r>
          </w:p>
        </w:tc>
        <w:tc>
          <w:tcPr>
            <w:tcW w:w="611"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56 710</w:t>
            </w:r>
          </w:p>
        </w:tc>
        <w:tc>
          <w:tcPr>
            <w:tcW w:w="612" w:type="pct"/>
            <w:vAlign w:val="bottom"/>
          </w:tcPr>
          <w:p w:rsidR="00000000" w:rsidRDefault="00000000">
            <w:pPr>
              <w:widowControl w:val="0"/>
              <w:spacing w:before="80" w:after="80"/>
              <w:ind w:right="170"/>
              <w:jc w:val="right"/>
              <w:rPr>
                <w:rFonts w:eastAsia="Arial Unicode MS"/>
                <w:color w:val="000000"/>
                <w:sz w:val="20"/>
              </w:rPr>
            </w:pPr>
            <w:r>
              <w:rPr>
                <w:color w:val="000000"/>
                <w:sz w:val="20"/>
              </w:rPr>
              <w:t>489 171</w:t>
            </w:r>
          </w:p>
        </w:tc>
        <w:tc>
          <w:tcPr>
            <w:tcW w:w="616" w:type="pct"/>
            <w:vAlign w:val="center"/>
          </w:tcPr>
          <w:p w:rsidR="00000000" w:rsidRDefault="00000000">
            <w:pPr>
              <w:widowControl w:val="0"/>
              <w:spacing w:before="80" w:after="80"/>
              <w:ind w:right="170"/>
              <w:jc w:val="right"/>
              <w:rPr>
                <w:rFonts w:eastAsia="Arial Unicode MS"/>
                <w:sz w:val="20"/>
              </w:rPr>
            </w:pPr>
            <w:r>
              <w:rPr>
                <w:sz w:val="20"/>
              </w:rPr>
              <w:t>459 038</w:t>
            </w:r>
          </w:p>
        </w:tc>
        <w:tc>
          <w:tcPr>
            <w:tcW w:w="622" w:type="pct"/>
            <w:noWrap/>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136 534</w:t>
            </w:r>
          </w:p>
        </w:tc>
        <w:tc>
          <w:tcPr>
            <w:tcW w:w="516" w:type="pct"/>
            <w:gridSpan w:val="2"/>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134 288</w:t>
            </w:r>
          </w:p>
        </w:tc>
        <w:tc>
          <w:tcPr>
            <w:tcW w:w="615" w:type="pct"/>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75 251</w:t>
            </w:r>
          </w:p>
        </w:tc>
        <w:tc>
          <w:tcPr>
            <w:tcW w:w="516"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77 947</w:t>
            </w:r>
          </w:p>
        </w:tc>
      </w:tr>
      <w:tr w:rsidR="00000000">
        <w:tc>
          <w:tcPr>
            <w:tcW w:w="482" w:type="pct"/>
            <w:noWrap/>
            <w:tcMar>
              <w:top w:w="15" w:type="dxa"/>
              <w:left w:w="15" w:type="dxa"/>
              <w:bottom w:w="0" w:type="dxa"/>
              <w:right w:w="15" w:type="dxa"/>
            </w:tcMar>
            <w:vAlign w:val="bottom"/>
          </w:tcPr>
          <w:p w:rsidR="00000000" w:rsidRDefault="00000000">
            <w:pPr>
              <w:widowControl w:val="0"/>
              <w:spacing w:before="80" w:after="80"/>
              <w:rPr>
                <w:rFonts w:eastAsia="Arial Unicode MS"/>
                <w:sz w:val="20"/>
              </w:rPr>
            </w:pPr>
            <w:r>
              <w:rPr>
                <w:sz w:val="20"/>
              </w:rPr>
              <w:t>2001</w:t>
            </w:r>
          </w:p>
        </w:tc>
        <w:tc>
          <w:tcPr>
            <w:tcW w:w="410"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60 337</w:t>
            </w:r>
          </w:p>
        </w:tc>
        <w:tc>
          <w:tcPr>
            <w:tcW w:w="611"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59 197</w:t>
            </w:r>
          </w:p>
        </w:tc>
        <w:tc>
          <w:tcPr>
            <w:tcW w:w="612" w:type="pct"/>
            <w:vAlign w:val="bottom"/>
          </w:tcPr>
          <w:p w:rsidR="00000000" w:rsidRDefault="00000000">
            <w:pPr>
              <w:widowControl w:val="0"/>
              <w:spacing w:before="80" w:after="80"/>
              <w:ind w:right="170"/>
              <w:jc w:val="right"/>
              <w:rPr>
                <w:rFonts w:eastAsia="Arial Unicode MS"/>
                <w:color w:val="000000"/>
                <w:sz w:val="20"/>
              </w:rPr>
            </w:pPr>
            <w:r>
              <w:rPr>
                <w:color w:val="000000"/>
                <w:sz w:val="20"/>
              </w:rPr>
              <w:t>489 510</w:t>
            </w:r>
          </w:p>
        </w:tc>
        <w:tc>
          <w:tcPr>
            <w:tcW w:w="616" w:type="pct"/>
            <w:vAlign w:val="center"/>
          </w:tcPr>
          <w:p w:rsidR="00000000" w:rsidRDefault="00000000">
            <w:pPr>
              <w:widowControl w:val="0"/>
              <w:spacing w:before="80" w:after="80"/>
              <w:ind w:right="170"/>
              <w:jc w:val="right"/>
              <w:rPr>
                <w:rFonts w:eastAsia="Arial Unicode MS"/>
                <w:sz w:val="20"/>
              </w:rPr>
            </w:pPr>
            <w:r>
              <w:rPr>
                <w:sz w:val="20"/>
              </w:rPr>
              <w:t>459 173</w:t>
            </w:r>
          </w:p>
        </w:tc>
        <w:tc>
          <w:tcPr>
            <w:tcW w:w="622" w:type="pct"/>
            <w:noWrap/>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148 230</w:t>
            </w:r>
          </w:p>
        </w:tc>
        <w:tc>
          <w:tcPr>
            <w:tcW w:w="516" w:type="pct"/>
            <w:gridSpan w:val="2"/>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144 478</w:t>
            </w:r>
          </w:p>
        </w:tc>
        <w:tc>
          <w:tcPr>
            <w:tcW w:w="615" w:type="pct"/>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81 830</w:t>
            </w:r>
          </w:p>
        </w:tc>
        <w:tc>
          <w:tcPr>
            <w:tcW w:w="516"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83 054</w:t>
            </w:r>
          </w:p>
        </w:tc>
      </w:tr>
      <w:tr w:rsidR="00000000">
        <w:tc>
          <w:tcPr>
            <w:tcW w:w="482" w:type="pct"/>
            <w:noWrap/>
            <w:tcMar>
              <w:top w:w="15" w:type="dxa"/>
              <w:left w:w="15" w:type="dxa"/>
              <w:bottom w:w="0" w:type="dxa"/>
              <w:right w:w="15" w:type="dxa"/>
            </w:tcMar>
            <w:vAlign w:val="bottom"/>
          </w:tcPr>
          <w:p w:rsidR="00000000" w:rsidRDefault="00000000">
            <w:pPr>
              <w:widowControl w:val="0"/>
              <w:spacing w:before="80" w:after="80"/>
              <w:rPr>
                <w:rFonts w:eastAsia="Arial Unicode MS"/>
                <w:sz w:val="20"/>
              </w:rPr>
            </w:pPr>
            <w:r>
              <w:rPr>
                <w:sz w:val="20"/>
              </w:rPr>
              <w:t>2002</w:t>
            </w:r>
          </w:p>
        </w:tc>
        <w:tc>
          <w:tcPr>
            <w:tcW w:w="410"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60 085</w:t>
            </w:r>
          </w:p>
        </w:tc>
        <w:tc>
          <w:tcPr>
            <w:tcW w:w="611"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57 918</w:t>
            </w:r>
          </w:p>
        </w:tc>
        <w:tc>
          <w:tcPr>
            <w:tcW w:w="612" w:type="pct"/>
            <w:vAlign w:val="bottom"/>
          </w:tcPr>
          <w:p w:rsidR="00000000" w:rsidRDefault="00000000">
            <w:pPr>
              <w:widowControl w:val="0"/>
              <w:spacing w:before="80" w:after="80"/>
              <w:ind w:right="170"/>
              <w:jc w:val="right"/>
              <w:rPr>
                <w:rFonts w:eastAsia="Arial Unicode MS"/>
                <w:color w:val="000000"/>
                <w:sz w:val="20"/>
              </w:rPr>
            </w:pPr>
            <w:r>
              <w:rPr>
                <w:color w:val="000000"/>
                <w:sz w:val="20"/>
              </w:rPr>
              <w:t>484 053</w:t>
            </w:r>
          </w:p>
        </w:tc>
        <w:tc>
          <w:tcPr>
            <w:tcW w:w="616" w:type="pct"/>
            <w:vAlign w:val="center"/>
          </w:tcPr>
          <w:p w:rsidR="00000000" w:rsidRDefault="00000000">
            <w:pPr>
              <w:widowControl w:val="0"/>
              <w:spacing w:before="80" w:after="80"/>
              <w:ind w:right="170"/>
              <w:jc w:val="right"/>
              <w:rPr>
                <w:rFonts w:eastAsia="Arial Unicode MS"/>
                <w:sz w:val="20"/>
              </w:rPr>
            </w:pPr>
            <w:r>
              <w:rPr>
                <w:sz w:val="20"/>
              </w:rPr>
              <w:t>451 835</w:t>
            </w:r>
          </w:p>
        </w:tc>
        <w:tc>
          <w:tcPr>
            <w:tcW w:w="622" w:type="pct"/>
            <w:noWrap/>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152 933</w:t>
            </w:r>
          </w:p>
        </w:tc>
        <w:tc>
          <w:tcPr>
            <w:tcW w:w="516" w:type="pct"/>
            <w:gridSpan w:val="2"/>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148 725</w:t>
            </w:r>
          </w:p>
        </w:tc>
        <w:tc>
          <w:tcPr>
            <w:tcW w:w="615" w:type="pct"/>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90 454</w:t>
            </w:r>
          </w:p>
        </w:tc>
        <w:tc>
          <w:tcPr>
            <w:tcW w:w="516"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92 452</w:t>
            </w:r>
          </w:p>
        </w:tc>
      </w:tr>
      <w:tr w:rsidR="00000000">
        <w:tc>
          <w:tcPr>
            <w:tcW w:w="482" w:type="pct"/>
            <w:noWrap/>
            <w:tcMar>
              <w:top w:w="15" w:type="dxa"/>
              <w:left w:w="15" w:type="dxa"/>
              <w:bottom w:w="0" w:type="dxa"/>
              <w:right w:w="15" w:type="dxa"/>
            </w:tcMar>
            <w:vAlign w:val="bottom"/>
          </w:tcPr>
          <w:p w:rsidR="00000000" w:rsidRDefault="00000000">
            <w:pPr>
              <w:widowControl w:val="0"/>
              <w:spacing w:before="80" w:after="80"/>
              <w:rPr>
                <w:rFonts w:eastAsia="Arial Unicode MS"/>
                <w:sz w:val="20"/>
              </w:rPr>
            </w:pPr>
            <w:r>
              <w:rPr>
                <w:sz w:val="20"/>
              </w:rPr>
              <w:t>2003</w:t>
            </w:r>
          </w:p>
        </w:tc>
        <w:tc>
          <w:tcPr>
            <w:tcW w:w="410"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62 310</w:t>
            </w:r>
          </w:p>
        </w:tc>
        <w:tc>
          <w:tcPr>
            <w:tcW w:w="611"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60 555</w:t>
            </w:r>
          </w:p>
        </w:tc>
        <w:tc>
          <w:tcPr>
            <w:tcW w:w="612" w:type="pct"/>
            <w:vAlign w:val="bottom"/>
          </w:tcPr>
          <w:p w:rsidR="00000000" w:rsidRDefault="00000000">
            <w:pPr>
              <w:widowControl w:val="0"/>
              <w:spacing w:before="80" w:after="80"/>
              <w:ind w:right="170"/>
              <w:jc w:val="right"/>
              <w:rPr>
                <w:rFonts w:eastAsia="Arial Unicode MS"/>
                <w:color w:val="000000"/>
                <w:sz w:val="20"/>
              </w:rPr>
            </w:pPr>
            <w:r>
              <w:rPr>
                <w:color w:val="000000"/>
                <w:sz w:val="20"/>
              </w:rPr>
              <w:t>483 217</w:t>
            </w:r>
          </w:p>
        </w:tc>
        <w:tc>
          <w:tcPr>
            <w:tcW w:w="616" w:type="pct"/>
            <w:vAlign w:val="center"/>
          </w:tcPr>
          <w:p w:rsidR="00000000" w:rsidRDefault="00000000">
            <w:pPr>
              <w:widowControl w:val="0"/>
              <w:spacing w:before="80" w:after="80"/>
              <w:ind w:right="170"/>
              <w:jc w:val="right"/>
              <w:rPr>
                <w:rFonts w:eastAsia="Arial Unicode MS"/>
                <w:sz w:val="20"/>
              </w:rPr>
            </w:pPr>
            <w:r>
              <w:rPr>
                <w:sz w:val="20"/>
              </w:rPr>
              <w:t>451 364</w:t>
            </w:r>
          </w:p>
        </w:tc>
        <w:tc>
          <w:tcPr>
            <w:tcW w:w="622" w:type="pct"/>
            <w:noWrap/>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156 632</w:t>
            </w:r>
          </w:p>
        </w:tc>
        <w:tc>
          <w:tcPr>
            <w:tcW w:w="516" w:type="pct"/>
            <w:gridSpan w:val="2"/>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152 621</w:t>
            </w:r>
          </w:p>
        </w:tc>
        <w:tc>
          <w:tcPr>
            <w:tcW w:w="615" w:type="pct"/>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98 381</w:t>
            </w:r>
          </w:p>
        </w:tc>
        <w:tc>
          <w:tcPr>
            <w:tcW w:w="516"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100 420</w:t>
            </w:r>
          </w:p>
        </w:tc>
      </w:tr>
      <w:tr w:rsidR="00000000">
        <w:tc>
          <w:tcPr>
            <w:tcW w:w="482" w:type="pct"/>
            <w:noWrap/>
            <w:tcMar>
              <w:top w:w="15" w:type="dxa"/>
              <w:left w:w="15" w:type="dxa"/>
              <w:bottom w:w="0" w:type="dxa"/>
              <w:right w:w="15" w:type="dxa"/>
            </w:tcMar>
            <w:vAlign w:val="bottom"/>
          </w:tcPr>
          <w:p w:rsidR="00000000" w:rsidRDefault="00000000">
            <w:pPr>
              <w:widowControl w:val="0"/>
              <w:spacing w:before="80" w:after="80"/>
              <w:rPr>
                <w:rFonts w:eastAsia="Arial Unicode MS"/>
                <w:sz w:val="20"/>
              </w:rPr>
            </w:pPr>
            <w:r>
              <w:rPr>
                <w:sz w:val="20"/>
              </w:rPr>
              <w:t>2004</w:t>
            </w:r>
          </w:p>
        </w:tc>
        <w:tc>
          <w:tcPr>
            <w:tcW w:w="410"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62 300</w:t>
            </w:r>
          </w:p>
        </w:tc>
        <w:tc>
          <w:tcPr>
            <w:tcW w:w="611"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60 174</w:t>
            </w:r>
          </w:p>
        </w:tc>
        <w:tc>
          <w:tcPr>
            <w:tcW w:w="612" w:type="pct"/>
            <w:vAlign w:val="bottom"/>
          </w:tcPr>
          <w:p w:rsidR="00000000" w:rsidRDefault="00000000">
            <w:pPr>
              <w:widowControl w:val="0"/>
              <w:spacing w:before="80" w:after="80"/>
              <w:ind w:right="170"/>
              <w:jc w:val="right"/>
              <w:rPr>
                <w:rFonts w:eastAsia="Arial Unicode MS"/>
                <w:color w:val="000000"/>
                <w:sz w:val="20"/>
              </w:rPr>
            </w:pPr>
            <w:r>
              <w:rPr>
                <w:color w:val="000000"/>
                <w:sz w:val="20"/>
              </w:rPr>
              <w:t>479 989</w:t>
            </w:r>
          </w:p>
        </w:tc>
        <w:tc>
          <w:tcPr>
            <w:tcW w:w="616" w:type="pct"/>
            <w:vAlign w:val="center"/>
          </w:tcPr>
          <w:p w:rsidR="00000000" w:rsidRDefault="00000000">
            <w:pPr>
              <w:widowControl w:val="0"/>
              <w:spacing w:before="80" w:after="80"/>
              <w:ind w:right="170"/>
              <w:jc w:val="right"/>
              <w:rPr>
                <w:rFonts w:eastAsia="Arial Unicode MS"/>
                <w:sz w:val="20"/>
              </w:rPr>
            </w:pPr>
            <w:r>
              <w:rPr>
                <w:sz w:val="20"/>
              </w:rPr>
              <w:t>449 489</w:t>
            </w:r>
          </w:p>
        </w:tc>
        <w:tc>
          <w:tcPr>
            <w:tcW w:w="622" w:type="pct"/>
            <w:noWrap/>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159 790</w:t>
            </w:r>
          </w:p>
        </w:tc>
        <w:tc>
          <w:tcPr>
            <w:tcW w:w="516" w:type="pct"/>
            <w:gridSpan w:val="2"/>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color w:val="000000"/>
                <w:sz w:val="20"/>
              </w:rPr>
            </w:pPr>
            <w:r>
              <w:rPr>
                <w:color w:val="000000"/>
                <w:sz w:val="20"/>
              </w:rPr>
              <w:t>156 579</w:t>
            </w:r>
          </w:p>
        </w:tc>
        <w:tc>
          <w:tcPr>
            <w:tcW w:w="615" w:type="pct"/>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102 234</w:t>
            </w:r>
          </w:p>
        </w:tc>
        <w:tc>
          <w:tcPr>
            <w:tcW w:w="516" w:type="pct"/>
            <w:noWrap/>
            <w:tcMar>
              <w:top w:w="15" w:type="dxa"/>
              <w:left w:w="15" w:type="dxa"/>
              <w:bottom w:w="0" w:type="dxa"/>
              <w:right w:w="15" w:type="dxa"/>
            </w:tcMar>
            <w:vAlign w:val="bottom"/>
          </w:tcPr>
          <w:p w:rsidR="00000000" w:rsidRDefault="00000000">
            <w:pPr>
              <w:widowControl w:val="0"/>
              <w:spacing w:before="80" w:after="80"/>
              <w:ind w:right="170"/>
              <w:jc w:val="right"/>
              <w:rPr>
                <w:rFonts w:eastAsia="Arial Unicode MS"/>
                <w:sz w:val="20"/>
              </w:rPr>
            </w:pPr>
            <w:r>
              <w:rPr>
                <w:sz w:val="20"/>
              </w:rPr>
              <w:t>104 623</w:t>
            </w:r>
          </w:p>
        </w:tc>
      </w:tr>
      <w:tr w:rsidR="00000000">
        <w:trPr>
          <w:cantSplit/>
        </w:trPr>
        <w:tc>
          <w:tcPr>
            <w:tcW w:w="482" w:type="pct"/>
            <w:tcBorders>
              <w:bottom w:val="single" w:sz="4" w:space="0" w:color="auto"/>
            </w:tcBorders>
            <w:tcMar>
              <w:top w:w="15" w:type="dxa"/>
              <w:left w:w="15" w:type="dxa"/>
              <w:bottom w:w="0" w:type="dxa"/>
              <w:right w:w="15" w:type="dxa"/>
            </w:tcMar>
            <w:vAlign w:val="center"/>
          </w:tcPr>
          <w:p w:rsidR="00000000" w:rsidRDefault="00000000">
            <w:pPr>
              <w:widowControl w:val="0"/>
              <w:spacing w:before="80" w:after="80"/>
              <w:rPr>
                <w:rFonts w:eastAsia="Arial Unicode MS"/>
                <w:sz w:val="20"/>
                <w:szCs w:val="18"/>
              </w:rPr>
            </w:pPr>
            <w:r>
              <w:rPr>
                <w:sz w:val="20"/>
                <w:szCs w:val="18"/>
              </w:rPr>
              <w:t>Percentage Growth 1994-2004</w:t>
            </w:r>
          </w:p>
        </w:tc>
        <w:tc>
          <w:tcPr>
            <w:tcW w:w="410" w:type="pct"/>
            <w:tcBorders>
              <w:bottom w:val="single" w:sz="4" w:space="0" w:color="auto"/>
            </w:tcBorders>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139%</w:t>
            </w:r>
          </w:p>
        </w:tc>
        <w:tc>
          <w:tcPr>
            <w:tcW w:w="611" w:type="pct"/>
            <w:tcBorders>
              <w:bottom w:val="single" w:sz="4" w:space="0" w:color="auto"/>
            </w:tcBorders>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135%</w:t>
            </w:r>
          </w:p>
        </w:tc>
        <w:tc>
          <w:tcPr>
            <w:tcW w:w="612" w:type="pct"/>
            <w:tcBorders>
              <w:bottom w:val="single" w:sz="4" w:space="0" w:color="auto"/>
            </w:tcBorders>
            <w:vAlign w:val="center"/>
          </w:tcPr>
          <w:p w:rsidR="00000000" w:rsidRDefault="00000000">
            <w:pPr>
              <w:widowControl w:val="0"/>
              <w:spacing w:before="80" w:after="80"/>
              <w:ind w:right="170"/>
              <w:jc w:val="right"/>
              <w:rPr>
                <w:rFonts w:eastAsia="Arial Unicode MS"/>
                <w:sz w:val="20"/>
              </w:rPr>
            </w:pPr>
            <w:r>
              <w:rPr>
                <w:sz w:val="20"/>
              </w:rPr>
              <w:t>11%</w:t>
            </w:r>
          </w:p>
        </w:tc>
        <w:tc>
          <w:tcPr>
            <w:tcW w:w="616" w:type="pct"/>
            <w:tcBorders>
              <w:bottom w:val="single" w:sz="4" w:space="0" w:color="auto"/>
            </w:tcBorders>
            <w:vAlign w:val="center"/>
          </w:tcPr>
          <w:p w:rsidR="00000000" w:rsidRDefault="00000000">
            <w:pPr>
              <w:widowControl w:val="0"/>
              <w:spacing w:before="80" w:after="80"/>
              <w:ind w:right="170"/>
              <w:jc w:val="right"/>
              <w:rPr>
                <w:rFonts w:eastAsia="Arial Unicode MS"/>
                <w:sz w:val="20"/>
              </w:rPr>
            </w:pPr>
            <w:r>
              <w:rPr>
                <w:sz w:val="20"/>
              </w:rPr>
              <w:t>11%</w:t>
            </w:r>
          </w:p>
        </w:tc>
        <w:tc>
          <w:tcPr>
            <w:tcW w:w="622" w:type="pct"/>
            <w:tcBorders>
              <w:bottom w:val="single" w:sz="4" w:space="0" w:color="auto"/>
            </w:tcBorders>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100%</w:t>
            </w:r>
          </w:p>
        </w:tc>
        <w:tc>
          <w:tcPr>
            <w:tcW w:w="516" w:type="pct"/>
            <w:gridSpan w:val="2"/>
            <w:tcBorders>
              <w:bottom w:val="single" w:sz="4" w:space="0" w:color="auto"/>
            </w:tcBorders>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96%</w:t>
            </w:r>
          </w:p>
        </w:tc>
        <w:tc>
          <w:tcPr>
            <w:tcW w:w="615" w:type="pct"/>
            <w:tcBorders>
              <w:bottom w:val="single" w:sz="4" w:space="0" w:color="auto"/>
            </w:tcBorders>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186%</w:t>
            </w:r>
          </w:p>
        </w:tc>
        <w:tc>
          <w:tcPr>
            <w:tcW w:w="516" w:type="pct"/>
            <w:tcBorders>
              <w:bottom w:val="single" w:sz="4" w:space="0" w:color="auto"/>
            </w:tcBorders>
            <w:tcMar>
              <w:top w:w="15" w:type="dxa"/>
              <w:left w:w="15" w:type="dxa"/>
              <w:bottom w:w="0" w:type="dxa"/>
              <w:right w:w="15" w:type="dxa"/>
            </w:tcMar>
            <w:vAlign w:val="center"/>
          </w:tcPr>
          <w:p w:rsidR="00000000" w:rsidRDefault="00000000">
            <w:pPr>
              <w:widowControl w:val="0"/>
              <w:spacing w:before="80" w:after="80"/>
              <w:ind w:right="170"/>
              <w:jc w:val="right"/>
              <w:rPr>
                <w:rFonts w:eastAsia="Arial Unicode MS"/>
                <w:sz w:val="20"/>
              </w:rPr>
            </w:pPr>
            <w:r>
              <w:rPr>
                <w:sz w:val="20"/>
              </w:rPr>
              <w:t>158%</w:t>
            </w:r>
          </w:p>
        </w:tc>
      </w:tr>
    </w:tbl>
    <w:p w:rsidR="00000000" w:rsidRDefault="00000000">
      <w:pPr>
        <w:spacing w:before="80" w:after="240"/>
        <w:ind w:left="567"/>
        <w:rPr>
          <w:b/>
          <w:szCs w:val="18"/>
          <w:lang w:val="en-US"/>
        </w:rPr>
      </w:pPr>
      <w:r>
        <w:rPr>
          <w:sz w:val="20"/>
          <w:lang w:val="en-US"/>
        </w:rPr>
        <w:t>Source: MEC, DGPEC-SIEC.</w:t>
      </w:r>
    </w:p>
    <w:p w:rsidR="00000000" w:rsidRDefault="00000000">
      <w:pPr>
        <w:spacing w:after="240"/>
        <w:rPr>
          <w:b/>
          <w:szCs w:val="18"/>
        </w:rPr>
      </w:pPr>
      <w:r>
        <w:rPr>
          <w:lang w:val="en-US"/>
        </w:rPr>
        <w:t>582</w:t>
      </w:r>
      <w:r>
        <w:t>.</w:t>
      </w:r>
      <w:r>
        <w:tab/>
        <w:t>The numbers participating in the education programme for young people and adults are as follows: 20,351 men (44 per cent) and 26,077 women (56 per cent) in urban areas. and 13,474 men (46 per cent) and 15,546 women (54 per cent) in rural areas, making for a proportion of 62 per cent in urban areas and 38 per cent in rural areas (Source: MEC. DGPEC-SIEC).</w:t>
      </w:r>
    </w:p>
    <w:p w:rsidR="00000000" w:rsidRDefault="00000000">
      <w:pPr>
        <w:spacing w:after="240"/>
      </w:pPr>
      <w:r>
        <w:rPr>
          <w:b/>
        </w:rPr>
        <w:t>3.1</w:t>
      </w:r>
      <w:r>
        <w:rPr>
          <w:b/>
        </w:rPr>
        <w:tab/>
        <w:t>Indigenous education</w:t>
      </w:r>
    </w:p>
    <w:p w:rsidR="00000000" w:rsidRDefault="00000000">
      <w:pPr>
        <w:spacing w:after="240"/>
      </w:pPr>
      <w:r>
        <w:rPr>
          <w:lang w:val="en-US"/>
        </w:rPr>
        <w:t>583</w:t>
      </w:r>
      <w:r>
        <w:t>.</w:t>
      </w:r>
      <w:r>
        <w:tab/>
        <w:t>There are currently 34,705 indigenous persons of school age (2002 census) between 5 and 19 years of age; 20,530 of them enjoy the right to formal initial and basic education in 339 educational establishments in the eastern and western regions. For secondary education there are seven indigenous establishments, focusing on the humanities and agricultural baccalaureate, with an enrolment of 334 young people. There were 2,000 enrolments for youth and adult literacy courses countrywide in 82 education centres.</w:t>
      </w:r>
    </w:p>
    <w:p w:rsidR="00000000" w:rsidRDefault="00000000">
      <w:pPr>
        <w:spacing w:after="240"/>
      </w:pPr>
      <w:r>
        <w:rPr>
          <w:lang w:val="en-US"/>
        </w:rPr>
        <w:t>584</w:t>
      </w:r>
      <w:r>
        <w:t>.</w:t>
      </w:r>
      <w:r>
        <w:tab/>
        <w:t xml:space="preserve">At the higher education level, 57 pupils in the Ava Guaraní ethnic group are enrolled for the distance teacher-training course for indigenous baccalaureate holders. The </w:t>
      </w:r>
      <w:r>
        <w:rPr>
          <w:i/>
        </w:rPr>
        <w:t>Escuela Viva</w:t>
      </w:r>
      <w:r>
        <w:t xml:space="preserve"> programme and its sub-component for the improvement of indigenous schools are currently working on proposals for intercultural bilingual education, designed with the participation of the indigenous communities, which ensures the right to education and the right of the Paraguayan indigenous peoples to the maintenance and development of their specific original cultures.</w:t>
      </w:r>
    </w:p>
    <w:p w:rsidR="00000000" w:rsidRDefault="00000000">
      <w:pPr>
        <w:spacing w:after="240"/>
      </w:pPr>
      <w:r>
        <w:rPr>
          <w:lang w:val="en-US"/>
        </w:rPr>
        <w:t>585</w:t>
      </w:r>
      <w:r>
        <w:t>.</w:t>
      </w:r>
      <w:r>
        <w:tab/>
        <w:t>The Government still faces the challenge of improving the coverage, quality and relevance of indigenous education.</w:t>
      </w:r>
    </w:p>
    <w:p w:rsidR="00000000" w:rsidRDefault="00000000">
      <w:pPr>
        <w:spacing w:after="240"/>
        <w:rPr>
          <w:b/>
        </w:rPr>
      </w:pPr>
      <w:r>
        <w:rPr>
          <w:b/>
        </w:rPr>
        <w:t>3.2</w:t>
      </w:r>
      <w:r>
        <w:rPr>
          <w:b/>
        </w:rPr>
        <w:tab/>
        <w:t>Egalitarian access to education</w:t>
      </w:r>
    </w:p>
    <w:p w:rsidR="00000000" w:rsidRDefault="00000000">
      <w:pPr>
        <w:spacing w:after="240"/>
      </w:pPr>
      <w:r>
        <w:rPr>
          <w:lang w:val="en-US"/>
        </w:rPr>
        <w:t>586</w:t>
      </w:r>
      <w:r>
        <w:t>.</w:t>
      </w:r>
      <w:r>
        <w:tab/>
        <w:t>The Government has adopted a number of measures for promoting egalitarian access to all levels of education, including the following:</w:t>
      </w:r>
    </w:p>
    <w:p w:rsidR="00000000" w:rsidRDefault="00000000">
      <w:pPr>
        <w:spacing w:after="240"/>
        <w:ind w:left="567" w:hanging="567"/>
        <w:rPr>
          <w:bCs/>
          <w:i/>
          <w:iCs/>
        </w:rPr>
      </w:pPr>
      <w:r>
        <w:rPr>
          <w:bCs/>
          <w:i/>
          <w:iCs/>
        </w:rPr>
        <w:t>(a)</w:t>
      </w:r>
      <w:r>
        <w:rPr>
          <w:bCs/>
          <w:i/>
          <w:iCs/>
        </w:rPr>
        <w:tab/>
        <w:t>Programme for strengthening educational reform in basic school education “Escuela Viva Hekokatauva”</w:t>
      </w:r>
    </w:p>
    <w:p w:rsidR="00000000" w:rsidRDefault="00000000">
      <w:pPr>
        <w:spacing w:after="240"/>
      </w:pPr>
      <w:r>
        <w:rPr>
          <w:lang w:val="en-US"/>
        </w:rPr>
        <w:t>587</w:t>
      </w:r>
      <w:r>
        <w:t>.</w:t>
      </w:r>
      <w:r>
        <w:tab/>
        <w:t>The overall aim of this programme is to improve the quality and equity of basic school education in Paraguay, thus contributing to poverty reduction and the country’s social and economic development. It aims to develop comprehensive activities that go beyond the sole perspective of provision of inputs and to concentrate on improving procedures so as to guarantee pertinent and high-quality results.</w:t>
      </w:r>
    </w:p>
    <w:p w:rsidR="00000000" w:rsidRDefault="00000000">
      <w:pPr>
        <w:spacing w:after="240"/>
      </w:pPr>
      <w:r>
        <w:rPr>
          <w:lang w:val="en-US"/>
        </w:rPr>
        <w:t>588</w:t>
      </w:r>
      <w:r>
        <w:t>.</w:t>
      </w:r>
      <w:r>
        <w:tab/>
      </w:r>
      <w:r>
        <w:rPr>
          <w:i/>
        </w:rPr>
        <w:t>Escuela Viva</w:t>
      </w:r>
      <w:r>
        <w:t xml:space="preserve"> focuses its action on the 10 per cent of urban schools at greatest educational risk and on approximately 25 per cent of rural schools with poor educational results. All in all, and via its various sub-components, it covers approximately 2,500 official schools, or 43 per cent of all the country’s public schools.</w:t>
      </w:r>
    </w:p>
    <w:p w:rsidR="00000000" w:rsidRDefault="00000000">
      <w:pPr>
        <w:spacing w:after="240"/>
      </w:pPr>
      <w:r>
        <w:rPr>
          <w:lang w:val="en-US"/>
        </w:rPr>
        <w:t>589</w:t>
      </w:r>
      <w:r>
        <w:t>.</w:t>
      </w:r>
      <w:r>
        <w:tab/>
        <w:t>In order to improve learning in the rural context, the programme focuses its activities for implementation of pedagogical proposals on 1,000 rural schools in six regions and 150 high-risk urban schools in three priority geographical areas.</w:t>
      </w:r>
    </w:p>
    <w:p w:rsidR="00000000" w:rsidRDefault="00000000">
      <w:pPr>
        <w:spacing w:after="240"/>
      </w:pPr>
      <w:r>
        <w:rPr>
          <w:lang w:val="en-US"/>
        </w:rPr>
        <w:t>590</w:t>
      </w:r>
      <w:r>
        <w:t>.</w:t>
      </w:r>
      <w:r>
        <w:tab/>
        <w:t>This programme’s main sub-components, which deal with action in basic schools, are:</w:t>
      </w:r>
    </w:p>
    <w:p w:rsidR="00000000" w:rsidRDefault="00000000">
      <w:pPr>
        <w:spacing w:after="240"/>
        <w:ind w:firstLine="567"/>
      </w:pPr>
      <w:r>
        <w:rPr>
          <w:szCs w:val="22"/>
        </w:rPr>
        <w:t>–</w:t>
      </w:r>
      <w:r>
        <w:tab/>
      </w:r>
      <w:r>
        <w:rPr>
          <w:bCs/>
          <w:i/>
          <w:iCs/>
        </w:rPr>
        <w:t xml:space="preserve">Improvement of rural schools: </w:t>
      </w:r>
      <w:r>
        <w:t>its purpose is to implement in 1,000 rural schools (25 per cent of enrolments) a bilingual pedagogical proposal geared towards improving the education of pupils during the first six years of the education system (first and second cycles).</w:t>
      </w:r>
    </w:p>
    <w:p w:rsidR="00000000" w:rsidRDefault="00000000">
      <w:pPr>
        <w:spacing w:after="240"/>
        <w:ind w:left="1134" w:hanging="567"/>
      </w:pPr>
      <w:r>
        <w:rPr>
          <w:szCs w:val="22"/>
        </w:rPr>
        <w:t>–</w:t>
      </w:r>
      <w:r>
        <w:tab/>
      </w:r>
      <w:r>
        <w:rPr>
          <w:bCs/>
          <w:i/>
          <w:iCs/>
        </w:rPr>
        <w:t>Improvement of urban schools</w:t>
      </w:r>
      <w:r>
        <w:t>: this seeks to implement a comprehensive pedagogical activity in the first cycles of basic school education to benefit 69,362 pupils and 150 schools at highest educational and poverty risk.</w:t>
      </w:r>
    </w:p>
    <w:p w:rsidR="00000000" w:rsidRDefault="00000000">
      <w:pPr>
        <w:spacing w:after="240"/>
        <w:ind w:left="1134" w:hanging="567"/>
      </w:pPr>
      <w:r>
        <w:rPr>
          <w:szCs w:val="22"/>
        </w:rPr>
        <w:t>–</w:t>
      </w:r>
      <w:r>
        <w:tab/>
      </w:r>
      <w:r>
        <w:rPr>
          <w:bCs/>
          <w:i/>
          <w:iCs/>
        </w:rPr>
        <w:t>Improvement of indigenous schools</w:t>
      </w:r>
      <w:r>
        <w:t>: the aim is to undertake a bilingual intercultural pedagogical activity in indigenous schools with community participation. .</w:t>
      </w:r>
    </w:p>
    <w:p w:rsidR="00000000" w:rsidRDefault="00000000">
      <w:pPr>
        <w:spacing w:after="240"/>
      </w:pPr>
      <w:r>
        <w:rPr>
          <w:lang w:val="en-US"/>
        </w:rPr>
        <w:t>591</w:t>
      </w:r>
      <w:r>
        <w:t>.</w:t>
      </w:r>
      <w:r>
        <w:tab/>
        <w:t>In educational terms, the average period of schooling of the indigenous population aged 15 and over is 2.2 years, while the average for the overall population in that age group is 7 years.</w:t>
      </w:r>
    </w:p>
    <w:p w:rsidR="00000000" w:rsidRDefault="00000000">
      <w:pPr>
        <w:spacing w:after="240"/>
      </w:pPr>
      <w:r>
        <w:rPr>
          <w:lang w:val="en-US"/>
        </w:rPr>
        <w:t>592</w:t>
      </w:r>
      <w:r>
        <w:t>.</w:t>
      </w:r>
      <w:r>
        <w:tab/>
        <w:t>For several years now special attention to the indigenous sector has been provided by Supervisory  Offices for Indigenous Education, which are responsible for coordinating, supporting and monitoring implementation of programmes in indigenous communities. There are five such Offices.</w:t>
      </w:r>
    </w:p>
    <w:p w:rsidR="00000000" w:rsidRDefault="00000000">
      <w:pPr>
        <w:spacing w:after="240"/>
      </w:pPr>
      <w:r>
        <w:rPr>
          <w:lang w:val="en-US"/>
        </w:rPr>
        <w:t>593</w:t>
      </w:r>
      <w:r>
        <w:t>.</w:t>
      </w:r>
      <w:r>
        <w:tab/>
        <w:t>Since 2002 the Programme for the Strengthening of Educational Reform has had a sub-component devoted to indigenous education, aimed at creating education schemes specifically geared to the real situation of each ethnic group. This experiment is being conducted in a targeted fashion.</w:t>
      </w:r>
    </w:p>
    <w:p w:rsidR="00000000" w:rsidRDefault="00000000">
      <w:pPr>
        <w:spacing w:after="240"/>
        <w:rPr>
          <w:bCs/>
          <w:i/>
          <w:iCs/>
        </w:rPr>
      </w:pPr>
      <w:r>
        <w:rPr>
          <w:bCs/>
          <w:i/>
          <w:iCs/>
        </w:rPr>
        <w:t>(b)</w:t>
      </w:r>
      <w:r>
        <w:rPr>
          <w:bCs/>
          <w:i/>
          <w:iCs/>
        </w:rPr>
        <w:tab/>
        <w:t>Educational reform programme with emphasis on secondary education:</w:t>
      </w:r>
    </w:p>
    <w:p w:rsidR="00000000" w:rsidRDefault="00000000">
      <w:pPr>
        <w:spacing w:after="240"/>
      </w:pPr>
      <w:r>
        <w:rPr>
          <w:lang w:val="en-US"/>
        </w:rPr>
        <w:t>594</w:t>
      </w:r>
      <w:r>
        <w:t>.</w:t>
      </w:r>
      <w:r>
        <w:tab/>
        <w:t>Alternative open secondary education offer: one alternative currently being devised is intended or young people in the 15-18 age group who have completed basic school education and have not gained access to regular secondary education since they have to work.</w:t>
      </w:r>
    </w:p>
    <w:p w:rsidR="00000000" w:rsidRDefault="00000000">
      <w:pPr>
        <w:spacing w:after="240"/>
        <w:rPr>
          <w:bCs/>
          <w:i/>
          <w:iCs/>
        </w:rPr>
      </w:pPr>
      <w:r>
        <w:rPr>
          <w:bCs/>
          <w:i/>
          <w:iCs/>
        </w:rPr>
        <w:t>(c)</w:t>
      </w:r>
      <w:r>
        <w:rPr>
          <w:bCs/>
          <w:i/>
          <w:iCs/>
        </w:rPr>
        <w:tab/>
        <w:t>Mitá Irú Active School Programme</w:t>
      </w:r>
    </w:p>
    <w:p w:rsidR="00000000" w:rsidRDefault="00000000">
      <w:pPr>
        <w:spacing w:after="240"/>
      </w:pPr>
      <w:r>
        <w:rPr>
          <w:lang w:val="en-US"/>
        </w:rPr>
        <w:t>595</w:t>
      </w:r>
      <w:r>
        <w:t>.</w:t>
      </w:r>
      <w:r>
        <w:tab/>
        <w:t>Since 1995 the Ministry of Education and Culture has been conducting this programme with the support of international cooperation organizations: Plan International, United Nations Children’s Fund (UNICEF) and the MEC-IDB programme to improve the quality of education. It targets rural schools and uses a multigrade model in order to reduce the inequity gap in educational services, while recognizing education as a basic engine of development and as the investment yielding the highest return, as well as the best means of facilitating social mobility and one of the main strategies for redressing inequalities.</w:t>
      </w:r>
    </w:p>
    <w:p w:rsidR="00000000" w:rsidRDefault="00000000">
      <w:pPr>
        <w:spacing w:after="240"/>
      </w:pPr>
      <w:r>
        <w:rPr>
          <w:lang w:val="en-US"/>
        </w:rPr>
        <w:t>596</w:t>
      </w:r>
      <w:r>
        <w:t>.</w:t>
      </w:r>
      <w:r>
        <w:tab/>
        <w:t xml:space="preserve">The </w:t>
      </w:r>
      <w:r>
        <w:rPr>
          <w:i/>
        </w:rPr>
        <w:t>Escuela Activa</w:t>
      </w:r>
      <w:r>
        <w:t xml:space="preserve"> (Active School) is an innovative educational programme specifically designed for the rural sector. It uses an active methodology that facilitates children’s learning, using play to tackle and solve problems relating to their daily tasks. In other words, it is a programme that produces active, creative, participative children. It uses play as a learning vehicle, respects individual differences and takes into account the special characteristics of the rural contexts in which peasant children live, in order to provide them with positively differential and innovative treatment so that those attending these schools can exercise the right to high-quality education relevant to their real lives and so gain admission to school and remain there, where they learn basic skills to become productive and participative citizens.</w:t>
      </w:r>
    </w:p>
    <w:p w:rsidR="00000000" w:rsidRDefault="00000000">
      <w:pPr>
        <w:spacing w:after="240"/>
        <w:ind w:firstLine="567"/>
      </w:pPr>
      <w:r>
        <w:rPr>
          <w:szCs w:val="22"/>
        </w:rPr>
        <w:t>–</w:t>
      </w:r>
      <w:r>
        <w:tab/>
        <w:t>At the final stage 10 schools in the department of Caaguazú were selected;</w:t>
      </w:r>
    </w:p>
    <w:p w:rsidR="00000000" w:rsidRDefault="00000000">
      <w:pPr>
        <w:spacing w:after="240"/>
        <w:ind w:left="1134" w:hanging="567"/>
      </w:pPr>
      <w:r>
        <w:rPr>
          <w:szCs w:val="22"/>
        </w:rPr>
        <w:t>–</w:t>
      </w:r>
      <w:r>
        <w:tab/>
        <w:t>As of 1997, the programme was consolidated and extended to other departments involving 50 establishments in the departments of Caaguazú, Paraguari and Presidente Hayes;</w:t>
      </w:r>
    </w:p>
    <w:p w:rsidR="00000000" w:rsidRDefault="00000000">
      <w:pPr>
        <w:spacing w:after="240"/>
        <w:ind w:left="1134" w:hanging="567"/>
      </w:pPr>
      <w:r>
        <w:rPr>
          <w:szCs w:val="22"/>
        </w:rPr>
        <w:t>–</w:t>
      </w:r>
      <w:r>
        <w:tab/>
        <w:t>The consolidation and extension process continued during the period 1998-2000 to include the departments of Guairá and San Pedro, making a total of 100 official establishments in all;</w:t>
      </w:r>
    </w:p>
    <w:p w:rsidR="00000000" w:rsidRDefault="00000000">
      <w:pPr>
        <w:spacing w:after="240"/>
        <w:ind w:left="1134" w:hanging="1134"/>
      </w:pPr>
      <w:r>
        <w:rPr>
          <w:szCs w:val="22"/>
        </w:rPr>
        <w:t>–</w:t>
      </w:r>
      <w:r>
        <w:tab/>
        <w:t>–</w:t>
      </w:r>
      <w:r>
        <w:tab/>
        <w:t>Internal/external evaluations were conducted in 2002 and constitute the basic inputs for expanded coverage; 2003 witnessed the beginning of expanded coverage to include 43 schools in the department of San Pedro, 15 schools in Guairá and 16 schools in the department of Caaguazú, with a total of 164 active schools financed during that period;</w:t>
      </w:r>
    </w:p>
    <w:p w:rsidR="00000000" w:rsidRDefault="00000000">
      <w:pPr>
        <w:spacing w:after="240"/>
        <w:ind w:left="1134" w:hanging="567"/>
      </w:pPr>
      <w:r>
        <w:rPr>
          <w:szCs w:val="22"/>
        </w:rPr>
        <w:t>–</w:t>
      </w:r>
      <w:r>
        <w:tab/>
        <w:t>In 2004 PLAN and MEC signed a cooperation agreement for training teachers at the Mañana Institute in the country’s capital;</w:t>
      </w:r>
    </w:p>
    <w:p w:rsidR="00000000" w:rsidRDefault="00000000">
      <w:pPr>
        <w:spacing w:after="240"/>
        <w:ind w:left="1134" w:hanging="567"/>
      </w:pPr>
      <w:r>
        <w:rPr>
          <w:szCs w:val="22"/>
        </w:rPr>
        <w:t>–</w:t>
      </w:r>
      <w:r>
        <w:tab/>
        <w:t>In that year programme coverage increased to take in a further department, Cordillera, making a total of 218 schools supported in 5 departments.</w:t>
      </w:r>
    </w:p>
    <w:p w:rsidR="00000000" w:rsidRDefault="00000000">
      <w:pPr>
        <w:spacing w:after="240"/>
        <w:rPr>
          <w:b/>
        </w:rPr>
      </w:pPr>
      <w:r>
        <w:rPr>
          <w:b/>
        </w:rPr>
        <w:t>4.</w:t>
      </w:r>
      <w:r>
        <w:rPr>
          <w:b/>
        </w:rPr>
        <w:tab/>
        <w:t>Financial incentives for education</w:t>
      </w:r>
    </w:p>
    <w:p w:rsidR="00000000" w:rsidRDefault="00000000">
      <w:pPr>
        <w:spacing w:after="240"/>
      </w:pPr>
      <w:r>
        <w:rPr>
          <w:b/>
        </w:rPr>
        <w:t>4.1</w:t>
      </w:r>
      <w:r>
        <w:rPr>
          <w:b/>
        </w:rPr>
        <w:tab/>
        <w:t>Strengthening of the School Cooperative Associations (ACEs)</w:t>
      </w:r>
      <w:r>
        <w:t>: the success of  community participation and management in Paraguay is being strengthened through the transfer of resources to the ACEs. This move is intended to improve the educational community’s organizational capacity, school infrastructure, and equipment procurement.</w:t>
      </w:r>
    </w:p>
    <w:p w:rsidR="00000000" w:rsidRDefault="00000000">
      <w:pPr>
        <w:spacing w:after="240"/>
        <w:rPr>
          <w:b/>
        </w:rPr>
      </w:pPr>
      <w:r>
        <w:rPr>
          <w:b/>
        </w:rPr>
        <w:t>4.2</w:t>
      </w:r>
      <w:r>
        <w:rPr>
          <w:b/>
        </w:rPr>
        <w:tab/>
        <w:t>Award of scholarships to young people with few resources for them to continue their secondary education:</w:t>
      </w:r>
    </w:p>
    <w:p w:rsidR="00000000" w:rsidRDefault="00000000">
      <w:pPr>
        <w:spacing w:after="240"/>
        <w:ind w:left="1134" w:hanging="567"/>
      </w:pPr>
      <w:r>
        <w:rPr>
          <w:bCs/>
          <w:i/>
          <w:iCs/>
        </w:rPr>
        <w:t>(a)</w:t>
      </w:r>
      <w:r>
        <w:rPr>
          <w:bCs/>
          <w:i/>
          <w:iCs/>
        </w:rPr>
        <w:tab/>
        <w:t xml:space="preserve">Educational reform programme with emphasis on secondary education: </w:t>
      </w:r>
      <w:r>
        <w:t>the Sustainable Scholarship Programme seeks to increase the retention rate among secondary students aged 15-17 with scant economic resources. The 2005 beneficiaries were 2,807 young secondary students in the departments of San Pedro, Caaguazú, Itapúa, Central, Guairá and Alto Paraná.</w:t>
      </w:r>
    </w:p>
    <w:p w:rsidR="00000000" w:rsidRDefault="00000000">
      <w:pPr>
        <w:spacing w:after="240"/>
        <w:ind w:left="1134" w:hanging="567"/>
      </w:pPr>
      <w:r>
        <w:rPr>
          <w:bCs/>
          <w:i/>
          <w:iCs/>
        </w:rPr>
        <w:t>(b)</w:t>
      </w:r>
      <w:r>
        <w:rPr>
          <w:bCs/>
          <w:i/>
          <w:iCs/>
        </w:rPr>
        <w:tab/>
        <w:t xml:space="preserve">National Scholarships Board: </w:t>
      </w:r>
      <w:r>
        <w:t>the help provided by the Board is designed for tertiary education, teacher training and first and postgraduate degrees (specializations. diplomas. masters’ and doctorates). In 2005 the Board awarded grants to students with economic resources at the various higher-education levels as follows: 435 degree grants, 38 postgraduate grants, 194 teacher-training grants and 89 grants for pursuing various further-training courses in different countries.</w:t>
      </w:r>
    </w:p>
    <w:p w:rsidR="00000000" w:rsidRDefault="00000000">
      <w:pPr>
        <w:spacing w:after="240"/>
      </w:pPr>
      <w:r>
        <w:rPr>
          <w:lang w:val="en-US"/>
        </w:rPr>
        <w:t>597</w:t>
      </w:r>
      <w:r>
        <w:t>.</w:t>
      </w:r>
      <w:r>
        <w:tab/>
        <w:t>One of the measures designed to guarantee egalitarian access to all levels of education is the Programme for the Improvement of Initial and Pre-school Education.</w:t>
      </w:r>
    </w:p>
    <w:p w:rsidR="00000000" w:rsidRDefault="00000000">
      <w:pPr>
        <w:spacing w:after="240"/>
      </w:pPr>
      <w:r>
        <w:rPr>
          <w:b/>
        </w:rPr>
        <w:t>5.</w:t>
      </w:r>
      <w:r>
        <w:rPr>
          <w:b/>
        </w:rPr>
        <w:tab/>
        <w:t>Status of teachers</w:t>
      </w:r>
    </w:p>
    <w:p w:rsidR="00000000" w:rsidRDefault="00000000">
      <w:pPr>
        <w:spacing w:after="240"/>
      </w:pPr>
      <w:r>
        <w:rPr>
          <w:lang w:val="en-US"/>
        </w:rPr>
        <w:t>598</w:t>
      </w:r>
      <w:r>
        <w:t>.</w:t>
      </w:r>
      <w:r>
        <w:tab/>
        <w:t>With regard to the status of teachers in the country, with special reference to the Recommendation adopted on 5 October 1966 by the Intergovernmental Conference on the Status of Teachers convened by Unesco on the status of teachers, the legal framework on which the administrative regulations of the Ministry of Education and Culture are currently based is General Education Act No. 1264 of 26 May 1998, which, in its Chapter II – Section II - regulates the exercise of the teaching profession in articles 133-136. Likewise, its Section III, whose single article (article 137) provides for the formulation of a statute of educational personnel, which was established through Act No. 1725 of 13 September 2001; these are the framework laws that are logically supported by the National Constitution in force since 1992.</w:t>
      </w:r>
    </w:p>
    <w:p w:rsidR="00000000" w:rsidRDefault="00000000">
      <w:pPr>
        <w:spacing w:after="240"/>
      </w:pPr>
      <w:r>
        <w:rPr>
          <w:lang w:val="en-US"/>
        </w:rPr>
        <w:t>599</w:t>
      </w:r>
      <w:r>
        <w:t>.</w:t>
      </w:r>
      <w:r>
        <w:tab/>
        <w:t>A study of the implementation of these recommendations on the status of teachers approved on 5 October 1966 by the Special Intergovernmental Conference on the Status of Teachers shows that they have been complied with, which may be deduced from which a simple reading of legal regulations in force.</w:t>
      </w:r>
    </w:p>
    <w:p w:rsidR="00000000" w:rsidRDefault="00000000">
      <w:pPr>
        <w:spacing w:after="240"/>
      </w:pPr>
      <w:r>
        <w:rPr>
          <w:lang w:val="en-US"/>
        </w:rPr>
        <w:t>600</w:t>
      </w:r>
      <w:r>
        <w:t>.</w:t>
      </w:r>
      <w:r>
        <w:tab/>
        <w:t xml:space="preserve">Regarding paragraph VII in particular (Employment and career), and specifically </w:t>
      </w:r>
      <w:r>
        <w:rPr>
          <w:i/>
        </w:rPr>
        <w:t>Entry to the teaching profession,</w:t>
      </w:r>
      <w:r>
        <w:t xml:space="preserve"> there is currently a regulation based on the recommendations contained in paragraphs 38 and 39 of the reference document, which comes from the Manual for Selection of Professional Educators, by Ministerial Decision No. 2520/05 and in force for one year on an experimental basis, It establishes the criteria for evaluating degrees and merits and for written and oral evaluations as a prerequisite for admission of professional teachers into the national education system. This regulation was formulated as part of the selection policy previously established in the General Education Act, article 135 of which reads: “Educators have the right to […] (b) enter the profession through a competitive system”, and by the Status of Teachers Act, Chapter IV (Concerning  entry, promotion, duration and tenure in the teaching profession), which, in its article 16, states: “Competitive examinations shall be organized in accordance with the regulations in force and shall be the responsibility of the bodies created for that purpose in each region”. In this connection, it should be mentioned that, in pursuance of the restructuring required by the ministerial decision in force since 2004, this process is currently the responsibility of the Human Resources Department, through its Directorate of Competitions, which is in charge of directing the process and for its administrative and technical monitoring, in keeping with the new vision and policy of the Human Resources Administration and abandoning the old concept of simple administration and monitoring of the administrative staff through a Personnel Directorate. The latter still exists but with responsibility for Central Administration personnel under the Human Resources Department. The latter also has a Directorate of Evaluation and Continuing Training and a Directorate of Public Competitive Examinations exclusively for the entry and promotion of teachers.</w:t>
      </w:r>
    </w:p>
    <w:p w:rsidR="00000000" w:rsidRDefault="00000000">
      <w:pPr>
        <w:spacing w:after="240"/>
      </w:pPr>
      <w:r>
        <w:rPr>
          <w:lang w:val="en-US"/>
        </w:rPr>
        <w:t>601</w:t>
      </w:r>
      <w:r>
        <w:t>.</w:t>
      </w:r>
      <w:r>
        <w:tab/>
        <w:t>The antecedents of the regulations in force are the Selection Manuals for 2000 and 2004. It should be pointed out, however, that the former established criteria for evaluating teachers' performance, which went by the name of  Merit Competition, with no other type of evaluation. Subsequently, in order to adjust the regulations to Act No. 1725/05 and in a joint effort of collaboration with teachers’ organizations,  pursuant to Recommendation No. 38 of the aforesaid document, a Selection Manual was prepared and was approved by ministerial Decision No. 16731/03, and the profiles required for competitive posts and marks in public competitive examinations were approved by Ministerial Decision No. 1176/04.</w:t>
      </w:r>
    </w:p>
    <w:p w:rsidR="00000000" w:rsidRDefault="00000000">
      <w:pPr>
        <w:spacing w:after="240"/>
      </w:pPr>
      <w:r>
        <w:rPr>
          <w:lang w:val="en-US"/>
        </w:rPr>
        <w:t>602</w:t>
      </w:r>
      <w:r>
        <w:t>.</w:t>
      </w:r>
      <w:r>
        <w:tab/>
        <w:t>With regard to Recommendation No. 39, Act No. 1725 establishes the aforesaid probationary period mentioned in the document, which article 22 sets at one year, during which professional performance will be evaluated, following which, if confirmed, the person will be awarded tenure and the probationary period will be counted for all legal purposes.</w:t>
      </w:r>
    </w:p>
    <w:p w:rsidR="00000000" w:rsidRDefault="00000000">
      <w:pPr>
        <w:spacing w:after="240"/>
      </w:pPr>
      <w:r>
        <w:rPr>
          <w:lang w:val="en-US"/>
        </w:rPr>
        <w:t>603</w:t>
      </w:r>
      <w:r>
        <w:t>.</w:t>
      </w:r>
      <w:r>
        <w:tab/>
        <w:t>Advancement and promotion  (Recommendations Nos. 40 and 41) are also regulated through the Teachers’ Selection Manual (Ministerial Decision No. 2520/05), in which the requirements for entry and appointment to more responsible positions in the national education system are spelled out. While these are only binding in public schools, all establishments providing education to the public are required to use them as a minimum profile for the exercise of the teaching profession and the evaluation of the moral integrity that goes with it.</w:t>
      </w:r>
    </w:p>
    <w:p w:rsidR="00000000" w:rsidRDefault="00000000">
      <w:pPr>
        <w:spacing w:after="240"/>
      </w:pPr>
      <w:r>
        <w:rPr>
          <w:lang w:val="en-US"/>
        </w:rPr>
        <w:t>604</w:t>
      </w:r>
      <w:r>
        <w:t>.</w:t>
      </w:r>
      <w:r>
        <w:tab/>
        <w:t>In this connection, we have made a qualitative leap in teachers’ promotion to director and supervisor posts in that this is done on the basis not only of quantifiable academic merits, which comprise 50 per cent of the selection process, but also by using both written and oral evaluations based on tests of knowledge, skills and attitudes, while taking into account the principal aim of education and those at whom it is directed, all within the framework of equality and transparency of management processes, publicizing the mechanisms used. More importantly, the process not only involves teachers’ organizations in the preparation of selection instruments, but also enables them to be represented on the selection committees, of which they are active members with all the prerogatives that such membership entails, together with the Secretaries for Education of the local governments and representatives of school and municipal cooperatives who support the process and seek in teachers the quality required for the performance of  their various tasks.</w:t>
      </w:r>
    </w:p>
    <w:p w:rsidR="00000000" w:rsidRDefault="00000000">
      <w:pPr>
        <w:spacing w:after="240"/>
      </w:pPr>
      <w:r>
        <w:rPr>
          <w:b/>
        </w:rPr>
        <w:t>5.1</w:t>
      </w:r>
      <w:r>
        <w:rPr>
          <w:b/>
        </w:rPr>
        <w:tab/>
        <w:t>Other important aspects</w:t>
      </w:r>
    </w:p>
    <w:p w:rsidR="00000000" w:rsidRDefault="00000000">
      <w:pPr>
        <w:spacing w:after="240"/>
      </w:pPr>
      <w:r>
        <w:rPr>
          <w:lang w:val="en-US"/>
        </w:rPr>
        <w:t>605</w:t>
      </w:r>
      <w:r>
        <w:t>.</w:t>
      </w:r>
      <w:r>
        <w:tab/>
        <w:t>A great many unqualified teachers currently work in the education system, for which they need the title of “assistant” (</w:t>
      </w:r>
      <w:r>
        <w:rPr>
          <w:i/>
        </w:rPr>
        <w:t>habilitante</w:t>
      </w:r>
      <w:r>
        <w:t xml:space="preserve">), and for which they pursue the training needed. This is the case exclusively in rural areas, in which such teachers perform a very important task in view of the dearth of qualified human resources in these areas. It is therefore important to point out that in the Final Provisions, Chapter XII, of Act No. 1725, article 60 establishes that non-professional personnel teaching or performing administrative technical support work in education at the time the Act was promulgated will have a maximum of five years from its promulgation to obtain the title of </w:t>
      </w:r>
      <w:r>
        <w:rPr>
          <w:i/>
        </w:rPr>
        <w:t>habilitante</w:t>
      </w:r>
      <w:r>
        <w:t xml:space="preserve"> and the necessary qualification. The deadline is therefore 13 September 2006. With that in mind, the Ministry has duly provided the appropriate opportunities for professionalization and training, as well as continuing education, all in accordance with the 1966 recommendations.</w:t>
      </w:r>
    </w:p>
    <w:p w:rsidR="00000000" w:rsidRDefault="00000000">
      <w:pPr>
        <w:spacing w:after="240"/>
      </w:pPr>
      <w:r>
        <w:rPr>
          <w:lang w:val="en-US"/>
        </w:rPr>
        <w:t>606</w:t>
      </w:r>
      <w:r>
        <w:t>.</w:t>
      </w:r>
      <w:r>
        <w:tab/>
        <w:t xml:space="preserve">In conclusion, recommendations on the status of teachers have been fully complied with the legal education regulations. Also, the existing legal framework and, consequently, the related administrative measures are contained and provided for in the General Education Act, the Teachers’ Statute and the Handbook for selection of professional educators. </w:t>
      </w:r>
    </w:p>
    <w:p w:rsidR="00000000" w:rsidRDefault="00000000">
      <w:pPr>
        <w:spacing w:after="240"/>
      </w:pPr>
      <w:r>
        <w:rPr>
          <w:b/>
        </w:rPr>
        <w:t>6.</w:t>
      </w:r>
      <w:r>
        <w:rPr>
          <w:b/>
        </w:rPr>
        <w:tab/>
        <w:t>Trends in teachers’ salaries</w:t>
      </w:r>
    </w:p>
    <w:p w:rsidR="00000000" w:rsidRDefault="00000000">
      <w:pPr>
        <w:spacing w:after="240"/>
      </w:pPr>
      <w:r>
        <w:rPr>
          <w:lang w:val="en-US"/>
        </w:rPr>
        <w:t>607</w:t>
      </w:r>
      <w:r>
        <w:t>.</w:t>
      </w:r>
      <w:r>
        <w:tab/>
        <w:t>As shown in the schematic table below, there has been a steady increase in teachers’ salaries over the past decade:</w:t>
      </w:r>
    </w:p>
    <w:p w:rsidR="00000000" w:rsidRDefault="00000000">
      <w:pPr>
        <w:spacing w:after="240"/>
        <w:jc w:val="center"/>
        <w:rPr>
          <w:b/>
        </w:rPr>
      </w:pPr>
      <w:r>
        <w:br w:type="page"/>
      </w:r>
      <w:r>
        <w:rPr>
          <w:b/>
          <w:sz w:val="22"/>
        </w:rPr>
        <w:t>Trends in teachers’ salaries - Period 1994-2005</w:t>
      </w:r>
    </w:p>
    <w:tbl>
      <w:tblPr>
        <w:tblW w:w="5000" w:type="pct"/>
        <w:jc w:val="center"/>
        <w:tblLayout w:type="fixed"/>
        <w:tblCellMar>
          <w:left w:w="0" w:type="dxa"/>
          <w:right w:w="0" w:type="dxa"/>
        </w:tblCellMar>
        <w:tblLook w:val="0000" w:firstRow="0" w:lastRow="0" w:firstColumn="0" w:lastColumn="0" w:noHBand="0" w:noVBand="0"/>
      </w:tblPr>
      <w:tblGrid>
        <w:gridCol w:w="2430"/>
        <w:gridCol w:w="1811"/>
        <w:gridCol w:w="2053"/>
        <w:gridCol w:w="3099"/>
        <w:gridCol w:w="50"/>
      </w:tblGrid>
      <w:tr w:rsidR="00000000">
        <w:trPr>
          <w:cantSplit/>
          <w:tblHeader/>
          <w:jc w:val="center"/>
        </w:trPr>
        <w:tc>
          <w:tcPr>
            <w:tcW w:w="1287" w:type="pct"/>
            <w:vMerge w:val="restart"/>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80" w:after="80"/>
              <w:jc w:val="center"/>
              <w:rPr>
                <w:rFonts w:eastAsia="Arial Unicode MS"/>
                <w:b/>
                <w:bCs/>
                <w:i/>
                <w:iCs/>
                <w:sz w:val="20"/>
                <w:szCs w:val="16"/>
              </w:rPr>
            </w:pPr>
            <w:r>
              <w:rPr>
                <w:b/>
                <w:bCs/>
                <w:i/>
                <w:iCs/>
                <w:sz w:val="20"/>
                <w:szCs w:val="16"/>
              </w:rPr>
              <w:t>Years</w:t>
            </w:r>
          </w:p>
        </w:tc>
        <w:tc>
          <w:tcPr>
            <w:tcW w:w="2046" w:type="pct"/>
            <w:gridSpan w:val="2"/>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80" w:after="80"/>
              <w:jc w:val="center"/>
              <w:rPr>
                <w:rFonts w:eastAsia="Arial Unicode MS"/>
                <w:b/>
                <w:bCs/>
                <w:i/>
                <w:iCs/>
                <w:sz w:val="20"/>
              </w:rPr>
            </w:pPr>
            <w:r>
              <w:rPr>
                <w:b/>
                <w:bCs/>
                <w:i/>
                <w:iCs/>
                <w:sz w:val="20"/>
              </w:rPr>
              <w:t>Basic school educ. (first and second cycles)</w:t>
            </w:r>
          </w:p>
        </w:tc>
        <w:tc>
          <w:tcPr>
            <w:tcW w:w="1641" w:type="pct"/>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80" w:after="80"/>
              <w:jc w:val="center"/>
              <w:rPr>
                <w:rFonts w:eastAsia="Arial Unicode MS"/>
                <w:b/>
                <w:bCs/>
                <w:i/>
                <w:iCs/>
                <w:sz w:val="20"/>
              </w:rPr>
            </w:pPr>
            <w:r>
              <w:rPr>
                <w:b/>
                <w:bCs/>
                <w:i/>
                <w:iCs/>
                <w:sz w:val="20"/>
                <w:lang w:val="en-US"/>
              </w:rPr>
              <w:t>Categ. 1</w:t>
            </w:r>
          </w:p>
        </w:tc>
        <w:tc>
          <w:tcPr>
            <w:tcW w:w="26" w:type="pct"/>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spacing w:before="80" w:after="80"/>
              <w:rPr>
                <w:rFonts w:eastAsia="Arial Unicode MS"/>
                <w:b/>
                <w:bCs/>
                <w:i/>
                <w:iCs/>
                <w:sz w:val="20"/>
              </w:rPr>
            </w:pPr>
          </w:p>
        </w:tc>
      </w:tr>
      <w:tr w:rsidR="00000000">
        <w:trPr>
          <w:cantSplit/>
          <w:tblHeader/>
          <w:jc w:val="center"/>
        </w:trPr>
        <w:tc>
          <w:tcPr>
            <w:tcW w:w="1287" w:type="pct"/>
            <w:vMerge/>
            <w:tcBorders>
              <w:top w:val="single" w:sz="4" w:space="0" w:color="auto"/>
            </w:tcBorders>
            <w:vAlign w:val="center"/>
          </w:tcPr>
          <w:p w:rsidR="00000000" w:rsidRDefault="00000000">
            <w:pPr>
              <w:spacing w:before="80" w:after="80"/>
              <w:jc w:val="center"/>
              <w:rPr>
                <w:rFonts w:eastAsia="Arial Unicode MS"/>
                <w:b/>
                <w:bCs/>
                <w:i/>
                <w:iCs/>
                <w:sz w:val="20"/>
                <w:szCs w:val="16"/>
              </w:rPr>
            </w:pPr>
          </w:p>
        </w:tc>
        <w:tc>
          <w:tcPr>
            <w:tcW w:w="959" w:type="pct"/>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b/>
                <w:bCs/>
                <w:i/>
                <w:iCs/>
                <w:sz w:val="20"/>
                <w:lang w:val="es-ES_tradnl"/>
              </w:rPr>
            </w:pPr>
            <w:r>
              <w:rPr>
                <w:b/>
                <w:bCs/>
                <w:i/>
                <w:iCs/>
                <w:sz w:val="20"/>
                <w:lang w:val="en-US"/>
              </w:rPr>
              <w:t>Categ. 1</w:t>
            </w:r>
          </w:p>
        </w:tc>
        <w:tc>
          <w:tcPr>
            <w:tcW w:w="1087" w:type="pct"/>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b/>
                <w:bCs/>
                <w:i/>
                <w:iCs/>
                <w:sz w:val="20"/>
                <w:lang w:val="es-ES_tradnl"/>
              </w:rPr>
            </w:pPr>
            <w:r>
              <w:rPr>
                <w:b/>
                <w:bCs/>
                <w:i/>
                <w:iCs/>
                <w:sz w:val="20"/>
                <w:lang w:val="en-US"/>
              </w:rPr>
              <w:t>Certified teacher</w:t>
            </w:r>
          </w:p>
        </w:tc>
        <w:tc>
          <w:tcPr>
            <w:tcW w:w="1641" w:type="pct"/>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b/>
                <w:bCs/>
                <w:i/>
                <w:iCs/>
                <w:sz w:val="20"/>
              </w:rPr>
            </w:pPr>
            <w:r>
              <w:rPr>
                <w:rFonts w:eastAsia="Arial Unicode MS"/>
                <w:b/>
                <w:bCs/>
                <w:i/>
                <w:iCs/>
                <w:sz w:val="20"/>
              </w:rPr>
              <w:t>Classroom hours</w:t>
            </w:r>
          </w:p>
        </w:tc>
        <w:tc>
          <w:tcPr>
            <w:tcW w:w="26" w:type="pct"/>
            <w:tcBorders>
              <w:top w:val="single" w:sz="4" w:space="0" w:color="auto"/>
            </w:tcBorders>
            <w:noWrap/>
            <w:tcMar>
              <w:top w:w="15" w:type="dxa"/>
              <w:left w:w="15" w:type="dxa"/>
              <w:bottom w:w="0" w:type="dxa"/>
              <w:right w:w="15" w:type="dxa"/>
            </w:tcMar>
            <w:vAlign w:val="bottom"/>
          </w:tcPr>
          <w:p w:rsidR="00000000" w:rsidRDefault="00000000">
            <w:pPr>
              <w:spacing w:before="80" w:after="80"/>
              <w:rPr>
                <w:rFonts w:eastAsia="Arial Unicode MS"/>
                <w:b/>
                <w:bCs/>
                <w:i/>
                <w:iCs/>
                <w:sz w:val="20"/>
              </w:rPr>
            </w:pPr>
          </w:p>
        </w:tc>
      </w:tr>
      <w:tr w:rsidR="00000000">
        <w:trPr>
          <w:cantSplit/>
          <w:tblHeader/>
          <w:jc w:val="center"/>
        </w:trPr>
        <w:tc>
          <w:tcPr>
            <w:tcW w:w="1287" w:type="pct"/>
            <w:vMerge/>
            <w:tcBorders>
              <w:bottom w:val="single" w:sz="4" w:space="0" w:color="auto"/>
            </w:tcBorders>
            <w:vAlign w:val="center"/>
          </w:tcPr>
          <w:p w:rsidR="00000000" w:rsidRDefault="00000000">
            <w:pPr>
              <w:spacing w:before="80" w:after="80"/>
              <w:jc w:val="center"/>
              <w:rPr>
                <w:rFonts w:eastAsia="Arial Unicode MS"/>
                <w:b/>
                <w:bCs/>
                <w:i/>
                <w:iCs/>
                <w:sz w:val="20"/>
                <w:szCs w:val="16"/>
              </w:rPr>
            </w:pPr>
          </w:p>
        </w:tc>
        <w:tc>
          <w:tcPr>
            <w:tcW w:w="2046" w:type="pct"/>
            <w:gridSpan w:val="2"/>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80" w:after="80"/>
              <w:jc w:val="center"/>
              <w:rPr>
                <w:rFonts w:eastAsia="Arial Unicode MS"/>
                <w:b/>
                <w:bCs/>
                <w:i/>
                <w:iCs/>
                <w:sz w:val="20"/>
                <w:szCs w:val="16"/>
              </w:rPr>
            </w:pPr>
            <w:r>
              <w:rPr>
                <w:b/>
                <w:bCs/>
                <w:i/>
                <w:iCs/>
                <w:sz w:val="20"/>
                <w:szCs w:val="16"/>
              </w:rPr>
              <w:t>Amount (Gs.)</w:t>
            </w:r>
          </w:p>
        </w:tc>
        <w:tc>
          <w:tcPr>
            <w:tcW w:w="1641" w:type="pct"/>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b/>
                <w:bCs/>
                <w:i/>
                <w:iCs/>
                <w:sz w:val="20"/>
                <w:szCs w:val="16"/>
              </w:rPr>
            </w:pPr>
            <w:r>
              <w:rPr>
                <w:b/>
                <w:bCs/>
                <w:i/>
                <w:iCs/>
                <w:sz w:val="20"/>
                <w:szCs w:val="16"/>
              </w:rPr>
              <w:t>Amount (hourly rate)</w:t>
            </w:r>
          </w:p>
        </w:tc>
        <w:tc>
          <w:tcPr>
            <w:tcW w:w="26" w:type="pct"/>
            <w:tcBorders>
              <w:bottom w:val="single" w:sz="4" w:space="0" w:color="auto"/>
            </w:tcBorders>
            <w:noWrap/>
            <w:tcMar>
              <w:top w:w="15" w:type="dxa"/>
              <w:left w:w="15" w:type="dxa"/>
              <w:bottom w:w="0" w:type="dxa"/>
              <w:right w:w="15" w:type="dxa"/>
            </w:tcMar>
            <w:vAlign w:val="bottom"/>
          </w:tcPr>
          <w:p w:rsidR="00000000" w:rsidRDefault="00000000">
            <w:pPr>
              <w:spacing w:before="80" w:after="80"/>
              <w:rPr>
                <w:rFonts w:eastAsia="Arial Unicode MS"/>
                <w:b/>
                <w:bCs/>
                <w:i/>
                <w:iCs/>
                <w:sz w:val="20"/>
              </w:rPr>
            </w:pPr>
          </w:p>
        </w:tc>
      </w:tr>
      <w:tr w:rsidR="00000000">
        <w:trPr>
          <w:jc w:val="center"/>
        </w:trPr>
        <w:tc>
          <w:tcPr>
            <w:tcW w:w="1287" w:type="pct"/>
            <w:tcBorders>
              <w:top w:val="single" w:sz="4" w:space="0" w:color="auto"/>
            </w:tcBorders>
            <w:noWrap/>
            <w:tcMar>
              <w:top w:w="15" w:type="dxa"/>
              <w:left w:w="15" w:type="dxa"/>
              <w:bottom w:w="0" w:type="dxa"/>
              <w:right w:w="15" w:type="dxa"/>
            </w:tcMar>
            <w:vAlign w:val="center"/>
          </w:tcPr>
          <w:p w:rsidR="00000000" w:rsidRDefault="00000000">
            <w:pPr>
              <w:spacing w:before="80" w:after="80"/>
              <w:rPr>
                <w:rFonts w:eastAsia="Arial Unicode MS"/>
                <w:sz w:val="20"/>
                <w:lang w:val="es-ES_tradnl"/>
              </w:rPr>
            </w:pPr>
            <w:r>
              <w:rPr>
                <w:sz w:val="20"/>
                <w:lang w:val="es-ES_tradnl"/>
              </w:rPr>
              <w:t>1994</w:t>
            </w:r>
          </w:p>
        </w:tc>
        <w:tc>
          <w:tcPr>
            <w:tcW w:w="959" w:type="pct"/>
            <w:tcBorders>
              <w:top w:val="single" w:sz="4" w:space="0" w:color="auto"/>
            </w:tcBorders>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423 700</w:t>
            </w:r>
          </w:p>
        </w:tc>
        <w:tc>
          <w:tcPr>
            <w:tcW w:w="1087" w:type="pct"/>
            <w:tcBorders>
              <w:top w:val="single" w:sz="4" w:space="0" w:color="auto"/>
            </w:tcBorders>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274 100</w:t>
            </w:r>
          </w:p>
        </w:tc>
        <w:tc>
          <w:tcPr>
            <w:tcW w:w="1641" w:type="pct"/>
            <w:tcBorders>
              <w:top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r>
              <w:rPr>
                <w:sz w:val="20"/>
                <w:lang w:val="es-ES_tradnl"/>
              </w:rPr>
              <w:t>5 300</w:t>
            </w:r>
          </w:p>
        </w:tc>
        <w:tc>
          <w:tcPr>
            <w:tcW w:w="26" w:type="pct"/>
            <w:tcBorders>
              <w:top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es-ES_tradnl"/>
              </w:rPr>
            </w:pPr>
            <w:r>
              <w:rPr>
                <w:sz w:val="20"/>
                <w:lang w:val="es-ES_tradnl"/>
              </w:rPr>
              <w:t>1995</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489 400</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316 600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r>
              <w:rPr>
                <w:sz w:val="20"/>
                <w:lang w:val="es-ES_tradnl"/>
              </w:rPr>
              <w:t>6 120</w:t>
            </w:r>
          </w:p>
        </w:tc>
        <w:tc>
          <w:tcPr>
            <w:tcW w:w="26"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es-ES_tradnl"/>
              </w:rPr>
            </w:pPr>
            <w:r>
              <w:rPr>
                <w:sz w:val="20"/>
                <w:lang w:val="es-ES_tradnl"/>
              </w:rPr>
              <w:t>1996</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538 300</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348 300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r>
              <w:rPr>
                <w:sz w:val="20"/>
                <w:lang w:val="es-ES_tradnl"/>
              </w:rPr>
              <w:t>6 730</w:t>
            </w:r>
          </w:p>
        </w:tc>
        <w:tc>
          <w:tcPr>
            <w:tcW w:w="26"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es-ES_tradnl"/>
              </w:rPr>
            </w:pPr>
            <w:r>
              <w:rPr>
                <w:sz w:val="20"/>
                <w:lang w:val="es-ES_tradnl"/>
              </w:rPr>
              <w:t>1997</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538 300</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348 300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r>
              <w:rPr>
                <w:sz w:val="20"/>
                <w:lang w:val="es-ES_tradnl"/>
              </w:rPr>
              <w:t>6 730</w:t>
            </w:r>
          </w:p>
        </w:tc>
        <w:tc>
          <w:tcPr>
            <w:tcW w:w="26"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es-ES_tradnl"/>
              </w:rPr>
            </w:pPr>
            <w:r>
              <w:rPr>
                <w:sz w:val="20"/>
                <w:lang w:val="es-ES_tradnl"/>
              </w:rPr>
              <w:t>1998</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613 660</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397 060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r>
              <w:rPr>
                <w:sz w:val="20"/>
                <w:lang w:val="es-ES_tradnl"/>
              </w:rPr>
              <w:t>7 400</w:t>
            </w:r>
          </w:p>
        </w:tc>
        <w:tc>
          <w:tcPr>
            <w:tcW w:w="26"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es-ES_tradnl"/>
              </w:rPr>
            </w:pPr>
            <w:r>
              <w:rPr>
                <w:sz w:val="20"/>
                <w:lang w:val="es-ES_tradnl"/>
              </w:rPr>
              <w:t>1999 (</w:t>
            </w:r>
            <w:r>
              <w:rPr>
                <w:sz w:val="20"/>
                <w:lang w:val="pt-BR"/>
              </w:rPr>
              <w:t>1st sem</w:t>
            </w:r>
            <w:r>
              <w:rPr>
                <w:sz w:val="20"/>
                <w:lang w:val="es-ES_tradnl"/>
              </w:rPr>
              <w:t>)</w:t>
            </w:r>
          </w:p>
        </w:tc>
        <w:tc>
          <w:tcPr>
            <w:tcW w:w="959"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r>
              <w:rPr>
                <w:sz w:val="20"/>
                <w:lang w:val="es-ES_tradnl"/>
              </w:rPr>
              <w:t>650 480</w:t>
            </w:r>
          </w:p>
        </w:tc>
        <w:tc>
          <w:tcPr>
            <w:tcW w:w="1087"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r>
              <w:rPr>
                <w:sz w:val="20"/>
                <w:lang w:val="es-ES_tradnl"/>
              </w:rPr>
              <w:t>420 884</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r>
              <w:rPr>
                <w:sz w:val="20"/>
                <w:lang w:val="es-ES_tradnl"/>
              </w:rPr>
              <w:t>7 844</w:t>
            </w:r>
          </w:p>
        </w:tc>
        <w:tc>
          <w:tcPr>
            <w:tcW w:w="26"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es-ES_tradnl"/>
              </w:rPr>
            </w:pPr>
            <w:r>
              <w:rPr>
                <w:sz w:val="20"/>
                <w:lang w:val="es-ES_tradnl"/>
              </w:rPr>
              <w:t>1999 (</w:t>
            </w:r>
            <w:r>
              <w:rPr>
                <w:sz w:val="20"/>
                <w:lang w:val="pt-BR"/>
              </w:rPr>
              <w:t>2nd sem</w:t>
            </w:r>
            <w:r>
              <w:rPr>
                <w:sz w:val="20"/>
                <w:lang w:val="es-ES_tradnl"/>
              </w:rPr>
              <w:t>)</w:t>
            </w:r>
          </w:p>
        </w:tc>
        <w:tc>
          <w:tcPr>
            <w:tcW w:w="959"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r>
              <w:rPr>
                <w:sz w:val="20"/>
                <w:lang w:val="es-ES_tradnl"/>
              </w:rPr>
              <w:t>689 508</w:t>
            </w:r>
          </w:p>
        </w:tc>
        <w:tc>
          <w:tcPr>
            <w:tcW w:w="1087"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r>
              <w:rPr>
                <w:sz w:val="20"/>
                <w:lang w:val="es-ES_tradnl"/>
              </w:rPr>
              <w:t>446 137</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r>
              <w:rPr>
                <w:sz w:val="20"/>
                <w:lang w:val="es-ES_tradnl"/>
              </w:rPr>
              <w:t>8 315</w:t>
            </w:r>
          </w:p>
        </w:tc>
        <w:tc>
          <w:tcPr>
            <w:tcW w:w="26"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es-ES_tradnl"/>
              </w:rPr>
            </w:pPr>
            <w:r>
              <w:rPr>
                <w:sz w:val="20"/>
                <w:lang w:val="es-ES_tradnl"/>
              </w:rPr>
              <w:t>2000</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758 400</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490 700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r>
              <w:rPr>
                <w:sz w:val="20"/>
                <w:lang w:val="es-ES_tradnl"/>
              </w:rPr>
              <w:t>9 100</w:t>
            </w:r>
          </w:p>
        </w:tc>
        <w:tc>
          <w:tcPr>
            <w:tcW w:w="26"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es-ES_tradnl"/>
              </w:rPr>
            </w:pPr>
            <w:r>
              <w:rPr>
                <w:sz w:val="20"/>
                <w:lang w:val="es-ES_tradnl"/>
              </w:rPr>
              <w:t>2001</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758 400</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490 700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r>
              <w:rPr>
                <w:sz w:val="20"/>
                <w:lang w:val="es-ES_tradnl"/>
              </w:rPr>
              <w:t>9 100</w:t>
            </w:r>
          </w:p>
        </w:tc>
        <w:tc>
          <w:tcPr>
            <w:tcW w:w="26"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es-ES_tradnl"/>
              </w:rPr>
            </w:pPr>
            <w:r>
              <w:rPr>
                <w:sz w:val="20"/>
                <w:lang w:val="es-ES_tradnl"/>
              </w:rPr>
              <w:t>2002</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758 400</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490 700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r>
              <w:rPr>
                <w:sz w:val="20"/>
                <w:lang w:val="es-ES_tradnl"/>
              </w:rPr>
              <w:t>9 100</w:t>
            </w:r>
          </w:p>
        </w:tc>
        <w:tc>
          <w:tcPr>
            <w:tcW w:w="26"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es-ES_tradnl"/>
              </w:rPr>
            </w:pPr>
            <w:r>
              <w:rPr>
                <w:sz w:val="20"/>
                <w:lang w:val="es-ES_tradnl"/>
              </w:rPr>
              <w:t>2003</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758 400</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490 700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r>
              <w:rPr>
                <w:sz w:val="20"/>
                <w:lang w:val="es-ES_tradnl"/>
              </w:rPr>
              <w:t>9 100</w:t>
            </w:r>
          </w:p>
        </w:tc>
        <w:tc>
          <w:tcPr>
            <w:tcW w:w="26"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es-ES_tradnl"/>
              </w:rPr>
            </w:pPr>
            <w:r>
              <w:rPr>
                <w:sz w:val="20"/>
                <w:lang w:val="es-ES_tradnl"/>
              </w:rPr>
              <w:t>2004</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823 622</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es-ES_tradnl"/>
              </w:rPr>
            </w:pPr>
            <w:r>
              <w:rPr>
                <w:sz w:val="20"/>
                <w:lang w:val="es-ES_tradnl"/>
              </w:rPr>
              <w:t>532 900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r>
              <w:rPr>
                <w:sz w:val="20"/>
                <w:lang w:val="es-ES_tradnl"/>
              </w:rPr>
              <w:t>10 000</w:t>
            </w:r>
          </w:p>
        </w:tc>
        <w:tc>
          <w:tcPr>
            <w:tcW w:w="26"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es-ES_tradnl"/>
              </w:rPr>
            </w:pPr>
          </w:p>
        </w:tc>
      </w:tr>
      <w:tr w:rsidR="00000000">
        <w:trPr>
          <w:jc w:val="center"/>
        </w:trPr>
        <w:tc>
          <w:tcPr>
            <w:tcW w:w="1287" w:type="pct"/>
            <w:tcBorders>
              <w:bottom w:val="single" w:sz="4" w:space="0" w:color="auto"/>
            </w:tcBorders>
            <w:noWrap/>
            <w:tcMar>
              <w:top w:w="15" w:type="dxa"/>
              <w:left w:w="15" w:type="dxa"/>
              <w:bottom w:w="0" w:type="dxa"/>
              <w:right w:w="15" w:type="dxa"/>
            </w:tcMar>
            <w:vAlign w:val="center"/>
          </w:tcPr>
          <w:p w:rsidR="00000000" w:rsidRDefault="00000000">
            <w:pPr>
              <w:spacing w:before="80" w:after="80"/>
              <w:rPr>
                <w:rFonts w:eastAsia="Arial Unicode MS"/>
                <w:sz w:val="20"/>
              </w:rPr>
            </w:pPr>
            <w:r>
              <w:rPr>
                <w:sz w:val="20"/>
              </w:rPr>
              <w:t>2005</w:t>
            </w:r>
          </w:p>
        </w:tc>
        <w:tc>
          <w:tcPr>
            <w:tcW w:w="959" w:type="pct"/>
            <w:tcBorders>
              <w:bottom w:val="single" w:sz="4" w:space="0" w:color="auto"/>
            </w:tcBorders>
            <w:noWrap/>
            <w:tcMar>
              <w:top w:w="15" w:type="dxa"/>
              <w:left w:w="15" w:type="dxa"/>
              <w:bottom w:w="0" w:type="dxa"/>
              <w:right w:w="15" w:type="dxa"/>
            </w:tcMar>
            <w:vAlign w:val="center"/>
          </w:tcPr>
          <w:p w:rsidR="00000000" w:rsidRDefault="00000000">
            <w:pPr>
              <w:spacing w:before="80" w:after="80"/>
              <w:jc w:val="center"/>
              <w:rPr>
                <w:rFonts w:eastAsia="Arial Unicode MS"/>
                <w:sz w:val="20"/>
              </w:rPr>
            </w:pPr>
            <w:r>
              <w:rPr>
                <w:sz w:val="20"/>
              </w:rPr>
              <w:t>823 622</w:t>
            </w:r>
          </w:p>
        </w:tc>
        <w:tc>
          <w:tcPr>
            <w:tcW w:w="1087" w:type="pct"/>
            <w:tcBorders>
              <w:bottom w:val="single" w:sz="4" w:space="0" w:color="auto"/>
            </w:tcBorders>
            <w:noWrap/>
            <w:tcMar>
              <w:top w:w="15" w:type="dxa"/>
              <w:left w:w="15" w:type="dxa"/>
              <w:bottom w:w="0" w:type="dxa"/>
              <w:right w:w="15" w:type="dxa"/>
            </w:tcMar>
            <w:vAlign w:val="center"/>
          </w:tcPr>
          <w:p w:rsidR="00000000" w:rsidRDefault="00000000">
            <w:pPr>
              <w:spacing w:before="80" w:after="80"/>
              <w:jc w:val="center"/>
              <w:rPr>
                <w:rFonts w:eastAsia="Arial Unicode MS"/>
                <w:sz w:val="20"/>
              </w:rPr>
            </w:pPr>
            <w:r>
              <w:rPr>
                <w:sz w:val="20"/>
              </w:rPr>
              <w:t>532 900</w:t>
            </w:r>
          </w:p>
        </w:tc>
        <w:tc>
          <w:tcPr>
            <w:tcW w:w="1641" w:type="pct"/>
            <w:tcBorders>
              <w:bottom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sz w:val="20"/>
              </w:rPr>
            </w:pPr>
            <w:r>
              <w:rPr>
                <w:sz w:val="20"/>
              </w:rPr>
              <w:t>10 000</w:t>
            </w:r>
          </w:p>
        </w:tc>
        <w:tc>
          <w:tcPr>
            <w:tcW w:w="26" w:type="pct"/>
            <w:tcBorders>
              <w:bottom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sz w:val="20"/>
              </w:rPr>
            </w:pPr>
          </w:p>
        </w:tc>
      </w:tr>
    </w:tbl>
    <w:p w:rsidR="00000000" w:rsidRDefault="00000000">
      <w:pPr>
        <w:spacing w:before="80" w:after="240"/>
        <w:ind w:firstLine="567"/>
        <w:rPr>
          <w:b/>
        </w:rPr>
      </w:pPr>
      <w:r>
        <w:rPr>
          <w:i/>
          <w:iCs/>
          <w:sz w:val="20"/>
        </w:rPr>
        <w:t>Source</w:t>
      </w:r>
      <w:r>
        <w:rPr>
          <w:b/>
          <w:bCs/>
          <w:sz w:val="20"/>
        </w:rPr>
        <w:t xml:space="preserve">: </w:t>
      </w:r>
      <w:r>
        <w:rPr>
          <w:sz w:val="20"/>
        </w:rPr>
        <w:t>General Budget of Expenditures of the Nation: Personnel Annex (1994-2005). Ministry of Finance.</w:t>
      </w:r>
    </w:p>
    <w:p w:rsidR="00000000" w:rsidRDefault="00000000">
      <w:pPr>
        <w:spacing w:after="240"/>
        <w:rPr>
          <w:b/>
        </w:rPr>
      </w:pPr>
      <w:r>
        <w:rPr>
          <w:b/>
        </w:rPr>
        <w:t>Comments:</w:t>
      </w:r>
    </w:p>
    <w:p w:rsidR="00000000" w:rsidRDefault="00000000">
      <w:pPr>
        <w:spacing w:after="240"/>
        <w:ind w:firstLine="567"/>
        <w:rPr>
          <w:bCs/>
        </w:rPr>
      </w:pPr>
      <w:r>
        <w:rPr>
          <w:szCs w:val="22"/>
        </w:rPr>
        <w:t>–</w:t>
      </w:r>
      <w:r>
        <w:rPr>
          <w:bCs/>
        </w:rPr>
        <w:tab/>
        <w:t>A 10 per cent increase in teachers’ salaries is envisaged from November 2005.</w:t>
      </w:r>
    </w:p>
    <w:p w:rsidR="00000000" w:rsidRDefault="00000000">
      <w:pPr>
        <w:spacing w:after="240"/>
        <w:ind w:firstLine="567"/>
        <w:rPr>
          <w:bCs/>
        </w:rPr>
      </w:pPr>
      <w:r>
        <w:rPr>
          <w:bCs/>
        </w:rPr>
        <w:softHyphen/>
      </w:r>
      <w:r>
        <w:rPr>
          <w:bCs/>
        </w:rPr>
        <w:tab/>
        <w:t>A basic education teacher earns a monthly salary based on one teaching shift.</w:t>
      </w:r>
    </w:p>
    <w:p w:rsidR="00000000" w:rsidRDefault="00000000">
      <w:pPr>
        <w:spacing w:after="240"/>
        <w:ind w:left="1134" w:hanging="567"/>
        <w:rPr>
          <w:bCs/>
        </w:rPr>
      </w:pPr>
      <w:r>
        <w:rPr>
          <w:szCs w:val="22"/>
        </w:rPr>
        <w:t>–</w:t>
      </w:r>
      <w:r>
        <w:rPr>
          <w:szCs w:val="22"/>
        </w:rPr>
        <w:tab/>
      </w:r>
      <w:r>
        <w:rPr>
          <w:bCs/>
        </w:rPr>
        <w:t>A secondary-education teacher may teach a maximum total of 260 hours per month in the two shifts.</w:t>
      </w:r>
    </w:p>
    <w:p w:rsidR="00000000" w:rsidRDefault="00000000">
      <w:pPr>
        <w:spacing w:after="240"/>
      </w:pPr>
      <w:r>
        <w:rPr>
          <w:lang w:val="en-US"/>
        </w:rPr>
        <w:t>608</w:t>
      </w:r>
      <w:r>
        <w:t>.</w:t>
      </w:r>
      <w:r>
        <w:tab/>
        <w:t>In conclusion, it should be mentioned that during the period under consideration there  have been no special laws governing education that violate the principles set forth in article 13.</w:t>
      </w:r>
    </w:p>
    <w:p w:rsidR="00000000" w:rsidRDefault="00000000">
      <w:pPr>
        <w:spacing w:after="240"/>
      </w:pPr>
      <w:r>
        <w:rPr>
          <w:lang w:val="en-US"/>
        </w:rPr>
        <w:t>609</w:t>
      </w:r>
      <w:r>
        <w:t>.</w:t>
      </w:r>
      <w:r>
        <w:tab/>
        <w:t>By the same token, regarding the right to education, mention must be made of the legal reform process as a component of the education reform (State Policy) currently under way in the country. The following are the most salient Acts promulgated under the legal reform component: No. 1246/98, General Education”; No. 2072/2003 creating the National Higher Education Evaluation and Accreditation Agency; No. 1680/2001 (Code on  Children and Adolescents); No. 1725/2001 (Teachers’ Statute); and Regulatory Decree No. 468/03. The regulations emanating from the Ministry of Education and Culture have also been brought into line with the aforementioned norms.</w:t>
      </w:r>
    </w:p>
    <w:p w:rsidR="00000000" w:rsidRDefault="00000000">
      <w:pPr>
        <w:spacing w:after="240"/>
      </w:pPr>
      <w:r>
        <w:rPr>
          <w:lang w:val="en-US"/>
        </w:rPr>
        <w:t>610</w:t>
      </w:r>
      <w:r>
        <w:t>.</w:t>
      </w:r>
      <w:r>
        <w:tab/>
        <w:t>The norms cited about have been faithfully incorporated into the principles enshrined in the International Covenant on Economic, Social and Cultural Rights, thus consolidating the far-reaching changes produced in the process of entrenching all citizens’ full enjoyment of the right to education.</w:t>
      </w:r>
    </w:p>
    <w:p w:rsidR="00000000" w:rsidRDefault="00000000">
      <w:pPr>
        <w:spacing w:after="240"/>
        <w:jc w:val="center"/>
        <w:rPr>
          <w:smallCaps/>
        </w:rPr>
      </w:pPr>
      <w:r>
        <w:rPr>
          <w:b/>
          <w:smallCaps/>
        </w:rPr>
        <w:t>Article 14</w:t>
      </w:r>
    </w:p>
    <w:p w:rsidR="00000000" w:rsidRDefault="00000000">
      <w:pPr>
        <w:spacing w:after="240"/>
      </w:pPr>
      <w:r>
        <w:rPr>
          <w:lang w:val="en-US"/>
        </w:rPr>
        <w:t>611</w:t>
      </w:r>
      <w:r>
        <w:t>.</w:t>
      </w:r>
      <w:r>
        <w:tab/>
        <w:t>Article 75 of the National Constitution, “Concerning the obligations of the State”, determines that: “Basic school education is compulsory. It shall be free in public schools .”</w:t>
      </w:r>
    </w:p>
    <w:p w:rsidR="00000000" w:rsidRDefault="00000000">
      <w:pPr>
        <w:spacing w:after="240"/>
      </w:pPr>
      <w:r>
        <w:rPr>
          <w:lang w:val="en-US"/>
        </w:rPr>
        <w:t>612</w:t>
      </w:r>
      <w:r>
        <w:t>.</w:t>
      </w:r>
      <w:r>
        <w:tab/>
        <w:t>Furthermore. considerable progress has been made on enrolment from initial to secondary education, as well as on gender equity and the reduction of illiteracy. That having been said, Paraguay still faces the challenge of increasing the school retention rate, since a minimum of 12 years’ study is needed for securing the type of employment that ensures a high level of probability of avoiding poverty (ECLAC, 1999). not to mention the challenge of improving the quality of education.</w:t>
      </w:r>
    </w:p>
    <w:p w:rsidR="00000000" w:rsidRDefault="00000000">
      <w:pPr>
        <w:spacing w:after="240"/>
      </w:pPr>
      <w:r>
        <w:rPr>
          <w:lang w:val="en-US"/>
        </w:rPr>
        <w:t>613</w:t>
      </w:r>
      <w:r>
        <w:t>.</w:t>
      </w:r>
      <w:r>
        <w:tab/>
        <w:t>Enrolment rates at the various educational levels have shown substantial increases. This increase is due in large measure to the fact that, under the educational reform, free and compulsory education was extended from six to nine years. The improvement of these indicators brought with it an increase in the average years of schooling and a drop in illiteracy.</w:t>
      </w:r>
    </w:p>
    <w:p w:rsidR="00000000" w:rsidRDefault="00000000">
      <w:pPr>
        <w:spacing w:after="240"/>
        <w:jc w:val="center"/>
        <w:rPr>
          <w:smallCaps/>
        </w:rPr>
      </w:pPr>
      <w:r>
        <w:rPr>
          <w:b/>
          <w:smallCaps/>
        </w:rPr>
        <w:t>Article 15</w:t>
      </w:r>
    </w:p>
    <w:p w:rsidR="00000000" w:rsidRDefault="00000000">
      <w:pPr>
        <w:spacing w:after="240"/>
        <w:jc w:val="center"/>
      </w:pPr>
      <w:r>
        <w:rPr>
          <w:b/>
        </w:rPr>
        <w:t>A.  Overall situation of cultural promotion</w:t>
      </w:r>
    </w:p>
    <w:p w:rsidR="00000000" w:rsidRDefault="00000000">
      <w:pPr>
        <w:spacing w:after="240"/>
      </w:pPr>
      <w:r>
        <w:rPr>
          <w:lang w:val="en-US"/>
        </w:rPr>
        <w:t>614</w:t>
      </w:r>
      <w:r>
        <w:t>.</w:t>
      </w:r>
      <w:r>
        <w:tab/>
        <w:t>A number of legislative and other measures have been adopted in Paraguay to guarantee enjoyment of the right to participate in and promote cultural life, especially activities developed through the National Fund for the Development of Culture (FONDEC) which this year awarded a total of 2,670 million guaraníes for 68 cultural projects in the Central Department and in 85 departments in the interior of the country.</w:t>
      </w:r>
    </w:p>
    <w:p w:rsidR="00000000" w:rsidRDefault="00000000">
      <w:pPr>
        <w:spacing w:after="240"/>
      </w:pPr>
      <w:r>
        <w:rPr>
          <w:lang w:val="en-US"/>
        </w:rPr>
        <w:t>615</w:t>
      </w:r>
      <w:r>
        <w:t>.</w:t>
      </w:r>
      <w:r>
        <w:tab/>
        <w:t>Meanwhile, regarding the institutional infrastructure installed for the implementation of policies promoting popular participation in culture, such as cultural centres, museums, libraries, theatres, cinemas and traditional arts, the Vice-Ministry of Culture, which comes under the Ministry of Education, operates seven museums, the National Archives and the National Library. It also collaborates with and uses cultural centres located in embassies and offices of diplomatic representatives (Argentina, Brazil, North America, Spain, etc.). It also uses the Lyric Theatre (</w:t>
      </w:r>
      <w:r>
        <w:rPr>
          <w:i/>
        </w:rPr>
        <w:t>Teatro Lírico</w:t>
      </w:r>
      <w:r>
        <w:t>) of the Central Bank of Paraguay for performances by the National Ballet and the National Symphony Orchestra. This hybrid model of cooperation with civil society organizations affords wider coverage and diffusion of culture, as well as the population’s participation in cultural events.</w:t>
      </w:r>
    </w:p>
    <w:p w:rsidR="00000000" w:rsidRDefault="00000000">
      <w:pPr>
        <w:spacing w:after="240"/>
      </w:pPr>
      <w:r>
        <w:rPr>
          <w:lang w:val="en-US"/>
        </w:rPr>
        <w:t>616</w:t>
      </w:r>
      <w:r>
        <w:t>.</w:t>
      </w:r>
      <w:r>
        <w:tab/>
        <w:t>One mechanism for the promotion of cultural identity as a factor of mutual respect among individuals, groups, nations and regions operates through the promotion of ministerial decisions classifying the activity, event or object as being “of cultural interest”. The aim is to recognize and promote the various cultural activities and events organized by the community. In particular, regarding promotion of information and the enjoyment of the right to cultural heritage for national ethnic groups and minorities and indigenous peoples, a variety of events are organized through work with ethnic groups. The first MERCOSUR meeting of fundamental repositories of Guaraní culture recently took place. Another important event was the second indigenous national census in 2002, which resulted in the Map of Indigenous Communities in Paraguay, a work that serves as a reference point and diagnostic for evaluating the overall situation of Paraguay’s the indigenous peoples.</w:t>
      </w:r>
    </w:p>
    <w:p w:rsidR="00000000" w:rsidRDefault="00000000">
      <w:pPr>
        <w:spacing w:after="240"/>
      </w:pPr>
      <w:r>
        <w:rPr>
          <w:lang w:val="en-US"/>
        </w:rPr>
        <w:t>617</w:t>
      </w:r>
      <w:r>
        <w:t>.</w:t>
      </w:r>
      <w:r>
        <w:tab/>
        <w:t>The media play a considerable role in promoting cultural life in Paraguay, although this is done mostly through the periodical media (daily newspapers, radio and television) which disseminate official and private material. The Directorate of Educational Broadcasting records the fundamental acts of the Vice-Ministry for Culture.</w:t>
      </w:r>
    </w:p>
    <w:p w:rsidR="00000000" w:rsidRDefault="00000000">
      <w:pPr>
        <w:spacing w:after="240"/>
      </w:pPr>
      <w:r>
        <w:rPr>
          <w:b/>
        </w:rPr>
        <w:t>1.</w:t>
      </w:r>
      <w:r>
        <w:rPr>
          <w:b/>
        </w:rPr>
        <w:tab/>
        <w:t>Curricular approach to culture</w:t>
      </w:r>
    </w:p>
    <w:p w:rsidR="00000000" w:rsidRDefault="00000000">
      <w:pPr>
        <w:spacing w:after="240"/>
      </w:pPr>
      <w:r>
        <w:rPr>
          <w:lang w:val="en-US"/>
        </w:rPr>
        <w:t>618</w:t>
      </w:r>
      <w:r>
        <w:t>.</w:t>
      </w:r>
      <w:r>
        <w:tab/>
        <w:t>The curricular content for the promotion of culture is part and parcel of the objectives of Paraguayan education, specifically in the skills and capacities to be achieved by students. Its main features are:</w:t>
      </w:r>
    </w:p>
    <w:p w:rsidR="00000000" w:rsidRDefault="00000000">
      <w:pPr>
        <w:spacing w:after="240"/>
        <w:ind w:firstLine="567"/>
      </w:pPr>
      <w:r>
        <w:rPr>
          <w:szCs w:val="22"/>
        </w:rPr>
        <w:t>–</w:t>
      </w:r>
      <w:r>
        <w:rPr>
          <w:szCs w:val="22"/>
        </w:rPr>
        <w:tab/>
      </w:r>
      <w:r>
        <w:t>Valorization and promotion of cultural identity;</w:t>
      </w:r>
    </w:p>
    <w:p w:rsidR="00000000" w:rsidRDefault="00000000">
      <w:pPr>
        <w:spacing w:after="240"/>
        <w:ind w:firstLine="567"/>
      </w:pPr>
      <w:r>
        <w:rPr>
          <w:szCs w:val="22"/>
        </w:rPr>
        <w:t>–</w:t>
      </w:r>
      <w:r>
        <w:tab/>
        <w:t>Ethnic groups’ and minorities’ enjoyment of the right to inherit their cultures;</w:t>
      </w:r>
    </w:p>
    <w:p w:rsidR="00000000" w:rsidRDefault="00000000">
      <w:pPr>
        <w:spacing w:after="240"/>
        <w:ind w:firstLine="567"/>
      </w:pPr>
      <w:r>
        <w:rPr>
          <w:szCs w:val="22"/>
        </w:rPr>
        <w:t>–</w:t>
      </w:r>
      <w:r>
        <w:tab/>
        <w:t>Preservation and diffusion of the cultural heritage of mankind.</w:t>
      </w:r>
    </w:p>
    <w:p w:rsidR="00000000" w:rsidRDefault="00000000">
      <w:pPr>
        <w:spacing w:after="240"/>
      </w:pPr>
      <w:r>
        <w:rPr>
          <w:lang w:val="en-US"/>
        </w:rPr>
        <w:t>619</w:t>
      </w:r>
      <w:r>
        <w:t>.</w:t>
      </w:r>
      <w:r>
        <w:tab/>
        <w:t>These topics are addressed at all educational levels with varying degrees of detail and complexity.</w:t>
      </w:r>
    </w:p>
    <w:p w:rsidR="00000000" w:rsidRDefault="00000000">
      <w:pPr>
        <w:spacing w:after="240"/>
        <w:rPr>
          <w:b/>
        </w:rPr>
      </w:pPr>
      <w:r>
        <w:rPr>
          <w:lang w:val="en-US"/>
        </w:rPr>
        <w:t>620</w:t>
      </w:r>
      <w:r>
        <w:t>.</w:t>
      </w:r>
      <w:r>
        <w:tab/>
        <w:t>The Ministry of Education and Culture has been working on the gender equity policy with the Secretariat for Women through the National Programme for Equality of Opportunities and Achievements for Women in Education (PRIOME). The Programme is an advisory body on gender policies in education, and its action is based on the National Plan on Equal Opportunities (2003-2007)</w:t>
      </w:r>
      <w:r>
        <w:rPr>
          <w:b/>
        </w:rPr>
        <w:t>.</w:t>
      </w:r>
    </w:p>
    <w:p w:rsidR="00000000" w:rsidRDefault="00000000">
      <w:pPr>
        <w:spacing w:after="240"/>
      </w:pPr>
      <w:r>
        <w:rPr>
          <w:lang w:val="en-US"/>
        </w:rPr>
        <w:t>621</w:t>
      </w:r>
      <w:r>
        <w:t>.</w:t>
      </w:r>
      <w:r>
        <w:tab/>
        <w:t>This Programme uses its lines of action to develop strategies for reducing gender inequity and for promoting conditions for gender mainstreaming throughout the education system, with a view to comprehensive and sustainable human development.</w:t>
      </w:r>
    </w:p>
    <w:p w:rsidR="00000000" w:rsidRDefault="00000000">
      <w:pPr>
        <w:spacing w:after="240"/>
      </w:pPr>
      <w:r>
        <w:rPr>
          <w:b/>
        </w:rPr>
        <w:t>2.</w:t>
      </w:r>
      <w:r>
        <w:rPr>
          <w:b/>
        </w:rPr>
        <w:tab/>
        <w:t>Preservation and dissemination of the heritage of humankind</w:t>
      </w:r>
    </w:p>
    <w:p w:rsidR="00000000" w:rsidRDefault="00000000">
      <w:pPr>
        <w:spacing w:after="240"/>
      </w:pPr>
      <w:r>
        <w:rPr>
          <w:lang w:val="en-US"/>
        </w:rPr>
        <w:t>622</w:t>
      </w:r>
      <w:r>
        <w:t>.</w:t>
      </w:r>
      <w:r>
        <w:tab/>
        <w:t>The Directorate of Historical and Cultural Heritage, which is attached to the Vice-Ministry of Culture, is responsible for preserving and disseminating the cultural heritage of humankind to be found in Paraguay, for which purpose it has organized with the Italian Latin American Institute (IILA) courses for training officials in that area. Eight scholarship-holders are currently pursuing advanced courses in this subject in Italy.</w:t>
      </w:r>
    </w:p>
    <w:p w:rsidR="00000000" w:rsidRDefault="00000000">
      <w:pPr>
        <w:spacing w:after="240"/>
      </w:pPr>
      <w:r>
        <w:rPr>
          <w:b/>
        </w:rPr>
        <w:t>3.</w:t>
      </w:r>
      <w:r>
        <w:rPr>
          <w:b/>
        </w:rPr>
        <w:tab/>
        <w:t>Freedom of creation and artistic expression</w:t>
      </w:r>
    </w:p>
    <w:p w:rsidR="00000000" w:rsidRDefault="00000000">
      <w:pPr>
        <w:spacing w:after="240"/>
      </w:pPr>
      <w:r>
        <w:rPr>
          <w:lang w:val="en-US"/>
        </w:rPr>
        <w:t>623</w:t>
      </w:r>
      <w:r>
        <w:t>.</w:t>
      </w:r>
      <w:r>
        <w:tab/>
        <w:t>Work is currently under way on the preparation of a Culture Act intended to cover various aspects relating to the promotion and protection of the cultural heritage. However, already in existence are the Act creating FONDEC, the Act creating protection of cultural property, the Act on crafts promotion, the Act creating the National Music Conservatory, and the Act creating the Higher Institute of Fine Arts.</w:t>
      </w:r>
    </w:p>
    <w:p w:rsidR="00000000" w:rsidRDefault="00000000">
      <w:pPr>
        <w:spacing w:after="240"/>
        <w:rPr>
          <w:b/>
        </w:rPr>
      </w:pPr>
      <w:r>
        <w:rPr>
          <w:b/>
        </w:rPr>
        <w:t>4.</w:t>
      </w:r>
      <w:r>
        <w:rPr>
          <w:b/>
        </w:rPr>
        <w:tab/>
        <w:t>Vocational education in the field of culture and art</w:t>
      </w:r>
    </w:p>
    <w:p w:rsidR="00000000" w:rsidRDefault="00000000">
      <w:pPr>
        <w:spacing w:after="240"/>
      </w:pPr>
      <w:r>
        <w:rPr>
          <w:lang w:val="en-US"/>
        </w:rPr>
        <w:t>624</w:t>
      </w:r>
      <w:r>
        <w:t>.</w:t>
      </w:r>
      <w:r>
        <w:tab/>
        <w:t>There is an official institute for teacher and arts training (ISBA) and another attached to the National University, as well as academies supervised by the Directorate of Cultural Diffusion.. Meanwhile, a national plan is currently in the course of preparation, as is the corresponding Culture Act.</w:t>
      </w:r>
    </w:p>
    <w:p w:rsidR="00000000" w:rsidRDefault="00000000">
      <w:pPr>
        <w:spacing w:after="240"/>
        <w:jc w:val="center"/>
      </w:pPr>
      <w:r>
        <w:rPr>
          <w:b/>
        </w:rPr>
        <w:t>B.  Dissemination of scientific progress</w:t>
      </w:r>
    </w:p>
    <w:p w:rsidR="00000000" w:rsidRDefault="00000000">
      <w:pPr>
        <w:spacing w:after="240"/>
      </w:pPr>
      <w:r>
        <w:rPr>
          <w:lang w:val="en-US"/>
        </w:rPr>
        <w:t>625</w:t>
      </w:r>
      <w:r>
        <w:t>.</w:t>
      </w:r>
      <w:r>
        <w:tab/>
        <w:t xml:space="preserve">For purposes of promotion and dissemination of scientific and technological advances Paraguay has the National Science and Technology Council (CONACYT), established under Act 1028 of 31 January 1997 (the General Science and Technology Act) to facilitate the organization of science and technology in view of the importance of the two subjects in the social and economic development of a modern country. The concept of CONACYT is based on the most modern principles of this type of management, namely the creation of a body for the administration and coordination of the sector (CONACYT): multidisciplinary and representative participation of the different agents in a system comprising science, technology and innovation (State, academic institutions, research and development institutions, enterprises and workers): and the introduction of tax incentives for investment in research and development. </w:t>
      </w:r>
    </w:p>
    <w:p w:rsidR="00000000" w:rsidRDefault="00000000">
      <w:pPr>
        <w:spacing w:after="240"/>
      </w:pPr>
      <w:r>
        <w:rPr>
          <w:lang w:val="en-US"/>
        </w:rPr>
        <w:t>626</w:t>
      </w:r>
      <w:r>
        <w:t>.</w:t>
      </w:r>
      <w:r>
        <w:tab/>
        <w:t xml:space="preserve">CONACYT established its Council in July 1997. The National Accreditation Agency (ONA) was crested in 1998 under Executive Decree No. 20660/98 attaching it to CONACYT as the body ensuring transparency and independence in the recognition of quality at national and international levels. </w:t>
      </w:r>
    </w:p>
    <w:p w:rsidR="00000000" w:rsidRDefault="00000000">
      <w:pPr>
        <w:spacing w:after="240"/>
      </w:pPr>
      <w:r>
        <w:rPr>
          <w:lang w:val="en-US"/>
        </w:rPr>
        <w:t>627</w:t>
      </w:r>
      <w:r>
        <w:t>.</w:t>
      </w:r>
      <w:r>
        <w:tab/>
        <w:t xml:space="preserve">Subsequently the National Congress adopted Act 2279/03 (Act amending and expanding the articles of the General Science and Technology Act (No. 1028/97)). This Act establishes the National Systems for Science, Technology, Innovation and Quality. </w:t>
      </w:r>
    </w:p>
    <w:p w:rsidR="00000000" w:rsidRDefault="00000000">
      <w:pPr>
        <w:spacing w:after="240"/>
        <w:rPr>
          <w:b/>
        </w:rPr>
      </w:pPr>
      <w:r>
        <w:rPr>
          <w:b/>
        </w:rPr>
        <w:t>1.</w:t>
      </w:r>
      <w:r>
        <w:rPr>
          <w:b/>
        </w:rPr>
        <w:tab/>
        <w:t>Composition of the National Science and Technology Council</w:t>
      </w:r>
    </w:p>
    <w:p w:rsidR="00000000" w:rsidRDefault="00000000">
      <w:pPr>
        <w:spacing w:after="240"/>
      </w:pPr>
      <w:r>
        <w:rPr>
          <w:lang w:val="en-US"/>
        </w:rPr>
        <w:t>628</w:t>
      </w:r>
      <w:r>
        <w:t>.</w:t>
      </w:r>
      <w:r>
        <w:tab/>
        <w:t xml:space="preserve">In accordance with Act No. 2279/03 the membership of CONACYT consists of 14 titular and 14 alternate councillors representing the following institutions and sectors: </w:t>
      </w:r>
    </w:p>
    <w:p w:rsidR="00000000" w:rsidRDefault="00000000">
      <w:pPr>
        <w:spacing w:after="240"/>
      </w:pPr>
      <w:r>
        <w:tab/>
      </w:r>
      <w:r>
        <w:rPr>
          <w:szCs w:val="22"/>
        </w:rPr>
        <w:t>–</w:t>
      </w:r>
      <w:r>
        <w:tab/>
        <w:t xml:space="preserve">The Technical Planning Secretariat of the Office of the President of the      </w:t>
      </w:r>
      <w:r>
        <w:tab/>
      </w:r>
      <w:r>
        <w:tab/>
      </w:r>
      <w:r>
        <w:tab/>
        <w:t>Republic (STP):</w:t>
      </w:r>
    </w:p>
    <w:p w:rsidR="00000000" w:rsidRDefault="00000000">
      <w:pPr>
        <w:spacing w:after="240"/>
      </w:pPr>
      <w:r>
        <w:tab/>
      </w:r>
      <w:r>
        <w:rPr>
          <w:szCs w:val="22"/>
        </w:rPr>
        <w:t>–</w:t>
      </w:r>
      <w:r>
        <w:tab/>
        <w:t xml:space="preserve">The Ministry of Industry and Commerce, through the intermediary of the </w:t>
      </w:r>
      <w:r>
        <w:tab/>
      </w:r>
      <w:r>
        <w:tab/>
      </w:r>
      <w:r>
        <w:tab/>
        <w:t xml:space="preserve">National Technology and Standardization Institute (INTN); </w:t>
      </w:r>
    </w:p>
    <w:p w:rsidR="00000000" w:rsidRDefault="00000000">
      <w:pPr>
        <w:spacing w:after="240"/>
      </w:pPr>
      <w:r>
        <w:tab/>
      </w:r>
      <w:r>
        <w:rPr>
          <w:szCs w:val="22"/>
        </w:rPr>
        <w:t>–</w:t>
      </w:r>
      <w:r>
        <w:tab/>
        <w:t>The Ministry of Agriculture and Livestock</w:t>
      </w:r>
    </w:p>
    <w:p w:rsidR="00000000" w:rsidRDefault="00000000">
      <w:pPr>
        <w:spacing w:after="240"/>
      </w:pPr>
      <w:r>
        <w:tab/>
      </w:r>
      <w:r>
        <w:rPr>
          <w:szCs w:val="22"/>
        </w:rPr>
        <w:t>–</w:t>
      </w:r>
      <w:r>
        <w:tab/>
        <w:t xml:space="preserve">The Ministry of Education and Culture: </w:t>
      </w:r>
    </w:p>
    <w:p w:rsidR="00000000" w:rsidRDefault="00000000">
      <w:pPr>
        <w:spacing w:after="240"/>
      </w:pPr>
      <w:r>
        <w:tab/>
      </w:r>
      <w:r>
        <w:rPr>
          <w:szCs w:val="22"/>
        </w:rPr>
        <w:t>–</w:t>
      </w:r>
      <w:r>
        <w:tab/>
        <w:t xml:space="preserve">The Ministry of Public Health and Social Welfare; </w:t>
      </w:r>
    </w:p>
    <w:p w:rsidR="00000000" w:rsidRDefault="00000000">
      <w:pPr>
        <w:spacing w:after="240"/>
      </w:pPr>
      <w:r>
        <w:tab/>
      </w:r>
      <w:r>
        <w:rPr>
          <w:szCs w:val="22"/>
        </w:rPr>
        <w:t>–</w:t>
      </w:r>
      <w:r>
        <w:tab/>
        <w:t xml:space="preserve">The State universities; </w:t>
      </w:r>
    </w:p>
    <w:p w:rsidR="00000000" w:rsidRDefault="00000000">
      <w:pPr>
        <w:spacing w:after="240"/>
      </w:pPr>
      <w:r>
        <w:tab/>
      </w:r>
      <w:r>
        <w:rPr>
          <w:szCs w:val="22"/>
        </w:rPr>
        <w:t>–</w:t>
      </w:r>
      <w:r>
        <w:tab/>
        <w:t xml:space="preserve">The private universities; </w:t>
      </w:r>
    </w:p>
    <w:p w:rsidR="00000000" w:rsidRDefault="00000000">
      <w:pPr>
        <w:spacing w:after="240"/>
      </w:pPr>
      <w:r>
        <w:tab/>
      </w:r>
      <w:r>
        <w:rPr>
          <w:szCs w:val="22"/>
        </w:rPr>
        <w:t>–</w:t>
      </w:r>
      <w:r>
        <w:tab/>
        <w:t>The Paraguayan Industrial Union (UIP);</w:t>
      </w:r>
    </w:p>
    <w:p w:rsidR="00000000" w:rsidRDefault="00000000">
      <w:pPr>
        <w:spacing w:after="240"/>
      </w:pPr>
      <w:r>
        <w:tab/>
      </w:r>
      <w:r>
        <w:rPr>
          <w:szCs w:val="22"/>
        </w:rPr>
        <w:t>–</w:t>
      </w:r>
      <w:r>
        <w:tab/>
        <w:t xml:space="preserve">The Paraguay Rural Association (ARP); </w:t>
      </w:r>
    </w:p>
    <w:p w:rsidR="00000000" w:rsidRDefault="00000000">
      <w:pPr>
        <w:spacing w:after="240"/>
      </w:pPr>
      <w:r>
        <w:tab/>
      </w:r>
      <w:r>
        <w:rPr>
          <w:szCs w:val="22"/>
        </w:rPr>
        <w:t>–</w:t>
      </w:r>
      <w:r>
        <w:tab/>
        <w:t>The Production, Industry and Commerce Federation (FEPRINCO);</w:t>
      </w:r>
    </w:p>
    <w:p w:rsidR="00000000" w:rsidRDefault="00000000">
      <w:pPr>
        <w:spacing w:after="240"/>
      </w:pPr>
      <w:r>
        <w:tab/>
      </w:r>
      <w:r>
        <w:rPr>
          <w:szCs w:val="22"/>
        </w:rPr>
        <w:t>–</w:t>
      </w:r>
      <w:r>
        <w:tab/>
        <w:t>The Association of Small and Medium-sized Enterprises;</w:t>
      </w:r>
    </w:p>
    <w:p w:rsidR="00000000" w:rsidRDefault="00000000">
      <w:pPr>
        <w:spacing w:after="240"/>
      </w:pPr>
      <w:r>
        <w:tab/>
      </w:r>
      <w:r>
        <w:rPr>
          <w:szCs w:val="22"/>
        </w:rPr>
        <w:t>–</w:t>
      </w:r>
      <w:r>
        <w:tab/>
        <w:t xml:space="preserve">The central trade union bodies; </w:t>
      </w:r>
    </w:p>
    <w:p w:rsidR="00000000" w:rsidRDefault="00000000">
      <w:pPr>
        <w:spacing w:after="240"/>
      </w:pPr>
      <w:r>
        <w:tab/>
      </w:r>
      <w:r>
        <w:rPr>
          <w:szCs w:val="22"/>
        </w:rPr>
        <w:t>–</w:t>
      </w:r>
      <w:r>
        <w:tab/>
        <w:t xml:space="preserve">The Scientific Society of Paraguay; and </w:t>
      </w:r>
    </w:p>
    <w:p w:rsidR="00000000" w:rsidRDefault="00000000">
      <w:pPr>
        <w:spacing w:after="240"/>
      </w:pPr>
      <w:r>
        <w:tab/>
      </w:r>
      <w:r>
        <w:rPr>
          <w:szCs w:val="22"/>
        </w:rPr>
        <w:t>–</w:t>
      </w:r>
      <w:r>
        <w:tab/>
        <w:t xml:space="preserve">The Paraguayan Association for Quality. </w:t>
      </w:r>
    </w:p>
    <w:p w:rsidR="00000000" w:rsidRDefault="00000000">
      <w:pPr>
        <w:spacing w:after="240"/>
      </w:pPr>
      <w:r>
        <w:rPr>
          <w:b/>
        </w:rPr>
        <w:t>2.</w:t>
      </w:r>
      <w:r>
        <w:rPr>
          <w:b/>
        </w:rPr>
        <w:tab/>
        <w:t>Legal framework for the promotion of scientific and technological advance</w:t>
      </w:r>
    </w:p>
    <w:p w:rsidR="00000000" w:rsidRDefault="00000000">
      <w:pPr>
        <w:spacing w:after="240"/>
      </w:pPr>
      <w:r>
        <w:t>629.</w:t>
      </w:r>
      <w:r>
        <w:tab/>
        <w:t xml:space="preserve">The following is the text of articles 1, 2 and 3 of Act No. 2279/03, which refer to the functions of CONACYT. </w:t>
      </w:r>
    </w:p>
    <w:p w:rsidR="00000000" w:rsidRDefault="00000000">
      <w:pPr>
        <w:spacing w:after="240"/>
        <w:ind w:left="1134" w:hanging="567"/>
      </w:pPr>
      <w:r>
        <w:rPr>
          <w:szCs w:val="22"/>
        </w:rPr>
        <w:t>–</w:t>
      </w:r>
      <w:r>
        <w:tab/>
      </w:r>
      <w:r>
        <w:rPr>
          <w:bCs/>
          <w:i/>
          <w:iCs/>
        </w:rPr>
        <w:t xml:space="preserve">Article 1. Concerning the institution of the systems: </w:t>
      </w:r>
      <w:r>
        <w:t>The present Act establishes the National System for Science, Technology and Innovation (SNCTI), comprising all the bodies, public and private national institutions and physical and legal persons engaging in or concerned with scientific, technological and innovative activities.</w:t>
      </w:r>
    </w:p>
    <w:p w:rsidR="00000000" w:rsidRDefault="00000000">
      <w:pPr>
        <w:spacing w:after="240"/>
        <w:ind w:left="1134"/>
      </w:pPr>
      <w:r>
        <w:t xml:space="preserve">The National System for Quality, comprising all the public and private national institutions and physical and legal persons conducting activities relating to quality, is also hereby established. </w:t>
      </w:r>
    </w:p>
    <w:p w:rsidR="00000000" w:rsidRDefault="00000000">
      <w:pPr>
        <w:spacing w:after="240"/>
        <w:ind w:left="1134"/>
      </w:pPr>
      <w:r>
        <w:t xml:space="preserve">The </w:t>
      </w:r>
      <w:r>
        <w:rPr>
          <w:bCs/>
          <w:i/>
          <w:iCs/>
        </w:rPr>
        <w:t xml:space="preserve">National Science and Technology Council CONACYT) </w:t>
      </w:r>
      <w:r>
        <w:t xml:space="preserve">may establish other national systems in specific areas of science and technology when progress in a particular field and the importance of that progress for the scientific and technological development of the country renders such a measure desirable. </w:t>
      </w:r>
    </w:p>
    <w:p w:rsidR="00000000" w:rsidRDefault="00000000">
      <w:pPr>
        <w:spacing w:after="240"/>
        <w:ind w:left="1134" w:hanging="567"/>
      </w:pPr>
      <w:r>
        <w:rPr>
          <w:szCs w:val="22"/>
        </w:rPr>
        <w:t>–</w:t>
      </w:r>
      <w:r>
        <w:rPr>
          <w:szCs w:val="22"/>
        </w:rPr>
        <w:tab/>
      </w:r>
      <w:r>
        <w:rPr>
          <w:bCs/>
          <w:i/>
          <w:iCs/>
        </w:rPr>
        <w:t xml:space="preserve">Article 2. Concerning competence. </w:t>
      </w:r>
      <w:r>
        <w:t xml:space="preserve">The National System for Science, Technology and Innovation shall have competence to stimulate and promote scientific and technological research; the generation, dissemination and transfer of knowledge; invention, innovation, scientific and technological education, the development of national technologies and management in the fields of science, technology and innovation. The National System for Quality shall have competence to promote scientific and technological research in the area of quality and the application and dissemination of accreditation, metrology and standardization services and the system of evaluation of conformity. </w:t>
      </w:r>
    </w:p>
    <w:p w:rsidR="00000000" w:rsidRDefault="00000000">
      <w:pPr>
        <w:spacing w:after="240"/>
        <w:ind w:left="1134" w:hanging="567"/>
      </w:pPr>
      <w:r>
        <w:rPr>
          <w:szCs w:val="22"/>
        </w:rPr>
        <w:t>–</w:t>
      </w:r>
      <w:r>
        <w:rPr>
          <w:szCs w:val="22"/>
        </w:rPr>
        <w:tab/>
      </w:r>
      <w:r>
        <w:rPr>
          <w:bCs/>
          <w:i/>
          <w:iCs/>
        </w:rPr>
        <w:t xml:space="preserve">Article 3. Concerning science, technology, innovation, quality and development policy. </w:t>
      </w:r>
      <w:r>
        <w:t xml:space="preserve">The development of scientific, technological and innovative activities within the country, and the development of activities in the sphere of quality, shall be orientated in accordance with specific policies and programmes stimulated by the public sector and, where appropriate, duly coordinated with the private sector, such policies to be in line with the social and economic development policy of the country. The national policies on science, technology and innovation and those on quality shall be developed on the basis of programmes which shall preferably be intersectoral and multidisciplinary. </w:t>
      </w:r>
    </w:p>
    <w:p w:rsidR="00000000" w:rsidRDefault="00000000">
      <w:pPr>
        <w:spacing w:after="240"/>
      </w:pPr>
      <w:r>
        <w:rPr>
          <w:b/>
        </w:rPr>
        <w:t>3.</w:t>
      </w:r>
      <w:r>
        <w:rPr>
          <w:b/>
        </w:rPr>
        <w:tab/>
        <w:t>Functions of CONACYT</w:t>
      </w:r>
    </w:p>
    <w:p w:rsidR="00000000" w:rsidRDefault="00000000">
      <w:pPr>
        <w:spacing w:after="240"/>
      </w:pPr>
      <w:r>
        <w:t>630.</w:t>
      </w:r>
      <w:r>
        <w:tab/>
        <w:t xml:space="preserve">The functions of the National Science and Technology Council shall be as follows: </w:t>
      </w:r>
    </w:p>
    <w:p w:rsidR="00000000" w:rsidRDefault="00000000">
      <w:pPr>
        <w:spacing w:after="240"/>
        <w:ind w:left="1134" w:hanging="567"/>
      </w:pPr>
      <w:r>
        <w:t>(a)</w:t>
      </w:r>
      <w:r>
        <w:tab/>
        <w:t xml:space="preserve">To formulate and propose to the National Government national policies in the fields of science, technology and innovation and that of quality for the country in harmony with the economic and social development policy of the State and, in coordination with the institutions concerned, to supervise and assess the implementation of those policies and strategies;  </w:t>
      </w:r>
    </w:p>
    <w:p w:rsidR="00000000" w:rsidRDefault="00000000">
      <w:pPr>
        <w:spacing w:after="240"/>
        <w:ind w:left="1134" w:hanging="567"/>
      </w:pPr>
      <w:r>
        <w:t>(b)</w:t>
      </w:r>
      <w:r>
        <w:tab/>
        <w:t xml:space="preserve">To match national efforts in the scientific, technological, innovative and quality fields with those being conducted in other countries, promoting networks of research and development in those fields; </w:t>
      </w:r>
    </w:p>
    <w:p w:rsidR="00000000" w:rsidRDefault="00000000">
      <w:pPr>
        <w:spacing w:after="240"/>
        <w:ind w:left="1134" w:hanging="567"/>
      </w:pPr>
      <w:r>
        <w:t>(c)</w:t>
      </w:r>
      <w:r>
        <w:tab/>
        <w:t xml:space="preserve">To select, approve, supervise and evaluate research financed by FONACYT to ensure that it is conducted within the framework of the national policy for science, technology and innovation and that for quality formulated by CONACYT: </w:t>
      </w:r>
    </w:p>
    <w:p w:rsidR="00000000" w:rsidRDefault="00000000">
      <w:pPr>
        <w:spacing w:after="240"/>
        <w:ind w:left="1134" w:hanging="567"/>
      </w:pPr>
      <w:r>
        <w:t>(d)</w:t>
      </w:r>
      <w:r>
        <w:tab/>
        <w:t xml:space="preserve">To advise the authorities of State on all matters related to the fields of competence of CONACYT; </w:t>
      </w:r>
    </w:p>
    <w:p w:rsidR="00000000" w:rsidRDefault="00000000">
      <w:pPr>
        <w:spacing w:after="240"/>
        <w:ind w:left="1134" w:hanging="567"/>
      </w:pPr>
      <w:r>
        <w:t>(e)</w:t>
      </w:r>
      <w:r>
        <w:tab/>
        <w:t xml:space="preserve">To determine the criteria and/or principles in the fields of science, technology, innovation and quality to be incorporated in the formulation of national policies; </w:t>
      </w:r>
    </w:p>
    <w:p w:rsidR="00000000" w:rsidRDefault="00000000">
      <w:pPr>
        <w:spacing w:after="240"/>
        <w:ind w:left="1134" w:hanging="567"/>
      </w:pPr>
      <w:r>
        <w:t>(f)</w:t>
      </w:r>
      <w:r>
        <w:tab/>
        <w:t xml:space="preserve">To regulate and implement the policy of allocation of the resources of FONACYT for the pursuit of the aims of the national policy for science, technology and innovation and that for quality; </w:t>
      </w:r>
    </w:p>
    <w:p w:rsidR="00000000" w:rsidRDefault="00000000">
      <w:pPr>
        <w:spacing w:after="240"/>
        <w:ind w:left="1134" w:hanging="567"/>
      </w:pPr>
      <w:r>
        <w:t>(g)</w:t>
      </w:r>
      <w:r>
        <w:tab/>
        <w:t xml:space="preserve">To promote the dissemination of scientific, technological, innovative and quality activities and to effect their ordering and systematization; </w:t>
      </w:r>
    </w:p>
    <w:p w:rsidR="00000000" w:rsidRDefault="00000000">
      <w:pPr>
        <w:spacing w:after="240"/>
        <w:ind w:left="1134" w:hanging="567"/>
      </w:pPr>
      <w:r>
        <w:t>(h)</w:t>
      </w:r>
      <w:r>
        <w:tab/>
        <w:t>To promote standardization and evaluation of the conformity of processes, products and services and the generation, use and application of technology;</w:t>
      </w:r>
    </w:p>
    <w:p w:rsidR="00000000" w:rsidRDefault="00000000">
      <w:pPr>
        <w:spacing w:after="240"/>
        <w:ind w:left="1134" w:hanging="567"/>
      </w:pPr>
      <w:r>
        <w:t>(i)</w:t>
      </w:r>
      <w:r>
        <w:tab/>
        <w:t xml:space="preserve">To foster programmes of training and specialization of the human resources necessary for the development of the National System for Quality and the National System for Science, Technology and Innovation; </w:t>
      </w:r>
    </w:p>
    <w:p w:rsidR="00000000" w:rsidRDefault="00000000">
      <w:pPr>
        <w:spacing w:after="240"/>
        <w:ind w:left="1134" w:hanging="567"/>
      </w:pPr>
      <w:r>
        <w:t>(j)</w:t>
      </w:r>
      <w:r>
        <w:tab/>
        <w:t xml:space="preserve">To provide incentives for the generation, use, dissemination and application of culturally, socially and environmentally sustainable knowledge in the scientific, technological, innovation and quality spheres; </w:t>
      </w:r>
    </w:p>
    <w:p w:rsidR="00000000" w:rsidRDefault="00000000">
      <w:pPr>
        <w:spacing w:after="240"/>
        <w:ind w:left="1134" w:hanging="567"/>
      </w:pPr>
      <w:r>
        <w:t>(k)</w:t>
      </w:r>
      <w:r>
        <w:tab/>
        <w:t xml:space="preserve">To establish and maintain relations with similar public and private bodies in other countries and to facilitate the participation of representatives of the country in congresses or other types of scientific or technical activity and to support exchanges, cooperation and reciprocal transfers of information in the areas of competence of CONACYT; </w:t>
      </w:r>
    </w:p>
    <w:p w:rsidR="00000000" w:rsidRDefault="00000000">
      <w:pPr>
        <w:spacing w:after="240"/>
        <w:ind w:left="1134" w:hanging="567"/>
      </w:pPr>
      <w:r>
        <w:t>(l)</w:t>
      </w:r>
      <w:r>
        <w:tab/>
        <w:t xml:space="preserve">To coordinate and support the activities of national public bodies, civil associations and non-governmental organizations in its areas of competence; </w:t>
      </w:r>
    </w:p>
    <w:p w:rsidR="00000000" w:rsidRDefault="00000000">
      <w:pPr>
        <w:spacing w:after="240"/>
        <w:ind w:left="1134" w:hanging="567"/>
      </w:pPr>
      <w:r>
        <w:t>m)</w:t>
      </w:r>
      <w:r>
        <w:tab/>
        <w:t>To promote rationalization and transparency in the management and use of public and private resources destined for scientific research, technological development, innovation and quality;</w:t>
      </w:r>
    </w:p>
    <w:p w:rsidR="00000000" w:rsidRDefault="00000000">
      <w:pPr>
        <w:spacing w:after="240"/>
        <w:ind w:left="1134" w:hanging="567"/>
      </w:pPr>
      <w:r>
        <w:t>(n)</w:t>
      </w:r>
      <w:r>
        <w:tab/>
        <w:t>To define concepts related to its areas of competence in accordance with criteria established and accepted at international level;</w:t>
      </w:r>
    </w:p>
    <w:p w:rsidR="00000000" w:rsidRDefault="00000000">
      <w:pPr>
        <w:spacing w:after="240"/>
        <w:ind w:left="1134" w:hanging="567"/>
      </w:pPr>
      <w:r>
        <w:t>(o)</w:t>
      </w:r>
      <w:r>
        <w:tab/>
        <w:t xml:space="preserve">To set up standing or ad hoc committees for the treatment and study of specific themes, and for the evaluation of specific projects, within its areas of competence; </w:t>
      </w:r>
    </w:p>
    <w:p w:rsidR="00000000" w:rsidRDefault="00000000">
      <w:pPr>
        <w:spacing w:after="240"/>
        <w:ind w:left="1134" w:hanging="567"/>
      </w:pPr>
      <w:r>
        <w:t>(p)</w:t>
      </w:r>
      <w:r>
        <w:tab/>
        <w:t>To take part in activities, committees or collegiate bodies of any type or designation with links to official bodies concerned with science, technology, innovation and quality;</w:t>
      </w:r>
    </w:p>
    <w:p w:rsidR="00000000" w:rsidRDefault="00000000">
      <w:pPr>
        <w:spacing w:after="240"/>
        <w:ind w:left="1134" w:hanging="567"/>
      </w:pPr>
      <w:r>
        <w:t>(q)</w:t>
      </w:r>
      <w:r>
        <w:tab/>
        <w:t>To promote the development of science, technology, innovation and quality; through incentive mechanisms directed at institutions, enterprises and individuals;</w:t>
      </w:r>
    </w:p>
    <w:p w:rsidR="00000000" w:rsidRDefault="00000000">
      <w:pPr>
        <w:spacing w:after="240"/>
        <w:ind w:left="1134" w:hanging="567"/>
      </w:pPr>
      <w:r>
        <w:t>(r)</w:t>
      </w:r>
      <w:r>
        <w:tab/>
        <w:t>To authorize the conclusion of conventions, agreements, contracts and other like  instruments relating to the fulfilment of its objectives;</w:t>
      </w:r>
    </w:p>
    <w:p w:rsidR="00000000" w:rsidRDefault="00000000">
      <w:pPr>
        <w:spacing w:after="240"/>
        <w:ind w:left="1134" w:hanging="567"/>
      </w:pPr>
      <w:r>
        <w:t>(s)</w:t>
      </w:r>
      <w:r>
        <w:tab/>
        <w:t>To administer its budgetary resources, performing the managerial operations necessary to that end;</w:t>
      </w:r>
    </w:p>
    <w:p w:rsidR="00000000" w:rsidRDefault="00000000">
      <w:pPr>
        <w:spacing w:after="240"/>
        <w:ind w:firstLine="567"/>
      </w:pPr>
      <w:r>
        <w:t>(t)</w:t>
      </w:r>
      <w:r>
        <w:tab/>
        <w:t>To draw up the rules and decisions relating to the functions of CONACYT;</w:t>
      </w:r>
    </w:p>
    <w:p w:rsidR="00000000" w:rsidRDefault="00000000">
      <w:pPr>
        <w:spacing w:after="240"/>
        <w:ind w:left="1134" w:hanging="567"/>
      </w:pPr>
      <w:r>
        <w:t>(u)</w:t>
      </w:r>
      <w:r>
        <w:tab/>
        <w:t>To fix the amounts to be charged for the provision of services and to update them periodically;</w:t>
      </w:r>
    </w:p>
    <w:p w:rsidR="00000000" w:rsidRDefault="00000000">
      <w:pPr>
        <w:spacing w:after="240"/>
        <w:ind w:left="1134" w:hanging="567"/>
      </w:pPr>
      <w:r>
        <w:t>(v)</w:t>
      </w:r>
      <w:r>
        <w:tab/>
        <w:t>To fix additional and special remunerations for the officials of CONACYT, to be paid out of FONACYT funds;</w:t>
      </w:r>
    </w:p>
    <w:p w:rsidR="00000000" w:rsidRDefault="00000000">
      <w:pPr>
        <w:spacing w:after="240"/>
        <w:ind w:left="1134" w:hanging="567"/>
      </w:pPr>
      <w:r>
        <w:t>(w)</w:t>
      </w:r>
      <w:r>
        <w:tab/>
        <w:t>To approve the annual report of activities, the financial statement and balance sheet for the previous year, the draft budget, duly justified, and the work plans the execution of which the budget allocated to CONACYT permits;</w:t>
      </w:r>
    </w:p>
    <w:p w:rsidR="00000000" w:rsidRDefault="00000000">
      <w:pPr>
        <w:spacing w:after="240"/>
        <w:ind w:left="1134" w:hanging="567"/>
      </w:pPr>
      <w:r>
        <w:t>(x)</w:t>
      </w:r>
      <w:r>
        <w:tab/>
        <w:t>To designate the members of the Council and the officials who, together with the President of CONACYT, are required to sign financial instruments, authorizations and other documents;</w:t>
      </w:r>
    </w:p>
    <w:p w:rsidR="00000000" w:rsidRDefault="00000000">
      <w:pPr>
        <w:spacing w:after="240"/>
        <w:ind w:left="1134" w:hanging="567"/>
      </w:pPr>
      <w:r>
        <w:t>(y)</w:t>
      </w:r>
      <w:r>
        <w:tab/>
        <w:t>To perform other operations necessary for the attainment of the purposes of CONACYT.</w:t>
      </w:r>
    </w:p>
    <w:p w:rsidR="00000000" w:rsidRDefault="00000000">
      <w:pPr>
        <w:pStyle w:val="xl23"/>
        <w:spacing w:before="0" w:beforeAutospacing="0" w:after="240" w:afterAutospacing="0"/>
        <w:rPr>
          <w:rFonts w:ascii="Times New Roman" w:hAnsi="Times New Roman" w:cs="Times New Roman"/>
          <w:bCs w:val="0"/>
          <w:lang w:val="en-GB" w:eastAsia="en-US"/>
        </w:rPr>
      </w:pPr>
      <w:r>
        <w:rPr>
          <w:rFonts w:ascii="Times New Roman" w:hAnsi="Times New Roman" w:cs="Times New Roman"/>
          <w:bCs w:val="0"/>
          <w:lang w:val="en-GB" w:eastAsia="en-US"/>
        </w:rPr>
        <w:t>4.</w:t>
      </w:r>
      <w:r>
        <w:rPr>
          <w:rFonts w:ascii="Times New Roman" w:hAnsi="Times New Roman" w:cs="Times New Roman"/>
          <w:bCs w:val="0"/>
          <w:lang w:val="en-GB" w:eastAsia="en-US"/>
        </w:rPr>
        <w:tab/>
        <w:t xml:space="preserve">National Policy on Science and Technology </w:t>
      </w:r>
    </w:p>
    <w:p w:rsidR="00000000" w:rsidRDefault="00000000">
      <w:pPr>
        <w:spacing w:after="240"/>
      </w:pPr>
      <w:r>
        <w:t>631.</w:t>
      </w:r>
      <w:r>
        <w:tab/>
        <w:t xml:space="preserve">Paraguay has a National Policy on Science and Technology, which was approved by the Executive under the terms of Decree No. 19007 dated 15 October 2002. The aims of the National Policy on Science and Technology are: to improve, increase and make more efficient the nation’s efforts in the area of science and technology, promoting greater participation by the private sector and local authorities. On that basis the objectives making up that policy rest on the following guiding principles: </w:t>
      </w:r>
    </w:p>
    <w:p w:rsidR="00000000" w:rsidRDefault="00000000">
      <w:pPr>
        <w:spacing w:after="240"/>
        <w:ind w:left="1134" w:hanging="567"/>
      </w:pPr>
      <w:r>
        <w:t>–</w:t>
      </w:r>
      <w:r>
        <w:tab/>
        <w:t>The development of science and technology is one of the fundamental supports of the social, economic and cultural development of the country; consequently policy on science and technology must be in line with the long-term social and economic policies.</w:t>
      </w:r>
    </w:p>
    <w:p w:rsidR="00000000" w:rsidRDefault="00000000">
      <w:pPr>
        <w:spacing w:after="240"/>
        <w:ind w:left="1134" w:hanging="567"/>
      </w:pPr>
      <w:r>
        <w:t>–</w:t>
      </w:r>
      <w:r>
        <w:tab/>
        <w:t xml:space="preserve">The strengthening of the nation’s technological and scientific capacity contributes to the assignment to science and technology of its proper role in a modern country. </w:t>
      </w:r>
    </w:p>
    <w:p w:rsidR="00000000" w:rsidRDefault="00000000">
      <w:pPr>
        <w:spacing w:after="240"/>
        <w:ind w:left="1134" w:hanging="567"/>
      </w:pPr>
      <w:r>
        <w:t>–</w:t>
      </w:r>
      <w:r>
        <w:tab/>
        <w:t>Research projects must be classified by level of priority viewed in the light of the country’s needs.</w:t>
      </w:r>
    </w:p>
    <w:p w:rsidR="00000000" w:rsidRDefault="00000000">
      <w:pPr>
        <w:spacing w:after="240"/>
        <w:ind w:left="1134" w:hanging="567"/>
      </w:pPr>
      <w:r>
        <w:t>–</w:t>
      </w:r>
      <w:r>
        <w:tab/>
        <w:t>The institutional adaptation of the sector shall be directed to the strengthening of local capacity for innovation and the use of scientific and technological advances for the benefit of society. In particular, CONACYT must be strengthened as the directing body in the National System for Science and Technology.</w:t>
      </w:r>
    </w:p>
    <w:p w:rsidR="00000000" w:rsidRDefault="00000000">
      <w:pPr>
        <w:spacing w:after="240"/>
        <w:ind w:left="1134" w:hanging="567"/>
      </w:pPr>
      <w:r>
        <w:t>–</w:t>
      </w:r>
      <w:r>
        <w:tab/>
        <w:t xml:space="preserve">Coordination and linkages between the agents and institutions in both the public and private sectors participating directly or indirectly in scientific and technological activities is necessary for the formulation and implementation of sectoral policies. In particular, linkages between universities and enterprises are of particular importance for the attainment of the objectives of improving productivity, competitiveness and quality. </w:t>
      </w:r>
    </w:p>
    <w:p w:rsidR="00000000" w:rsidRDefault="00000000">
      <w:pPr>
        <w:spacing w:after="240"/>
        <w:ind w:left="1134" w:hanging="567"/>
      </w:pPr>
      <w:r>
        <w:t>–</w:t>
      </w:r>
      <w:r>
        <w:tab/>
        <w:t xml:space="preserve">The stimulation and rationalization of government programmes concerned with research and development should be translated into basic lines of action of CONACYT. </w:t>
      </w:r>
    </w:p>
    <w:p w:rsidR="00000000" w:rsidRDefault="00000000">
      <w:pPr>
        <w:spacing w:after="240"/>
        <w:ind w:left="1134" w:hanging="567"/>
      </w:pPr>
      <w:r>
        <w:t>–</w:t>
      </w:r>
      <w:r>
        <w:tab/>
        <w:t xml:space="preserve">The allocation of resources from the public budget to research through FONACYT in a sustained manner and in increasing amounts is an obligation on the State. The establishment of mechanisms with appropriate competence and relevance for the management of the Fund should be envisaged. </w:t>
      </w:r>
    </w:p>
    <w:p w:rsidR="00000000" w:rsidRDefault="00000000">
      <w:pPr>
        <w:spacing w:after="240"/>
        <w:ind w:left="1134" w:hanging="567"/>
      </w:pPr>
      <w:r>
        <w:t>–</w:t>
      </w:r>
      <w:r>
        <w:tab/>
        <w:t xml:space="preserve">One of the mechanisms for the enhancement of national public financing of science and technology should be directed to securing financial participation in projects by the private sector, local governments and/or institutions of othe countries within the framework of international cooperation. </w:t>
      </w:r>
    </w:p>
    <w:p w:rsidR="00000000" w:rsidRDefault="00000000">
      <w:pPr>
        <w:spacing w:after="240"/>
        <w:ind w:left="1134" w:hanging="567"/>
      </w:pPr>
      <w:r>
        <w:t>–</w:t>
      </w:r>
      <w:r>
        <w:tab/>
        <w:t xml:space="preserve">Public and private investment in activities of increasing intensity in knowledge generation will be favoured and fostered. </w:t>
      </w:r>
    </w:p>
    <w:p w:rsidR="00000000" w:rsidRDefault="00000000">
      <w:pPr>
        <w:spacing w:after="240"/>
      </w:pPr>
      <w:r>
        <w:t>632.</w:t>
      </w:r>
      <w:r>
        <w:tab/>
        <w:t xml:space="preserve">It should be emphasized that there is no restriction on the right of access to information. </w:t>
      </w:r>
    </w:p>
    <w:p w:rsidR="00000000" w:rsidRDefault="00000000">
      <w:pPr>
        <w:spacing w:after="240"/>
      </w:pPr>
      <w:r>
        <w:rPr>
          <w:b/>
        </w:rPr>
        <w:t>5.</w:t>
      </w:r>
      <w:r>
        <w:rPr>
          <w:b/>
        </w:rPr>
        <w:tab/>
        <w:t>Measures to ensure the application of scientific progress</w:t>
      </w:r>
    </w:p>
    <w:p w:rsidR="00000000" w:rsidRDefault="00000000">
      <w:pPr>
        <w:spacing w:after="240"/>
      </w:pPr>
      <w:r>
        <w:t>633.</w:t>
      </w:r>
      <w:r>
        <w:tab/>
        <w:t xml:space="preserve">Promulgation of Act No. 1028 dated 31 January 1997 (General Science and Technology Act), under which CONACYT was established; Decree No. 19007 dated 15 October 2002 in which the Executive officially approved the National Policy on Science and Technology; and Act No. 2279 dated 7 November 2003 amending and expanding Act No. 1028/97 (General Science and Technology Act). </w:t>
      </w:r>
    </w:p>
    <w:p w:rsidR="00000000" w:rsidRDefault="00000000">
      <w:pPr>
        <w:spacing w:after="240"/>
      </w:pPr>
      <w:r>
        <w:t>634.</w:t>
      </w:r>
      <w:r>
        <w:tab/>
        <w:t xml:space="preserve">Among the concrete activities taken for the effective implementation of the National Plan, mention may be made of the following: </w:t>
      </w:r>
    </w:p>
    <w:p w:rsidR="00000000" w:rsidRDefault="00000000">
      <w:pPr>
        <w:spacing w:after="240"/>
        <w:ind w:left="1134" w:hanging="567"/>
      </w:pPr>
      <w:r>
        <w:t>–</w:t>
      </w:r>
      <w:r>
        <w:tab/>
        <w:t xml:space="preserve">The signature of project PAR/02/005 (Institutional strengthening for the development of science, technology, innovation and quality in Paraguay) between UNDP and CONACYT. </w:t>
      </w:r>
    </w:p>
    <w:p w:rsidR="00000000" w:rsidRDefault="00000000">
      <w:pPr>
        <w:spacing w:after="240"/>
        <w:ind w:left="1134" w:hanging="567"/>
      </w:pPr>
      <w:r>
        <w:t>–</w:t>
      </w:r>
      <w:r>
        <w:tab/>
        <w:t>Finalization of the collection of data from science and technology institutions for purposes of the establishment of science and technology indicators, using 2001 as the base year, under project AE/149/01.</w:t>
      </w:r>
    </w:p>
    <w:p w:rsidR="00000000" w:rsidRDefault="00000000">
      <w:pPr>
        <w:spacing w:after="240"/>
        <w:ind w:left="1134" w:hanging="567"/>
      </w:pPr>
      <w:r>
        <w:t>–</w:t>
      </w:r>
      <w:r>
        <w:tab/>
        <w:t xml:space="preserve">Signature of the interinstitutional agreement between CONACYT and the Secretariat for Science, Technology and Productive Innovation in the Ministry of Education of the Argentine Republic. </w:t>
      </w:r>
    </w:p>
    <w:p w:rsidR="00000000" w:rsidRDefault="00000000">
      <w:pPr>
        <w:spacing w:after="240"/>
        <w:ind w:left="1134" w:hanging="567"/>
      </w:pPr>
      <w:r>
        <w:t>–</w:t>
      </w:r>
      <w:r>
        <w:tab/>
        <w:t xml:space="preserve">Organization of the conference on “Science, technology and society” under the responsibility of Dr. José Antonio López Cerezo of the University of Oviedo (Spain). </w:t>
      </w:r>
    </w:p>
    <w:p w:rsidR="00000000" w:rsidRDefault="00000000">
      <w:pPr>
        <w:spacing w:after="240"/>
        <w:ind w:left="1134" w:hanging="567"/>
      </w:pPr>
      <w:r>
        <w:t>–</w:t>
      </w:r>
      <w:r>
        <w:tab/>
        <w:t xml:space="preserve">Organization of the international seminar on “Science, technology, society and globalization”. </w:t>
      </w:r>
    </w:p>
    <w:p w:rsidR="00000000" w:rsidRDefault="00000000">
      <w:pPr>
        <w:spacing w:after="240"/>
        <w:ind w:left="1134" w:hanging="567"/>
      </w:pPr>
      <w:r>
        <w:t>–</w:t>
      </w:r>
      <w:r>
        <w:tab/>
        <w:t xml:space="preserve">Implementation of project PAR 02 M15 (Strengthening of national dialogue on the information society). </w:t>
      </w:r>
    </w:p>
    <w:p w:rsidR="00000000" w:rsidRDefault="00000000">
      <w:pPr>
        <w:spacing w:after="240"/>
        <w:ind w:left="1134" w:hanging="567"/>
      </w:pPr>
      <w:r>
        <w:t>–</w:t>
      </w:r>
      <w:r>
        <w:tab/>
        <w:t>Signature of the interinstitutional agreement between CONACYT and the Brazilian Enterprise Support Service (SEBRAE).</w:t>
      </w:r>
    </w:p>
    <w:p w:rsidR="00000000" w:rsidRDefault="00000000">
      <w:pPr>
        <w:spacing w:after="240"/>
        <w:ind w:left="1134" w:hanging="567"/>
      </w:pPr>
      <w:r>
        <w:t>–</w:t>
      </w:r>
      <w:r>
        <w:tab/>
        <w:t xml:space="preserve">Support for the regional forecasting conducted under the Andrés Bello convention (CAB) for the period 2005-2015, using the DELPHI Platform, designed to determine trends in science and technology within the area of the member countries of the CAB. </w:t>
      </w:r>
    </w:p>
    <w:p w:rsidR="00000000" w:rsidRDefault="00000000">
      <w:pPr>
        <w:spacing w:after="240"/>
        <w:ind w:left="1134" w:hanging="567"/>
      </w:pPr>
      <w:r>
        <w:t>–</w:t>
      </w:r>
      <w:r>
        <w:tab/>
        <w:t>Formulation of the final proposal for the CONACYT / Inter-American Development Bank project entitled “Programme of support for the development of science, technology and innovation” (PR 126).</w:t>
      </w:r>
    </w:p>
    <w:p w:rsidR="00000000" w:rsidRDefault="00000000">
      <w:pPr>
        <w:spacing w:after="240"/>
        <w:ind w:left="1134" w:hanging="567"/>
      </w:pPr>
      <w:r>
        <w:t>–</w:t>
      </w:r>
      <w:r>
        <w:tab/>
        <w:t>Formulation and implementation of Project Genesis, phases I and II: regional incubation and innovation system in Paraguay; BM – InfoDev.</w:t>
      </w:r>
    </w:p>
    <w:p w:rsidR="00000000" w:rsidRDefault="00000000">
      <w:pPr>
        <w:spacing w:after="240"/>
        <w:ind w:left="1134" w:hanging="567"/>
      </w:pPr>
      <w:r>
        <w:t>–</w:t>
      </w:r>
      <w:r>
        <w:tab/>
        <w:t>Establishment of the national and regional platform for the launching of the activities of project BIOTECH I UE-MERCOSUR.</w:t>
      </w:r>
    </w:p>
    <w:p w:rsidR="00000000" w:rsidRDefault="00000000">
      <w:pPr>
        <w:spacing w:after="240"/>
        <w:ind w:left="1134" w:hanging="567"/>
      </w:pPr>
      <w:r>
        <w:t>–</w:t>
      </w:r>
      <w:r>
        <w:tab/>
        <w:t xml:space="preserve">Establishment of the “Pierre and Marie Curie” junior science prize with national coverage (CONACYT – MEC). </w:t>
      </w:r>
    </w:p>
    <w:p w:rsidR="00000000" w:rsidRDefault="00000000">
      <w:pPr>
        <w:spacing w:after="240"/>
        <w:ind w:left="1134" w:hanging="567"/>
      </w:pPr>
      <w:r>
        <w:t>–</w:t>
      </w:r>
      <w:r>
        <w:tab/>
        <w:t>Establishment of the RECYT – MERCOSUR prize on a regional basis with the participation of scientists from Argentina, Brazil, Paraguay and Uruguay.</w:t>
      </w:r>
    </w:p>
    <w:p w:rsidR="00000000" w:rsidRDefault="00000000">
      <w:pPr>
        <w:spacing w:after="240"/>
        <w:ind w:left="1134" w:hanging="567"/>
      </w:pPr>
      <w:r>
        <w:t>–</w:t>
      </w:r>
      <w:r>
        <w:tab/>
        <w:t xml:space="preserve">Conclusion of cooperation agreements with universities in both the public and private sectors with a view to establishing the mechanisms necessary to permit accompaniment of scientific progress in the different fields of knowledge. </w:t>
      </w:r>
    </w:p>
    <w:p w:rsidR="00000000" w:rsidRDefault="00000000">
      <w:pPr>
        <w:spacing w:after="240"/>
      </w:pPr>
      <w:r>
        <w:t>635.</w:t>
      </w:r>
      <w:r>
        <w:tab/>
        <w:t xml:space="preserve">It is equally important to point out that the National Government is encouraging and developing international and cooperation contacts regarding tasks in the fields of science and technology with the participation of the National Chancellery within the framework of bilateral or multilateral cooperation agreements concluded or other instruments in which CONACYT participates in proper form and within the ambit of its terms of reference. </w:t>
      </w:r>
    </w:p>
    <w:p w:rsidR="00000000" w:rsidRDefault="00000000">
      <w:pPr>
        <w:spacing w:after="240"/>
      </w:pPr>
      <w:r>
        <w:t>636.</w:t>
      </w:r>
      <w:r>
        <w:tab/>
        <w:t xml:space="preserve">The participation of scientists and/or authors in conferences, seminars or symposia takes place in the context previously referred to and also within the framework of projects receiving resources from financial cooperation agencies or from resources available in the general budget of expenditures and, in particular cases, from national, regional or international associations of professionals. </w:t>
      </w:r>
    </w:p>
    <w:p w:rsidR="00000000" w:rsidRDefault="00000000">
      <w:pPr>
        <w:spacing w:after="240"/>
      </w:pPr>
      <w:r>
        <w:t>637.</w:t>
      </w:r>
      <w:r>
        <w:tab/>
        <w:t xml:space="preserve">As regards the specific activities of the National Science and Technology Council relating to the implementation of this article of the Covenant during the year 2005, see Annex VII (Report on the activities of CONACYT in 2005). </w:t>
      </w:r>
    </w:p>
    <w:p w:rsidR="00000000" w:rsidRDefault="00000000">
      <w:pPr>
        <w:spacing w:after="240"/>
      </w:pPr>
      <w:r>
        <w:rPr>
          <w:b/>
        </w:rPr>
        <w:t>International cooperation</w:t>
      </w:r>
    </w:p>
    <w:p w:rsidR="00000000" w:rsidRDefault="00000000">
      <w:pPr>
        <w:spacing w:after="240"/>
      </w:pPr>
      <w:r>
        <w:t>638.</w:t>
      </w:r>
      <w:r>
        <w:tab/>
        <w:t>International cooperation plays a highly important role in the effective implementation of all the rights enshrined in the International Covenant on Economic, Social and Cultural Rights, particularly in relation to support for the measures taken by the national government designed to guarantee the broad dissemination and scope of its programmes and projects in the field of development and social assistance. The institution of State responsible for receiving and taking action on offers of international cooperation in different areas is the Technical Planning Secretariat . That body has prepared a document setting forth in detail the contributions of the international cooperating agencies and the effective implementation of the articles of the Covenant. See Annex VIII (Role of international cooperation in the implementation of ESCRs).</w:t>
      </w:r>
    </w:p>
    <w:p w:rsidR="00000000" w:rsidRDefault="00000000">
      <w:pPr>
        <w:spacing w:after="240"/>
      </w:pPr>
    </w:p>
    <w:sectPr w:rsidR="00000000">
      <w:headerReference w:type="even" r:id="rId81"/>
      <w:headerReference w:type="default" r:id="rId82"/>
      <w:pgSz w:w="11907" w:h="16840" w:code="9"/>
      <w:pgMar w:top="851" w:right="1247" w:bottom="1418"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rPr>
          <w:lang w:val="en-US"/>
        </w:rPr>
      </w:pPr>
      <w:r>
        <w:tab/>
      </w:r>
      <w:r>
        <w:rPr>
          <w:rStyle w:val="FootnoteReference"/>
          <w:b/>
          <w:bCs/>
          <w:sz w:val="22"/>
        </w:rPr>
        <w:footnoteRef/>
      </w:r>
      <w:r>
        <w:rPr>
          <w:b/>
          <w:bCs/>
          <w:sz w:val="22"/>
        </w:rPr>
        <w:tab/>
      </w:r>
      <w:r>
        <w:rPr>
          <w:lang w:val="en-US"/>
        </w:rPr>
        <w:t>Indigenous peoples of Paraguay. Final results. II NATIONAL INDIGENOUS POPULATION AND HOUSING CENSUS 2002. This material was compiled by the Technical Team of the Directorate-General for Statistics, Surveys and Censuses.</w:t>
      </w:r>
    </w:p>
  </w:footnote>
  <w:footnote w:id="2">
    <w:p w:rsidR="00000000" w:rsidRDefault="00000000">
      <w:pPr>
        <w:pStyle w:val="FootnoteText"/>
        <w:tabs>
          <w:tab w:val="left" w:pos="340"/>
          <w:tab w:val="left" w:pos="680"/>
        </w:tabs>
        <w:spacing w:after="80"/>
        <w:rPr>
          <w:lang w:val="en-US"/>
        </w:rPr>
      </w:pPr>
      <w:r>
        <w:tab/>
      </w:r>
      <w:r>
        <w:rPr>
          <w:rStyle w:val="FootnoteReference"/>
          <w:b/>
          <w:bCs/>
          <w:sz w:val="22"/>
        </w:rPr>
        <w:footnoteRef/>
      </w:r>
      <w:r>
        <w:rPr>
          <w:b/>
          <w:sz w:val="22"/>
        </w:rPr>
        <w:tab/>
      </w:r>
      <w:r>
        <w:t xml:space="preserve">Department of </w:t>
      </w:r>
      <w:r>
        <w:rPr>
          <w:lang w:val="en-US"/>
        </w:rPr>
        <w:t>Biostatistics, 2003.</w:t>
      </w:r>
    </w:p>
  </w:footnote>
  <w:footnote w:id="3">
    <w:p w:rsidR="00000000" w:rsidRDefault="00000000">
      <w:pPr>
        <w:pStyle w:val="FootnoteText"/>
        <w:tabs>
          <w:tab w:val="left" w:pos="340"/>
          <w:tab w:val="left" w:pos="680"/>
        </w:tabs>
        <w:spacing w:after="80"/>
        <w:rPr>
          <w:lang w:val="en-US"/>
        </w:rPr>
      </w:pPr>
      <w:r>
        <w:tab/>
      </w:r>
      <w:r>
        <w:rPr>
          <w:rStyle w:val="FootnoteReference"/>
          <w:b/>
          <w:bCs/>
          <w:sz w:val="22"/>
        </w:rPr>
        <w:footnoteRef/>
      </w:r>
      <w:r>
        <w:rPr>
          <w:b/>
          <w:sz w:val="22"/>
        </w:rPr>
        <w:tab/>
      </w:r>
      <w:r>
        <w:rPr>
          <w:lang w:val="en-US"/>
        </w:rPr>
        <w:t>Health conditions in the Americas. 1998. Paraguay chapter.</w:t>
      </w:r>
    </w:p>
  </w:footnote>
  <w:footnote w:id="4">
    <w:p w:rsidR="00000000" w:rsidRDefault="00000000">
      <w:pPr>
        <w:pStyle w:val="FootnoteText"/>
        <w:tabs>
          <w:tab w:val="left" w:pos="340"/>
          <w:tab w:val="left" w:pos="680"/>
        </w:tabs>
        <w:spacing w:after="80"/>
        <w:rPr>
          <w:lang w:val="en-US"/>
        </w:rPr>
      </w:pPr>
      <w:r>
        <w:tab/>
      </w:r>
      <w:r>
        <w:rPr>
          <w:rStyle w:val="FootnoteReference"/>
          <w:b/>
          <w:bCs/>
          <w:sz w:val="22"/>
        </w:rPr>
        <w:footnoteRef/>
      </w:r>
      <w:r>
        <w:rPr>
          <w:b/>
          <w:sz w:val="22"/>
        </w:rPr>
        <w:tab/>
      </w:r>
      <w:r>
        <w:rPr>
          <w:lang w:val="en-US"/>
        </w:rPr>
        <w:t>Provisional figures at 22/09/2004.</w:t>
      </w:r>
    </w:p>
  </w:footnote>
  <w:footnote w:id="5">
    <w:p w:rsidR="00000000" w:rsidRDefault="00000000">
      <w:pPr>
        <w:pStyle w:val="FootnoteText"/>
        <w:tabs>
          <w:tab w:val="left" w:pos="340"/>
          <w:tab w:val="left" w:pos="680"/>
        </w:tabs>
        <w:rPr>
          <w:lang w:val="en-US"/>
        </w:rPr>
      </w:pPr>
      <w:r>
        <w:tab/>
      </w:r>
      <w:r>
        <w:rPr>
          <w:rStyle w:val="FootnoteReference"/>
          <w:b/>
          <w:bCs/>
          <w:sz w:val="22"/>
        </w:rPr>
        <w:footnoteRef/>
      </w:r>
      <w:r>
        <w:rPr>
          <w:b/>
          <w:sz w:val="22"/>
        </w:rPr>
        <w:tab/>
      </w:r>
      <w:r>
        <w:rPr>
          <w:lang w:val="en-US"/>
        </w:rPr>
        <w:t>See Annex 1:  “Statistical data on Literacy”, containing comparative data on literacy rates for the years 1994 to 2003 broken down by departments and urban or rural areas.</w:t>
      </w:r>
    </w:p>
  </w:footnote>
  <w:footnote w:id="6">
    <w:p w:rsidR="00000000" w:rsidRDefault="00000000">
      <w:pPr>
        <w:pStyle w:val="FootnoteText"/>
        <w:tabs>
          <w:tab w:val="left" w:pos="340"/>
          <w:tab w:val="left" w:pos="680"/>
        </w:tabs>
        <w:spacing w:after="80"/>
      </w:pPr>
      <w:r>
        <w:tab/>
      </w:r>
      <w:r>
        <w:rPr>
          <w:rStyle w:val="FootnoteReference"/>
          <w:b/>
          <w:bCs/>
          <w:sz w:val="22"/>
        </w:rPr>
        <w:footnoteRef/>
      </w:r>
      <w:r>
        <w:rPr>
          <w:b/>
          <w:sz w:val="22"/>
        </w:rPr>
        <w:tab/>
      </w:r>
      <w:r>
        <w:t>World Bank, Country Assistance Strategy for the Republic of Paraguay 2004/2007.</w:t>
      </w:r>
    </w:p>
  </w:footnote>
  <w:footnote w:id="7">
    <w:p w:rsidR="00000000" w:rsidRDefault="00000000">
      <w:pPr>
        <w:pStyle w:val="FootnoteText"/>
        <w:tabs>
          <w:tab w:val="left" w:pos="340"/>
          <w:tab w:val="left" w:pos="680"/>
        </w:tabs>
        <w:spacing w:after="80"/>
      </w:pPr>
      <w:r>
        <w:tab/>
      </w:r>
      <w:r>
        <w:rPr>
          <w:rStyle w:val="FootnoteReference"/>
          <w:b/>
          <w:bCs/>
          <w:sz w:val="22"/>
        </w:rPr>
        <w:footnoteRef/>
      </w:r>
      <w:bookmarkStart w:id="13" w:name="OLE_LINK1"/>
      <w:r>
        <w:rPr>
          <w:b/>
          <w:sz w:val="22"/>
        </w:rPr>
        <w:tab/>
      </w:r>
      <w:r>
        <w:t>World Bank, Country Assistance Strategy for the Republic of Paraguay 2004/2007.</w:t>
      </w:r>
      <w:bookmarkEnd w:id="13"/>
    </w:p>
  </w:footnote>
  <w:footnote w:id="8">
    <w:p w:rsidR="00000000" w:rsidRDefault="00000000">
      <w:pPr>
        <w:pStyle w:val="FootnoteText"/>
        <w:tabs>
          <w:tab w:val="left" w:pos="340"/>
          <w:tab w:val="left" w:pos="680"/>
        </w:tabs>
        <w:spacing w:after="80"/>
      </w:pPr>
      <w:r>
        <w:tab/>
      </w:r>
      <w:r>
        <w:rPr>
          <w:rStyle w:val="FootnoteReference"/>
          <w:b/>
          <w:bCs/>
          <w:sz w:val="22"/>
        </w:rPr>
        <w:footnoteRef/>
      </w:r>
      <w:r>
        <w:rPr>
          <w:b/>
          <w:sz w:val="22"/>
        </w:rPr>
        <w:tab/>
      </w:r>
      <w:r>
        <w:t>World Bank, Country Assistance Strategy for the Republic of Paraguay 2004/2007.</w:t>
      </w:r>
    </w:p>
  </w:footnote>
  <w:footnote w:id="9">
    <w:p w:rsidR="00000000" w:rsidRDefault="00000000">
      <w:pPr>
        <w:pStyle w:val="FootnoteText"/>
        <w:tabs>
          <w:tab w:val="left" w:pos="340"/>
          <w:tab w:val="left" w:pos="680"/>
        </w:tabs>
        <w:spacing w:after="80"/>
      </w:pPr>
      <w:r>
        <w:tab/>
      </w:r>
      <w:r>
        <w:rPr>
          <w:rStyle w:val="FootnoteReference"/>
          <w:b/>
          <w:bCs/>
          <w:sz w:val="22"/>
        </w:rPr>
        <w:footnoteRef/>
      </w:r>
      <w:r>
        <w:rPr>
          <w:b/>
          <w:sz w:val="22"/>
        </w:rPr>
        <w:tab/>
      </w:r>
      <w:r>
        <w:t>Gross national product per head, measured by World Bank Atlas methodology, fell from US$ 1,810 in 1998 to US$ 1,170 in 2002.</w:t>
      </w:r>
    </w:p>
  </w:footnote>
  <w:footnote w:id="10">
    <w:p w:rsidR="00000000" w:rsidRDefault="00000000">
      <w:pPr>
        <w:pStyle w:val="FootnoteText"/>
        <w:tabs>
          <w:tab w:val="left" w:pos="340"/>
          <w:tab w:val="left" w:pos="680"/>
        </w:tabs>
        <w:spacing w:after="80"/>
      </w:pPr>
      <w:r>
        <w:tab/>
      </w:r>
      <w:r>
        <w:rPr>
          <w:rStyle w:val="FootnoteReference"/>
          <w:b/>
          <w:bCs/>
          <w:sz w:val="22"/>
        </w:rPr>
        <w:footnoteRef/>
      </w:r>
      <w:r>
        <w:rPr>
          <w:b/>
          <w:sz w:val="22"/>
        </w:rPr>
        <w:tab/>
      </w:r>
      <w:r>
        <w:t>Gross national product per head, measured by World Bank Atlas methodology, fell from US$ 1,810 in 1998 to US$ 1,170 in 2002.</w:t>
      </w:r>
    </w:p>
  </w:footnote>
  <w:footnote w:id="11">
    <w:p w:rsidR="00000000" w:rsidRDefault="00000000">
      <w:pPr>
        <w:pStyle w:val="FootnoteText"/>
        <w:tabs>
          <w:tab w:val="left" w:pos="340"/>
          <w:tab w:val="left" w:pos="680"/>
        </w:tabs>
        <w:spacing w:after="80"/>
      </w:pPr>
      <w:r>
        <w:tab/>
      </w:r>
      <w:r>
        <w:rPr>
          <w:rStyle w:val="FootnoteReference"/>
          <w:b/>
          <w:bCs/>
          <w:sz w:val="22"/>
        </w:rPr>
        <w:footnoteRef/>
      </w:r>
      <w:r>
        <w:rPr>
          <w:b/>
          <w:sz w:val="22"/>
        </w:rPr>
        <w:tab/>
      </w:r>
      <w:r>
        <w:t>World Bank, Country Assistance Strategy for the Republic of Paraguay 2004/2007.</w:t>
      </w:r>
    </w:p>
  </w:footnote>
  <w:footnote w:id="12">
    <w:p w:rsidR="00000000" w:rsidRDefault="00000000">
      <w:pPr>
        <w:pStyle w:val="FootnoteText"/>
        <w:tabs>
          <w:tab w:val="left" w:pos="340"/>
          <w:tab w:val="left" w:pos="680"/>
        </w:tabs>
        <w:spacing w:after="80"/>
      </w:pPr>
      <w:r>
        <w:tab/>
      </w:r>
      <w:r>
        <w:rPr>
          <w:rStyle w:val="FootnoteReference"/>
          <w:b/>
          <w:bCs/>
          <w:sz w:val="22"/>
        </w:rPr>
        <w:footnoteRef/>
      </w:r>
      <w:r>
        <w:rPr>
          <w:b/>
          <w:sz w:val="22"/>
        </w:rPr>
        <w:t xml:space="preserve"> </w:t>
      </w:r>
      <w:r>
        <w:rPr>
          <w:b/>
          <w:sz w:val="22"/>
        </w:rPr>
        <w:tab/>
      </w:r>
      <w:r>
        <w:t>See Annex II, “Normative Framework for the Protection of Human Rights”, extract from the pertinent section of the periodic report of Paraguay to the Human Rights Committee, submitted on 28 July 2004.</w:t>
      </w:r>
    </w:p>
  </w:footnote>
  <w:footnote w:id="13">
    <w:p w:rsidR="00000000" w:rsidRDefault="00000000">
      <w:pPr>
        <w:pStyle w:val="FootnoteText"/>
        <w:tabs>
          <w:tab w:val="left" w:pos="340"/>
          <w:tab w:val="left" w:pos="680"/>
        </w:tabs>
        <w:spacing w:after="80"/>
        <w:rPr>
          <w:lang w:val="en-US"/>
        </w:rPr>
      </w:pPr>
      <w:r>
        <w:tab/>
      </w:r>
      <w:r>
        <w:rPr>
          <w:rStyle w:val="FootnoteReference"/>
          <w:b/>
          <w:bCs/>
          <w:sz w:val="22"/>
        </w:rPr>
        <w:footnoteRef/>
      </w:r>
      <w:r>
        <w:rPr>
          <w:b/>
          <w:sz w:val="22"/>
        </w:rPr>
        <w:tab/>
      </w:r>
      <w:r>
        <w:rPr>
          <w:lang w:val="en-US"/>
        </w:rPr>
        <w:t>This second part of the periodic report of the Republic of Paraguay for the period 1994-2005 contains the State’s replies to the questions contained in the revised general guidelines regarding the form and content of reports to be submitted by States parties under articles 16 and 17 of the International Covenant on Economic, Social and Cultural Rights (basic reference document E/C.12/1991/1).</w:t>
      </w:r>
    </w:p>
  </w:footnote>
  <w:footnote w:id="14">
    <w:p w:rsidR="00000000" w:rsidRDefault="00000000">
      <w:pPr>
        <w:pStyle w:val="FootnoteText"/>
        <w:tabs>
          <w:tab w:val="left" w:pos="340"/>
          <w:tab w:val="left" w:pos="680"/>
        </w:tabs>
        <w:spacing w:after="80"/>
        <w:rPr>
          <w:lang w:val="en-US"/>
        </w:rPr>
      </w:pPr>
      <w:r>
        <w:tab/>
      </w:r>
      <w:r>
        <w:rPr>
          <w:rStyle w:val="FootnoteReference"/>
          <w:b/>
          <w:bCs/>
          <w:sz w:val="22"/>
        </w:rPr>
        <w:footnoteRef/>
      </w:r>
      <w:r>
        <w:rPr>
          <w:b/>
          <w:sz w:val="22"/>
        </w:rPr>
        <w:t xml:space="preserve"> </w:t>
      </w:r>
      <w:r>
        <w:rPr>
          <w:b/>
          <w:sz w:val="22"/>
        </w:rPr>
        <w:tab/>
      </w:r>
      <w:r>
        <w:t>See Annex III to this document: “Land acquired by the Paraguayan Indigenous Institute (INDI) for settling indigenous communities.”</w:t>
      </w:r>
    </w:p>
  </w:footnote>
  <w:footnote w:id="15">
    <w:p w:rsidR="00000000" w:rsidRDefault="00000000">
      <w:pPr>
        <w:pStyle w:val="FootnoteText"/>
        <w:tabs>
          <w:tab w:val="left" w:pos="340"/>
          <w:tab w:val="left" w:pos="680"/>
        </w:tabs>
        <w:spacing w:after="80"/>
        <w:rPr>
          <w:lang w:val="en-US"/>
        </w:rPr>
      </w:pPr>
      <w:r>
        <w:tab/>
      </w:r>
      <w:r>
        <w:rPr>
          <w:rStyle w:val="FootnoteReference"/>
          <w:b/>
          <w:bCs/>
          <w:sz w:val="22"/>
        </w:rPr>
        <w:footnoteRef/>
      </w:r>
      <w:r>
        <w:rPr>
          <w:b/>
          <w:sz w:val="22"/>
        </w:rPr>
        <w:t xml:space="preserve"> </w:t>
      </w:r>
      <w:r>
        <w:rPr>
          <w:b/>
          <w:sz w:val="22"/>
          <w:lang w:val="en-US"/>
        </w:rPr>
        <w:tab/>
      </w:r>
      <w:r>
        <w:rPr>
          <w:lang w:val="en-US"/>
        </w:rPr>
        <w:t>See Annex IV: “Activities carried out by the Paraguayan contingent in United Nations missions”.</w:t>
      </w:r>
    </w:p>
  </w:footnote>
  <w:footnote w:id="16">
    <w:p w:rsidR="00000000" w:rsidRDefault="00000000">
      <w:pPr>
        <w:pStyle w:val="FootnoteText"/>
        <w:tabs>
          <w:tab w:val="left" w:pos="340"/>
          <w:tab w:val="left" w:pos="680"/>
        </w:tabs>
        <w:spacing w:after="80"/>
      </w:pPr>
      <w:r>
        <w:tab/>
      </w:r>
      <w:r>
        <w:rPr>
          <w:rStyle w:val="FootnoteReference"/>
          <w:b/>
          <w:bCs/>
          <w:sz w:val="22"/>
        </w:rPr>
        <w:footnoteRef/>
      </w:r>
      <w:r>
        <w:rPr>
          <w:b/>
          <w:sz w:val="22"/>
        </w:rPr>
        <w:tab/>
      </w:r>
      <w:r>
        <w:t xml:space="preserve">Directorate-General of Statistics, Surveys and the Census, report Social Watch 2005. </w:t>
      </w:r>
    </w:p>
  </w:footnote>
  <w:footnote w:id="17">
    <w:p w:rsidR="00000000" w:rsidRDefault="00000000">
      <w:pPr>
        <w:pStyle w:val="FootnoteText"/>
        <w:tabs>
          <w:tab w:val="left" w:pos="340"/>
          <w:tab w:val="left" w:pos="680"/>
        </w:tabs>
        <w:spacing w:after="80"/>
      </w:pPr>
      <w:r>
        <w:tab/>
      </w:r>
      <w:r>
        <w:rPr>
          <w:rStyle w:val="FootnoteReference"/>
          <w:b/>
          <w:bCs/>
          <w:sz w:val="22"/>
        </w:rPr>
        <w:footnoteRef/>
      </w:r>
      <w:r>
        <w:rPr>
          <w:b/>
          <w:sz w:val="22"/>
        </w:rPr>
        <w:tab/>
      </w:r>
      <w:r>
        <w:t xml:space="preserve">National Tripartite Commission to examine and promote the participation of women in work, established by Decree No. 21403 of 11 June 1998. The Commission is made up as follows: representatives of the State: Ministry of Justice and Labour, through the Directorate for the Social Promotion of Working Women); the Secretariat for Women of the Office of the President of the Republic, through Access to Financial Resources and Work; representatives of the employers: Association of Entrepreneurs, Executives and Professionals (APEP), the Federation of Production, Industry and Commerce (FEPRINCO); the Association of Medium-sized and Small Enterprises (APYME); and the Network of Women in Enterprises; representatives of the workers: Paraguayan Confederation of Workers (CPT); National Central Workers’ Organization (CNT); Unitary Central Organization of Workers (CUT); Central Trade Union Organization of Paraguayan Workers (CESITP); General Central Organization of Workers (CGT); Authentic Unitary Central Organization of Workers (CUT-A). </w:t>
      </w:r>
    </w:p>
  </w:footnote>
  <w:footnote w:id="18">
    <w:p w:rsidR="00000000" w:rsidRDefault="00000000">
      <w:pPr>
        <w:pStyle w:val="FootnoteText"/>
        <w:tabs>
          <w:tab w:val="left" w:pos="340"/>
          <w:tab w:val="left" w:pos="680"/>
        </w:tabs>
        <w:spacing w:after="80"/>
      </w:pPr>
      <w:r>
        <w:tab/>
      </w:r>
      <w:r>
        <w:rPr>
          <w:rStyle w:val="FootnoteReference"/>
          <w:b/>
          <w:bCs/>
          <w:sz w:val="22"/>
        </w:rPr>
        <w:footnoteRef/>
      </w:r>
      <w:r>
        <w:rPr>
          <w:b/>
          <w:sz w:val="22"/>
        </w:rPr>
        <w:tab/>
      </w:r>
      <w:r>
        <w:t>Ratified by Act No. 2332 of 19 December 2003 ; deposit on 3 March 2004 ; entry into force for Paraguay on 3 March 2005.</w:t>
      </w:r>
      <w:r>
        <w:tab/>
      </w:r>
    </w:p>
  </w:footnote>
  <w:footnote w:id="19">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b/>
          <w:bCs/>
        </w:rPr>
        <w:t>Convention on the Rights of the Child</w:t>
      </w:r>
      <w:r>
        <w:t xml:space="preserve">: signed in New York on 4 April 1990; ratified by Act No. 57 dated 20 November 1990. Optional Protocol to the  Convention on the Rights of the Child on the involvement of children in armed conflict: signed in New York on 17 November 2000, ratified by Act 1897 0f 27 May 2002. Optional Protocol to the  Convention on the Rights of the Child on the sale of children, child prostitution and child pornography: signed in New York on 13 November 2000, ratified by Act 2134/03 of 22 July 2003. </w:t>
      </w:r>
    </w:p>
  </w:footnote>
  <w:footnote w:id="20">
    <w:p w:rsidR="00000000" w:rsidRDefault="00000000">
      <w:pPr>
        <w:pStyle w:val="FootnoteText"/>
        <w:tabs>
          <w:tab w:val="left" w:pos="340"/>
          <w:tab w:val="left" w:pos="680"/>
        </w:tabs>
        <w:spacing w:after="80"/>
      </w:pPr>
      <w:r>
        <w:tab/>
      </w:r>
      <w:r>
        <w:rPr>
          <w:rStyle w:val="FootnoteReference"/>
          <w:b/>
          <w:bCs/>
          <w:sz w:val="22"/>
        </w:rPr>
        <w:footnoteRef/>
      </w:r>
      <w:r>
        <w:rPr>
          <w:b/>
          <w:sz w:val="22"/>
        </w:rPr>
        <w:tab/>
      </w:r>
      <w:r>
        <w:t xml:space="preserve">Article 67(d) of the Labour Code provides that workers have the following rights : .”... to receive compensation and other benefits established by law under the heading of social insurance and security ...”.Provisions along the same lines are to be found at the end of article 95 of the National Constitution; in Act 2053/05 concerning the General Budget of Expenditures of the Nation (chapter V: “Concerning Social Security and the Retirement Pension Regime”, articles 48-62); Act No. 375/56 as updated by Acts Nos. 1085/65, 427/73 and 98/92 concerning the Social Security Institute, articles 30-61; Act No. 2345/03 to reform the Financial Fund and  the Public Sector Retirement and Pension Scheme.  </w:t>
      </w:r>
    </w:p>
  </w:footnote>
  <w:footnote w:id="21">
    <w:p w:rsidR="00000000" w:rsidRDefault="00000000">
      <w:pPr>
        <w:pStyle w:val="FootnoteText"/>
        <w:tabs>
          <w:tab w:val="left" w:pos="340"/>
          <w:tab w:val="left" w:pos="680"/>
        </w:tabs>
        <w:spacing w:after="80"/>
      </w:pPr>
      <w:r>
        <w:tab/>
      </w:r>
      <w:r>
        <w:rPr>
          <w:rStyle w:val="FootnoteReference"/>
          <w:b/>
          <w:bCs/>
          <w:sz w:val="22"/>
        </w:rPr>
        <w:footnoteRef/>
      </w:r>
      <w:r>
        <w:rPr>
          <w:b/>
          <w:sz w:val="22"/>
        </w:rPr>
        <w:t xml:space="preserve"> </w:t>
      </w:r>
      <w:r>
        <w:rPr>
          <w:b/>
          <w:sz w:val="22"/>
        </w:rPr>
        <w:tab/>
      </w:r>
      <w:r>
        <w:t>Transcript of the National Policy on Childhood  and Adolescence– POLNA and the National Plan of Action for Children and Adolescents. National Council on Childhood and Adolescence. Paraguay, July 2003.</w:t>
      </w:r>
    </w:p>
  </w:footnote>
  <w:footnote w:id="22">
    <w:p w:rsidR="00000000" w:rsidRDefault="00000000">
      <w:pPr>
        <w:pStyle w:val="FootnoteText"/>
        <w:tabs>
          <w:tab w:val="left" w:pos="340"/>
          <w:tab w:val="left" w:pos="680"/>
        </w:tabs>
        <w:spacing w:after="80"/>
        <w:rPr>
          <w:lang w:val="en-US"/>
        </w:rPr>
      </w:pPr>
      <w:r>
        <w:tab/>
      </w:r>
      <w:r>
        <w:rPr>
          <w:rStyle w:val="FootnoteReference"/>
          <w:b/>
          <w:bCs/>
          <w:sz w:val="22"/>
        </w:rPr>
        <w:footnoteRef/>
      </w:r>
      <w:r>
        <w:rPr>
          <w:b/>
          <w:sz w:val="22"/>
        </w:rPr>
        <w:t xml:space="preserve"> </w:t>
      </w:r>
      <w:r>
        <w:rPr>
          <w:b/>
          <w:sz w:val="22"/>
        </w:rPr>
        <w:tab/>
      </w:r>
      <w:r>
        <w:t>Directorate-General of Statistics, Surveys and Censuses. Integrated Household Survey 2000/2001. Report on Child Labour 2002.</w:t>
      </w:r>
    </w:p>
  </w:footnote>
  <w:footnote w:id="23">
    <w:p w:rsidR="00000000" w:rsidRDefault="00000000">
      <w:pPr>
        <w:pStyle w:val="FootnoteText"/>
        <w:tabs>
          <w:tab w:val="left" w:pos="340"/>
          <w:tab w:val="left" w:pos="680"/>
        </w:tabs>
        <w:spacing w:after="80"/>
        <w:rPr>
          <w:lang w:val="en-US"/>
        </w:rPr>
      </w:pPr>
      <w:r>
        <w:tab/>
      </w:r>
      <w:r>
        <w:rPr>
          <w:rStyle w:val="FootnoteReference"/>
          <w:b/>
          <w:bCs/>
          <w:sz w:val="22"/>
        </w:rPr>
        <w:footnoteRef/>
      </w:r>
      <w:r>
        <w:rPr>
          <w:b/>
          <w:sz w:val="22"/>
        </w:rPr>
        <w:t xml:space="preserve"> </w:t>
      </w:r>
      <w:r>
        <w:rPr>
          <w:b/>
          <w:sz w:val="22"/>
        </w:rPr>
        <w:tab/>
      </w:r>
      <w:r>
        <w:t>Rural child labour in Canindeyú, Paraguay 2005, ILO-MPDL-AECI.</w:t>
      </w:r>
    </w:p>
  </w:footnote>
  <w:footnote w:id="24">
    <w:p w:rsidR="00000000" w:rsidRDefault="00000000">
      <w:pPr>
        <w:pStyle w:val="FootnoteText"/>
        <w:tabs>
          <w:tab w:val="left" w:pos="340"/>
          <w:tab w:val="left" w:pos="680"/>
        </w:tabs>
        <w:spacing w:after="80"/>
        <w:rPr>
          <w:lang w:val="en-US"/>
        </w:rPr>
      </w:pPr>
      <w:r>
        <w:tab/>
      </w:r>
      <w:r>
        <w:rPr>
          <w:rStyle w:val="FootnoteReference"/>
          <w:b/>
          <w:bCs/>
          <w:sz w:val="22"/>
        </w:rPr>
        <w:footnoteRef/>
      </w:r>
      <w:r>
        <w:rPr>
          <w:b/>
          <w:sz w:val="22"/>
        </w:rPr>
        <w:t xml:space="preserve"> </w:t>
      </w:r>
      <w:r>
        <w:rPr>
          <w:b/>
          <w:sz w:val="22"/>
          <w:lang w:val="en-US"/>
        </w:rPr>
        <w:tab/>
      </w:r>
      <w:r>
        <w:rPr>
          <w:lang w:val="en-US"/>
        </w:rPr>
        <w:t xml:space="preserve">Source: “National Policy on Childhood and Adolescence – POLNA. National Plan of Action for Children and Adolescents – PNA. Building a new Paraguay for children and adolescents” published by the Secretariat for Childhood and Adolescence. </w:t>
      </w:r>
    </w:p>
  </w:footnote>
  <w:footnote w:id="25">
    <w:p w:rsidR="00000000" w:rsidRDefault="00000000">
      <w:pPr>
        <w:pStyle w:val="FootnoteText"/>
        <w:tabs>
          <w:tab w:val="left" w:pos="340"/>
          <w:tab w:val="left" w:pos="680"/>
        </w:tabs>
        <w:spacing w:after="80"/>
        <w:rPr>
          <w:lang w:val="en-US"/>
        </w:rPr>
      </w:pPr>
      <w:r>
        <w:tab/>
      </w:r>
      <w:r>
        <w:rPr>
          <w:rStyle w:val="FootnoteReference"/>
          <w:b/>
          <w:bCs/>
          <w:sz w:val="22"/>
        </w:rPr>
        <w:footnoteRef/>
      </w:r>
      <w:r>
        <w:rPr>
          <w:b/>
          <w:sz w:val="22"/>
        </w:rPr>
        <w:t xml:space="preserve"> </w:t>
      </w:r>
      <w:r>
        <w:rPr>
          <w:b/>
          <w:sz w:val="22"/>
        </w:rPr>
        <w:tab/>
      </w:r>
      <w:r>
        <w:t>Source: Report of the Office of Classification of Criminal Cases in the capital.</w:t>
      </w:r>
    </w:p>
  </w:footnote>
  <w:footnote w:id="26">
    <w:p w:rsidR="00000000" w:rsidRDefault="00000000">
      <w:pPr>
        <w:pStyle w:val="FootnoteText"/>
        <w:tabs>
          <w:tab w:val="left" w:pos="340"/>
          <w:tab w:val="left" w:pos="680"/>
        </w:tabs>
        <w:rPr>
          <w:lang w:val="en-US"/>
        </w:rPr>
      </w:pPr>
      <w:r>
        <w:tab/>
      </w:r>
      <w:r>
        <w:rPr>
          <w:rStyle w:val="FootnoteReference"/>
          <w:b/>
          <w:bCs/>
          <w:sz w:val="22"/>
        </w:rPr>
        <w:footnoteRef/>
      </w:r>
      <w:r>
        <w:rPr>
          <w:b/>
          <w:sz w:val="22"/>
        </w:rPr>
        <w:tab/>
      </w:r>
      <w:r>
        <w:t>The latest official information on the housing deficit consists of a projection made by the Planning Department of the National Housing Council.</w:t>
      </w:r>
    </w:p>
  </w:footnote>
  <w:footnote w:id="27">
    <w:p w:rsidR="00000000" w:rsidRDefault="00000000">
      <w:pPr>
        <w:pStyle w:val="FootnoteText"/>
        <w:tabs>
          <w:tab w:val="left" w:pos="340"/>
          <w:tab w:val="left" w:pos="680"/>
        </w:tabs>
        <w:spacing w:after="80"/>
        <w:rPr>
          <w:lang w:val="en-US"/>
        </w:rPr>
      </w:pPr>
      <w:r>
        <w:tab/>
      </w:r>
      <w:r>
        <w:rPr>
          <w:rStyle w:val="FootnoteReference"/>
          <w:b/>
          <w:bCs/>
          <w:sz w:val="22"/>
        </w:rPr>
        <w:footnoteRef/>
      </w:r>
      <w:r>
        <w:rPr>
          <w:b/>
          <w:sz w:val="22"/>
        </w:rPr>
        <w:tab/>
      </w:r>
      <w:r>
        <w:t>National Environmental Sanitation Service (SENASA) 2004</w:t>
      </w:r>
    </w:p>
  </w:footnote>
  <w:footnote w:id="28">
    <w:p w:rsidR="00000000" w:rsidRDefault="00000000">
      <w:pPr>
        <w:pStyle w:val="FootnoteText"/>
        <w:tabs>
          <w:tab w:val="left" w:pos="340"/>
          <w:tab w:val="left" w:pos="680"/>
        </w:tabs>
        <w:spacing w:after="80"/>
        <w:rPr>
          <w:lang w:val="en-US"/>
        </w:rPr>
      </w:pPr>
      <w:r>
        <w:tab/>
      </w:r>
      <w:r>
        <w:rPr>
          <w:rStyle w:val="FootnoteReference"/>
          <w:b/>
          <w:bCs/>
          <w:sz w:val="22"/>
        </w:rPr>
        <w:footnoteRef/>
      </w:r>
      <w:r>
        <w:rPr>
          <w:b/>
          <w:sz w:val="22"/>
        </w:rPr>
        <w:tab/>
      </w:r>
      <w:r>
        <w:t>Source: National Environmental Sanitation Service (SENASA), 2005</w:t>
      </w:r>
    </w:p>
  </w:footnote>
  <w:footnote w:id="29">
    <w:p w:rsidR="00000000" w:rsidRDefault="00000000">
      <w:pPr>
        <w:pStyle w:val="FootnoteText"/>
        <w:tabs>
          <w:tab w:val="left" w:pos="340"/>
          <w:tab w:val="left" w:pos="680"/>
        </w:tabs>
        <w:spacing w:after="80"/>
        <w:rPr>
          <w:i/>
          <w:lang w:val="en-US"/>
        </w:rPr>
      </w:pPr>
      <w:r>
        <w:tab/>
      </w:r>
      <w:r>
        <w:rPr>
          <w:rStyle w:val="FootnoteReference"/>
          <w:b/>
          <w:bCs/>
          <w:sz w:val="22"/>
        </w:rPr>
        <w:footnoteRef/>
      </w:r>
      <w:r>
        <w:rPr>
          <w:b/>
          <w:sz w:val="22"/>
        </w:rPr>
        <w:tab/>
      </w:r>
      <w:r>
        <w:rPr>
          <w:i/>
        </w:rPr>
        <w:t xml:space="preserve">Diagnosis of Hospital Solid Waste in Paraguay – </w:t>
      </w:r>
      <w:r>
        <w:rPr>
          <w:iCs/>
        </w:rPr>
        <w:t>MSP and BS, OPS/WHO – 2003</w:t>
      </w:r>
      <w:r>
        <w:rPr>
          <w:i/>
        </w:rPr>
        <w:t>.</w:t>
      </w:r>
    </w:p>
  </w:footnote>
  <w:footnote w:id="30">
    <w:p w:rsidR="00000000" w:rsidRDefault="00000000">
      <w:pPr>
        <w:pStyle w:val="FootnoteText"/>
        <w:tabs>
          <w:tab w:val="left" w:pos="340"/>
          <w:tab w:val="left" w:pos="680"/>
        </w:tabs>
        <w:rPr>
          <w:lang w:val="en-US"/>
        </w:rPr>
      </w:pPr>
      <w:r>
        <w:tab/>
      </w:r>
      <w:r>
        <w:rPr>
          <w:rStyle w:val="FootnoteReference"/>
          <w:b/>
          <w:bCs/>
          <w:sz w:val="22"/>
        </w:rPr>
        <w:footnoteRef/>
      </w:r>
      <w:r>
        <w:rPr>
          <w:lang w:val="en-US"/>
        </w:rPr>
        <w:tab/>
      </w:r>
      <w:r>
        <w:rPr>
          <w:lang w:val="es-ES_tradnl"/>
        </w:rPr>
        <w:t>Factors determining the State of Health and Nutrition of Children under age 5 Living in Poverty, Paraguay, EIH 2000/01, María Cristina Sanabria, ed.</w:t>
      </w:r>
    </w:p>
  </w:footnote>
  <w:footnote w:id="31">
    <w:p w:rsidR="00000000" w:rsidRDefault="00000000">
      <w:pPr>
        <w:pStyle w:val="FootnoteText"/>
        <w:tabs>
          <w:tab w:val="left" w:pos="340"/>
          <w:tab w:val="left" w:pos="680"/>
        </w:tabs>
        <w:spacing w:after="80"/>
        <w:rPr>
          <w:lang w:val="fr-CH"/>
        </w:rPr>
      </w:pPr>
      <w:r>
        <w:rPr>
          <w:lang w:val="en-US"/>
        </w:rPr>
        <w:tab/>
      </w:r>
      <w:r>
        <w:rPr>
          <w:rStyle w:val="FootnoteReference"/>
          <w:b/>
          <w:bCs/>
          <w:sz w:val="22"/>
        </w:rPr>
        <w:footnoteRef/>
      </w:r>
      <w:r>
        <w:rPr>
          <w:b/>
          <w:sz w:val="22"/>
          <w:lang w:val="fr-FR"/>
        </w:rPr>
        <w:tab/>
      </w:r>
      <w:r>
        <w:rPr>
          <w:lang w:val="fr-CH"/>
        </w:rPr>
        <w:t xml:space="preserve">Exclusión Social en Salud, Paraguay, 2003. </w:t>
      </w:r>
    </w:p>
  </w:footnote>
  <w:footnote w:id="32">
    <w:p w:rsidR="00000000" w:rsidRDefault="00000000">
      <w:pPr>
        <w:pStyle w:val="FootnoteText"/>
        <w:tabs>
          <w:tab w:val="left" w:pos="340"/>
          <w:tab w:val="left" w:pos="680"/>
        </w:tabs>
        <w:spacing w:after="80"/>
      </w:pPr>
      <w:r>
        <w:tab/>
      </w:r>
      <w:r>
        <w:rPr>
          <w:rStyle w:val="FootnoteReference"/>
          <w:b/>
          <w:bCs/>
          <w:sz w:val="22"/>
        </w:rPr>
        <w:footnoteRef/>
      </w:r>
      <w:r>
        <w:rPr>
          <w:b/>
          <w:sz w:val="22"/>
        </w:rPr>
        <w:tab/>
      </w:r>
      <w:r>
        <w:t>Ibid.</w:t>
      </w:r>
    </w:p>
  </w:footnote>
  <w:footnote w:id="33">
    <w:p w:rsidR="00000000" w:rsidRDefault="00000000">
      <w:pPr>
        <w:pStyle w:val="FootnoteText"/>
        <w:tabs>
          <w:tab w:val="left" w:pos="340"/>
          <w:tab w:val="left" w:pos="680"/>
        </w:tabs>
        <w:spacing w:after="80"/>
      </w:pPr>
      <w:r>
        <w:tab/>
      </w:r>
      <w:r>
        <w:rPr>
          <w:rStyle w:val="FootnoteReference"/>
          <w:b/>
          <w:bCs/>
          <w:sz w:val="22"/>
        </w:rPr>
        <w:footnoteRef/>
      </w:r>
      <w:r>
        <w:rPr>
          <w:b/>
          <w:sz w:val="22"/>
        </w:rPr>
        <w:tab/>
      </w:r>
      <w:r>
        <w:t xml:space="preserve">Source : DGEEC, permanent household survey, 2004.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BR"/>
      </w:rPr>
    </w:pPr>
    <w:r>
      <w:rPr>
        <w:lang w:val="pt-BR"/>
      </w:rPr>
      <w:t>E/C.12/PRY/3</w:t>
    </w:r>
  </w:p>
  <w:p w:rsidR="00000000" w:rsidRDefault="00000000">
    <w:pPr>
      <w:pStyle w:val="Header"/>
      <w:rPr>
        <w:rStyle w:val="PageNumber"/>
      </w:rPr>
    </w:pPr>
    <w:r>
      <w:rPr>
        <w:lang w:val="pt-B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rPr>
        <w:rStyle w:val="PageNumber"/>
      </w:rPr>
    </w:pPr>
  </w:p>
  <w:p w:rsidR="00000000" w:rsidRDefault="00000000">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768"/>
      <w:rPr>
        <w:lang w:val="pt-BR"/>
      </w:rPr>
    </w:pPr>
    <w:r>
      <w:rPr>
        <w:lang w:val="pt-BR"/>
      </w:rPr>
      <w:t>E/C.12/PRY/3</w:t>
    </w:r>
  </w:p>
  <w:p w:rsidR="00000000" w:rsidRDefault="00000000">
    <w:pPr>
      <w:pStyle w:val="Header"/>
      <w:ind w:left="7768"/>
      <w:rPr>
        <w:rStyle w:val="PageNumber"/>
      </w:rPr>
    </w:pPr>
    <w:r>
      <w:rPr>
        <w:lang w:val="pt-B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ind w:left="7768"/>
    </w:pPr>
  </w:p>
  <w:p w:rsidR="00000000" w:rsidRDefault="00000000">
    <w:pPr>
      <w:pStyle w:val="Header"/>
      <w:ind w:left="776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920"/>
      </w:tabs>
      <w:ind w:left="7768"/>
    </w:pPr>
    <w:r>
      <w:pict>
        <v:shapetype id="_x0000_t202" coordsize="21600,21600" o:spt="202" path="m,l,21600r21600,l21600,xe">
          <v:stroke joinstyle="miter"/>
          <v:path gradientshapeok="t" o:connecttype="rect"/>
        </v:shapetype>
        <v:shape id="_x0000_s1029" type="#_x0000_t202" style="position:absolute;left:0;text-align:left;margin-left:737.1pt;margin-top:62.35pt;width:35pt;height:470.55pt;z-index:1;mso-position-horizontal-relative:margin;mso-position-vertical-relative:page" filled="f" stroked="f">
          <v:textbox style="layout-flow:vertical;mso-next-textbox:#_x0000_s1029" inset="0,0,0,0">
            <w:txbxContent>
              <w:p w:rsidR="00000000" w:rsidRDefault="00000000">
                <w:pPr>
                  <w:pStyle w:val="Header"/>
                  <w:tabs>
                    <w:tab w:val="clear" w:pos="4320"/>
                    <w:tab w:val="clear" w:pos="8640"/>
                  </w:tabs>
                  <w:rPr>
                    <w:lang w:val="pt-BR"/>
                  </w:rPr>
                </w:pPr>
                <w:r>
                  <w:rPr>
                    <w:lang w:val="pt-BR"/>
                  </w:rPr>
                  <w:t>E/C.12/PRY/3</w:t>
                </w:r>
              </w:p>
              <w:p w:rsidR="00000000" w:rsidRDefault="00000000">
                <w:r>
                  <w:t xml:space="preserve">page </w:t>
                </w:r>
                <w:r>
                  <w:fldChar w:fldCharType="begin"/>
                </w:r>
                <w:r>
                  <w:instrText xml:space="preserve"> PAGE  \* MERGEFORMAT </w:instrText>
                </w:r>
                <w:r>
                  <w:fldChar w:fldCharType="separate"/>
                </w:r>
                <w:r>
                  <w:rPr>
                    <w:noProof/>
                  </w:rPr>
                  <w:t>12</w:t>
                </w:r>
                <w:r>
                  <w:fldChar w:fldCharType="end"/>
                </w:r>
              </w:p>
            </w:txbxContent>
          </v:textbox>
          <w10:wrap anchory="page"/>
          <w10:anchorlock/>
        </v:shape>
      </w:pict>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BR"/>
      </w:rPr>
    </w:pPr>
    <w:r>
      <w:rPr>
        <w:lang w:val="pt-BR"/>
      </w:rPr>
      <w:t>E/C.12/PRY/3</w:t>
    </w:r>
  </w:p>
  <w:p w:rsidR="00000000" w:rsidRDefault="00000000">
    <w:pPr>
      <w:pStyle w:val="Header"/>
      <w:rPr>
        <w:rStyle w:val="PageNumber"/>
      </w:rPr>
    </w:pPr>
    <w:r>
      <w:rPr>
        <w:lang w:val="pt-B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rPr>
        <w:rStyle w:val="PageNumber"/>
      </w:rPr>
    </w:pPr>
  </w:p>
  <w:p w:rsidR="00000000" w:rsidRDefault="00000000">
    <w:pPr>
      <w:pStyle w:val="Header"/>
      <w:tabs>
        <w:tab w:val="left" w:pos="7920"/>
      </w:tabs>
      <w:ind w:left="7768"/>
    </w:pPr>
    <w:r>
      <w:pict>
        <v:shapetype id="_x0000_t202" coordsize="21600,21600" o:spt="202" path="m,l,21600r21600,l21600,xe">
          <v:stroke joinstyle="miter"/>
          <v:path gradientshapeok="t" o:connecttype="rect"/>
        </v:shapetype>
        <v:shape id="_x0000_s1030" type="#_x0000_t202" style="position:absolute;left:0;text-align:left;margin-left:737.1pt;margin-top:62.35pt;width:35pt;height:470.55pt;z-index:2;mso-position-horizontal-relative:margin;mso-position-vertical-relative:page" filled="f" stroked="f">
          <v:textbox style="layout-flow:vertical;mso-next-textbox:#_x0000_s1030" inset="0,0,0,0">
            <w:txbxContent>
              <w:p w:rsidR="00000000" w:rsidRDefault="00000000">
                <w:pPr>
                  <w:pStyle w:val="Header"/>
                  <w:tabs>
                    <w:tab w:val="clear" w:pos="4320"/>
                    <w:tab w:val="clear" w:pos="8640"/>
                  </w:tabs>
                  <w:rPr>
                    <w:lang w:val="pt-BR"/>
                  </w:rPr>
                </w:pPr>
                <w:r>
                  <w:tab/>
                </w:r>
                <w:r>
                  <w:rPr>
                    <w:lang w:val="pt-BR"/>
                  </w:rPr>
                  <w:t>E/C.12/PRY/3</w:t>
                </w:r>
              </w:p>
              <w:p w:rsidR="00000000" w:rsidRDefault="00000000">
                <w:r>
                  <w:rPr>
                    <w:lang w:val="pt-BR"/>
                  </w:rPr>
                  <w:tab/>
                </w:r>
                <w:r>
                  <w:t xml:space="preserve">page </w:t>
                </w:r>
                <w:r>
                  <w:fldChar w:fldCharType="begin"/>
                </w:r>
                <w:r>
                  <w:instrText xml:space="preserve"> PAGE  \* MERGEFORMAT </w:instrText>
                </w:r>
                <w:r>
                  <w:fldChar w:fldCharType="separate"/>
                </w:r>
                <w:r>
                  <w:rPr>
                    <w:noProof/>
                  </w:rPr>
                  <w:t>14</w:t>
                </w:r>
                <w:r>
                  <w:fldChar w:fldCharType="end"/>
                </w:r>
              </w:p>
            </w:txbxContent>
          </v:textbox>
          <w10:wrap anchory="page"/>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920"/>
      </w:tabs>
      <w:ind w:left="7768"/>
    </w:pPr>
    <w:r>
      <w:pict>
        <v:shapetype id="_x0000_t202" coordsize="21600,21600" o:spt="202" path="m,l,21600r21600,l21600,xe">
          <v:stroke joinstyle="miter"/>
          <v:path gradientshapeok="t" o:connecttype="rect"/>
        </v:shapetype>
        <v:shape id="_x0000_s1031" type="#_x0000_t202" style="position:absolute;left:0;text-align:left;margin-left:737.1pt;margin-top:62.35pt;width:35pt;height:470.55pt;z-index:3;mso-position-horizontal-relative:margin;mso-position-vertical-relative:page" filled="f" stroked="f">
          <v:textbox style="layout-flow:vertical;mso-next-textbox:#_x0000_s1031" inset="0,0,0,0">
            <w:txbxContent>
              <w:p w:rsidR="00000000" w:rsidRDefault="00000000">
                <w:pPr>
                  <w:pStyle w:val="Header"/>
                  <w:tabs>
                    <w:tab w:val="clear" w:pos="4320"/>
                    <w:tab w:val="clear" w:pos="8640"/>
                  </w:tabs>
                  <w:rPr>
                    <w:lang w:val="pt-BR"/>
                  </w:rPr>
                </w:pPr>
                <w:r>
                  <w:rPr>
                    <w:lang w:val="pt-BR"/>
                  </w:rPr>
                  <w:t>E/C.12/PRY/3</w:t>
                </w:r>
              </w:p>
              <w:p w:rsidR="00000000" w:rsidRDefault="00000000">
                <w:r>
                  <w:t xml:space="preserve">page </w:t>
                </w:r>
                <w:r>
                  <w:fldChar w:fldCharType="begin"/>
                </w:r>
                <w:r>
                  <w:instrText xml:space="preserve"> PAGE  \* MERGEFORMAT </w:instrText>
                </w:r>
                <w:r>
                  <w:fldChar w:fldCharType="separate"/>
                </w:r>
                <w:r>
                  <w:rPr>
                    <w:noProof/>
                  </w:rPr>
                  <w:t>18</w:t>
                </w:r>
                <w:r>
                  <w:fldChar w:fldCharType="end"/>
                </w:r>
              </w:p>
            </w:txbxContent>
          </v:textbox>
          <w10:wrap anchory="page"/>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920"/>
      </w:tabs>
      <w:ind w:left="7768"/>
    </w:pPr>
    <w:r>
      <w:pict>
        <v:shapetype id="_x0000_t202" coordsize="21600,21600" o:spt="202" path="m,l,21600r21600,l21600,xe">
          <v:stroke joinstyle="miter"/>
          <v:path gradientshapeok="t" o:connecttype="rect"/>
        </v:shapetype>
        <v:shape id="_x0000_s1032" type="#_x0000_t202" style="position:absolute;left:0;text-align:left;margin-left:737.1pt;margin-top:62.35pt;width:35pt;height:470.55pt;z-index:4;mso-position-horizontal-relative:margin;mso-position-vertical-relative:page" filled="f" stroked="f">
          <v:textbox style="layout-flow:vertical;mso-next-textbox:#_x0000_s1032" inset="0,0,0,0">
            <w:txbxContent>
              <w:p w:rsidR="00000000" w:rsidRDefault="00000000">
                <w:pPr>
                  <w:pStyle w:val="Header"/>
                  <w:tabs>
                    <w:tab w:val="clear" w:pos="4320"/>
                    <w:tab w:val="clear" w:pos="8640"/>
                    <w:tab w:val="left" w:pos="7768"/>
                  </w:tabs>
                  <w:rPr>
                    <w:lang w:val="pt-BR"/>
                  </w:rPr>
                </w:pPr>
                <w:r>
                  <w:rPr>
                    <w:lang w:val="pt-BR"/>
                  </w:rPr>
                  <w:tab/>
                  <w:t>E/C.12/PRY/3</w:t>
                </w:r>
              </w:p>
              <w:p w:rsidR="00000000" w:rsidRDefault="00000000">
                <w:pPr>
                  <w:tabs>
                    <w:tab w:val="left" w:pos="7768"/>
                  </w:tabs>
                </w:pPr>
                <w:r>
                  <w:tab/>
                  <w:t xml:space="preserve">page </w:t>
                </w:r>
                <w:r>
                  <w:fldChar w:fldCharType="begin"/>
                </w:r>
                <w:r>
                  <w:instrText xml:space="preserve"> PAGE  \* MERGEFORMAT </w:instrText>
                </w:r>
                <w:r>
                  <w:fldChar w:fldCharType="separate"/>
                </w:r>
                <w:r>
                  <w:rPr>
                    <w:noProof/>
                  </w:rPr>
                  <w:t>17</w:t>
                </w:r>
                <w:r>
                  <w:fldChar w:fldCharType="end"/>
                </w:r>
              </w:p>
            </w:txbxContent>
          </v:textbox>
          <w10:wrap anchory="page"/>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BR"/>
      </w:rPr>
    </w:pPr>
    <w:r>
      <w:rPr>
        <w:lang w:val="pt-BR"/>
      </w:rPr>
      <w:t>E/C.12/PRY/3</w:t>
    </w:r>
  </w:p>
  <w:p w:rsidR="00000000" w:rsidRDefault="00000000">
    <w:pPr>
      <w:pStyle w:val="Header"/>
      <w:rPr>
        <w:rStyle w:val="PageNumber"/>
      </w:rPr>
    </w:pPr>
    <w:r>
      <w:rPr>
        <w:lang w:val="pt-B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176</w:t>
    </w:r>
    <w:r>
      <w:rPr>
        <w:rStyle w:val="PageNumber"/>
      </w:rPr>
      <w:fldChar w:fldCharType="end"/>
    </w:r>
  </w:p>
  <w:p w:rsidR="00000000" w:rsidRDefault="00000000">
    <w:pPr>
      <w:pStyle w:val="Header"/>
      <w:rPr>
        <w:rStyle w:val="PageNumber"/>
      </w:rPr>
    </w:pPr>
  </w:p>
  <w:p w:rsidR="00000000" w:rsidRDefault="00000000">
    <w:pPr>
      <w:pStyle w:val="Header"/>
      <w:rPr>
        <w:lang w:val="pt-BR"/>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768"/>
      <w:rPr>
        <w:lang w:val="pt-BR"/>
      </w:rPr>
    </w:pPr>
    <w:r>
      <w:rPr>
        <w:lang w:val="pt-BR"/>
      </w:rPr>
      <w:t>E/C.12/PRY/3</w:t>
    </w:r>
  </w:p>
  <w:p w:rsidR="00000000" w:rsidRDefault="00000000">
    <w:pPr>
      <w:pStyle w:val="Header"/>
      <w:ind w:left="7768"/>
      <w:rPr>
        <w:rStyle w:val="PageNumber"/>
      </w:rPr>
    </w:pPr>
    <w:r>
      <w:rPr>
        <w:lang w:val="pt-B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175</w:t>
    </w:r>
    <w:r>
      <w:rPr>
        <w:rStyle w:val="PageNumber"/>
      </w:rPr>
      <w:fldChar w:fldCharType="end"/>
    </w:r>
  </w:p>
  <w:p w:rsidR="00000000" w:rsidRDefault="00000000">
    <w:pPr>
      <w:pStyle w:val="Header"/>
      <w:ind w:left="7768"/>
    </w:pPr>
  </w:p>
  <w:p w:rsidR="00000000" w:rsidRDefault="00000000">
    <w:pPr>
      <w:pStyle w:val="Header"/>
      <w:tabs>
        <w:tab w:val="left" w:pos="7920"/>
      </w:tabs>
      <w:ind w:left="7768"/>
    </w:pPr>
    <w:r>
      <w:pict>
        <v:shapetype id="_x0000_t202" coordsize="21600,21600" o:spt="202" path="m,l,21600r21600,l21600,xe">
          <v:stroke joinstyle="miter"/>
          <v:path gradientshapeok="t" o:connecttype="rect"/>
        </v:shapetype>
        <v:shape id="_x0000_s1033" type="#_x0000_t202" style="position:absolute;left:0;text-align:left;margin-left:737.1pt;margin-top:62.35pt;width:35pt;height:470.55pt;z-index:5;mso-position-horizontal-relative:margin;mso-position-vertical-relative:page" filled="f" stroked="f">
          <v:textbox style="layout-flow:vertical;mso-next-textbox:#_x0000_s1033" inset="0,0,0,0">
            <w:txbxContent>
              <w:p w:rsidR="00000000" w:rsidRDefault="00000000">
                <w:pPr>
                  <w:pStyle w:val="Header"/>
                  <w:tabs>
                    <w:tab w:val="clear" w:pos="4320"/>
                    <w:tab w:val="clear" w:pos="8640"/>
                    <w:tab w:val="left" w:pos="7768"/>
                  </w:tabs>
                  <w:rPr>
                    <w:lang w:val="pt-BR"/>
                  </w:rPr>
                </w:pPr>
                <w:r>
                  <w:rPr>
                    <w:lang w:val="pt-BR"/>
                  </w:rPr>
                  <w:tab/>
                  <w:t>E/C.12/PRY/3</w:t>
                </w:r>
              </w:p>
              <w:p w:rsidR="00000000" w:rsidRDefault="00000000">
                <w:pPr>
                  <w:tabs>
                    <w:tab w:val="left" w:pos="7768"/>
                  </w:tabs>
                </w:pPr>
                <w:r>
                  <w:tab/>
                  <w:t xml:space="preserve">page </w:t>
                </w:r>
                <w:r>
                  <w:fldChar w:fldCharType="begin"/>
                </w:r>
                <w:r>
                  <w:instrText xml:space="preserve"> PAGE  \* MERGEFORMAT </w:instrText>
                </w:r>
                <w:r>
                  <w:fldChar w:fldCharType="separate"/>
                </w:r>
                <w:r>
                  <w:rPr>
                    <w:noProof/>
                  </w:rPr>
                  <w:t>175</w:t>
                </w:r>
                <w:r>
                  <w:fldChar w:fldCharType="end"/>
                </w:r>
              </w:p>
            </w:txbxContent>
          </v:textbox>
          <w10:wrap anchory="page"/>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E01B1"/>
    <w:multiLevelType w:val="hybridMultilevel"/>
    <w:tmpl w:val="23D644B6"/>
    <w:lvl w:ilvl="0" w:tplc="0C0A0001">
      <w:start w:val="1"/>
      <w:numFmt w:val="bullet"/>
      <w:lvlText w:val=""/>
      <w:lvlJc w:val="left"/>
      <w:pPr>
        <w:tabs>
          <w:tab w:val="num" w:pos="720"/>
        </w:tabs>
        <w:ind w:left="720" w:hanging="360"/>
      </w:pPr>
      <w:rPr>
        <w:rFonts w:ascii="Symbol" w:hAnsi="Symbol" w:hint="default"/>
      </w:rPr>
    </w:lvl>
    <w:lvl w:ilvl="1" w:tplc="17C8DD6C">
      <w:start w:val="275"/>
      <w:numFmt w:val="decimal"/>
      <w:lvlText w:val="%2."/>
      <w:lvlJc w:val="left"/>
      <w:pPr>
        <w:tabs>
          <w:tab w:val="num" w:pos="1500"/>
        </w:tabs>
        <w:ind w:left="1500" w:hanging="42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0C70C38"/>
    <w:multiLevelType w:val="hybridMultilevel"/>
    <w:tmpl w:val="4D809182"/>
    <w:lvl w:ilvl="0" w:tplc="4C001FF4">
      <w:start w:val="1"/>
      <w:numFmt w:val="upperLetter"/>
      <w:lvlText w:val="%1."/>
      <w:lvlJc w:val="left"/>
      <w:pPr>
        <w:tabs>
          <w:tab w:val="num" w:pos="720"/>
        </w:tabs>
        <w:ind w:left="720" w:hanging="360"/>
      </w:pPr>
      <w:rPr>
        <w:rFonts w:hint="default"/>
        <w:b/>
      </w:rPr>
    </w:lvl>
    <w:lvl w:ilvl="1" w:tplc="0C0A0019">
      <w:start w:val="1"/>
      <w:numFmt w:val="lowerLetter"/>
      <w:lvlText w:val="%2."/>
      <w:lvlJc w:val="left"/>
      <w:pPr>
        <w:tabs>
          <w:tab w:val="num" w:pos="1440"/>
        </w:tabs>
        <w:ind w:left="1440" w:hanging="360"/>
      </w:pPr>
    </w:lvl>
    <w:lvl w:ilvl="2" w:tplc="22521974">
      <w:start w:val="1"/>
      <w:numFmt w:val="decimal"/>
      <w:lvlText w:val="%3."/>
      <w:lvlJc w:val="left"/>
      <w:pPr>
        <w:tabs>
          <w:tab w:val="num" w:pos="2340"/>
        </w:tabs>
        <w:ind w:left="2340" w:hanging="360"/>
      </w:pPr>
      <w:rPr>
        <w:rFonts w:hint="default"/>
      </w:rPr>
    </w:lvl>
    <w:lvl w:ilvl="3" w:tplc="0C0A0001">
      <w:start w:val="1"/>
      <w:numFmt w:val="bullet"/>
      <w:lvlText w:val=""/>
      <w:lvlJc w:val="left"/>
      <w:pPr>
        <w:tabs>
          <w:tab w:val="num" w:pos="2880"/>
        </w:tabs>
        <w:ind w:left="2880" w:hanging="360"/>
      </w:pPr>
      <w:rPr>
        <w:rFonts w:ascii="Symbol" w:hAnsi="Symbol" w:hint="default"/>
        <w:b/>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27604D2"/>
    <w:multiLevelType w:val="hybridMultilevel"/>
    <w:tmpl w:val="6776A02C"/>
    <w:lvl w:ilvl="0" w:tplc="32DA6172">
      <w:numFmt w:val="bullet"/>
      <w:lvlText w:val="-"/>
      <w:lvlJc w:val="left"/>
      <w:pPr>
        <w:tabs>
          <w:tab w:val="num" w:pos="927"/>
        </w:tabs>
        <w:ind w:left="927" w:hanging="360"/>
      </w:pPr>
      <w:rPr>
        <w:rFonts w:ascii="Times New Roman" w:eastAsia="Times New Roman" w:hAnsi="Times New Roman" w:cs="Times New Roman" w:hint="default"/>
        <w:lang w:val="es-ES_tradnl"/>
      </w:rPr>
    </w:lvl>
    <w:lvl w:ilvl="1" w:tplc="0C0A0001">
      <w:start w:val="1"/>
      <w:numFmt w:val="bullet"/>
      <w:lvlText w:val=""/>
      <w:lvlJc w:val="left"/>
      <w:pPr>
        <w:tabs>
          <w:tab w:val="num" w:pos="1440"/>
        </w:tabs>
        <w:ind w:left="1440" w:hanging="360"/>
      </w:pPr>
      <w:rPr>
        <w:rFonts w:ascii="Symbol" w:hAnsi="Symbol" w:hint="default"/>
        <w:color w:val="auto"/>
      </w:rPr>
    </w:lvl>
    <w:lvl w:ilvl="2" w:tplc="0C0A000F">
      <w:start w:val="1"/>
      <w:numFmt w:val="decimal"/>
      <w:lvlText w:val="%3."/>
      <w:lvlJc w:val="left"/>
      <w:pPr>
        <w:tabs>
          <w:tab w:val="num" w:pos="2340"/>
        </w:tabs>
        <w:ind w:left="2340" w:hanging="360"/>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3AF03FA"/>
    <w:multiLevelType w:val="hybridMultilevel"/>
    <w:tmpl w:val="88548D3A"/>
    <w:lvl w:ilvl="0" w:tplc="9CBA371E">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3E75C59"/>
    <w:multiLevelType w:val="singleLevel"/>
    <w:tmpl w:val="0C0A0017"/>
    <w:lvl w:ilvl="0">
      <w:start w:val="1"/>
      <w:numFmt w:val="lowerLetter"/>
      <w:lvlText w:val="%1)"/>
      <w:lvlJc w:val="left"/>
      <w:pPr>
        <w:tabs>
          <w:tab w:val="num" w:pos="360"/>
        </w:tabs>
        <w:ind w:left="360" w:hanging="360"/>
      </w:pPr>
    </w:lvl>
  </w:abstractNum>
  <w:abstractNum w:abstractNumId="5">
    <w:nsid w:val="045F7107"/>
    <w:multiLevelType w:val="hybridMultilevel"/>
    <w:tmpl w:val="921CD8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5814B07"/>
    <w:multiLevelType w:val="hybridMultilevel"/>
    <w:tmpl w:val="2AC07A58"/>
    <w:lvl w:ilvl="0" w:tplc="0C0A0001">
      <w:start w:val="1"/>
      <w:numFmt w:val="bullet"/>
      <w:lvlText w:val=""/>
      <w:lvlJc w:val="left"/>
      <w:pPr>
        <w:tabs>
          <w:tab w:val="num" w:pos="1800"/>
        </w:tabs>
        <w:ind w:left="1800" w:hanging="360"/>
      </w:pPr>
      <w:rPr>
        <w:rFonts w:ascii="Symbol" w:hAnsi="Symbol"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nsid w:val="05B76F5A"/>
    <w:multiLevelType w:val="hybridMultilevel"/>
    <w:tmpl w:val="288007E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06424BB0"/>
    <w:multiLevelType w:val="hybridMultilevel"/>
    <w:tmpl w:val="AFACD722"/>
    <w:lvl w:ilvl="0" w:tplc="71DC9F7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6855807"/>
    <w:multiLevelType w:val="hybridMultilevel"/>
    <w:tmpl w:val="2F289EF8"/>
    <w:lvl w:ilvl="0" w:tplc="35D44CB2">
      <w:start w:val="1"/>
      <w:numFmt w:val="bullet"/>
      <w:lvlRestart w:val="0"/>
      <w:lvlText w:val="–"/>
      <w:lvlJc w:val="left"/>
      <w:pPr>
        <w:tabs>
          <w:tab w:val="num" w:pos="1701"/>
        </w:tabs>
        <w:ind w:left="1701" w:hanging="567"/>
      </w:pPr>
      <w:rPr>
        <w:rFonts w:ascii="Times New Roman" w:hAnsi="Times New Roman" w:cs="Times New Roman" w:hint="default"/>
      </w:rPr>
    </w:lvl>
    <w:lvl w:ilvl="1" w:tplc="3B103A68">
      <w:start w:val="1"/>
      <w:numFmt w:val="bullet"/>
      <w:lvlRestart w:val="0"/>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
    <w:nsid w:val="06AD4182"/>
    <w:multiLevelType w:val="hybridMultilevel"/>
    <w:tmpl w:val="AB905E9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079340B7"/>
    <w:multiLevelType w:val="hybridMultilevel"/>
    <w:tmpl w:val="5936C964"/>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07C12DAF"/>
    <w:multiLevelType w:val="hybridMultilevel"/>
    <w:tmpl w:val="D43EC8CC"/>
    <w:lvl w:ilvl="0" w:tplc="926EF4AA">
      <w:start w:val="1"/>
      <w:numFmt w:val="decimal"/>
      <w:lvlText w:val="%1."/>
      <w:lvlJc w:val="left"/>
      <w:pPr>
        <w:tabs>
          <w:tab w:val="num" w:pos="924"/>
        </w:tabs>
        <w:ind w:left="924" w:hanging="564"/>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07D760E1"/>
    <w:multiLevelType w:val="hybridMultilevel"/>
    <w:tmpl w:val="13203B14"/>
    <w:lvl w:ilvl="0" w:tplc="0C0A0015">
      <w:start w:val="1"/>
      <w:numFmt w:val="upp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0A4E77DD"/>
    <w:multiLevelType w:val="hybridMultilevel"/>
    <w:tmpl w:val="A40CF58E"/>
    <w:lvl w:ilvl="0" w:tplc="B6E6199E">
      <w:start w:val="1"/>
      <w:numFmt w:val="bullet"/>
      <w:lvlText w:val="–"/>
      <w:lvlJc w:val="left"/>
      <w:pPr>
        <w:tabs>
          <w:tab w:val="num" w:pos="1134"/>
        </w:tabs>
        <w:ind w:left="1134" w:hanging="567"/>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0A825D93"/>
    <w:multiLevelType w:val="hybridMultilevel"/>
    <w:tmpl w:val="0FFA51D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0AE941C5"/>
    <w:multiLevelType w:val="hybridMultilevel"/>
    <w:tmpl w:val="EB0CB438"/>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7">
    <w:nsid w:val="0BFA1F30"/>
    <w:multiLevelType w:val="hybridMultilevel"/>
    <w:tmpl w:val="6A780B96"/>
    <w:lvl w:ilvl="0" w:tplc="0C0A0001">
      <w:start w:val="1"/>
      <w:numFmt w:val="bullet"/>
      <w:lvlText w:val=""/>
      <w:lvlJc w:val="left"/>
      <w:pPr>
        <w:tabs>
          <w:tab w:val="num" w:pos="720"/>
        </w:tabs>
        <w:ind w:left="720" w:hanging="360"/>
      </w:pPr>
      <w:rPr>
        <w:rFonts w:ascii="Symbol" w:hAnsi="Symbol" w:hint="default"/>
      </w:rPr>
    </w:lvl>
    <w:lvl w:ilvl="1" w:tplc="C83EA9EC">
      <w:start w:val="6"/>
      <w:numFmt w:val="decimal"/>
      <w:lvlText w:val="%2."/>
      <w:lvlJc w:val="left"/>
      <w:pPr>
        <w:tabs>
          <w:tab w:val="num" w:pos="1440"/>
        </w:tabs>
        <w:ind w:left="1440" w:hanging="360"/>
      </w:pPr>
      <w:rPr>
        <w:rFonts w:hint="default"/>
      </w:rPr>
    </w:lvl>
    <w:lvl w:ilvl="2" w:tplc="0F6E6AE8">
      <w:start w:val="560"/>
      <w:numFmt w:val="decimal"/>
      <w:lvlText w:val="%3."/>
      <w:lvlJc w:val="left"/>
      <w:pPr>
        <w:tabs>
          <w:tab w:val="num" w:pos="2377"/>
        </w:tabs>
        <w:ind w:left="2434" w:hanging="454"/>
      </w:pPr>
      <w:rPr>
        <w:rFonts w:ascii="Times New Roman" w:hAnsi="Times New Roman" w:cs="Times New Roman" w:hint="default"/>
        <w:b w:val="0"/>
        <w:i w:val="0"/>
        <w:color w:val="auto"/>
        <w:sz w:val="24"/>
        <w:szCs w:val="24"/>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0CCF1401"/>
    <w:multiLevelType w:val="hybridMultilevel"/>
    <w:tmpl w:val="BB5079BC"/>
    <w:lvl w:ilvl="0" w:tplc="AFA85F70">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9">
    <w:nsid w:val="0FE5653F"/>
    <w:multiLevelType w:val="hybridMultilevel"/>
    <w:tmpl w:val="D9064730"/>
    <w:lvl w:ilvl="0" w:tplc="E04A2A30">
      <w:start w:val="3"/>
      <w:numFmt w:val="upperRoman"/>
      <w:lvlText w:val="%1."/>
      <w:lvlJc w:val="left"/>
      <w:pPr>
        <w:tabs>
          <w:tab w:val="num" w:pos="540"/>
        </w:tabs>
        <w:ind w:left="540" w:hanging="720"/>
      </w:pPr>
      <w:rPr>
        <w:rFonts w:hint="default"/>
      </w:rPr>
    </w:lvl>
    <w:lvl w:ilvl="1" w:tplc="0C0A000F">
      <w:start w:val="1"/>
      <w:numFmt w:val="decimal"/>
      <w:lvlText w:val="%2."/>
      <w:lvlJc w:val="left"/>
      <w:pPr>
        <w:tabs>
          <w:tab w:val="num" w:pos="900"/>
        </w:tabs>
        <w:ind w:left="900" w:hanging="360"/>
      </w:pPr>
      <w:rPr>
        <w:rFonts w:hint="default"/>
      </w:rPr>
    </w:lvl>
    <w:lvl w:ilvl="2" w:tplc="0C0A001B" w:tentative="1">
      <w:start w:val="1"/>
      <w:numFmt w:val="lowerRoman"/>
      <w:lvlText w:val="%3."/>
      <w:lvlJc w:val="right"/>
      <w:pPr>
        <w:tabs>
          <w:tab w:val="num" w:pos="1620"/>
        </w:tabs>
        <w:ind w:left="1620" w:hanging="180"/>
      </w:pPr>
    </w:lvl>
    <w:lvl w:ilvl="3" w:tplc="0C0A000F" w:tentative="1">
      <w:start w:val="1"/>
      <w:numFmt w:val="decimal"/>
      <w:lvlText w:val="%4."/>
      <w:lvlJc w:val="left"/>
      <w:pPr>
        <w:tabs>
          <w:tab w:val="num" w:pos="2340"/>
        </w:tabs>
        <w:ind w:left="2340" w:hanging="360"/>
      </w:pPr>
    </w:lvl>
    <w:lvl w:ilvl="4" w:tplc="0C0A0019" w:tentative="1">
      <w:start w:val="1"/>
      <w:numFmt w:val="lowerLetter"/>
      <w:lvlText w:val="%5."/>
      <w:lvlJc w:val="left"/>
      <w:pPr>
        <w:tabs>
          <w:tab w:val="num" w:pos="3060"/>
        </w:tabs>
        <w:ind w:left="3060" w:hanging="360"/>
      </w:pPr>
    </w:lvl>
    <w:lvl w:ilvl="5" w:tplc="0C0A001B" w:tentative="1">
      <w:start w:val="1"/>
      <w:numFmt w:val="lowerRoman"/>
      <w:lvlText w:val="%6."/>
      <w:lvlJc w:val="right"/>
      <w:pPr>
        <w:tabs>
          <w:tab w:val="num" w:pos="3780"/>
        </w:tabs>
        <w:ind w:left="3780" w:hanging="180"/>
      </w:pPr>
    </w:lvl>
    <w:lvl w:ilvl="6" w:tplc="0C0A000F" w:tentative="1">
      <w:start w:val="1"/>
      <w:numFmt w:val="decimal"/>
      <w:lvlText w:val="%7."/>
      <w:lvlJc w:val="left"/>
      <w:pPr>
        <w:tabs>
          <w:tab w:val="num" w:pos="4500"/>
        </w:tabs>
        <w:ind w:left="4500" w:hanging="360"/>
      </w:pPr>
    </w:lvl>
    <w:lvl w:ilvl="7" w:tplc="0C0A0019" w:tentative="1">
      <w:start w:val="1"/>
      <w:numFmt w:val="lowerLetter"/>
      <w:lvlText w:val="%8."/>
      <w:lvlJc w:val="left"/>
      <w:pPr>
        <w:tabs>
          <w:tab w:val="num" w:pos="5220"/>
        </w:tabs>
        <w:ind w:left="5220" w:hanging="360"/>
      </w:pPr>
    </w:lvl>
    <w:lvl w:ilvl="8" w:tplc="0C0A001B" w:tentative="1">
      <w:start w:val="1"/>
      <w:numFmt w:val="lowerRoman"/>
      <w:lvlText w:val="%9."/>
      <w:lvlJc w:val="right"/>
      <w:pPr>
        <w:tabs>
          <w:tab w:val="num" w:pos="5940"/>
        </w:tabs>
        <w:ind w:left="5940" w:hanging="180"/>
      </w:pPr>
    </w:lvl>
  </w:abstractNum>
  <w:abstractNum w:abstractNumId="20">
    <w:nsid w:val="103611C3"/>
    <w:multiLevelType w:val="hybridMultilevel"/>
    <w:tmpl w:val="3D10EE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109B2FFA"/>
    <w:multiLevelType w:val="hybridMultilevel"/>
    <w:tmpl w:val="676055C0"/>
    <w:lvl w:ilvl="0" w:tplc="6B44950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10C803E9"/>
    <w:multiLevelType w:val="hybridMultilevel"/>
    <w:tmpl w:val="501E1B02"/>
    <w:lvl w:ilvl="0" w:tplc="0C0A0001">
      <w:start w:val="1"/>
      <w:numFmt w:val="bullet"/>
      <w:lvlText w:val=""/>
      <w:lvlJc w:val="left"/>
      <w:pPr>
        <w:tabs>
          <w:tab w:val="num" w:pos="1780"/>
        </w:tabs>
        <w:ind w:left="1780" w:hanging="360"/>
      </w:pPr>
      <w:rPr>
        <w:rFonts w:ascii="Symbol" w:hAnsi="Symbol" w:hint="default"/>
      </w:rPr>
    </w:lvl>
    <w:lvl w:ilvl="1" w:tplc="0C0A0003" w:tentative="1">
      <w:start w:val="1"/>
      <w:numFmt w:val="bullet"/>
      <w:lvlText w:val="o"/>
      <w:lvlJc w:val="left"/>
      <w:pPr>
        <w:tabs>
          <w:tab w:val="num" w:pos="2500"/>
        </w:tabs>
        <w:ind w:left="2500" w:hanging="360"/>
      </w:pPr>
      <w:rPr>
        <w:rFonts w:ascii="Courier New" w:hAnsi="Courier New" w:cs="Courier New" w:hint="default"/>
      </w:rPr>
    </w:lvl>
    <w:lvl w:ilvl="2" w:tplc="0C0A0005" w:tentative="1">
      <w:start w:val="1"/>
      <w:numFmt w:val="bullet"/>
      <w:lvlText w:val=""/>
      <w:lvlJc w:val="left"/>
      <w:pPr>
        <w:tabs>
          <w:tab w:val="num" w:pos="3220"/>
        </w:tabs>
        <w:ind w:left="3220" w:hanging="360"/>
      </w:pPr>
      <w:rPr>
        <w:rFonts w:ascii="Wingdings" w:hAnsi="Wingdings" w:hint="default"/>
      </w:rPr>
    </w:lvl>
    <w:lvl w:ilvl="3" w:tplc="0C0A0001" w:tentative="1">
      <w:start w:val="1"/>
      <w:numFmt w:val="bullet"/>
      <w:lvlText w:val=""/>
      <w:lvlJc w:val="left"/>
      <w:pPr>
        <w:tabs>
          <w:tab w:val="num" w:pos="3940"/>
        </w:tabs>
        <w:ind w:left="3940" w:hanging="360"/>
      </w:pPr>
      <w:rPr>
        <w:rFonts w:ascii="Symbol" w:hAnsi="Symbol" w:hint="default"/>
      </w:rPr>
    </w:lvl>
    <w:lvl w:ilvl="4" w:tplc="0C0A0003" w:tentative="1">
      <w:start w:val="1"/>
      <w:numFmt w:val="bullet"/>
      <w:lvlText w:val="o"/>
      <w:lvlJc w:val="left"/>
      <w:pPr>
        <w:tabs>
          <w:tab w:val="num" w:pos="4660"/>
        </w:tabs>
        <w:ind w:left="4660" w:hanging="360"/>
      </w:pPr>
      <w:rPr>
        <w:rFonts w:ascii="Courier New" w:hAnsi="Courier New" w:cs="Courier New" w:hint="default"/>
      </w:rPr>
    </w:lvl>
    <w:lvl w:ilvl="5" w:tplc="0C0A0005" w:tentative="1">
      <w:start w:val="1"/>
      <w:numFmt w:val="bullet"/>
      <w:lvlText w:val=""/>
      <w:lvlJc w:val="left"/>
      <w:pPr>
        <w:tabs>
          <w:tab w:val="num" w:pos="5380"/>
        </w:tabs>
        <w:ind w:left="5380" w:hanging="360"/>
      </w:pPr>
      <w:rPr>
        <w:rFonts w:ascii="Wingdings" w:hAnsi="Wingdings" w:hint="default"/>
      </w:rPr>
    </w:lvl>
    <w:lvl w:ilvl="6" w:tplc="0C0A0001" w:tentative="1">
      <w:start w:val="1"/>
      <w:numFmt w:val="bullet"/>
      <w:lvlText w:val=""/>
      <w:lvlJc w:val="left"/>
      <w:pPr>
        <w:tabs>
          <w:tab w:val="num" w:pos="6100"/>
        </w:tabs>
        <w:ind w:left="6100" w:hanging="360"/>
      </w:pPr>
      <w:rPr>
        <w:rFonts w:ascii="Symbol" w:hAnsi="Symbol" w:hint="default"/>
      </w:rPr>
    </w:lvl>
    <w:lvl w:ilvl="7" w:tplc="0C0A0003" w:tentative="1">
      <w:start w:val="1"/>
      <w:numFmt w:val="bullet"/>
      <w:lvlText w:val="o"/>
      <w:lvlJc w:val="left"/>
      <w:pPr>
        <w:tabs>
          <w:tab w:val="num" w:pos="6820"/>
        </w:tabs>
        <w:ind w:left="6820" w:hanging="360"/>
      </w:pPr>
      <w:rPr>
        <w:rFonts w:ascii="Courier New" w:hAnsi="Courier New" w:cs="Courier New" w:hint="default"/>
      </w:rPr>
    </w:lvl>
    <w:lvl w:ilvl="8" w:tplc="0C0A0005" w:tentative="1">
      <w:start w:val="1"/>
      <w:numFmt w:val="bullet"/>
      <w:lvlText w:val=""/>
      <w:lvlJc w:val="left"/>
      <w:pPr>
        <w:tabs>
          <w:tab w:val="num" w:pos="7540"/>
        </w:tabs>
        <w:ind w:left="7540" w:hanging="360"/>
      </w:pPr>
      <w:rPr>
        <w:rFonts w:ascii="Wingdings" w:hAnsi="Wingdings" w:hint="default"/>
      </w:rPr>
    </w:lvl>
  </w:abstractNum>
  <w:abstractNum w:abstractNumId="23">
    <w:nsid w:val="114D6899"/>
    <w:multiLevelType w:val="hybridMultilevel"/>
    <w:tmpl w:val="05F62D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119A645C"/>
    <w:multiLevelType w:val="hybridMultilevel"/>
    <w:tmpl w:val="FCF61EAC"/>
    <w:lvl w:ilvl="0" w:tplc="D1FC69E6">
      <w:start w:val="1"/>
      <w:numFmt w:val="bullet"/>
      <w:lvlText w:val="–"/>
      <w:lvlJc w:val="left"/>
      <w:pPr>
        <w:tabs>
          <w:tab w:val="num" w:pos="1134"/>
        </w:tabs>
        <w:ind w:left="1134" w:hanging="567"/>
      </w:pPr>
      <w:rPr>
        <w:rFonts w:ascii="Times New Roman" w:hAnsi="Times New Roman" w:cs="Times New Roman" w:hint="default"/>
      </w:rPr>
    </w:lvl>
    <w:lvl w:ilvl="1" w:tplc="2FCE68CE">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13BC45F4"/>
    <w:multiLevelType w:val="hybridMultilevel"/>
    <w:tmpl w:val="7B747C3E"/>
    <w:lvl w:ilvl="0" w:tplc="D40ECF8A">
      <w:start w:val="1"/>
      <w:numFmt w:val="decimal"/>
      <w:lvlText w:val="%1."/>
      <w:lvlJc w:val="left"/>
      <w:pPr>
        <w:tabs>
          <w:tab w:val="num" w:pos="924"/>
        </w:tabs>
        <w:ind w:left="924" w:hanging="564"/>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14147383"/>
    <w:multiLevelType w:val="multilevel"/>
    <w:tmpl w:val="6622C7BA"/>
    <w:lvl w:ilvl="0">
      <w:start w:val="8"/>
      <w:numFmt w:val="decimal"/>
      <w:lvlText w:val="%1."/>
      <w:lvlJc w:val="left"/>
      <w:pPr>
        <w:tabs>
          <w:tab w:val="num" w:pos="480"/>
        </w:tabs>
        <w:ind w:left="480" w:hanging="480"/>
      </w:pPr>
      <w:rPr>
        <w:rFonts w:hint="default"/>
        <w:b/>
      </w:rPr>
    </w:lvl>
    <w:lvl w:ilvl="1">
      <w:start w:val="2"/>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nsid w:val="142B6234"/>
    <w:multiLevelType w:val="hybridMultilevel"/>
    <w:tmpl w:val="288007E8"/>
    <w:lvl w:ilvl="0" w:tplc="41E42FDA">
      <w:start w:val="1"/>
      <w:numFmt w:val="bullet"/>
      <w:lvlText w:val="–"/>
      <w:lvlJc w:val="left"/>
      <w:pPr>
        <w:tabs>
          <w:tab w:val="num" w:pos="1134"/>
        </w:tabs>
        <w:ind w:left="1134" w:hanging="567"/>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14F47D61"/>
    <w:multiLevelType w:val="multilevel"/>
    <w:tmpl w:val="ADEE2F5C"/>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15B86A8F"/>
    <w:multiLevelType w:val="hybridMultilevel"/>
    <w:tmpl w:val="6B2299E6"/>
    <w:lvl w:ilvl="0" w:tplc="0C0A0001">
      <w:start w:val="1"/>
      <w:numFmt w:val="bullet"/>
      <w:lvlText w:val=""/>
      <w:lvlJc w:val="left"/>
      <w:pPr>
        <w:tabs>
          <w:tab w:val="num" w:pos="1780"/>
        </w:tabs>
        <w:ind w:left="1780" w:hanging="360"/>
      </w:pPr>
      <w:rPr>
        <w:rFonts w:ascii="Symbol" w:hAnsi="Symbol" w:hint="default"/>
      </w:rPr>
    </w:lvl>
    <w:lvl w:ilvl="1" w:tplc="0C0A0003" w:tentative="1">
      <w:start w:val="1"/>
      <w:numFmt w:val="bullet"/>
      <w:lvlText w:val="o"/>
      <w:lvlJc w:val="left"/>
      <w:pPr>
        <w:tabs>
          <w:tab w:val="num" w:pos="2500"/>
        </w:tabs>
        <w:ind w:left="2500" w:hanging="360"/>
      </w:pPr>
      <w:rPr>
        <w:rFonts w:ascii="Courier New" w:hAnsi="Courier New" w:cs="Courier New" w:hint="default"/>
      </w:rPr>
    </w:lvl>
    <w:lvl w:ilvl="2" w:tplc="0C0A0005" w:tentative="1">
      <w:start w:val="1"/>
      <w:numFmt w:val="bullet"/>
      <w:lvlText w:val=""/>
      <w:lvlJc w:val="left"/>
      <w:pPr>
        <w:tabs>
          <w:tab w:val="num" w:pos="3220"/>
        </w:tabs>
        <w:ind w:left="3220" w:hanging="360"/>
      </w:pPr>
      <w:rPr>
        <w:rFonts w:ascii="Wingdings" w:hAnsi="Wingdings" w:hint="default"/>
      </w:rPr>
    </w:lvl>
    <w:lvl w:ilvl="3" w:tplc="0C0A0001" w:tentative="1">
      <w:start w:val="1"/>
      <w:numFmt w:val="bullet"/>
      <w:lvlText w:val=""/>
      <w:lvlJc w:val="left"/>
      <w:pPr>
        <w:tabs>
          <w:tab w:val="num" w:pos="3940"/>
        </w:tabs>
        <w:ind w:left="3940" w:hanging="360"/>
      </w:pPr>
      <w:rPr>
        <w:rFonts w:ascii="Symbol" w:hAnsi="Symbol" w:hint="default"/>
      </w:rPr>
    </w:lvl>
    <w:lvl w:ilvl="4" w:tplc="0C0A0003" w:tentative="1">
      <w:start w:val="1"/>
      <w:numFmt w:val="bullet"/>
      <w:lvlText w:val="o"/>
      <w:lvlJc w:val="left"/>
      <w:pPr>
        <w:tabs>
          <w:tab w:val="num" w:pos="4660"/>
        </w:tabs>
        <w:ind w:left="4660" w:hanging="360"/>
      </w:pPr>
      <w:rPr>
        <w:rFonts w:ascii="Courier New" w:hAnsi="Courier New" w:cs="Courier New" w:hint="default"/>
      </w:rPr>
    </w:lvl>
    <w:lvl w:ilvl="5" w:tplc="0C0A0005" w:tentative="1">
      <w:start w:val="1"/>
      <w:numFmt w:val="bullet"/>
      <w:lvlText w:val=""/>
      <w:lvlJc w:val="left"/>
      <w:pPr>
        <w:tabs>
          <w:tab w:val="num" w:pos="5380"/>
        </w:tabs>
        <w:ind w:left="5380" w:hanging="360"/>
      </w:pPr>
      <w:rPr>
        <w:rFonts w:ascii="Wingdings" w:hAnsi="Wingdings" w:hint="default"/>
      </w:rPr>
    </w:lvl>
    <w:lvl w:ilvl="6" w:tplc="0C0A0001" w:tentative="1">
      <w:start w:val="1"/>
      <w:numFmt w:val="bullet"/>
      <w:lvlText w:val=""/>
      <w:lvlJc w:val="left"/>
      <w:pPr>
        <w:tabs>
          <w:tab w:val="num" w:pos="6100"/>
        </w:tabs>
        <w:ind w:left="6100" w:hanging="360"/>
      </w:pPr>
      <w:rPr>
        <w:rFonts w:ascii="Symbol" w:hAnsi="Symbol" w:hint="default"/>
      </w:rPr>
    </w:lvl>
    <w:lvl w:ilvl="7" w:tplc="0C0A0003" w:tentative="1">
      <w:start w:val="1"/>
      <w:numFmt w:val="bullet"/>
      <w:lvlText w:val="o"/>
      <w:lvlJc w:val="left"/>
      <w:pPr>
        <w:tabs>
          <w:tab w:val="num" w:pos="6820"/>
        </w:tabs>
        <w:ind w:left="6820" w:hanging="360"/>
      </w:pPr>
      <w:rPr>
        <w:rFonts w:ascii="Courier New" w:hAnsi="Courier New" w:cs="Courier New" w:hint="default"/>
      </w:rPr>
    </w:lvl>
    <w:lvl w:ilvl="8" w:tplc="0C0A0005" w:tentative="1">
      <w:start w:val="1"/>
      <w:numFmt w:val="bullet"/>
      <w:lvlText w:val=""/>
      <w:lvlJc w:val="left"/>
      <w:pPr>
        <w:tabs>
          <w:tab w:val="num" w:pos="7540"/>
        </w:tabs>
        <w:ind w:left="7540" w:hanging="360"/>
      </w:pPr>
      <w:rPr>
        <w:rFonts w:ascii="Wingdings" w:hAnsi="Wingdings" w:hint="default"/>
      </w:rPr>
    </w:lvl>
  </w:abstractNum>
  <w:abstractNum w:abstractNumId="30">
    <w:nsid w:val="174A14A2"/>
    <w:multiLevelType w:val="multilevel"/>
    <w:tmpl w:val="39DAAEA2"/>
    <w:lvl w:ilvl="0">
      <w:start w:val="2"/>
      <w:numFmt w:val="decimal"/>
      <w:lvlText w:val="%1."/>
      <w:lvlJc w:val="left"/>
      <w:pPr>
        <w:tabs>
          <w:tab w:val="num" w:pos="360"/>
        </w:tabs>
        <w:ind w:left="360" w:hanging="360"/>
      </w:pPr>
      <w:rPr>
        <w:rFonts w:ascii="Arial" w:hAnsi="Arial" w:cs="Arial" w:hint="default"/>
        <w:sz w:val="20"/>
      </w:r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ascii="Arial" w:hAnsi="Arial" w:cs="Arial" w:hint="default"/>
        <w:sz w:val="20"/>
      </w:rPr>
    </w:lvl>
    <w:lvl w:ilvl="3">
      <w:start w:val="1"/>
      <w:numFmt w:val="decimal"/>
      <w:lvlText w:val="%1.%2.%3.%4."/>
      <w:lvlJc w:val="left"/>
      <w:pPr>
        <w:tabs>
          <w:tab w:val="num" w:pos="720"/>
        </w:tabs>
        <w:ind w:left="720" w:hanging="720"/>
      </w:pPr>
      <w:rPr>
        <w:rFonts w:ascii="Arial" w:hAnsi="Arial" w:cs="Arial" w:hint="default"/>
        <w:sz w:val="20"/>
      </w:rPr>
    </w:lvl>
    <w:lvl w:ilvl="4">
      <w:start w:val="1"/>
      <w:numFmt w:val="decimal"/>
      <w:lvlText w:val="%1.%2.%3.%4.%5."/>
      <w:lvlJc w:val="left"/>
      <w:pPr>
        <w:tabs>
          <w:tab w:val="num" w:pos="1080"/>
        </w:tabs>
        <w:ind w:left="1080" w:hanging="1080"/>
      </w:pPr>
      <w:rPr>
        <w:rFonts w:ascii="Arial" w:hAnsi="Arial" w:cs="Arial" w:hint="default"/>
        <w:sz w:val="20"/>
      </w:rPr>
    </w:lvl>
    <w:lvl w:ilvl="5">
      <w:start w:val="1"/>
      <w:numFmt w:val="decimal"/>
      <w:lvlText w:val="%1.%2.%3.%4.%5.%6."/>
      <w:lvlJc w:val="left"/>
      <w:pPr>
        <w:tabs>
          <w:tab w:val="num" w:pos="1080"/>
        </w:tabs>
        <w:ind w:left="1080" w:hanging="1080"/>
      </w:pPr>
      <w:rPr>
        <w:rFonts w:ascii="Arial" w:hAnsi="Arial" w:cs="Arial" w:hint="default"/>
        <w:sz w:val="20"/>
      </w:rPr>
    </w:lvl>
    <w:lvl w:ilvl="6">
      <w:start w:val="1"/>
      <w:numFmt w:val="decimal"/>
      <w:lvlText w:val="%1.%2.%3.%4.%5.%6.%7."/>
      <w:lvlJc w:val="left"/>
      <w:pPr>
        <w:tabs>
          <w:tab w:val="num" w:pos="1440"/>
        </w:tabs>
        <w:ind w:left="1440" w:hanging="1440"/>
      </w:pPr>
      <w:rPr>
        <w:rFonts w:ascii="Arial" w:hAnsi="Arial" w:cs="Arial" w:hint="default"/>
        <w:sz w:val="20"/>
      </w:rPr>
    </w:lvl>
    <w:lvl w:ilvl="7">
      <w:start w:val="1"/>
      <w:numFmt w:val="decimal"/>
      <w:lvlText w:val="%1.%2.%3.%4.%5.%6.%7.%8."/>
      <w:lvlJc w:val="left"/>
      <w:pPr>
        <w:tabs>
          <w:tab w:val="num" w:pos="1440"/>
        </w:tabs>
        <w:ind w:left="1440" w:hanging="1440"/>
      </w:pPr>
      <w:rPr>
        <w:rFonts w:ascii="Arial" w:hAnsi="Arial" w:cs="Arial" w:hint="default"/>
        <w:sz w:val="20"/>
      </w:rPr>
    </w:lvl>
    <w:lvl w:ilvl="8">
      <w:start w:val="1"/>
      <w:numFmt w:val="decimal"/>
      <w:lvlText w:val="%1.%2.%3.%4.%5.%6.%7.%8.%9."/>
      <w:lvlJc w:val="left"/>
      <w:pPr>
        <w:tabs>
          <w:tab w:val="num" w:pos="1800"/>
        </w:tabs>
        <w:ind w:left="1800" w:hanging="1800"/>
      </w:pPr>
      <w:rPr>
        <w:rFonts w:ascii="Arial" w:hAnsi="Arial" w:cs="Arial" w:hint="default"/>
        <w:sz w:val="20"/>
      </w:rPr>
    </w:lvl>
  </w:abstractNum>
  <w:abstractNum w:abstractNumId="31">
    <w:nsid w:val="17A36B29"/>
    <w:multiLevelType w:val="hybridMultilevel"/>
    <w:tmpl w:val="ABEE4E44"/>
    <w:lvl w:ilvl="0" w:tplc="0C0A0001">
      <w:start w:val="1"/>
      <w:numFmt w:val="bullet"/>
      <w:lvlText w:val=""/>
      <w:lvlJc w:val="left"/>
      <w:pPr>
        <w:tabs>
          <w:tab w:val="num" w:pos="2140"/>
        </w:tabs>
        <w:ind w:left="2140" w:hanging="360"/>
      </w:pPr>
      <w:rPr>
        <w:rFonts w:ascii="Symbol" w:hAnsi="Symbol" w:hint="default"/>
      </w:rPr>
    </w:lvl>
    <w:lvl w:ilvl="1" w:tplc="0C0A0003" w:tentative="1">
      <w:start w:val="1"/>
      <w:numFmt w:val="bullet"/>
      <w:lvlText w:val="o"/>
      <w:lvlJc w:val="left"/>
      <w:pPr>
        <w:tabs>
          <w:tab w:val="num" w:pos="2860"/>
        </w:tabs>
        <w:ind w:left="2860" w:hanging="360"/>
      </w:pPr>
      <w:rPr>
        <w:rFonts w:ascii="Courier New" w:hAnsi="Courier New" w:hint="default"/>
      </w:rPr>
    </w:lvl>
    <w:lvl w:ilvl="2" w:tplc="0C0A0005" w:tentative="1">
      <w:start w:val="1"/>
      <w:numFmt w:val="bullet"/>
      <w:lvlText w:val=""/>
      <w:lvlJc w:val="left"/>
      <w:pPr>
        <w:tabs>
          <w:tab w:val="num" w:pos="3580"/>
        </w:tabs>
        <w:ind w:left="3580" w:hanging="360"/>
      </w:pPr>
      <w:rPr>
        <w:rFonts w:ascii="Wingdings" w:hAnsi="Wingdings" w:hint="default"/>
      </w:rPr>
    </w:lvl>
    <w:lvl w:ilvl="3" w:tplc="0C0A0001" w:tentative="1">
      <w:start w:val="1"/>
      <w:numFmt w:val="bullet"/>
      <w:lvlText w:val=""/>
      <w:lvlJc w:val="left"/>
      <w:pPr>
        <w:tabs>
          <w:tab w:val="num" w:pos="4300"/>
        </w:tabs>
        <w:ind w:left="4300" w:hanging="360"/>
      </w:pPr>
      <w:rPr>
        <w:rFonts w:ascii="Symbol" w:hAnsi="Symbol" w:hint="default"/>
      </w:rPr>
    </w:lvl>
    <w:lvl w:ilvl="4" w:tplc="0C0A0003" w:tentative="1">
      <w:start w:val="1"/>
      <w:numFmt w:val="bullet"/>
      <w:lvlText w:val="o"/>
      <w:lvlJc w:val="left"/>
      <w:pPr>
        <w:tabs>
          <w:tab w:val="num" w:pos="5020"/>
        </w:tabs>
        <w:ind w:left="5020" w:hanging="360"/>
      </w:pPr>
      <w:rPr>
        <w:rFonts w:ascii="Courier New" w:hAnsi="Courier New" w:hint="default"/>
      </w:rPr>
    </w:lvl>
    <w:lvl w:ilvl="5" w:tplc="0C0A0005" w:tentative="1">
      <w:start w:val="1"/>
      <w:numFmt w:val="bullet"/>
      <w:lvlText w:val=""/>
      <w:lvlJc w:val="left"/>
      <w:pPr>
        <w:tabs>
          <w:tab w:val="num" w:pos="5740"/>
        </w:tabs>
        <w:ind w:left="5740" w:hanging="360"/>
      </w:pPr>
      <w:rPr>
        <w:rFonts w:ascii="Wingdings" w:hAnsi="Wingdings" w:hint="default"/>
      </w:rPr>
    </w:lvl>
    <w:lvl w:ilvl="6" w:tplc="0C0A0001" w:tentative="1">
      <w:start w:val="1"/>
      <w:numFmt w:val="bullet"/>
      <w:lvlText w:val=""/>
      <w:lvlJc w:val="left"/>
      <w:pPr>
        <w:tabs>
          <w:tab w:val="num" w:pos="6460"/>
        </w:tabs>
        <w:ind w:left="6460" w:hanging="360"/>
      </w:pPr>
      <w:rPr>
        <w:rFonts w:ascii="Symbol" w:hAnsi="Symbol" w:hint="default"/>
      </w:rPr>
    </w:lvl>
    <w:lvl w:ilvl="7" w:tplc="0C0A0003" w:tentative="1">
      <w:start w:val="1"/>
      <w:numFmt w:val="bullet"/>
      <w:lvlText w:val="o"/>
      <w:lvlJc w:val="left"/>
      <w:pPr>
        <w:tabs>
          <w:tab w:val="num" w:pos="7180"/>
        </w:tabs>
        <w:ind w:left="7180" w:hanging="360"/>
      </w:pPr>
      <w:rPr>
        <w:rFonts w:ascii="Courier New" w:hAnsi="Courier New" w:hint="default"/>
      </w:rPr>
    </w:lvl>
    <w:lvl w:ilvl="8" w:tplc="0C0A0005" w:tentative="1">
      <w:start w:val="1"/>
      <w:numFmt w:val="bullet"/>
      <w:lvlText w:val=""/>
      <w:lvlJc w:val="left"/>
      <w:pPr>
        <w:tabs>
          <w:tab w:val="num" w:pos="7900"/>
        </w:tabs>
        <w:ind w:left="7900" w:hanging="360"/>
      </w:pPr>
      <w:rPr>
        <w:rFonts w:ascii="Wingdings" w:hAnsi="Wingdings" w:hint="default"/>
      </w:rPr>
    </w:lvl>
  </w:abstractNum>
  <w:abstractNum w:abstractNumId="32">
    <w:nsid w:val="18C03BA2"/>
    <w:multiLevelType w:val="hybridMultilevel"/>
    <w:tmpl w:val="E74E4C1C"/>
    <w:lvl w:ilvl="0" w:tplc="71DC9F7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19517B1A"/>
    <w:multiLevelType w:val="hybridMultilevel"/>
    <w:tmpl w:val="6478E30C"/>
    <w:lvl w:ilvl="0" w:tplc="0C0A0001">
      <w:start w:val="1"/>
      <w:numFmt w:val="bullet"/>
      <w:lvlText w:val=""/>
      <w:lvlJc w:val="left"/>
      <w:pPr>
        <w:tabs>
          <w:tab w:val="num" w:pos="720"/>
        </w:tabs>
        <w:ind w:left="720" w:hanging="360"/>
      </w:pPr>
      <w:rPr>
        <w:rFonts w:ascii="Symbol" w:hAnsi="Symbol" w:hint="default"/>
        <w:b w:val="0"/>
        <w:sz w:val="24"/>
        <w:szCs w:val="24"/>
      </w:rPr>
    </w:lvl>
    <w:lvl w:ilvl="1" w:tplc="FF9CB0D6">
      <w:start w:val="200"/>
      <w:numFmt w:val="decimal"/>
      <w:lvlText w:val="%2."/>
      <w:lvlJc w:val="left"/>
      <w:pPr>
        <w:tabs>
          <w:tab w:val="num" w:pos="1500"/>
        </w:tabs>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1A3359A9"/>
    <w:multiLevelType w:val="hybridMultilevel"/>
    <w:tmpl w:val="6C02F434"/>
    <w:lvl w:ilvl="0" w:tplc="01743FE8">
      <w:start w:val="1"/>
      <w:numFmt w:val="lowerRoman"/>
      <w:lvlText w:val="%1)"/>
      <w:lvlJc w:val="left"/>
      <w:pPr>
        <w:tabs>
          <w:tab w:val="num" w:pos="1174"/>
        </w:tabs>
        <w:ind w:left="1174" w:hanging="720"/>
      </w:pPr>
      <w:rPr>
        <w:rFonts w:hint="default"/>
      </w:rPr>
    </w:lvl>
    <w:lvl w:ilvl="1" w:tplc="B6E4D178">
      <w:start w:val="3"/>
      <w:numFmt w:val="upperLetter"/>
      <w:lvlText w:val="%2."/>
      <w:lvlJc w:val="left"/>
      <w:pPr>
        <w:tabs>
          <w:tab w:val="num" w:pos="1534"/>
        </w:tabs>
        <w:ind w:left="1534" w:hanging="360"/>
      </w:pPr>
      <w:rPr>
        <w:rFonts w:hint="default"/>
      </w:rPr>
    </w:lvl>
    <w:lvl w:ilvl="2" w:tplc="0C0A0015">
      <w:start w:val="1"/>
      <w:numFmt w:val="upperLetter"/>
      <w:lvlText w:val="%3."/>
      <w:lvlJc w:val="left"/>
      <w:pPr>
        <w:tabs>
          <w:tab w:val="num" w:pos="2434"/>
        </w:tabs>
        <w:ind w:left="2434" w:hanging="360"/>
      </w:pPr>
      <w:rPr>
        <w:rFonts w:hint="default"/>
      </w:rPr>
    </w:lvl>
    <w:lvl w:ilvl="3" w:tplc="0C0A000F" w:tentative="1">
      <w:start w:val="1"/>
      <w:numFmt w:val="decimal"/>
      <w:lvlText w:val="%4."/>
      <w:lvlJc w:val="left"/>
      <w:pPr>
        <w:tabs>
          <w:tab w:val="num" w:pos="2974"/>
        </w:tabs>
        <w:ind w:left="2974" w:hanging="360"/>
      </w:pPr>
    </w:lvl>
    <w:lvl w:ilvl="4" w:tplc="0C0A0019" w:tentative="1">
      <w:start w:val="1"/>
      <w:numFmt w:val="lowerLetter"/>
      <w:lvlText w:val="%5."/>
      <w:lvlJc w:val="left"/>
      <w:pPr>
        <w:tabs>
          <w:tab w:val="num" w:pos="3694"/>
        </w:tabs>
        <w:ind w:left="3694" w:hanging="360"/>
      </w:pPr>
    </w:lvl>
    <w:lvl w:ilvl="5" w:tplc="0C0A001B" w:tentative="1">
      <w:start w:val="1"/>
      <w:numFmt w:val="lowerRoman"/>
      <w:lvlText w:val="%6."/>
      <w:lvlJc w:val="right"/>
      <w:pPr>
        <w:tabs>
          <w:tab w:val="num" w:pos="4414"/>
        </w:tabs>
        <w:ind w:left="4414" w:hanging="180"/>
      </w:pPr>
    </w:lvl>
    <w:lvl w:ilvl="6" w:tplc="0C0A000F" w:tentative="1">
      <w:start w:val="1"/>
      <w:numFmt w:val="decimal"/>
      <w:lvlText w:val="%7."/>
      <w:lvlJc w:val="left"/>
      <w:pPr>
        <w:tabs>
          <w:tab w:val="num" w:pos="5134"/>
        </w:tabs>
        <w:ind w:left="5134" w:hanging="360"/>
      </w:pPr>
    </w:lvl>
    <w:lvl w:ilvl="7" w:tplc="0C0A0019" w:tentative="1">
      <w:start w:val="1"/>
      <w:numFmt w:val="lowerLetter"/>
      <w:lvlText w:val="%8."/>
      <w:lvlJc w:val="left"/>
      <w:pPr>
        <w:tabs>
          <w:tab w:val="num" w:pos="5854"/>
        </w:tabs>
        <w:ind w:left="5854" w:hanging="360"/>
      </w:pPr>
    </w:lvl>
    <w:lvl w:ilvl="8" w:tplc="0C0A001B" w:tentative="1">
      <w:start w:val="1"/>
      <w:numFmt w:val="lowerRoman"/>
      <w:lvlText w:val="%9."/>
      <w:lvlJc w:val="right"/>
      <w:pPr>
        <w:tabs>
          <w:tab w:val="num" w:pos="6574"/>
        </w:tabs>
        <w:ind w:left="6574" w:hanging="180"/>
      </w:pPr>
    </w:lvl>
  </w:abstractNum>
  <w:abstractNum w:abstractNumId="35">
    <w:nsid w:val="1ACF1D1D"/>
    <w:multiLevelType w:val="hybridMultilevel"/>
    <w:tmpl w:val="16306C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1CA0659F"/>
    <w:multiLevelType w:val="hybridMultilevel"/>
    <w:tmpl w:val="288007E8"/>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1E5F5E10"/>
    <w:multiLevelType w:val="hybridMultilevel"/>
    <w:tmpl w:val="20DAD596"/>
    <w:lvl w:ilvl="0" w:tplc="F46C7126">
      <w:start w:val="32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207279FB"/>
    <w:multiLevelType w:val="hybridMultilevel"/>
    <w:tmpl w:val="E9C26B1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21BE1FCA"/>
    <w:multiLevelType w:val="hybridMultilevel"/>
    <w:tmpl w:val="6B46D7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21E1642F"/>
    <w:multiLevelType w:val="hybridMultilevel"/>
    <w:tmpl w:val="1B026840"/>
    <w:lvl w:ilvl="0" w:tplc="95C41090">
      <w:start w:val="1"/>
      <w:numFmt w:val="bullet"/>
      <w:lvlText w:val="–"/>
      <w:lvlJc w:val="left"/>
      <w:pPr>
        <w:tabs>
          <w:tab w:val="num" w:pos="1134"/>
        </w:tabs>
        <w:ind w:left="1134" w:hanging="567"/>
      </w:pPr>
      <w:rPr>
        <w:rFonts w:ascii="Times New Roman" w:hAnsi="Times New Roman" w:cs="Times New Roman" w:hint="default"/>
      </w:rPr>
    </w:lvl>
    <w:lvl w:ilvl="1" w:tplc="E684F032">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22F54456"/>
    <w:multiLevelType w:val="hybridMultilevel"/>
    <w:tmpl w:val="CCD21F40"/>
    <w:lvl w:ilvl="0" w:tplc="0C0A0001">
      <w:start w:val="1"/>
      <w:numFmt w:val="bullet"/>
      <w:lvlText w:val=""/>
      <w:lvlJc w:val="left"/>
      <w:pPr>
        <w:tabs>
          <w:tab w:val="num" w:pos="1780"/>
        </w:tabs>
        <w:ind w:left="1780" w:hanging="360"/>
      </w:pPr>
      <w:rPr>
        <w:rFonts w:ascii="Symbol" w:hAnsi="Symbol" w:hint="default"/>
      </w:rPr>
    </w:lvl>
    <w:lvl w:ilvl="1" w:tplc="0C0A0003" w:tentative="1">
      <w:start w:val="1"/>
      <w:numFmt w:val="bullet"/>
      <w:lvlText w:val="o"/>
      <w:lvlJc w:val="left"/>
      <w:pPr>
        <w:tabs>
          <w:tab w:val="num" w:pos="2500"/>
        </w:tabs>
        <w:ind w:left="2500" w:hanging="360"/>
      </w:pPr>
      <w:rPr>
        <w:rFonts w:ascii="Courier New" w:hAnsi="Courier New" w:cs="Courier New" w:hint="default"/>
      </w:rPr>
    </w:lvl>
    <w:lvl w:ilvl="2" w:tplc="0C0A0005" w:tentative="1">
      <w:start w:val="1"/>
      <w:numFmt w:val="bullet"/>
      <w:lvlText w:val=""/>
      <w:lvlJc w:val="left"/>
      <w:pPr>
        <w:tabs>
          <w:tab w:val="num" w:pos="3220"/>
        </w:tabs>
        <w:ind w:left="3220" w:hanging="360"/>
      </w:pPr>
      <w:rPr>
        <w:rFonts w:ascii="Wingdings" w:hAnsi="Wingdings" w:hint="default"/>
      </w:rPr>
    </w:lvl>
    <w:lvl w:ilvl="3" w:tplc="0C0A0001" w:tentative="1">
      <w:start w:val="1"/>
      <w:numFmt w:val="bullet"/>
      <w:lvlText w:val=""/>
      <w:lvlJc w:val="left"/>
      <w:pPr>
        <w:tabs>
          <w:tab w:val="num" w:pos="3940"/>
        </w:tabs>
        <w:ind w:left="3940" w:hanging="360"/>
      </w:pPr>
      <w:rPr>
        <w:rFonts w:ascii="Symbol" w:hAnsi="Symbol" w:hint="default"/>
      </w:rPr>
    </w:lvl>
    <w:lvl w:ilvl="4" w:tplc="0C0A0003" w:tentative="1">
      <w:start w:val="1"/>
      <w:numFmt w:val="bullet"/>
      <w:lvlText w:val="o"/>
      <w:lvlJc w:val="left"/>
      <w:pPr>
        <w:tabs>
          <w:tab w:val="num" w:pos="4660"/>
        </w:tabs>
        <w:ind w:left="4660" w:hanging="360"/>
      </w:pPr>
      <w:rPr>
        <w:rFonts w:ascii="Courier New" w:hAnsi="Courier New" w:cs="Courier New" w:hint="default"/>
      </w:rPr>
    </w:lvl>
    <w:lvl w:ilvl="5" w:tplc="0C0A0005" w:tentative="1">
      <w:start w:val="1"/>
      <w:numFmt w:val="bullet"/>
      <w:lvlText w:val=""/>
      <w:lvlJc w:val="left"/>
      <w:pPr>
        <w:tabs>
          <w:tab w:val="num" w:pos="5380"/>
        </w:tabs>
        <w:ind w:left="5380" w:hanging="360"/>
      </w:pPr>
      <w:rPr>
        <w:rFonts w:ascii="Wingdings" w:hAnsi="Wingdings" w:hint="default"/>
      </w:rPr>
    </w:lvl>
    <w:lvl w:ilvl="6" w:tplc="0C0A0001" w:tentative="1">
      <w:start w:val="1"/>
      <w:numFmt w:val="bullet"/>
      <w:lvlText w:val=""/>
      <w:lvlJc w:val="left"/>
      <w:pPr>
        <w:tabs>
          <w:tab w:val="num" w:pos="6100"/>
        </w:tabs>
        <w:ind w:left="6100" w:hanging="360"/>
      </w:pPr>
      <w:rPr>
        <w:rFonts w:ascii="Symbol" w:hAnsi="Symbol" w:hint="default"/>
      </w:rPr>
    </w:lvl>
    <w:lvl w:ilvl="7" w:tplc="0C0A0003" w:tentative="1">
      <w:start w:val="1"/>
      <w:numFmt w:val="bullet"/>
      <w:lvlText w:val="o"/>
      <w:lvlJc w:val="left"/>
      <w:pPr>
        <w:tabs>
          <w:tab w:val="num" w:pos="6820"/>
        </w:tabs>
        <w:ind w:left="6820" w:hanging="360"/>
      </w:pPr>
      <w:rPr>
        <w:rFonts w:ascii="Courier New" w:hAnsi="Courier New" w:cs="Courier New" w:hint="default"/>
      </w:rPr>
    </w:lvl>
    <w:lvl w:ilvl="8" w:tplc="0C0A0005" w:tentative="1">
      <w:start w:val="1"/>
      <w:numFmt w:val="bullet"/>
      <w:lvlText w:val=""/>
      <w:lvlJc w:val="left"/>
      <w:pPr>
        <w:tabs>
          <w:tab w:val="num" w:pos="7540"/>
        </w:tabs>
        <w:ind w:left="7540" w:hanging="360"/>
      </w:pPr>
      <w:rPr>
        <w:rFonts w:ascii="Wingdings" w:hAnsi="Wingdings" w:hint="default"/>
      </w:rPr>
    </w:lvl>
  </w:abstractNum>
  <w:abstractNum w:abstractNumId="42">
    <w:nsid w:val="235C3CC0"/>
    <w:multiLevelType w:val="hybridMultilevel"/>
    <w:tmpl w:val="78EEE7A8"/>
    <w:lvl w:ilvl="0" w:tplc="B2864754">
      <w:start w:val="1"/>
      <w:numFmt w:val="bullet"/>
      <w:lvlText w:val=""/>
      <w:lvlJc w:val="left"/>
      <w:pPr>
        <w:tabs>
          <w:tab w:val="num" w:pos="1080"/>
        </w:tabs>
        <w:ind w:left="1080" w:hanging="360"/>
      </w:pPr>
      <w:rPr>
        <w:rFonts w:ascii="Symbol" w:hAnsi="Symbol" w:hint="default"/>
      </w:rPr>
    </w:lvl>
    <w:lvl w:ilvl="1" w:tplc="F4ECB636">
      <w:numFmt w:val="none"/>
      <w:lvlText w:val=""/>
      <w:lvlJc w:val="left"/>
      <w:pPr>
        <w:tabs>
          <w:tab w:val="num" w:pos="360"/>
        </w:tabs>
      </w:pPr>
    </w:lvl>
    <w:lvl w:ilvl="2" w:tplc="AB9C13CC">
      <w:numFmt w:val="none"/>
      <w:lvlText w:val=""/>
      <w:lvlJc w:val="left"/>
      <w:pPr>
        <w:tabs>
          <w:tab w:val="num" w:pos="360"/>
        </w:tabs>
      </w:pPr>
    </w:lvl>
    <w:lvl w:ilvl="3" w:tplc="DA045B68">
      <w:start w:val="1"/>
      <w:numFmt w:val="decimal"/>
      <w:lvlText w:val="%4."/>
      <w:lvlJc w:val="left"/>
      <w:pPr>
        <w:tabs>
          <w:tab w:val="num" w:pos="1080"/>
        </w:tabs>
        <w:ind w:left="1080" w:hanging="360"/>
      </w:pPr>
      <w:rPr>
        <w:rFonts w:hint="default"/>
      </w:rPr>
    </w:lvl>
    <w:lvl w:ilvl="4" w:tplc="1D1AF722">
      <w:numFmt w:val="none"/>
      <w:lvlText w:val=""/>
      <w:lvlJc w:val="left"/>
      <w:pPr>
        <w:tabs>
          <w:tab w:val="num" w:pos="360"/>
        </w:tabs>
      </w:pPr>
    </w:lvl>
    <w:lvl w:ilvl="5" w:tplc="8D4C348E">
      <w:numFmt w:val="none"/>
      <w:lvlText w:val=""/>
      <w:lvlJc w:val="left"/>
      <w:pPr>
        <w:tabs>
          <w:tab w:val="num" w:pos="360"/>
        </w:tabs>
      </w:pPr>
    </w:lvl>
    <w:lvl w:ilvl="6" w:tplc="9C62C5A4">
      <w:numFmt w:val="none"/>
      <w:lvlText w:val=""/>
      <w:lvlJc w:val="left"/>
      <w:pPr>
        <w:tabs>
          <w:tab w:val="num" w:pos="360"/>
        </w:tabs>
      </w:pPr>
    </w:lvl>
    <w:lvl w:ilvl="7" w:tplc="C75A5DCA">
      <w:numFmt w:val="none"/>
      <w:lvlText w:val=""/>
      <w:lvlJc w:val="left"/>
      <w:pPr>
        <w:tabs>
          <w:tab w:val="num" w:pos="360"/>
        </w:tabs>
      </w:pPr>
    </w:lvl>
    <w:lvl w:ilvl="8" w:tplc="8FF06256">
      <w:numFmt w:val="none"/>
      <w:lvlText w:val=""/>
      <w:lvlJc w:val="left"/>
      <w:pPr>
        <w:tabs>
          <w:tab w:val="num" w:pos="360"/>
        </w:tabs>
      </w:pPr>
    </w:lvl>
  </w:abstractNum>
  <w:abstractNum w:abstractNumId="43">
    <w:nsid w:val="23A51EAD"/>
    <w:multiLevelType w:val="hybridMultilevel"/>
    <w:tmpl w:val="ECF2C1EA"/>
    <w:lvl w:ilvl="0" w:tplc="BCB856B0">
      <w:start w:val="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nsid w:val="24504AE6"/>
    <w:multiLevelType w:val="hybridMultilevel"/>
    <w:tmpl w:val="95B23BAA"/>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2486555E"/>
    <w:multiLevelType w:val="hybridMultilevel"/>
    <w:tmpl w:val="986CFEC4"/>
    <w:lvl w:ilvl="0" w:tplc="7AB6189C">
      <w:start w:val="189"/>
      <w:numFmt w:val="decimal"/>
      <w:lvlText w:val="%1."/>
      <w:lvlJc w:val="left"/>
      <w:pPr>
        <w:tabs>
          <w:tab w:val="num" w:pos="964"/>
        </w:tabs>
        <w:ind w:left="1021" w:hanging="454"/>
      </w:pPr>
      <w:rPr>
        <w:rFonts w:ascii="Times New Roman" w:hAnsi="Times New Roman" w:cs="Times New Roman" w:hint="default"/>
        <w:b w:val="0"/>
        <w:i w:val="0"/>
        <w:color w:val="auto"/>
        <w:sz w:val="24"/>
        <w:szCs w:val="24"/>
      </w:rPr>
    </w:lvl>
    <w:lvl w:ilvl="1" w:tplc="0C0A0001">
      <w:start w:val="1"/>
      <w:numFmt w:val="bullet"/>
      <w:lvlText w:val=""/>
      <w:lvlJc w:val="left"/>
      <w:pPr>
        <w:tabs>
          <w:tab w:val="num" w:pos="1440"/>
        </w:tabs>
        <w:ind w:left="1440" w:hanging="360"/>
      </w:pPr>
      <w:rPr>
        <w:rFonts w:ascii="Symbol" w:hAnsi="Symbol" w:hint="default"/>
        <w:b w:val="0"/>
        <w:sz w:val="24"/>
        <w:szCs w:val="24"/>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nsid w:val="26A84152"/>
    <w:multiLevelType w:val="hybridMultilevel"/>
    <w:tmpl w:val="852A05E6"/>
    <w:lvl w:ilvl="0" w:tplc="5D6A3748">
      <w:start w:val="1"/>
      <w:numFmt w:val="bullet"/>
      <w:lvlText w:val="–"/>
      <w:lvlJc w:val="left"/>
      <w:pPr>
        <w:tabs>
          <w:tab w:val="num" w:pos="1134"/>
        </w:tabs>
        <w:ind w:left="1134" w:hanging="567"/>
      </w:pPr>
      <w:rPr>
        <w:rFonts w:ascii="Times New Roman" w:hAnsi="Times New Roman" w:cs="Times New Roman" w:hint="default"/>
      </w:rPr>
    </w:lvl>
    <w:lvl w:ilvl="1" w:tplc="83084C98">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2785590E"/>
    <w:multiLevelType w:val="hybridMultilevel"/>
    <w:tmpl w:val="F7227AD6"/>
    <w:lvl w:ilvl="0" w:tplc="0C0A0015">
      <w:start w:val="1"/>
      <w:numFmt w:val="upperLetter"/>
      <w:lvlText w:val="%1."/>
      <w:lvlJc w:val="left"/>
      <w:pPr>
        <w:tabs>
          <w:tab w:val="num" w:pos="1287"/>
        </w:tabs>
        <w:ind w:left="1287" w:hanging="360"/>
      </w:pPr>
      <w:rPr>
        <w:rFonts w:hint="default"/>
      </w:rPr>
    </w:lvl>
    <w:lvl w:ilvl="1" w:tplc="0C0A0019">
      <w:start w:val="1"/>
      <w:numFmt w:val="lowerLetter"/>
      <w:lvlText w:val="%2."/>
      <w:lvlJc w:val="left"/>
      <w:pPr>
        <w:tabs>
          <w:tab w:val="num" w:pos="2007"/>
        </w:tabs>
        <w:ind w:left="2007" w:hanging="360"/>
      </w:pPr>
      <w:rPr>
        <w:rFonts w:hint="default"/>
      </w:rPr>
    </w:lvl>
    <w:lvl w:ilvl="2" w:tplc="0C0A001B" w:tentative="1">
      <w:start w:val="1"/>
      <w:numFmt w:val="lowerRoman"/>
      <w:lvlText w:val="%3."/>
      <w:lvlJc w:val="right"/>
      <w:pPr>
        <w:tabs>
          <w:tab w:val="num" w:pos="2727"/>
        </w:tabs>
        <w:ind w:left="2727" w:hanging="180"/>
      </w:pPr>
    </w:lvl>
    <w:lvl w:ilvl="3" w:tplc="0C0A000F" w:tentative="1">
      <w:start w:val="1"/>
      <w:numFmt w:val="decimal"/>
      <w:lvlText w:val="%4."/>
      <w:lvlJc w:val="left"/>
      <w:pPr>
        <w:tabs>
          <w:tab w:val="num" w:pos="3447"/>
        </w:tabs>
        <w:ind w:left="3447" w:hanging="360"/>
      </w:pPr>
    </w:lvl>
    <w:lvl w:ilvl="4" w:tplc="0C0A0019" w:tentative="1">
      <w:start w:val="1"/>
      <w:numFmt w:val="lowerLetter"/>
      <w:lvlText w:val="%5."/>
      <w:lvlJc w:val="left"/>
      <w:pPr>
        <w:tabs>
          <w:tab w:val="num" w:pos="4167"/>
        </w:tabs>
        <w:ind w:left="4167" w:hanging="360"/>
      </w:pPr>
    </w:lvl>
    <w:lvl w:ilvl="5" w:tplc="0C0A001B" w:tentative="1">
      <w:start w:val="1"/>
      <w:numFmt w:val="lowerRoman"/>
      <w:lvlText w:val="%6."/>
      <w:lvlJc w:val="right"/>
      <w:pPr>
        <w:tabs>
          <w:tab w:val="num" w:pos="4887"/>
        </w:tabs>
        <w:ind w:left="4887" w:hanging="180"/>
      </w:pPr>
    </w:lvl>
    <w:lvl w:ilvl="6" w:tplc="0C0A000F" w:tentative="1">
      <w:start w:val="1"/>
      <w:numFmt w:val="decimal"/>
      <w:lvlText w:val="%7."/>
      <w:lvlJc w:val="left"/>
      <w:pPr>
        <w:tabs>
          <w:tab w:val="num" w:pos="5607"/>
        </w:tabs>
        <w:ind w:left="5607" w:hanging="360"/>
      </w:pPr>
    </w:lvl>
    <w:lvl w:ilvl="7" w:tplc="0C0A0019" w:tentative="1">
      <w:start w:val="1"/>
      <w:numFmt w:val="lowerLetter"/>
      <w:lvlText w:val="%8."/>
      <w:lvlJc w:val="left"/>
      <w:pPr>
        <w:tabs>
          <w:tab w:val="num" w:pos="6327"/>
        </w:tabs>
        <w:ind w:left="6327" w:hanging="360"/>
      </w:pPr>
    </w:lvl>
    <w:lvl w:ilvl="8" w:tplc="0C0A001B" w:tentative="1">
      <w:start w:val="1"/>
      <w:numFmt w:val="lowerRoman"/>
      <w:lvlText w:val="%9."/>
      <w:lvlJc w:val="right"/>
      <w:pPr>
        <w:tabs>
          <w:tab w:val="num" w:pos="7047"/>
        </w:tabs>
        <w:ind w:left="7047" w:hanging="180"/>
      </w:pPr>
    </w:lvl>
  </w:abstractNum>
  <w:abstractNum w:abstractNumId="48">
    <w:nsid w:val="28AE60E6"/>
    <w:multiLevelType w:val="hybridMultilevel"/>
    <w:tmpl w:val="4B2C603C"/>
    <w:lvl w:ilvl="0" w:tplc="0C0A0015">
      <w:start w:val="1"/>
      <w:numFmt w:val="upperLetter"/>
      <w:lvlText w:val="%1."/>
      <w:lvlJc w:val="left"/>
      <w:pPr>
        <w:tabs>
          <w:tab w:val="num" w:pos="720"/>
        </w:tabs>
        <w:ind w:left="720" w:hanging="360"/>
      </w:pPr>
      <w:rPr>
        <w:rFonts w:hint="default"/>
      </w:rPr>
    </w:lvl>
    <w:lvl w:ilvl="1" w:tplc="FEACA66C">
      <w:start w:val="1"/>
      <w:numFmt w:val="decimal"/>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nsid w:val="29BC52E2"/>
    <w:multiLevelType w:val="hybridMultilevel"/>
    <w:tmpl w:val="CBC60334"/>
    <w:lvl w:ilvl="0" w:tplc="E4289036">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2B076BD6"/>
    <w:multiLevelType w:val="hybridMultilevel"/>
    <w:tmpl w:val="9680552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nsid w:val="2C4C201B"/>
    <w:multiLevelType w:val="hybridMultilevel"/>
    <w:tmpl w:val="B34CF71E"/>
    <w:lvl w:ilvl="0" w:tplc="290CF5E6">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2C796B6A"/>
    <w:multiLevelType w:val="hybridMultilevel"/>
    <w:tmpl w:val="2F702578"/>
    <w:lvl w:ilvl="0" w:tplc="6C068188">
      <w:start w:val="1"/>
      <w:numFmt w:val="bullet"/>
      <w:lvlText w:val="–"/>
      <w:lvlJc w:val="left"/>
      <w:pPr>
        <w:tabs>
          <w:tab w:val="num" w:pos="1134"/>
        </w:tabs>
        <w:ind w:left="1134" w:hanging="567"/>
      </w:pPr>
      <w:rPr>
        <w:rFonts w:ascii="Times New Roman" w:hAnsi="Times New Roman" w:cs="Times New Roman" w:hint="default"/>
      </w:rPr>
    </w:lvl>
    <w:lvl w:ilvl="1" w:tplc="D9A0593A">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2D5E313F"/>
    <w:multiLevelType w:val="hybridMultilevel"/>
    <w:tmpl w:val="D7CEB324"/>
    <w:lvl w:ilvl="0" w:tplc="0C0A0001">
      <w:start w:val="1"/>
      <w:numFmt w:val="bullet"/>
      <w:lvlText w:val=""/>
      <w:lvlJc w:val="left"/>
      <w:pPr>
        <w:tabs>
          <w:tab w:val="num" w:pos="720"/>
        </w:tabs>
        <w:ind w:left="720" w:hanging="360"/>
      </w:pPr>
      <w:rPr>
        <w:rFonts w:ascii="Symbol" w:hAnsi="Symbol" w:hint="default"/>
        <w:b w:val="0"/>
        <w:sz w:val="24"/>
        <w:szCs w:val="24"/>
      </w:rPr>
    </w:lvl>
    <w:lvl w:ilvl="1" w:tplc="0C0A0001">
      <w:start w:val="1"/>
      <w:numFmt w:val="bullet"/>
      <w:lvlText w:val=""/>
      <w:lvlJc w:val="left"/>
      <w:pPr>
        <w:tabs>
          <w:tab w:val="num" w:pos="1440"/>
        </w:tabs>
        <w:ind w:left="1440" w:hanging="360"/>
      </w:pPr>
      <w:rPr>
        <w:rFonts w:ascii="Symbol" w:hAnsi="Symbol" w:hint="default"/>
        <w:b w:val="0"/>
        <w:sz w:val="24"/>
        <w:szCs w:val="24"/>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nsid w:val="2DBC45AA"/>
    <w:multiLevelType w:val="hybridMultilevel"/>
    <w:tmpl w:val="852A05E6"/>
    <w:lvl w:ilvl="0" w:tplc="B2D630E0">
      <w:start w:val="1"/>
      <w:numFmt w:val="bullet"/>
      <w:lvlText w:val="–"/>
      <w:lvlJc w:val="left"/>
      <w:pPr>
        <w:tabs>
          <w:tab w:val="num" w:pos="1134"/>
        </w:tabs>
        <w:ind w:left="1134" w:hanging="567"/>
      </w:pPr>
      <w:rPr>
        <w:rFonts w:ascii="Times New Roman" w:hAnsi="Times New Roman" w:cs="Times New Roman" w:hint="default"/>
      </w:rPr>
    </w:lvl>
    <w:lvl w:ilvl="1" w:tplc="83084C98">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2E674EE6"/>
    <w:multiLevelType w:val="hybridMultilevel"/>
    <w:tmpl w:val="6EDEAEC6"/>
    <w:lvl w:ilvl="0" w:tplc="040C0001">
      <w:start w:val="27"/>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314A1F59"/>
    <w:multiLevelType w:val="hybridMultilevel"/>
    <w:tmpl w:val="20022CF8"/>
    <w:lvl w:ilvl="0" w:tplc="90687CCC">
      <w:start w:val="10"/>
      <w:numFmt w:val="lowerRoman"/>
      <w:lvlText w:val="%1)"/>
      <w:lvlJc w:val="left"/>
      <w:pPr>
        <w:tabs>
          <w:tab w:val="num" w:pos="720"/>
        </w:tabs>
        <w:ind w:left="720" w:hanging="720"/>
      </w:pPr>
      <w:rPr>
        <w:rFonts w:hint="default"/>
      </w:rPr>
    </w:lvl>
    <w:lvl w:ilvl="1" w:tplc="A528965C">
      <w:start w:val="25"/>
      <w:numFmt w:val="lowerLetter"/>
      <w:lvlText w:val="%2)"/>
      <w:lvlJc w:val="left"/>
      <w:pPr>
        <w:tabs>
          <w:tab w:val="num" w:pos="1080"/>
        </w:tabs>
        <w:ind w:left="1080" w:hanging="360"/>
      </w:pPr>
      <w:rPr>
        <w:rFonts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7">
    <w:nsid w:val="3164046C"/>
    <w:multiLevelType w:val="hybridMultilevel"/>
    <w:tmpl w:val="C240A4A8"/>
    <w:lvl w:ilvl="0" w:tplc="6ECCFF8C">
      <w:start w:val="1"/>
      <w:numFmt w:val="bullet"/>
      <w:lvlText w:val="–"/>
      <w:lvlJc w:val="left"/>
      <w:pPr>
        <w:tabs>
          <w:tab w:val="num" w:pos="1134"/>
        </w:tabs>
        <w:ind w:left="1134" w:hanging="567"/>
      </w:pPr>
      <w:rPr>
        <w:rFonts w:ascii="Times New Roman" w:hAnsi="Times New Roman" w:cs="Times New Roman"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8">
    <w:nsid w:val="31BF187C"/>
    <w:multiLevelType w:val="hybridMultilevel"/>
    <w:tmpl w:val="12827560"/>
    <w:lvl w:ilvl="0" w:tplc="2ACE6C7A">
      <w:start w:val="116"/>
      <w:numFmt w:val="decimal"/>
      <w:lvlText w:val="%1."/>
      <w:lvlJc w:val="left"/>
      <w:pPr>
        <w:tabs>
          <w:tab w:val="num" w:pos="780"/>
        </w:tabs>
        <w:ind w:left="780" w:hanging="420"/>
      </w:pPr>
      <w:rPr>
        <w:rFonts w:hint="default"/>
        <w:b w:val="0"/>
      </w:rPr>
    </w:lvl>
    <w:lvl w:ilvl="1" w:tplc="0C0A000F">
      <w:start w:val="1"/>
      <w:numFmt w:val="decimal"/>
      <w:lvlText w:val="%2."/>
      <w:lvlJc w:val="left"/>
      <w:pPr>
        <w:tabs>
          <w:tab w:val="num" w:pos="1440"/>
        </w:tabs>
        <w:ind w:left="1440" w:hanging="360"/>
      </w:pPr>
      <w:rPr>
        <w:rFonts w:hint="default"/>
        <w:b w:val="0"/>
      </w:rPr>
    </w:lvl>
    <w:lvl w:ilvl="2" w:tplc="15A22CFA">
      <w:start w:val="1"/>
      <w:numFmt w:val="lowerLetter"/>
      <w:lvlText w:val="%3)"/>
      <w:lvlJc w:val="left"/>
      <w:pPr>
        <w:tabs>
          <w:tab w:val="num" w:pos="2340"/>
        </w:tabs>
        <w:ind w:left="2340" w:hanging="360"/>
      </w:pPr>
      <w:rPr>
        <w:rFonts w:hint="default"/>
      </w:rPr>
    </w:lvl>
    <w:lvl w:ilvl="3" w:tplc="2ACE6C7A">
      <w:start w:val="116"/>
      <w:numFmt w:val="decimal"/>
      <w:lvlText w:val="%4."/>
      <w:lvlJc w:val="left"/>
      <w:pPr>
        <w:tabs>
          <w:tab w:val="num" w:pos="2940"/>
        </w:tabs>
        <w:ind w:left="2940" w:hanging="420"/>
      </w:pPr>
      <w:rPr>
        <w:rFonts w:hint="default"/>
        <w:b w:val="0"/>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nsid w:val="32A5231D"/>
    <w:multiLevelType w:val="hybridMultilevel"/>
    <w:tmpl w:val="691CE0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0">
    <w:nsid w:val="32CF5CAA"/>
    <w:multiLevelType w:val="hybridMultilevel"/>
    <w:tmpl w:val="5E44B9C0"/>
    <w:lvl w:ilvl="0" w:tplc="C50E5D62">
      <w:start w:val="1"/>
      <w:numFmt w:val="lowerRoman"/>
      <w:lvlText w:val="%1)"/>
      <w:lvlJc w:val="left"/>
      <w:pPr>
        <w:tabs>
          <w:tab w:val="num" w:pos="1080"/>
        </w:tabs>
        <w:ind w:left="1080" w:hanging="720"/>
      </w:pPr>
      <w:rPr>
        <w:rFonts w:hint="default"/>
      </w:rPr>
    </w:lvl>
    <w:lvl w:ilvl="1" w:tplc="753E6538">
      <w:start w:val="104"/>
      <w:numFmt w:val="decimal"/>
      <w:lvlText w:val="%2."/>
      <w:lvlJc w:val="left"/>
      <w:pPr>
        <w:tabs>
          <w:tab w:val="num" w:pos="1365"/>
        </w:tabs>
        <w:ind w:left="1365" w:hanging="465"/>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33004220"/>
    <w:multiLevelType w:val="hybridMultilevel"/>
    <w:tmpl w:val="1CFA0184"/>
    <w:lvl w:ilvl="0" w:tplc="71DC9F7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33EB693E"/>
    <w:multiLevelType w:val="hybridMultilevel"/>
    <w:tmpl w:val="71F685F8"/>
    <w:lvl w:ilvl="0" w:tplc="6ECCFF8C">
      <w:start w:val="1"/>
      <w:numFmt w:val="bullet"/>
      <w:lvlText w:val="–"/>
      <w:lvlJc w:val="left"/>
      <w:pPr>
        <w:tabs>
          <w:tab w:val="num" w:pos="1134"/>
        </w:tabs>
        <w:ind w:left="1134" w:hanging="567"/>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nsid w:val="34207D6C"/>
    <w:multiLevelType w:val="hybridMultilevel"/>
    <w:tmpl w:val="71F685F8"/>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4">
    <w:nsid w:val="34962923"/>
    <w:multiLevelType w:val="hybridMultilevel"/>
    <w:tmpl w:val="92C634C6"/>
    <w:lvl w:ilvl="0" w:tplc="4168C7F4">
      <w:start w:val="2"/>
      <w:numFmt w:val="decimal"/>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34973AF2"/>
    <w:multiLevelType w:val="multilevel"/>
    <w:tmpl w:val="516C2036"/>
    <w:lvl w:ilvl="0">
      <w:start w:val="15"/>
      <w:numFmt w:val="decimal"/>
      <w:lvlText w:val="%1"/>
      <w:lvlJc w:val="left"/>
      <w:pPr>
        <w:tabs>
          <w:tab w:val="num" w:pos="690"/>
        </w:tabs>
        <w:ind w:left="690" w:hanging="690"/>
      </w:pPr>
      <w:rPr>
        <w:rFonts w:hint="default"/>
      </w:rPr>
    </w:lvl>
    <w:lvl w:ilvl="1">
      <w:start w:val="19"/>
      <w:numFmt w:val="decimal"/>
      <w:lvlText w:val="%1-%2"/>
      <w:lvlJc w:val="left"/>
      <w:pPr>
        <w:tabs>
          <w:tab w:val="num" w:pos="2850"/>
        </w:tabs>
        <w:ind w:left="2850" w:hanging="690"/>
      </w:pPr>
      <w:rPr>
        <w:rFonts w:hint="default"/>
      </w:rPr>
    </w:lvl>
    <w:lvl w:ilvl="2">
      <w:start w:val="1"/>
      <w:numFmt w:val="decimal"/>
      <w:lvlText w:val="%1-%2.%3"/>
      <w:lvlJc w:val="left"/>
      <w:pPr>
        <w:tabs>
          <w:tab w:val="num" w:pos="5040"/>
        </w:tabs>
        <w:ind w:left="5040" w:hanging="720"/>
      </w:pPr>
      <w:rPr>
        <w:rFonts w:hint="default"/>
      </w:rPr>
    </w:lvl>
    <w:lvl w:ilvl="3">
      <w:start w:val="1"/>
      <w:numFmt w:val="decimal"/>
      <w:lvlText w:val="%1-%2.%3.%4"/>
      <w:lvlJc w:val="left"/>
      <w:pPr>
        <w:tabs>
          <w:tab w:val="num" w:pos="7200"/>
        </w:tabs>
        <w:ind w:left="7200" w:hanging="720"/>
      </w:pPr>
      <w:rPr>
        <w:rFonts w:hint="default"/>
      </w:rPr>
    </w:lvl>
    <w:lvl w:ilvl="4">
      <w:start w:val="1"/>
      <w:numFmt w:val="decimal"/>
      <w:lvlText w:val="%1-%2.%3.%4.%5"/>
      <w:lvlJc w:val="left"/>
      <w:pPr>
        <w:tabs>
          <w:tab w:val="num" w:pos="9720"/>
        </w:tabs>
        <w:ind w:left="9720" w:hanging="1080"/>
      </w:pPr>
      <w:rPr>
        <w:rFonts w:hint="default"/>
      </w:rPr>
    </w:lvl>
    <w:lvl w:ilvl="5">
      <w:start w:val="1"/>
      <w:numFmt w:val="decimal"/>
      <w:lvlText w:val="%1-%2.%3.%4.%5.%6"/>
      <w:lvlJc w:val="left"/>
      <w:pPr>
        <w:tabs>
          <w:tab w:val="num" w:pos="11880"/>
        </w:tabs>
        <w:ind w:left="11880" w:hanging="1080"/>
      </w:pPr>
      <w:rPr>
        <w:rFonts w:hint="default"/>
      </w:rPr>
    </w:lvl>
    <w:lvl w:ilvl="6">
      <w:start w:val="1"/>
      <w:numFmt w:val="decimal"/>
      <w:lvlText w:val="%1-%2.%3.%4.%5.%6.%7"/>
      <w:lvlJc w:val="left"/>
      <w:pPr>
        <w:tabs>
          <w:tab w:val="num" w:pos="14400"/>
        </w:tabs>
        <w:ind w:left="14400" w:hanging="1440"/>
      </w:pPr>
      <w:rPr>
        <w:rFonts w:hint="default"/>
      </w:rPr>
    </w:lvl>
    <w:lvl w:ilvl="7">
      <w:start w:val="1"/>
      <w:numFmt w:val="decimal"/>
      <w:lvlText w:val="%1-%2.%3.%4.%5.%6.%7.%8"/>
      <w:lvlJc w:val="left"/>
      <w:pPr>
        <w:tabs>
          <w:tab w:val="num" w:pos="16560"/>
        </w:tabs>
        <w:ind w:left="16560" w:hanging="1440"/>
      </w:pPr>
      <w:rPr>
        <w:rFonts w:hint="default"/>
      </w:rPr>
    </w:lvl>
    <w:lvl w:ilvl="8">
      <w:start w:val="1"/>
      <w:numFmt w:val="decimal"/>
      <w:lvlText w:val="%1-%2.%3.%4.%5.%6.%7.%8.%9"/>
      <w:lvlJc w:val="left"/>
      <w:pPr>
        <w:tabs>
          <w:tab w:val="num" w:pos="19080"/>
        </w:tabs>
        <w:ind w:left="19080" w:hanging="1800"/>
      </w:pPr>
      <w:rPr>
        <w:rFonts w:hint="default"/>
      </w:rPr>
    </w:lvl>
  </w:abstractNum>
  <w:abstractNum w:abstractNumId="66">
    <w:nsid w:val="349B6671"/>
    <w:multiLevelType w:val="hybridMultilevel"/>
    <w:tmpl w:val="420E903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nsid w:val="34A97F58"/>
    <w:multiLevelType w:val="hybridMultilevel"/>
    <w:tmpl w:val="6B48398A"/>
    <w:lvl w:ilvl="0" w:tplc="0C0A0015">
      <w:start w:val="1"/>
      <w:numFmt w:val="upperLetter"/>
      <w:lvlText w:val="%1."/>
      <w:lvlJc w:val="left"/>
      <w:pPr>
        <w:tabs>
          <w:tab w:val="num" w:pos="720"/>
        </w:tabs>
        <w:ind w:left="720" w:hanging="360"/>
      </w:pPr>
      <w:rPr>
        <w:rFonts w:hint="default"/>
      </w:rPr>
    </w:lvl>
    <w:lvl w:ilvl="1" w:tplc="E708B136">
      <w:start w:val="1"/>
      <w:numFmt w:val="decimal"/>
      <w:lvlText w:val="%2."/>
      <w:lvlJc w:val="left"/>
      <w:pPr>
        <w:tabs>
          <w:tab w:val="num" w:pos="1440"/>
        </w:tabs>
        <w:ind w:left="1440" w:hanging="360"/>
      </w:pPr>
      <w:rPr>
        <w:rFonts w:hint="default"/>
        <w:b/>
      </w:rPr>
    </w:lvl>
    <w:lvl w:ilvl="2" w:tplc="0C0A000F">
      <w:start w:val="1"/>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nsid w:val="35EC6EC7"/>
    <w:multiLevelType w:val="hybridMultilevel"/>
    <w:tmpl w:val="2C0403A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9">
    <w:nsid w:val="370E5FAD"/>
    <w:multiLevelType w:val="hybridMultilevel"/>
    <w:tmpl w:val="6234F538"/>
    <w:lvl w:ilvl="0" w:tplc="71DC9F7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382514F4"/>
    <w:multiLevelType w:val="hybridMultilevel"/>
    <w:tmpl w:val="1814F622"/>
    <w:lvl w:ilvl="0" w:tplc="0C0A0001">
      <w:start w:val="1"/>
      <w:numFmt w:val="bullet"/>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1">
    <w:nsid w:val="386362F7"/>
    <w:multiLevelType w:val="hybridMultilevel"/>
    <w:tmpl w:val="DF8A623E"/>
    <w:lvl w:ilvl="0" w:tplc="7D4C56E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72">
    <w:nsid w:val="38EB5426"/>
    <w:multiLevelType w:val="hybridMultilevel"/>
    <w:tmpl w:val="1F8203C0"/>
    <w:lvl w:ilvl="0" w:tplc="0C0A0001">
      <w:start w:val="1"/>
      <w:numFmt w:val="bullet"/>
      <w:lvlText w:val=""/>
      <w:lvlJc w:val="left"/>
      <w:pPr>
        <w:tabs>
          <w:tab w:val="num" w:pos="720"/>
        </w:tabs>
        <w:ind w:left="720" w:hanging="360"/>
      </w:pPr>
      <w:rPr>
        <w:rFonts w:ascii="Symbol" w:hAnsi="Symbol" w:hint="default"/>
        <w:b w:val="0"/>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nsid w:val="390066DD"/>
    <w:multiLevelType w:val="hybridMultilevel"/>
    <w:tmpl w:val="B080CA3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4">
    <w:nsid w:val="39FA7D61"/>
    <w:multiLevelType w:val="hybridMultilevel"/>
    <w:tmpl w:val="834EC6E2"/>
    <w:lvl w:ilvl="0" w:tplc="439286E4">
      <w:start w:val="1"/>
      <w:numFmt w:val="upperLetter"/>
      <w:lvlText w:val="%1."/>
      <w:lvlJc w:val="left"/>
      <w:pPr>
        <w:tabs>
          <w:tab w:val="num" w:pos="720"/>
        </w:tabs>
        <w:ind w:left="720" w:hanging="360"/>
      </w:pPr>
      <w:rPr>
        <w:rFonts w:hint="default"/>
        <w:b/>
      </w:rPr>
    </w:lvl>
    <w:lvl w:ilvl="1" w:tplc="78B8ACE0">
      <w:start w:val="238"/>
      <w:numFmt w:val="decimal"/>
      <w:lvlText w:val="%2."/>
      <w:lvlJc w:val="left"/>
      <w:pPr>
        <w:tabs>
          <w:tab w:val="num" w:pos="1500"/>
        </w:tabs>
        <w:ind w:left="1500" w:hanging="420"/>
      </w:pPr>
      <w:rPr>
        <w:rFonts w:hint="default"/>
      </w:r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nsid w:val="3A2F554C"/>
    <w:multiLevelType w:val="hybridMultilevel"/>
    <w:tmpl w:val="88F45E8C"/>
    <w:lvl w:ilvl="0" w:tplc="0C0A0001">
      <w:start w:val="1"/>
      <w:numFmt w:val="bullet"/>
      <w:lvlText w:val=""/>
      <w:lvlJc w:val="left"/>
      <w:pPr>
        <w:tabs>
          <w:tab w:val="num" w:pos="720"/>
        </w:tabs>
        <w:ind w:left="720" w:hanging="360"/>
      </w:pPr>
      <w:rPr>
        <w:rFonts w:ascii="Symbol" w:hAnsi="Symbol" w:hint="default"/>
      </w:rPr>
    </w:lvl>
    <w:lvl w:ilvl="1" w:tplc="0F6E6AE8">
      <w:start w:val="560"/>
      <w:numFmt w:val="decimal"/>
      <w:lvlText w:val="%2."/>
      <w:lvlJc w:val="left"/>
      <w:pPr>
        <w:tabs>
          <w:tab w:val="num" w:pos="1477"/>
        </w:tabs>
        <w:ind w:left="1534" w:hanging="454"/>
      </w:pPr>
      <w:rPr>
        <w:rFonts w:ascii="Times New Roman" w:hAnsi="Times New Roman" w:cs="Times New Roman" w:hint="default"/>
        <w:b w:val="0"/>
        <w:i w:val="0"/>
        <w:color w:val="auto"/>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6">
    <w:nsid w:val="3B6B3D92"/>
    <w:multiLevelType w:val="hybridMultilevel"/>
    <w:tmpl w:val="7D5A758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7">
    <w:nsid w:val="3BB7254D"/>
    <w:multiLevelType w:val="hybridMultilevel"/>
    <w:tmpl w:val="71F685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8">
    <w:nsid w:val="3D2D2B93"/>
    <w:multiLevelType w:val="hybridMultilevel"/>
    <w:tmpl w:val="F23C69A2"/>
    <w:lvl w:ilvl="0" w:tplc="6674EF32">
      <w:start w:val="22"/>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nsid w:val="3DAF35F2"/>
    <w:multiLevelType w:val="hybridMultilevel"/>
    <w:tmpl w:val="19EAA4F8"/>
    <w:lvl w:ilvl="0" w:tplc="60003F8C">
      <w:start w:val="1"/>
      <w:numFmt w:val="upperLetter"/>
      <w:lvlText w:val="%1."/>
      <w:lvlJc w:val="left"/>
      <w:pPr>
        <w:tabs>
          <w:tab w:val="num" w:pos="1080"/>
        </w:tabs>
        <w:ind w:left="1080" w:hanging="720"/>
      </w:pPr>
      <w:rPr>
        <w:rFonts w:hint="default"/>
        <w:b/>
      </w:rPr>
    </w:lvl>
    <w:lvl w:ilvl="1" w:tplc="663801DC">
      <w:start w:val="547"/>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3DD71CBB"/>
    <w:multiLevelType w:val="hybridMultilevel"/>
    <w:tmpl w:val="4844EF04"/>
    <w:lvl w:ilvl="0" w:tplc="0C0A0001">
      <w:start w:val="1"/>
      <w:numFmt w:val="bullet"/>
      <w:lvlText w:val=""/>
      <w:lvlJc w:val="left"/>
      <w:pPr>
        <w:tabs>
          <w:tab w:val="num" w:pos="360"/>
        </w:tabs>
        <w:ind w:left="360" w:hanging="360"/>
      </w:pPr>
      <w:rPr>
        <w:rFonts w:ascii="Symbol" w:hAnsi="Symbol" w:hint="default"/>
      </w:rPr>
    </w:lvl>
    <w:lvl w:ilvl="1" w:tplc="2EDC1F48">
      <w:start w:val="189"/>
      <w:numFmt w:val="decimal"/>
      <w:lvlText w:val="%2."/>
      <w:lvlJc w:val="left"/>
      <w:pPr>
        <w:tabs>
          <w:tab w:val="num" w:pos="1140"/>
        </w:tabs>
        <w:ind w:left="1140" w:hanging="420"/>
      </w:pPr>
      <w:rPr>
        <w:rFonts w:hint="default"/>
        <w:b w:val="0"/>
        <w:sz w:val="24"/>
        <w:szCs w:val="24"/>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1">
    <w:nsid w:val="3FCE125A"/>
    <w:multiLevelType w:val="hybridMultilevel"/>
    <w:tmpl w:val="589CE3E6"/>
    <w:lvl w:ilvl="0" w:tplc="71DC9F7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40066353"/>
    <w:multiLevelType w:val="hybridMultilevel"/>
    <w:tmpl w:val="A41E7C64"/>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82E87F32">
      <w:start w:val="1"/>
      <w:numFmt w:val="upp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3">
    <w:nsid w:val="40566D8F"/>
    <w:multiLevelType w:val="hybridMultilevel"/>
    <w:tmpl w:val="0706C658"/>
    <w:lvl w:ilvl="0" w:tplc="B4DE3EBC">
      <w:start w:val="2"/>
      <w:numFmt w:val="decimal"/>
      <w:lvlText w:val="%1."/>
      <w:lvlJc w:val="left"/>
      <w:pPr>
        <w:tabs>
          <w:tab w:val="num" w:pos="643"/>
        </w:tabs>
        <w:ind w:left="643" w:hanging="283"/>
      </w:pPr>
      <w:rPr>
        <w:rFonts w:ascii="Times New Roman" w:hAnsi="Times New Roman" w:cs="Times New Roman" w:hint="default"/>
        <w:b w:val="0"/>
        <w:i w:val="0"/>
        <w:strike w:val="0"/>
        <w:color w:val="auto"/>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4EE4DBFE">
      <w:start w:val="1"/>
      <w:numFmt w:val="upperRoman"/>
      <w:lvlText w:val="%9."/>
      <w:lvlJc w:val="left"/>
      <w:pPr>
        <w:tabs>
          <w:tab w:val="num" w:pos="7020"/>
        </w:tabs>
        <w:ind w:left="7020" w:hanging="720"/>
      </w:pPr>
      <w:rPr>
        <w:rFonts w:hint="default"/>
      </w:rPr>
    </w:lvl>
  </w:abstractNum>
  <w:abstractNum w:abstractNumId="84">
    <w:nsid w:val="405D745A"/>
    <w:multiLevelType w:val="multilevel"/>
    <w:tmpl w:val="04465CAA"/>
    <w:lvl w:ilvl="0">
      <w:start w:val="1"/>
      <w:numFmt w:val="bullet"/>
      <w:lvlText w:val=""/>
      <w:lvlJc w:val="left"/>
      <w:pPr>
        <w:tabs>
          <w:tab w:val="num" w:pos="720"/>
        </w:tabs>
        <w:ind w:left="720" w:hanging="360"/>
      </w:pPr>
      <w:rPr>
        <w:rFonts w:ascii="Symbol" w:hAnsi="Symbol"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41F9397C"/>
    <w:multiLevelType w:val="hybridMultilevel"/>
    <w:tmpl w:val="420E9038"/>
    <w:lvl w:ilvl="0" w:tplc="0442902E">
      <w:start w:val="1"/>
      <w:numFmt w:val="bullet"/>
      <w:lvlText w:val="–"/>
      <w:lvlJc w:val="left"/>
      <w:pPr>
        <w:tabs>
          <w:tab w:val="num" w:pos="1134"/>
        </w:tabs>
        <w:ind w:left="1134" w:hanging="567"/>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6">
    <w:nsid w:val="46167263"/>
    <w:multiLevelType w:val="hybridMultilevel"/>
    <w:tmpl w:val="9ED4A14A"/>
    <w:lvl w:ilvl="0" w:tplc="0C0A000F">
      <w:start w:val="1"/>
      <w:numFmt w:val="decimal"/>
      <w:lvlText w:val="%1."/>
      <w:lvlJc w:val="left"/>
      <w:pPr>
        <w:tabs>
          <w:tab w:val="num" w:pos="720"/>
        </w:tabs>
        <w:ind w:left="720" w:hanging="360"/>
      </w:pPr>
    </w:lvl>
    <w:lvl w:ilvl="1" w:tplc="3D9E5450">
      <w:start w:val="2"/>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nsid w:val="46334DB1"/>
    <w:multiLevelType w:val="hybridMultilevel"/>
    <w:tmpl w:val="746A64AA"/>
    <w:lvl w:ilvl="0" w:tplc="71DC9F7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463A6C52"/>
    <w:multiLevelType w:val="hybridMultilevel"/>
    <w:tmpl w:val="3D569C46"/>
    <w:lvl w:ilvl="0" w:tplc="CB18092C">
      <w:start w:val="5"/>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9">
    <w:nsid w:val="46C81A87"/>
    <w:multiLevelType w:val="hybridMultilevel"/>
    <w:tmpl w:val="DF8A623E"/>
    <w:lvl w:ilvl="0" w:tplc="6562C67E">
      <w:start w:val="1"/>
      <w:numFmt w:val="bullet"/>
      <w:lvlText w:val="–"/>
      <w:lvlJc w:val="left"/>
      <w:pPr>
        <w:tabs>
          <w:tab w:val="num" w:pos="2268"/>
        </w:tabs>
        <w:ind w:left="2268" w:hanging="567"/>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90">
    <w:nsid w:val="47D9172E"/>
    <w:multiLevelType w:val="multilevel"/>
    <w:tmpl w:val="F478665C"/>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47DC7541"/>
    <w:multiLevelType w:val="hybridMultilevel"/>
    <w:tmpl w:val="EC90CFDA"/>
    <w:lvl w:ilvl="0" w:tplc="0C0A0015">
      <w:start w:val="1"/>
      <w:numFmt w:val="upp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990AAC3C">
      <w:start w:val="579"/>
      <w:numFmt w:val="decimal"/>
      <w:lvlText w:val="%3."/>
      <w:lvlJc w:val="left"/>
      <w:pPr>
        <w:tabs>
          <w:tab w:val="num" w:pos="2400"/>
        </w:tabs>
        <w:ind w:left="2400" w:hanging="420"/>
      </w:pPr>
      <w:rPr>
        <w:rFonts w:hint="default"/>
        <w:color w:val="auto"/>
      </w:r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nsid w:val="48135309"/>
    <w:multiLevelType w:val="hybridMultilevel"/>
    <w:tmpl w:val="E30CE4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3">
    <w:nsid w:val="49102C3B"/>
    <w:multiLevelType w:val="hybridMultilevel"/>
    <w:tmpl w:val="4028B082"/>
    <w:lvl w:ilvl="0" w:tplc="0C0A0001">
      <w:start w:val="1"/>
      <w:numFmt w:val="bullet"/>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94">
    <w:nsid w:val="499F0A03"/>
    <w:multiLevelType w:val="hybridMultilevel"/>
    <w:tmpl w:val="31BEA9E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5">
    <w:nsid w:val="4A3754F4"/>
    <w:multiLevelType w:val="hybridMultilevel"/>
    <w:tmpl w:val="AEAA237C"/>
    <w:lvl w:ilvl="0" w:tplc="0C0A0015">
      <w:start w:val="1"/>
      <w:numFmt w:val="upp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4C84BBFA">
      <w:start w:val="1"/>
      <w:numFmt w:val="lowerLetter"/>
      <w:lvlText w:val="%3."/>
      <w:lvlJc w:val="left"/>
      <w:pPr>
        <w:tabs>
          <w:tab w:val="num" w:pos="2340"/>
        </w:tabs>
        <w:ind w:left="2340" w:hanging="360"/>
      </w:pPr>
      <w:rPr>
        <w:rFonts w:hint="default"/>
        <w:b/>
      </w:rPr>
    </w:lvl>
    <w:lvl w:ilvl="3" w:tplc="BC546300">
      <w:start w:val="1"/>
      <w:numFmt w:val="decimal"/>
      <w:lvlText w:val="%4."/>
      <w:lvlJc w:val="left"/>
      <w:pPr>
        <w:tabs>
          <w:tab w:val="num" w:pos="2880"/>
        </w:tabs>
        <w:ind w:left="2880" w:hanging="360"/>
      </w:pPr>
      <w:rPr>
        <w:rFonts w:hint="default"/>
      </w:rPr>
    </w:lvl>
    <w:lvl w:ilvl="4" w:tplc="0C0A0001">
      <w:start w:val="1"/>
      <w:numFmt w:val="bullet"/>
      <w:lvlText w:val=""/>
      <w:lvlJc w:val="left"/>
      <w:pPr>
        <w:tabs>
          <w:tab w:val="num" w:pos="3600"/>
        </w:tabs>
        <w:ind w:left="3600" w:hanging="360"/>
      </w:pPr>
      <w:rPr>
        <w:rFonts w:ascii="Symbol" w:hAnsi="Symbol"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nsid w:val="4AB533D5"/>
    <w:multiLevelType w:val="hybridMultilevel"/>
    <w:tmpl w:val="420E9038"/>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nsid w:val="4C46659F"/>
    <w:multiLevelType w:val="hybridMultilevel"/>
    <w:tmpl w:val="3D76301C"/>
    <w:lvl w:ilvl="0" w:tplc="0409000F">
      <w:start w:val="1"/>
      <w:numFmt w:val="decimal"/>
      <w:lvlText w:val="%1."/>
      <w:lvlJc w:val="left"/>
      <w:pPr>
        <w:tabs>
          <w:tab w:val="num" w:pos="720"/>
        </w:tabs>
        <w:ind w:left="720" w:hanging="360"/>
      </w:pPr>
      <w:rPr>
        <w:rFonts w:hint="default"/>
      </w:rPr>
    </w:lvl>
    <w:lvl w:ilvl="1" w:tplc="04090019">
      <w:start w:val="1"/>
      <w:numFmt w:val="decimal"/>
      <w:isLgl/>
      <w:lvlText w:val="%1.%2"/>
      <w:lvlJc w:val="left"/>
      <w:pPr>
        <w:tabs>
          <w:tab w:val="num" w:pos="1080"/>
        </w:tabs>
        <w:ind w:left="1080" w:hanging="720"/>
      </w:pPr>
      <w:rPr>
        <w:rFonts w:hint="default"/>
      </w:rPr>
    </w:lvl>
    <w:lvl w:ilvl="2" w:tplc="0409001B">
      <w:start w:val="1"/>
      <w:numFmt w:val="decimal"/>
      <w:isLgl/>
      <w:lvlText w:val="%1.%2.%3"/>
      <w:lvlJc w:val="left"/>
      <w:pPr>
        <w:tabs>
          <w:tab w:val="num" w:pos="1080"/>
        </w:tabs>
        <w:ind w:left="1080" w:hanging="720"/>
      </w:pPr>
      <w:rPr>
        <w:rFonts w:hint="default"/>
      </w:rPr>
    </w:lvl>
    <w:lvl w:ilvl="3" w:tplc="0409000F">
      <w:start w:val="1"/>
      <w:numFmt w:val="decimal"/>
      <w:isLgl/>
      <w:lvlText w:val="%1.%2.%3.%4"/>
      <w:lvlJc w:val="left"/>
      <w:pPr>
        <w:tabs>
          <w:tab w:val="num" w:pos="1080"/>
        </w:tabs>
        <w:ind w:left="1080" w:hanging="720"/>
      </w:pPr>
      <w:rPr>
        <w:rFonts w:hint="default"/>
      </w:rPr>
    </w:lvl>
    <w:lvl w:ilvl="4" w:tplc="04090019">
      <w:start w:val="1"/>
      <w:numFmt w:val="decimal"/>
      <w:isLgl/>
      <w:lvlText w:val="%1.%2.%3.%4.%5"/>
      <w:lvlJc w:val="left"/>
      <w:pPr>
        <w:tabs>
          <w:tab w:val="num" w:pos="1440"/>
        </w:tabs>
        <w:ind w:left="1440" w:hanging="1080"/>
      </w:pPr>
      <w:rPr>
        <w:rFonts w:hint="default"/>
      </w:rPr>
    </w:lvl>
    <w:lvl w:ilvl="5" w:tplc="0409001B">
      <w:start w:val="1"/>
      <w:numFmt w:val="decimal"/>
      <w:isLgl/>
      <w:lvlText w:val="%1.%2.%3.%4.%5.%6"/>
      <w:lvlJc w:val="left"/>
      <w:pPr>
        <w:tabs>
          <w:tab w:val="num" w:pos="1440"/>
        </w:tabs>
        <w:ind w:left="1440" w:hanging="1080"/>
      </w:pPr>
      <w:rPr>
        <w:rFonts w:hint="default"/>
      </w:rPr>
    </w:lvl>
    <w:lvl w:ilvl="6" w:tplc="0409000F">
      <w:start w:val="1"/>
      <w:numFmt w:val="decimal"/>
      <w:isLgl/>
      <w:lvlText w:val="%1.%2.%3.%4.%5.%6.%7"/>
      <w:lvlJc w:val="left"/>
      <w:pPr>
        <w:tabs>
          <w:tab w:val="num" w:pos="1800"/>
        </w:tabs>
        <w:ind w:left="1800" w:hanging="1440"/>
      </w:pPr>
      <w:rPr>
        <w:rFonts w:hint="default"/>
      </w:rPr>
    </w:lvl>
    <w:lvl w:ilvl="7" w:tplc="04090019">
      <w:start w:val="1"/>
      <w:numFmt w:val="decimal"/>
      <w:isLgl/>
      <w:lvlText w:val="%1.%2.%3.%4.%5.%6.%7.%8"/>
      <w:lvlJc w:val="left"/>
      <w:pPr>
        <w:tabs>
          <w:tab w:val="num" w:pos="1800"/>
        </w:tabs>
        <w:ind w:left="1800" w:hanging="1440"/>
      </w:pPr>
      <w:rPr>
        <w:rFonts w:hint="default"/>
      </w:rPr>
    </w:lvl>
    <w:lvl w:ilvl="8" w:tplc="0409001B">
      <w:start w:val="1"/>
      <w:numFmt w:val="decimal"/>
      <w:isLgl/>
      <w:lvlText w:val="%1.%2.%3.%4.%5.%6.%7.%8.%9"/>
      <w:lvlJc w:val="left"/>
      <w:pPr>
        <w:tabs>
          <w:tab w:val="num" w:pos="2160"/>
        </w:tabs>
        <w:ind w:left="2160" w:hanging="1800"/>
      </w:pPr>
      <w:rPr>
        <w:rFonts w:hint="default"/>
      </w:rPr>
    </w:lvl>
  </w:abstractNum>
  <w:abstractNum w:abstractNumId="98">
    <w:nsid w:val="4D200E78"/>
    <w:multiLevelType w:val="hybridMultilevel"/>
    <w:tmpl w:val="78D62920"/>
    <w:lvl w:ilvl="0" w:tplc="19565AD2">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4D3352A0"/>
    <w:multiLevelType w:val="hybridMultilevel"/>
    <w:tmpl w:val="2F289EF8"/>
    <w:lvl w:ilvl="0" w:tplc="35D44CB2">
      <w:start w:val="1"/>
      <w:numFmt w:val="bullet"/>
      <w:lvlRestart w:val="0"/>
      <w:lvlText w:val="–"/>
      <w:lvlJc w:val="left"/>
      <w:pPr>
        <w:tabs>
          <w:tab w:val="num" w:pos="1701"/>
        </w:tabs>
        <w:ind w:left="1701" w:hanging="567"/>
      </w:pPr>
      <w:rPr>
        <w:rFonts w:ascii="Times New Roman" w:hAns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0">
    <w:nsid w:val="4E2A6E7E"/>
    <w:multiLevelType w:val="hybridMultilevel"/>
    <w:tmpl w:val="B7CA3D5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nsid w:val="4ED87A6B"/>
    <w:multiLevelType w:val="hybridMultilevel"/>
    <w:tmpl w:val="812C190C"/>
    <w:lvl w:ilvl="0" w:tplc="416E6416">
      <w:start w:val="133"/>
      <w:numFmt w:val="decimal"/>
      <w:lvlText w:val="%1."/>
      <w:lvlJc w:val="left"/>
      <w:pPr>
        <w:tabs>
          <w:tab w:val="num" w:pos="780"/>
        </w:tabs>
        <w:ind w:left="780" w:hanging="420"/>
      </w:pPr>
      <w:rPr>
        <w:rFonts w:hint="default"/>
        <w:color w:val="auto"/>
      </w:rPr>
    </w:lvl>
    <w:lvl w:ilvl="1" w:tplc="0C0A0001">
      <w:start w:val="1"/>
      <w:numFmt w:val="bullet"/>
      <w:lvlText w:val=""/>
      <w:lvlJc w:val="left"/>
      <w:pPr>
        <w:tabs>
          <w:tab w:val="num" w:pos="1440"/>
        </w:tabs>
        <w:ind w:left="1440" w:hanging="360"/>
      </w:pPr>
      <w:rPr>
        <w:rFonts w:ascii="Symbol" w:hAnsi="Symbol" w:hint="default"/>
        <w:color w:val="auto"/>
      </w:rPr>
    </w:lvl>
    <w:lvl w:ilvl="2" w:tplc="0C0A000F">
      <w:start w:val="1"/>
      <w:numFmt w:val="decimal"/>
      <w:lvlText w:val="%3."/>
      <w:lvlJc w:val="left"/>
      <w:pPr>
        <w:tabs>
          <w:tab w:val="num" w:pos="2340"/>
        </w:tabs>
        <w:ind w:left="2340" w:hanging="360"/>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2">
    <w:nsid w:val="50761844"/>
    <w:multiLevelType w:val="hybridMultilevel"/>
    <w:tmpl w:val="45B23EC4"/>
    <w:lvl w:ilvl="0" w:tplc="0C0A0015">
      <w:start w:val="1"/>
      <w:numFmt w:val="upp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nsid w:val="513F1FD3"/>
    <w:multiLevelType w:val="hybridMultilevel"/>
    <w:tmpl w:val="7C76428A"/>
    <w:lvl w:ilvl="0" w:tplc="37D2D7D4">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4">
    <w:nsid w:val="51572D20"/>
    <w:multiLevelType w:val="hybridMultilevel"/>
    <w:tmpl w:val="E9589400"/>
    <w:lvl w:ilvl="0" w:tplc="04322F16">
      <w:start w:val="2"/>
      <w:numFmt w:val="upperLetter"/>
      <w:lvlText w:val="%1."/>
      <w:lvlJc w:val="left"/>
      <w:pPr>
        <w:tabs>
          <w:tab w:val="num" w:pos="1080"/>
        </w:tabs>
        <w:ind w:left="1080" w:hanging="360"/>
      </w:pPr>
      <w:rPr>
        <w:rFonts w:hint="default"/>
      </w:rPr>
    </w:lvl>
    <w:lvl w:ilvl="1" w:tplc="144A9AEA">
      <w:start w:val="325"/>
      <w:numFmt w:val="decimal"/>
      <w:lvlText w:val="%2."/>
      <w:lvlJc w:val="left"/>
      <w:pPr>
        <w:tabs>
          <w:tab w:val="num" w:pos="2160"/>
        </w:tabs>
        <w:ind w:left="2160" w:hanging="720"/>
      </w:pPr>
      <w:rPr>
        <w:rFonts w:hint="default"/>
      </w:rPr>
    </w:lvl>
    <w:lvl w:ilvl="2" w:tplc="5AFCDE90">
      <w:start w:val="1992"/>
      <w:numFmt w:val="decimal"/>
      <w:lvlText w:val="%3"/>
      <w:lvlJc w:val="left"/>
      <w:pPr>
        <w:tabs>
          <w:tab w:val="num" w:pos="6660"/>
        </w:tabs>
        <w:ind w:left="6660" w:hanging="432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5">
    <w:nsid w:val="51C52C33"/>
    <w:multiLevelType w:val="multilevel"/>
    <w:tmpl w:val="DAA238D6"/>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6">
    <w:nsid w:val="53AA795A"/>
    <w:multiLevelType w:val="hybridMultilevel"/>
    <w:tmpl w:val="6EFC29D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07">
    <w:nsid w:val="53BC28A9"/>
    <w:multiLevelType w:val="hybridMultilevel"/>
    <w:tmpl w:val="1B026840"/>
    <w:lvl w:ilvl="0" w:tplc="95C41090">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541E3AEE"/>
    <w:multiLevelType w:val="multilevel"/>
    <w:tmpl w:val="DF0A3546"/>
    <w:lvl w:ilvl="0">
      <w:start w:val="2"/>
      <w:numFmt w:val="decimal"/>
      <w:lvlText w:val="%1"/>
      <w:lvlJc w:val="left"/>
      <w:pPr>
        <w:tabs>
          <w:tab w:val="num" w:pos="600"/>
        </w:tabs>
        <w:ind w:left="600" w:hanging="600"/>
      </w:pPr>
      <w:rPr>
        <w:rFonts w:hint="default"/>
        <w:b/>
      </w:rPr>
    </w:lvl>
    <w:lvl w:ilvl="1">
      <w:start w:val="1"/>
      <w:numFmt w:val="decimal"/>
      <w:lvlText w:val="%1.%2"/>
      <w:lvlJc w:val="left"/>
      <w:pPr>
        <w:tabs>
          <w:tab w:val="num" w:pos="720"/>
        </w:tabs>
        <w:ind w:left="720" w:hanging="600"/>
      </w:pPr>
      <w:rPr>
        <w:rFonts w:hint="default"/>
        <w:b/>
      </w:rPr>
    </w:lvl>
    <w:lvl w:ilvl="2">
      <w:start w:val="1"/>
      <w:numFmt w:val="decimal"/>
      <w:lvlText w:val="%1.%2.%3"/>
      <w:lvlJc w:val="left"/>
      <w:pPr>
        <w:tabs>
          <w:tab w:val="num" w:pos="960"/>
        </w:tabs>
        <w:ind w:left="960" w:hanging="720"/>
      </w:pPr>
      <w:rPr>
        <w:rFonts w:hint="default"/>
        <w:b/>
      </w:rPr>
    </w:lvl>
    <w:lvl w:ilvl="3">
      <w:start w:val="1"/>
      <w:numFmt w:val="decimal"/>
      <w:lvlText w:val="%1.%2.%3.%4"/>
      <w:lvlJc w:val="left"/>
      <w:pPr>
        <w:tabs>
          <w:tab w:val="num" w:pos="1080"/>
        </w:tabs>
        <w:ind w:left="1080" w:hanging="720"/>
      </w:pPr>
      <w:rPr>
        <w:rFonts w:hint="default"/>
        <w:b/>
      </w:rPr>
    </w:lvl>
    <w:lvl w:ilvl="4">
      <w:start w:val="1"/>
      <w:numFmt w:val="decimal"/>
      <w:lvlText w:val="%1.%2.%3.%4.%5"/>
      <w:lvlJc w:val="left"/>
      <w:pPr>
        <w:tabs>
          <w:tab w:val="num" w:pos="1560"/>
        </w:tabs>
        <w:ind w:left="1560" w:hanging="1080"/>
      </w:pPr>
      <w:rPr>
        <w:rFonts w:hint="default"/>
        <w:b/>
      </w:rPr>
    </w:lvl>
    <w:lvl w:ilvl="5">
      <w:start w:val="1"/>
      <w:numFmt w:val="decimal"/>
      <w:lvlText w:val="%1.%2.%3.%4.%5.%6"/>
      <w:lvlJc w:val="left"/>
      <w:pPr>
        <w:tabs>
          <w:tab w:val="num" w:pos="1680"/>
        </w:tabs>
        <w:ind w:left="1680" w:hanging="1080"/>
      </w:pPr>
      <w:rPr>
        <w:rFonts w:hint="default"/>
        <w:b/>
      </w:rPr>
    </w:lvl>
    <w:lvl w:ilvl="6">
      <w:start w:val="1"/>
      <w:numFmt w:val="decimal"/>
      <w:lvlText w:val="%1.%2.%3.%4.%5.%6.%7"/>
      <w:lvlJc w:val="left"/>
      <w:pPr>
        <w:tabs>
          <w:tab w:val="num" w:pos="2160"/>
        </w:tabs>
        <w:ind w:left="2160" w:hanging="1440"/>
      </w:pPr>
      <w:rPr>
        <w:rFonts w:hint="default"/>
        <w:b/>
      </w:rPr>
    </w:lvl>
    <w:lvl w:ilvl="7">
      <w:start w:val="1"/>
      <w:numFmt w:val="decimal"/>
      <w:lvlText w:val="%1.%2.%3.%4.%5.%6.%7.%8"/>
      <w:lvlJc w:val="left"/>
      <w:pPr>
        <w:tabs>
          <w:tab w:val="num" w:pos="2280"/>
        </w:tabs>
        <w:ind w:left="2280" w:hanging="1440"/>
      </w:pPr>
      <w:rPr>
        <w:rFonts w:hint="default"/>
        <w:b/>
      </w:rPr>
    </w:lvl>
    <w:lvl w:ilvl="8">
      <w:start w:val="1"/>
      <w:numFmt w:val="decimal"/>
      <w:lvlText w:val="%1.%2.%3.%4.%5.%6.%7.%8.%9"/>
      <w:lvlJc w:val="left"/>
      <w:pPr>
        <w:tabs>
          <w:tab w:val="num" w:pos="2760"/>
        </w:tabs>
        <w:ind w:left="2760" w:hanging="1800"/>
      </w:pPr>
      <w:rPr>
        <w:rFonts w:hint="default"/>
        <w:b/>
      </w:rPr>
    </w:lvl>
  </w:abstractNum>
  <w:abstractNum w:abstractNumId="109">
    <w:nsid w:val="54300C47"/>
    <w:multiLevelType w:val="hybridMultilevel"/>
    <w:tmpl w:val="737A899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
    <w:nsid w:val="55C10955"/>
    <w:multiLevelType w:val="hybridMultilevel"/>
    <w:tmpl w:val="7C76428A"/>
    <w:lvl w:ilvl="0" w:tplc="0442902E">
      <w:start w:val="1"/>
      <w:numFmt w:val="bullet"/>
      <w:lvlText w:val="–"/>
      <w:lvlJc w:val="left"/>
      <w:pPr>
        <w:tabs>
          <w:tab w:val="num" w:pos="1701"/>
        </w:tabs>
        <w:ind w:left="1701" w:hanging="567"/>
      </w:pPr>
      <w:rPr>
        <w:rFonts w:ascii="Times New Roman" w:hAns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11">
    <w:nsid w:val="5738510A"/>
    <w:multiLevelType w:val="hybridMultilevel"/>
    <w:tmpl w:val="7C76428A"/>
    <w:lvl w:ilvl="0" w:tplc="53E85E44">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12">
    <w:nsid w:val="58643BE4"/>
    <w:multiLevelType w:val="multilevel"/>
    <w:tmpl w:val="D172B078"/>
    <w:lvl w:ilvl="0">
      <w:start w:val="2"/>
      <w:numFmt w:val="decimal"/>
      <w:lvlText w:val="%1"/>
      <w:lvlJc w:val="left"/>
      <w:pPr>
        <w:tabs>
          <w:tab w:val="num" w:pos="360"/>
        </w:tabs>
        <w:ind w:left="360" w:hanging="360"/>
      </w:pPr>
      <w:rPr>
        <w:rFonts w:hint="default"/>
        <w:b/>
      </w:rPr>
    </w:lvl>
    <w:lvl w:ilvl="1">
      <w:start w:val="3"/>
      <w:numFmt w:val="decimal"/>
      <w:lvlText w:val="%1.%2"/>
      <w:lvlJc w:val="left"/>
      <w:pPr>
        <w:tabs>
          <w:tab w:val="num" w:pos="480"/>
        </w:tabs>
        <w:ind w:left="480" w:hanging="360"/>
      </w:pPr>
      <w:rPr>
        <w:rFonts w:hint="default"/>
        <w:b/>
      </w:rPr>
    </w:lvl>
    <w:lvl w:ilvl="2">
      <w:start w:val="1"/>
      <w:numFmt w:val="decimal"/>
      <w:lvlText w:val="%1.%2.%3"/>
      <w:lvlJc w:val="left"/>
      <w:pPr>
        <w:tabs>
          <w:tab w:val="num" w:pos="960"/>
        </w:tabs>
        <w:ind w:left="960" w:hanging="720"/>
      </w:pPr>
      <w:rPr>
        <w:rFonts w:hint="default"/>
        <w:b/>
      </w:rPr>
    </w:lvl>
    <w:lvl w:ilvl="3">
      <w:start w:val="1"/>
      <w:numFmt w:val="decimal"/>
      <w:lvlText w:val="%1.%2.%3.%4"/>
      <w:lvlJc w:val="left"/>
      <w:pPr>
        <w:tabs>
          <w:tab w:val="num" w:pos="1080"/>
        </w:tabs>
        <w:ind w:left="1080" w:hanging="720"/>
      </w:pPr>
      <w:rPr>
        <w:rFonts w:hint="default"/>
        <w:b/>
      </w:rPr>
    </w:lvl>
    <w:lvl w:ilvl="4">
      <w:start w:val="1"/>
      <w:numFmt w:val="decimal"/>
      <w:lvlText w:val="%1.%2.%3.%4.%5"/>
      <w:lvlJc w:val="left"/>
      <w:pPr>
        <w:tabs>
          <w:tab w:val="num" w:pos="1560"/>
        </w:tabs>
        <w:ind w:left="1560" w:hanging="1080"/>
      </w:pPr>
      <w:rPr>
        <w:rFonts w:hint="default"/>
        <w:b/>
      </w:rPr>
    </w:lvl>
    <w:lvl w:ilvl="5">
      <w:start w:val="1"/>
      <w:numFmt w:val="decimal"/>
      <w:lvlText w:val="%1.%2.%3.%4.%5.%6"/>
      <w:lvlJc w:val="left"/>
      <w:pPr>
        <w:tabs>
          <w:tab w:val="num" w:pos="1680"/>
        </w:tabs>
        <w:ind w:left="1680" w:hanging="1080"/>
      </w:pPr>
      <w:rPr>
        <w:rFonts w:hint="default"/>
        <w:b/>
      </w:rPr>
    </w:lvl>
    <w:lvl w:ilvl="6">
      <w:start w:val="1"/>
      <w:numFmt w:val="decimal"/>
      <w:lvlText w:val="%1.%2.%3.%4.%5.%6.%7"/>
      <w:lvlJc w:val="left"/>
      <w:pPr>
        <w:tabs>
          <w:tab w:val="num" w:pos="2160"/>
        </w:tabs>
        <w:ind w:left="2160" w:hanging="1440"/>
      </w:pPr>
      <w:rPr>
        <w:rFonts w:hint="default"/>
        <w:b/>
      </w:rPr>
    </w:lvl>
    <w:lvl w:ilvl="7">
      <w:start w:val="1"/>
      <w:numFmt w:val="decimal"/>
      <w:lvlText w:val="%1.%2.%3.%4.%5.%6.%7.%8"/>
      <w:lvlJc w:val="left"/>
      <w:pPr>
        <w:tabs>
          <w:tab w:val="num" w:pos="2280"/>
        </w:tabs>
        <w:ind w:left="2280" w:hanging="1440"/>
      </w:pPr>
      <w:rPr>
        <w:rFonts w:hint="default"/>
        <w:b/>
      </w:rPr>
    </w:lvl>
    <w:lvl w:ilvl="8">
      <w:start w:val="1"/>
      <w:numFmt w:val="decimal"/>
      <w:lvlText w:val="%1.%2.%3.%4.%5.%6.%7.%8.%9"/>
      <w:lvlJc w:val="left"/>
      <w:pPr>
        <w:tabs>
          <w:tab w:val="num" w:pos="2760"/>
        </w:tabs>
        <w:ind w:left="2760" w:hanging="1800"/>
      </w:pPr>
      <w:rPr>
        <w:rFonts w:hint="default"/>
        <w:b/>
      </w:rPr>
    </w:lvl>
  </w:abstractNum>
  <w:abstractNum w:abstractNumId="113">
    <w:nsid w:val="59376506"/>
    <w:multiLevelType w:val="hybridMultilevel"/>
    <w:tmpl w:val="D23000E6"/>
    <w:lvl w:ilvl="0" w:tplc="52225AA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597C3EA8"/>
    <w:multiLevelType w:val="hybridMultilevel"/>
    <w:tmpl w:val="0EE25F4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5">
    <w:nsid w:val="5AC9135C"/>
    <w:multiLevelType w:val="hybridMultilevel"/>
    <w:tmpl w:val="B7642F9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6">
    <w:nsid w:val="5D572144"/>
    <w:multiLevelType w:val="hybridMultilevel"/>
    <w:tmpl w:val="5DC6E560"/>
    <w:lvl w:ilvl="0" w:tplc="290CF5E6">
      <w:start w:val="1"/>
      <w:numFmt w:val="decimal"/>
      <w:lvlText w:val="%1."/>
      <w:lvlJc w:val="left"/>
      <w:pPr>
        <w:tabs>
          <w:tab w:val="num" w:pos="720"/>
        </w:tabs>
        <w:ind w:left="0" w:firstLine="0"/>
      </w:pPr>
      <w:rPr>
        <w:rFonts w:hint="default"/>
      </w:rPr>
    </w:lvl>
    <w:lvl w:ilvl="1" w:tplc="59743274">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nsid w:val="5D623175"/>
    <w:multiLevelType w:val="hybridMultilevel"/>
    <w:tmpl w:val="2F702578"/>
    <w:lvl w:ilvl="0" w:tplc="6C068188">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5D891EAB"/>
    <w:multiLevelType w:val="hybridMultilevel"/>
    <w:tmpl w:val="EFFACDA0"/>
    <w:lvl w:ilvl="0" w:tplc="BE2A0B04">
      <w:start w:val="4"/>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5DFB3A86"/>
    <w:multiLevelType w:val="hybridMultilevel"/>
    <w:tmpl w:val="D85604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0">
    <w:nsid w:val="5E006D93"/>
    <w:multiLevelType w:val="hybridMultilevel"/>
    <w:tmpl w:val="C240A4A8"/>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1">
    <w:nsid w:val="5E261310"/>
    <w:multiLevelType w:val="hybridMultilevel"/>
    <w:tmpl w:val="6776A02C"/>
    <w:lvl w:ilvl="0" w:tplc="6ECCFF8C">
      <w:start w:val="1"/>
      <w:numFmt w:val="bullet"/>
      <w:lvlText w:val="–"/>
      <w:lvlJc w:val="left"/>
      <w:pPr>
        <w:tabs>
          <w:tab w:val="num" w:pos="1134"/>
        </w:tabs>
        <w:ind w:left="1134" w:hanging="567"/>
      </w:pPr>
      <w:rPr>
        <w:rFonts w:ascii="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color w:val="auto"/>
      </w:rPr>
    </w:lvl>
    <w:lvl w:ilvl="2" w:tplc="0C0A000F">
      <w:start w:val="1"/>
      <w:numFmt w:val="decimal"/>
      <w:lvlText w:val="%3."/>
      <w:lvlJc w:val="left"/>
      <w:pPr>
        <w:tabs>
          <w:tab w:val="num" w:pos="2340"/>
        </w:tabs>
        <w:ind w:left="2340" w:hanging="360"/>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2">
    <w:nsid w:val="600C0752"/>
    <w:multiLevelType w:val="multilevel"/>
    <w:tmpl w:val="F478665C"/>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3">
    <w:nsid w:val="60F67B05"/>
    <w:multiLevelType w:val="multilevel"/>
    <w:tmpl w:val="741CC23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4">
    <w:nsid w:val="62884048"/>
    <w:multiLevelType w:val="hybridMultilevel"/>
    <w:tmpl w:val="A40CF58E"/>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5">
    <w:nsid w:val="62E65D63"/>
    <w:multiLevelType w:val="hybridMultilevel"/>
    <w:tmpl w:val="5934ADA2"/>
    <w:lvl w:ilvl="0" w:tplc="0C0A0015">
      <w:start w:val="1"/>
      <w:numFmt w:val="upp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nsid w:val="63A73B6F"/>
    <w:multiLevelType w:val="hybridMultilevel"/>
    <w:tmpl w:val="C94C16A2"/>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7">
    <w:nsid w:val="64316957"/>
    <w:multiLevelType w:val="hybridMultilevel"/>
    <w:tmpl w:val="4008D69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8">
    <w:nsid w:val="649A2127"/>
    <w:multiLevelType w:val="hybridMultilevel"/>
    <w:tmpl w:val="78D62920"/>
    <w:lvl w:ilvl="0" w:tplc="19565AD2">
      <w:start w:val="1"/>
      <w:numFmt w:val="bullet"/>
      <w:lvlText w:val="–"/>
      <w:lvlJc w:val="left"/>
      <w:pPr>
        <w:tabs>
          <w:tab w:val="num" w:pos="1134"/>
        </w:tabs>
        <w:ind w:left="1134" w:hanging="567"/>
      </w:pPr>
      <w:rPr>
        <w:rFonts w:ascii="Times New Roman" w:hAnsi="Times New Roman" w:cs="Times New Roman" w:hint="default"/>
      </w:rPr>
    </w:lvl>
    <w:lvl w:ilvl="1" w:tplc="21D0A75A">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9">
    <w:nsid w:val="64EB6B02"/>
    <w:multiLevelType w:val="hybridMultilevel"/>
    <w:tmpl w:val="FAEEFF6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0">
    <w:nsid w:val="668428EA"/>
    <w:multiLevelType w:val="hybridMultilevel"/>
    <w:tmpl w:val="AFEC8C9A"/>
    <w:lvl w:ilvl="0" w:tplc="6562C67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1">
    <w:nsid w:val="68B7730E"/>
    <w:multiLevelType w:val="multilevel"/>
    <w:tmpl w:val="F478665C"/>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2">
    <w:nsid w:val="69F70796"/>
    <w:multiLevelType w:val="hybridMultilevel"/>
    <w:tmpl w:val="55F4D19E"/>
    <w:lvl w:ilvl="0" w:tplc="3364ED76">
      <w:start w:val="1"/>
      <w:numFmt w:val="decimal"/>
      <w:lvlText w:val="%1."/>
      <w:lvlJc w:val="left"/>
      <w:pPr>
        <w:tabs>
          <w:tab w:val="num" w:pos="720"/>
        </w:tabs>
        <w:ind w:left="720" w:hanging="360"/>
      </w:pPr>
      <w:rPr>
        <w:rFonts w:hint="default"/>
      </w:rPr>
    </w:lvl>
    <w:lvl w:ilvl="1" w:tplc="74626564">
      <w:numFmt w:val="none"/>
      <w:lvlText w:val=""/>
      <w:lvlJc w:val="left"/>
      <w:pPr>
        <w:tabs>
          <w:tab w:val="num" w:pos="360"/>
        </w:tabs>
      </w:pPr>
    </w:lvl>
    <w:lvl w:ilvl="2" w:tplc="3ADA0F50">
      <w:numFmt w:val="none"/>
      <w:lvlText w:val=""/>
      <w:lvlJc w:val="left"/>
      <w:pPr>
        <w:tabs>
          <w:tab w:val="num" w:pos="360"/>
        </w:tabs>
      </w:pPr>
    </w:lvl>
    <w:lvl w:ilvl="3" w:tplc="DD64FDEE">
      <w:numFmt w:val="none"/>
      <w:lvlText w:val=""/>
      <w:lvlJc w:val="left"/>
      <w:pPr>
        <w:tabs>
          <w:tab w:val="num" w:pos="360"/>
        </w:tabs>
      </w:pPr>
    </w:lvl>
    <w:lvl w:ilvl="4" w:tplc="62524BD4">
      <w:numFmt w:val="none"/>
      <w:lvlText w:val=""/>
      <w:lvlJc w:val="left"/>
      <w:pPr>
        <w:tabs>
          <w:tab w:val="num" w:pos="360"/>
        </w:tabs>
      </w:pPr>
    </w:lvl>
    <w:lvl w:ilvl="5" w:tplc="8EC21032">
      <w:numFmt w:val="none"/>
      <w:lvlText w:val=""/>
      <w:lvlJc w:val="left"/>
      <w:pPr>
        <w:tabs>
          <w:tab w:val="num" w:pos="360"/>
        </w:tabs>
      </w:pPr>
    </w:lvl>
    <w:lvl w:ilvl="6" w:tplc="92B80BD4">
      <w:numFmt w:val="none"/>
      <w:lvlText w:val=""/>
      <w:lvlJc w:val="left"/>
      <w:pPr>
        <w:tabs>
          <w:tab w:val="num" w:pos="360"/>
        </w:tabs>
      </w:pPr>
    </w:lvl>
    <w:lvl w:ilvl="7" w:tplc="0316BAC8">
      <w:numFmt w:val="none"/>
      <w:lvlText w:val=""/>
      <w:lvlJc w:val="left"/>
      <w:pPr>
        <w:tabs>
          <w:tab w:val="num" w:pos="360"/>
        </w:tabs>
      </w:pPr>
    </w:lvl>
    <w:lvl w:ilvl="8" w:tplc="10583C42">
      <w:numFmt w:val="none"/>
      <w:lvlText w:val=""/>
      <w:lvlJc w:val="left"/>
      <w:pPr>
        <w:tabs>
          <w:tab w:val="num" w:pos="360"/>
        </w:tabs>
      </w:pPr>
    </w:lvl>
  </w:abstractNum>
  <w:abstractNum w:abstractNumId="133">
    <w:nsid w:val="6A256A80"/>
    <w:multiLevelType w:val="multilevel"/>
    <w:tmpl w:val="058412F6"/>
    <w:lvl w:ilvl="0">
      <w:start w:val="5"/>
      <w:numFmt w:val="decimal"/>
      <w:lvlText w:val="%1."/>
      <w:lvlJc w:val="left"/>
      <w:pPr>
        <w:tabs>
          <w:tab w:val="num" w:pos="660"/>
        </w:tabs>
        <w:ind w:left="660" w:hanging="660"/>
      </w:pPr>
      <w:rPr>
        <w:rFonts w:hint="default"/>
        <w:b/>
      </w:rPr>
    </w:lvl>
    <w:lvl w:ilvl="1">
      <w:start w:val="1"/>
      <w:numFmt w:val="decimal"/>
      <w:lvlText w:val="%1.%2."/>
      <w:lvlJc w:val="left"/>
      <w:pPr>
        <w:tabs>
          <w:tab w:val="num" w:pos="660"/>
        </w:tabs>
        <w:ind w:left="660" w:hanging="660"/>
      </w:pPr>
      <w:rPr>
        <w:rFonts w:hint="default"/>
        <w:b/>
      </w:rPr>
    </w:lvl>
    <w:lvl w:ilvl="2">
      <w:start w:val="8"/>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4">
    <w:nsid w:val="6AA928FB"/>
    <w:multiLevelType w:val="hybridMultilevel"/>
    <w:tmpl w:val="E0EEA91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nsid w:val="6AE5301F"/>
    <w:multiLevelType w:val="hybridMultilevel"/>
    <w:tmpl w:val="1926392A"/>
    <w:lvl w:ilvl="0" w:tplc="387685C2">
      <w:start w:val="1"/>
      <w:numFmt w:val="bullet"/>
      <w:lvlText w:val="–"/>
      <w:lvlJc w:val="left"/>
      <w:pPr>
        <w:tabs>
          <w:tab w:val="num" w:pos="1134"/>
        </w:tabs>
        <w:ind w:left="1134" w:hanging="567"/>
      </w:pPr>
      <w:rPr>
        <w:rFonts w:ascii="Times New Roman" w:hAnsi="Times New Roman" w:cs="Times New Roman" w:hint="default"/>
      </w:rPr>
    </w:lvl>
    <w:lvl w:ilvl="1" w:tplc="5FD600C4">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6B864A0E"/>
    <w:multiLevelType w:val="hybridMultilevel"/>
    <w:tmpl w:val="B7642F9E"/>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37">
    <w:nsid w:val="6BCF39B1"/>
    <w:multiLevelType w:val="hybridMultilevel"/>
    <w:tmpl w:val="ED429E9A"/>
    <w:lvl w:ilvl="0" w:tplc="281C3E28">
      <w:start w:val="1"/>
      <w:numFmt w:val="decimal"/>
      <w:lvlText w:val="%1."/>
      <w:lvlJc w:val="left"/>
      <w:pPr>
        <w:tabs>
          <w:tab w:val="num" w:pos="924"/>
        </w:tabs>
        <w:ind w:left="924" w:hanging="564"/>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8">
    <w:nsid w:val="6BE73922"/>
    <w:multiLevelType w:val="hybridMultilevel"/>
    <w:tmpl w:val="1926392A"/>
    <w:lvl w:ilvl="0" w:tplc="387685C2">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6BFF6E8E"/>
    <w:multiLevelType w:val="hybridMultilevel"/>
    <w:tmpl w:val="0CFEC7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0">
    <w:nsid w:val="6D8B4EA1"/>
    <w:multiLevelType w:val="hybridMultilevel"/>
    <w:tmpl w:val="23D644B6"/>
    <w:lvl w:ilvl="0" w:tplc="7D4C56E2">
      <w:start w:val="1"/>
      <w:numFmt w:val="bullet"/>
      <w:lvlText w:val="–"/>
      <w:lvlJc w:val="left"/>
      <w:pPr>
        <w:tabs>
          <w:tab w:val="num" w:pos="1134"/>
        </w:tabs>
        <w:ind w:left="1134" w:hanging="567"/>
      </w:pPr>
      <w:rPr>
        <w:rFonts w:ascii="Times New Roman" w:hAnsi="Times New Roman" w:cs="Times New Roman" w:hint="default"/>
      </w:rPr>
    </w:lvl>
    <w:lvl w:ilvl="1" w:tplc="17C8DD6C">
      <w:start w:val="275"/>
      <w:numFmt w:val="decimal"/>
      <w:lvlText w:val="%2."/>
      <w:lvlJc w:val="left"/>
      <w:pPr>
        <w:tabs>
          <w:tab w:val="num" w:pos="1500"/>
        </w:tabs>
        <w:ind w:left="1500" w:hanging="42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1">
    <w:nsid w:val="711040F3"/>
    <w:multiLevelType w:val="hybridMultilevel"/>
    <w:tmpl w:val="E572EFE4"/>
    <w:lvl w:ilvl="0" w:tplc="290CF5E6">
      <w:start w:val="1"/>
      <w:numFmt w:val="decimal"/>
      <w:lvlText w:val="%1."/>
      <w:lvlJc w:val="left"/>
      <w:pPr>
        <w:tabs>
          <w:tab w:val="num" w:pos="720"/>
        </w:tabs>
        <w:ind w:left="0" w:firstLine="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2">
    <w:nsid w:val="72F448AA"/>
    <w:multiLevelType w:val="hybridMultilevel"/>
    <w:tmpl w:val="C240A4A8"/>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3">
    <w:nsid w:val="73386CE0"/>
    <w:multiLevelType w:val="multilevel"/>
    <w:tmpl w:val="39F00FE8"/>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4">
    <w:nsid w:val="77111D86"/>
    <w:multiLevelType w:val="hybridMultilevel"/>
    <w:tmpl w:val="A06001C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5">
    <w:nsid w:val="783A24C6"/>
    <w:multiLevelType w:val="hybridMultilevel"/>
    <w:tmpl w:val="EF063C7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6">
    <w:nsid w:val="78F0656D"/>
    <w:multiLevelType w:val="hybridMultilevel"/>
    <w:tmpl w:val="9C7A7D92"/>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7">
    <w:nsid w:val="79F15C64"/>
    <w:multiLevelType w:val="hybridMultilevel"/>
    <w:tmpl w:val="F274F68A"/>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8">
    <w:nsid w:val="7AFE25B8"/>
    <w:multiLevelType w:val="hybridMultilevel"/>
    <w:tmpl w:val="C770C5D6"/>
    <w:lvl w:ilvl="0" w:tplc="14A42D42">
      <w:start w:val="1"/>
      <w:numFmt w:val="decimal"/>
      <w:lvlText w:val="%1."/>
      <w:lvlJc w:val="left"/>
      <w:pPr>
        <w:tabs>
          <w:tab w:val="num" w:pos="924"/>
        </w:tabs>
        <w:ind w:left="924" w:hanging="564"/>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9">
    <w:nsid w:val="7B233DAF"/>
    <w:multiLevelType w:val="hybridMultilevel"/>
    <w:tmpl w:val="2F289EF8"/>
    <w:lvl w:ilvl="0" w:tplc="35D44CB2">
      <w:start w:val="1"/>
      <w:numFmt w:val="bullet"/>
      <w:lvlRestart w:val="0"/>
      <w:lvlText w:val="–"/>
      <w:lvlJc w:val="left"/>
      <w:pPr>
        <w:tabs>
          <w:tab w:val="num" w:pos="1701"/>
        </w:tabs>
        <w:ind w:left="1701" w:hanging="567"/>
      </w:pPr>
      <w:rPr>
        <w:rFonts w:ascii="Times New Roman" w:hAnsi="Times New Roman" w:cs="Times New Roman" w:hint="default"/>
      </w:rPr>
    </w:lvl>
    <w:lvl w:ilvl="1" w:tplc="35D44CB2">
      <w:start w:val="1"/>
      <w:numFmt w:val="bullet"/>
      <w:lvlRestart w:val="0"/>
      <w:lvlText w:val="–"/>
      <w:lvlJc w:val="left"/>
      <w:pPr>
        <w:tabs>
          <w:tab w:val="num" w:pos="2214"/>
        </w:tabs>
        <w:ind w:left="2214" w:hanging="567"/>
      </w:pPr>
      <w:rPr>
        <w:rFonts w:ascii="Times New Roman" w:hAnsi="Times New Roman" w:cs="Times New Roman"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50">
    <w:nsid w:val="7BC20A1D"/>
    <w:multiLevelType w:val="hybridMultilevel"/>
    <w:tmpl w:val="B7642F9E"/>
    <w:lvl w:ilvl="0" w:tplc="FF285778">
      <w:start w:val="1"/>
      <w:numFmt w:val="bullet"/>
      <w:lvlText w:val="–"/>
      <w:lvlJc w:val="left"/>
      <w:pPr>
        <w:tabs>
          <w:tab w:val="num" w:pos="1134"/>
        </w:tabs>
        <w:ind w:left="1134" w:hanging="567"/>
      </w:pPr>
      <w:rPr>
        <w:rFonts w:ascii="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51">
    <w:nsid w:val="7D503079"/>
    <w:multiLevelType w:val="hybridMultilevel"/>
    <w:tmpl w:val="88548D3A"/>
    <w:lvl w:ilvl="0" w:tplc="9CBA371E">
      <w:start w:val="1"/>
      <w:numFmt w:val="bullet"/>
      <w:lvlText w:val="–"/>
      <w:lvlJc w:val="left"/>
      <w:pPr>
        <w:tabs>
          <w:tab w:val="num" w:pos="1134"/>
        </w:tabs>
        <w:ind w:left="1134" w:hanging="567"/>
      </w:pPr>
      <w:rPr>
        <w:rFonts w:ascii="Times New Roman" w:hAnsi="Times New Roman" w:cs="Times New Roman" w:hint="default"/>
      </w:rPr>
    </w:lvl>
    <w:lvl w:ilvl="1" w:tplc="60A073E0">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7E071738"/>
    <w:multiLevelType w:val="hybridMultilevel"/>
    <w:tmpl w:val="FCF61EAC"/>
    <w:lvl w:ilvl="0" w:tplc="D1FC69E6">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7FF81213"/>
    <w:multiLevelType w:val="hybridMultilevel"/>
    <w:tmpl w:val="2CA62070"/>
    <w:lvl w:ilvl="0" w:tplc="6B840D76">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13"/>
  </w:num>
  <w:num w:numId="2">
    <w:abstractNumId w:val="49"/>
  </w:num>
  <w:num w:numId="3">
    <w:abstractNumId w:val="79"/>
  </w:num>
  <w:num w:numId="4">
    <w:abstractNumId w:val="108"/>
  </w:num>
  <w:num w:numId="5">
    <w:abstractNumId w:val="112"/>
  </w:num>
  <w:num w:numId="6">
    <w:abstractNumId w:val="102"/>
  </w:num>
  <w:num w:numId="7">
    <w:abstractNumId w:val="104"/>
  </w:num>
  <w:num w:numId="8">
    <w:abstractNumId w:val="97"/>
  </w:num>
  <w:num w:numId="9">
    <w:abstractNumId w:val="45"/>
  </w:num>
  <w:num w:numId="10">
    <w:abstractNumId w:val="105"/>
  </w:num>
  <w:num w:numId="11">
    <w:abstractNumId w:val="55"/>
  </w:num>
  <w:num w:numId="12">
    <w:abstractNumId w:val="60"/>
  </w:num>
  <w:num w:numId="13">
    <w:abstractNumId w:val="64"/>
  </w:num>
  <w:num w:numId="14">
    <w:abstractNumId w:val="118"/>
  </w:num>
  <w:num w:numId="15">
    <w:abstractNumId w:val="43"/>
  </w:num>
  <w:num w:numId="16">
    <w:abstractNumId w:val="133"/>
  </w:num>
  <w:num w:numId="17">
    <w:abstractNumId w:val="26"/>
  </w:num>
  <w:num w:numId="18">
    <w:abstractNumId w:val="88"/>
  </w:num>
  <w:num w:numId="19">
    <w:abstractNumId w:val="65"/>
  </w:num>
  <w:num w:numId="20">
    <w:abstractNumId w:val="41"/>
  </w:num>
  <w:num w:numId="21">
    <w:abstractNumId w:val="22"/>
  </w:num>
  <w:num w:numId="22">
    <w:abstractNumId w:val="29"/>
  </w:num>
  <w:num w:numId="23">
    <w:abstractNumId w:val="7"/>
  </w:num>
  <w:num w:numId="24">
    <w:abstractNumId w:val="17"/>
  </w:num>
  <w:num w:numId="25">
    <w:abstractNumId w:val="73"/>
  </w:num>
  <w:num w:numId="26">
    <w:abstractNumId w:val="153"/>
  </w:num>
  <w:num w:numId="27">
    <w:abstractNumId w:val="10"/>
  </w:num>
  <w:num w:numId="28">
    <w:abstractNumId w:val="75"/>
  </w:num>
  <w:num w:numId="29">
    <w:abstractNumId w:val="4"/>
  </w:num>
  <w:num w:numId="30">
    <w:abstractNumId w:val="48"/>
  </w:num>
  <w:num w:numId="31">
    <w:abstractNumId w:val="67"/>
  </w:num>
  <w:num w:numId="32">
    <w:abstractNumId w:val="95"/>
  </w:num>
  <w:num w:numId="33">
    <w:abstractNumId w:val="28"/>
  </w:num>
  <w:num w:numId="34">
    <w:abstractNumId w:val="132"/>
  </w:num>
  <w:num w:numId="35">
    <w:abstractNumId w:val="1"/>
  </w:num>
  <w:num w:numId="36">
    <w:abstractNumId w:val="143"/>
  </w:num>
  <w:num w:numId="37">
    <w:abstractNumId w:val="122"/>
  </w:num>
  <w:num w:numId="38">
    <w:abstractNumId w:val="131"/>
  </w:num>
  <w:num w:numId="39">
    <w:abstractNumId w:val="74"/>
  </w:num>
  <w:num w:numId="40">
    <w:abstractNumId w:val="47"/>
  </w:num>
  <w:num w:numId="41">
    <w:abstractNumId w:val="0"/>
  </w:num>
  <w:num w:numId="42">
    <w:abstractNumId w:val="30"/>
  </w:num>
  <w:num w:numId="43">
    <w:abstractNumId w:val="126"/>
  </w:num>
  <w:num w:numId="44">
    <w:abstractNumId w:val="147"/>
  </w:num>
  <w:num w:numId="45">
    <w:abstractNumId w:val="82"/>
  </w:num>
  <w:num w:numId="46">
    <w:abstractNumId w:val="13"/>
  </w:num>
  <w:num w:numId="47">
    <w:abstractNumId w:val="90"/>
  </w:num>
  <w:num w:numId="48">
    <w:abstractNumId w:val="91"/>
  </w:num>
  <w:num w:numId="49">
    <w:abstractNumId w:val="6"/>
  </w:num>
  <w:num w:numId="50">
    <w:abstractNumId w:val="38"/>
  </w:num>
  <w:num w:numId="51">
    <w:abstractNumId w:val="125"/>
  </w:num>
  <w:num w:numId="52">
    <w:abstractNumId w:val="56"/>
  </w:num>
  <w:num w:numId="53">
    <w:abstractNumId w:val="76"/>
  </w:num>
  <w:num w:numId="54">
    <w:abstractNumId w:val="145"/>
  </w:num>
  <w:num w:numId="55">
    <w:abstractNumId w:val="58"/>
  </w:num>
  <w:num w:numId="56">
    <w:abstractNumId w:val="42"/>
  </w:num>
  <w:num w:numId="57">
    <w:abstractNumId w:val="80"/>
  </w:num>
  <w:num w:numId="58">
    <w:abstractNumId w:val="77"/>
  </w:num>
  <w:num w:numId="59">
    <w:abstractNumId w:val="72"/>
  </w:num>
  <w:num w:numId="60">
    <w:abstractNumId w:val="33"/>
  </w:num>
  <w:num w:numId="61">
    <w:abstractNumId w:val="53"/>
  </w:num>
  <w:num w:numId="62">
    <w:abstractNumId w:val="123"/>
  </w:num>
  <w:num w:numId="63">
    <w:abstractNumId w:val="100"/>
  </w:num>
  <w:num w:numId="64">
    <w:abstractNumId w:val="92"/>
  </w:num>
  <w:num w:numId="65">
    <w:abstractNumId w:val="127"/>
  </w:num>
  <w:num w:numId="66">
    <w:abstractNumId w:val="144"/>
  </w:num>
  <w:num w:numId="67">
    <w:abstractNumId w:val="15"/>
  </w:num>
  <w:num w:numId="68">
    <w:abstractNumId w:val="129"/>
  </w:num>
  <w:num w:numId="69">
    <w:abstractNumId w:val="119"/>
  </w:num>
  <w:num w:numId="70">
    <w:abstractNumId w:val="5"/>
  </w:num>
  <w:num w:numId="71">
    <w:abstractNumId w:val="70"/>
  </w:num>
  <w:num w:numId="72">
    <w:abstractNumId w:val="139"/>
  </w:num>
  <w:num w:numId="73">
    <w:abstractNumId w:val="109"/>
  </w:num>
  <w:num w:numId="74">
    <w:abstractNumId w:val="39"/>
  </w:num>
  <w:num w:numId="75">
    <w:abstractNumId w:val="20"/>
  </w:num>
  <w:num w:numId="76">
    <w:abstractNumId w:val="146"/>
  </w:num>
  <w:num w:numId="77">
    <w:abstractNumId w:val="44"/>
  </w:num>
  <w:num w:numId="78">
    <w:abstractNumId w:val="11"/>
  </w:num>
  <w:num w:numId="79">
    <w:abstractNumId w:val="94"/>
  </w:num>
  <w:num w:numId="80">
    <w:abstractNumId w:val="66"/>
  </w:num>
  <w:num w:numId="81">
    <w:abstractNumId w:val="35"/>
  </w:num>
  <w:num w:numId="82">
    <w:abstractNumId w:val="59"/>
  </w:num>
  <w:num w:numId="83">
    <w:abstractNumId w:val="84"/>
  </w:num>
  <w:num w:numId="84">
    <w:abstractNumId w:val="101"/>
  </w:num>
  <w:num w:numId="85">
    <w:abstractNumId w:val="142"/>
  </w:num>
  <w:num w:numId="86">
    <w:abstractNumId w:val="115"/>
  </w:num>
  <w:num w:numId="87">
    <w:abstractNumId w:val="114"/>
  </w:num>
  <w:num w:numId="88">
    <w:abstractNumId w:val="34"/>
  </w:num>
  <w:num w:numId="89">
    <w:abstractNumId w:val="19"/>
  </w:num>
  <w:num w:numId="90">
    <w:abstractNumId w:val="18"/>
  </w:num>
  <w:num w:numId="91">
    <w:abstractNumId w:val="83"/>
  </w:num>
  <w:num w:numId="92">
    <w:abstractNumId w:val="78"/>
  </w:num>
  <w:num w:numId="93">
    <w:abstractNumId w:val="16"/>
  </w:num>
  <w:num w:numId="94">
    <w:abstractNumId w:val="50"/>
  </w:num>
  <w:num w:numId="95">
    <w:abstractNumId w:val="51"/>
  </w:num>
  <w:num w:numId="96">
    <w:abstractNumId w:val="86"/>
  </w:num>
  <w:num w:numId="97">
    <w:abstractNumId w:val="136"/>
  </w:num>
  <w:num w:numId="98">
    <w:abstractNumId w:val="63"/>
  </w:num>
  <w:num w:numId="99">
    <w:abstractNumId w:val="120"/>
  </w:num>
  <w:num w:numId="100">
    <w:abstractNumId w:val="2"/>
  </w:num>
  <w:num w:numId="101">
    <w:abstractNumId w:val="36"/>
  </w:num>
  <w:num w:numId="102">
    <w:abstractNumId w:val="124"/>
  </w:num>
  <w:num w:numId="103">
    <w:abstractNumId w:val="134"/>
  </w:num>
  <w:num w:numId="104">
    <w:abstractNumId w:val="96"/>
  </w:num>
  <w:num w:numId="105">
    <w:abstractNumId w:val="93"/>
  </w:num>
  <w:num w:numId="106">
    <w:abstractNumId w:val="23"/>
  </w:num>
  <w:num w:numId="107">
    <w:abstractNumId w:val="68"/>
  </w:num>
  <w:num w:numId="108">
    <w:abstractNumId w:val="116"/>
  </w:num>
  <w:num w:numId="109">
    <w:abstractNumId w:val="37"/>
  </w:num>
  <w:num w:numId="110">
    <w:abstractNumId w:val="141"/>
  </w:num>
  <w:num w:numId="111">
    <w:abstractNumId w:val="106"/>
  </w:num>
  <w:num w:numId="112">
    <w:abstractNumId w:val="31"/>
  </w:num>
  <w:num w:numId="113">
    <w:abstractNumId w:val="150"/>
  </w:num>
  <w:num w:numId="114">
    <w:abstractNumId w:val="62"/>
  </w:num>
  <w:num w:numId="115">
    <w:abstractNumId w:val="57"/>
  </w:num>
  <w:num w:numId="116">
    <w:abstractNumId w:val="121"/>
  </w:num>
  <w:num w:numId="117">
    <w:abstractNumId w:val="27"/>
  </w:num>
  <w:num w:numId="118">
    <w:abstractNumId w:val="46"/>
  </w:num>
  <w:num w:numId="119">
    <w:abstractNumId w:val="54"/>
  </w:num>
  <w:num w:numId="120">
    <w:abstractNumId w:val="14"/>
  </w:num>
  <w:num w:numId="121">
    <w:abstractNumId w:val="85"/>
  </w:num>
  <w:num w:numId="122">
    <w:abstractNumId w:val="110"/>
  </w:num>
  <w:num w:numId="123">
    <w:abstractNumId w:val="103"/>
  </w:num>
  <w:num w:numId="124">
    <w:abstractNumId w:val="111"/>
  </w:num>
  <w:num w:numId="125">
    <w:abstractNumId w:val="87"/>
  </w:num>
  <w:num w:numId="126">
    <w:abstractNumId w:val="32"/>
  </w:num>
  <w:num w:numId="127">
    <w:abstractNumId w:val="61"/>
  </w:num>
  <w:num w:numId="128">
    <w:abstractNumId w:val="81"/>
  </w:num>
  <w:num w:numId="129">
    <w:abstractNumId w:val="69"/>
  </w:num>
  <w:num w:numId="130">
    <w:abstractNumId w:val="8"/>
  </w:num>
  <w:num w:numId="131">
    <w:abstractNumId w:val="130"/>
  </w:num>
  <w:num w:numId="132">
    <w:abstractNumId w:val="89"/>
  </w:num>
  <w:num w:numId="133">
    <w:abstractNumId w:val="71"/>
  </w:num>
  <w:num w:numId="134">
    <w:abstractNumId w:val="140"/>
  </w:num>
  <w:num w:numId="135">
    <w:abstractNumId w:val="21"/>
  </w:num>
  <w:num w:numId="136">
    <w:abstractNumId w:val="152"/>
  </w:num>
  <w:num w:numId="137">
    <w:abstractNumId w:val="24"/>
  </w:num>
  <w:num w:numId="138">
    <w:abstractNumId w:val="117"/>
  </w:num>
  <w:num w:numId="139">
    <w:abstractNumId w:val="52"/>
  </w:num>
  <w:num w:numId="140">
    <w:abstractNumId w:val="98"/>
  </w:num>
  <w:num w:numId="141">
    <w:abstractNumId w:val="128"/>
  </w:num>
  <w:num w:numId="142">
    <w:abstractNumId w:val="138"/>
  </w:num>
  <w:num w:numId="143">
    <w:abstractNumId w:val="135"/>
  </w:num>
  <w:num w:numId="144">
    <w:abstractNumId w:val="3"/>
  </w:num>
  <w:num w:numId="145">
    <w:abstractNumId w:val="151"/>
  </w:num>
  <w:num w:numId="146">
    <w:abstractNumId w:val="107"/>
  </w:num>
  <w:num w:numId="147">
    <w:abstractNumId w:val="40"/>
  </w:num>
  <w:num w:numId="148">
    <w:abstractNumId w:val="99"/>
  </w:num>
  <w:num w:numId="149">
    <w:abstractNumId w:val="149"/>
  </w:num>
  <w:num w:numId="150">
    <w:abstractNumId w:val="9"/>
  </w:num>
  <w:num w:numId="151">
    <w:abstractNumId w:val="148"/>
  </w:num>
  <w:num w:numId="152">
    <w:abstractNumId w:val="25"/>
  </w:num>
  <w:num w:numId="153">
    <w:abstractNumId w:val="137"/>
  </w:num>
  <w:num w:numId="1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activeWritingStyle w:appName="MSWord" w:lang="es-ES_tradnl" w:vendorID="64" w:dllVersion="131078" w:nlCheck="1" w:checkStyle="1"/>
  <w:activeWritingStyle w:appName="MSWord" w:lang="es-PY"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fr-FR" w:vendorID="64" w:dllVersion="131078" w:nlCheck="1" w:checkStyle="1"/>
  <w:doNotTrackMoves/>
  <w:defaultTabStop w:val="567"/>
  <w:evenAndOddHeaders/>
  <w:drawingGridHorizontalSpacing w:val="187"/>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s-ES" w:eastAsia="es-ES"/>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es-PY"/>
    </w:rPr>
  </w:style>
  <w:style w:type="paragraph" w:styleId="Heading3">
    <w:name w:val="heading 3"/>
    <w:basedOn w:val="Normal"/>
    <w:next w:val="Normal"/>
    <w:qFormat/>
    <w:pPr>
      <w:keepNext/>
      <w:spacing w:after="240"/>
      <w:outlineLvl w:val="2"/>
    </w:pPr>
    <w:rPr>
      <w:rFonts w:ascii="Arial" w:hAnsi="Arial" w:cs="Arial"/>
      <w:b/>
      <w:sz w:val="72"/>
    </w:rPr>
  </w:style>
  <w:style w:type="paragraph" w:styleId="Heading4">
    <w:name w:val="heading 4"/>
    <w:basedOn w:val="Normal"/>
    <w:next w:val="Normal"/>
    <w:qFormat/>
    <w:pPr>
      <w:keepNext/>
      <w:spacing w:before="80" w:after="80"/>
      <w:jc w:val="center"/>
      <w:outlineLvl w:val="3"/>
    </w:pPr>
    <w:rPr>
      <w:b/>
      <w:bCs/>
      <w:i/>
      <w:iCs/>
      <w:sz w:val="20"/>
      <w:szCs w:val="20"/>
    </w:rPr>
  </w:style>
  <w:style w:type="paragraph" w:styleId="Heading5">
    <w:name w:val="heading 5"/>
    <w:basedOn w:val="Normal"/>
    <w:next w:val="Normal"/>
    <w:qFormat/>
    <w:pPr>
      <w:keepNext/>
      <w:spacing w:before="80" w:after="80"/>
      <w:outlineLvl w:val="4"/>
    </w:pPr>
    <w:rPr>
      <w:b/>
      <w:bCs/>
      <w:sz w:val="20"/>
      <w:szCs w:val="20"/>
    </w:rPr>
  </w:style>
  <w:style w:type="paragraph" w:styleId="Heading6">
    <w:name w:val="heading 6"/>
    <w:basedOn w:val="Normal"/>
    <w:next w:val="Normal"/>
    <w:qFormat/>
    <w:pPr>
      <w:spacing w:before="240" w:after="60"/>
      <w:outlineLvl w:val="5"/>
    </w:pPr>
    <w:rPr>
      <w:b/>
      <w:bCs/>
      <w:sz w:val="22"/>
      <w:szCs w:val="22"/>
      <w:lang w:val="es-ES" w:eastAsia="es-ES"/>
    </w:rPr>
  </w:style>
  <w:style w:type="paragraph" w:styleId="Heading7">
    <w:name w:val="heading 7"/>
    <w:basedOn w:val="Normal"/>
    <w:next w:val="Normal"/>
    <w:qFormat/>
    <w:pPr>
      <w:keepNext/>
      <w:spacing w:after="240"/>
      <w:outlineLvl w:val="6"/>
    </w:pPr>
    <w:rPr>
      <w:b/>
    </w:rPr>
  </w:style>
  <w:style w:type="paragraph" w:styleId="Heading8">
    <w:name w:val="heading 8"/>
    <w:basedOn w:val="Normal"/>
    <w:next w:val="Normal"/>
    <w:qFormat/>
    <w:pPr>
      <w:keepNext/>
      <w:jc w:val="center"/>
      <w:outlineLvl w:val="7"/>
    </w:pPr>
    <w:rPr>
      <w:b/>
      <w:bCs/>
      <w:sz w:val="20"/>
      <w:szCs w:val="18"/>
    </w:rPr>
  </w:style>
  <w:style w:type="paragraph" w:styleId="Heading9">
    <w:name w:val="heading 9"/>
    <w:basedOn w:val="Normal"/>
    <w:next w:val="Normal"/>
    <w:qFormat/>
    <w:pPr>
      <w:keepNext/>
      <w:spacing w:before="60" w:after="60"/>
      <w:jc w:val="right"/>
      <w:outlineLvl w:val="8"/>
    </w:pPr>
    <w:rPr>
      <w:b/>
      <w:bCs/>
      <w:sz w:val="20"/>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NormalWeb">
    <w:name w:val="Normal (Web)"/>
    <w:basedOn w:val="Normal"/>
    <w:semiHidden/>
    <w:pPr>
      <w:spacing w:before="100" w:beforeAutospacing="1" w:after="100" w:afterAutospacing="1"/>
    </w:pPr>
    <w:rPr>
      <w:color w:val="000000"/>
      <w:lang w:val="en-US"/>
    </w:rPr>
  </w:style>
  <w:style w:type="paragraph" w:styleId="BodyText">
    <w:name w:val="Body Text"/>
    <w:basedOn w:val="Normal"/>
    <w:semiHidden/>
    <w:pPr>
      <w:spacing w:after="240"/>
      <w:jc w:val="both"/>
    </w:pPr>
    <w:rPr>
      <w:lang w:val="es-PY" w:eastAsia="es-ES"/>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BodyTextIndent">
    <w:name w:val="Body Text Indent"/>
    <w:basedOn w:val="Normal"/>
    <w:semiHidden/>
    <w:pPr>
      <w:spacing w:after="120"/>
      <w:ind w:left="360"/>
    </w:pPr>
  </w:style>
  <w:style w:type="paragraph" w:styleId="BodyText3">
    <w:name w:val="Body Text 3"/>
    <w:basedOn w:val="Normal"/>
    <w:semiHidden/>
    <w:pPr>
      <w:spacing w:after="120"/>
    </w:pPr>
    <w:rPr>
      <w:sz w:val="16"/>
      <w:szCs w:val="16"/>
      <w:lang w:val="es-PY"/>
    </w:rPr>
  </w:style>
  <w:style w:type="paragraph" w:customStyle="1" w:styleId="xl46">
    <w:name w:val="xl46"/>
    <w:basedOn w:val="Normal"/>
    <w:pPr>
      <w:spacing w:before="100" w:beforeAutospacing="1" w:after="100" w:afterAutospacing="1"/>
      <w:jc w:val="center"/>
    </w:pPr>
    <w:rPr>
      <w:rFonts w:ascii="Arial" w:eastAsia="Arial Unicode MS" w:hAnsi="Arial" w:cs="Arial"/>
      <w:b/>
      <w:bCs/>
      <w:sz w:val="22"/>
      <w:szCs w:val="22"/>
      <w:lang w:val="es-ES" w:eastAsia="es-ES"/>
    </w:rPr>
  </w:style>
  <w:style w:type="paragraph" w:customStyle="1" w:styleId="xl27">
    <w:name w:val="xl27"/>
    <w:basedOn w:val="Normal"/>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lang w:val="es-ES" w:eastAsia="es-ES"/>
    </w:rPr>
  </w:style>
  <w:style w:type="paragraph" w:styleId="BodyText2">
    <w:name w:val="Body Text 2"/>
    <w:basedOn w:val="Normal"/>
    <w:semiHidden/>
    <w:pPr>
      <w:spacing w:after="120" w:line="480" w:lineRule="auto"/>
    </w:pPr>
    <w:rPr>
      <w:lang w:val="es-ES" w:eastAsia="es-ES"/>
    </w:rPr>
  </w:style>
  <w:style w:type="paragraph" w:customStyle="1" w:styleId="xl51">
    <w:name w:val="xl51"/>
    <w:basedOn w:val="Normal"/>
    <w:pPr>
      <w:pBdr>
        <w:right w:val="single" w:sz="4" w:space="0" w:color="auto"/>
      </w:pBdr>
      <w:spacing w:before="100" w:beforeAutospacing="1" w:after="100" w:afterAutospacing="1"/>
    </w:pPr>
    <w:rPr>
      <w:rFonts w:ascii="Arial Unicode MS" w:eastAsia="Arial Unicode MS" w:hAnsi="Arial Unicode MS" w:cs="Arial Unicode MS"/>
      <w:lang w:val="es-ES" w:eastAsia="es-ES"/>
    </w:rPr>
  </w:style>
  <w:style w:type="paragraph" w:styleId="BalloonText">
    <w:name w:val="Balloon Text"/>
    <w:basedOn w:val="Normal"/>
    <w:semiHidden/>
    <w:rPr>
      <w:rFonts w:ascii="Tahoma" w:hAnsi="Tahoma" w:cs="Tahoma"/>
      <w:sz w:val="16"/>
      <w:szCs w:val="16"/>
    </w:rPr>
  </w:style>
  <w:style w:type="paragraph" w:customStyle="1" w:styleId="xl24">
    <w:name w:val="xl24"/>
    <w:basedOn w:val="Normal"/>
    <w:pPr>
      <w:pBdr>
        <w:bottom w:val="single" w:sz="4" w:space="0" w:color="auto"/>
      </w:pBdr>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23">
    <w:name w:val="xl23"/>
    <w:basedOn w:val="Normal"/>
    <w:pPr>
      <w:spacing w:before="100" w:beforeAutospacing="1" w:after="100" w:afterAutospacing="1"/>
    </w:pPr>
    <w:rPr>
      <w:rFonts w:ascii="Arial" w:hAnsi="Arial" w:cs="Arial"/>
      <w:b/>
      <w:bCs/>
      <w:lang w:val="es-ES" w:eastAsia="es-ES"/>
    </w:rPr>
  </w:style>
  <w:style w:type="paragraph" w:styleId="BodyTextIndent2">
    <w:name w:val="Body Text Indent 2"/>
    <w:basedOn w:val="Normal"/>
    <w:semiHidden/>
    <w:pPr>
      <w:tabs>
        <w:tab w:val="left" w:pos="8459"/>
      </w:tabs>
      <w:autoSpaceDE w:val="0"/>
      <w:autoSpaceDN w:val="0"/>
      <w:adjustRightInd w:val="0"/>
      <w:spacing w:before="80" w:after="80"/>
      <w:ind w:left="73"/>
    </w:pPr>
    <w:rPr>
      <w:sz w:val="20"/>
      <w:szCs w:val="16"/>
      <w:lang w:val="en-US"/>
    </w:rPr>
  </w:style>
  <w:style w:type="paragraph" w:styleId="BodyTextIndent3">
    <w:name w:val="Body Text Indent 3"/>
    <w:basedOn w:val="Normal"/>
    <w:semiHidden/>
    <w:pPr>
      <w:spacing w:after="240"/>
      <w:ind w:left="567"/>
    </w:pPr>
    <w:rPr>
      <w:b/>
    </w:rPr>
  </w:style>
  <w:style w:type="paragraph" w:styleId="Caption">
    <w:name w:val="caption"/>
    <w:basedOn w:val="Normal"/>
    <w:next w:val="Normal"/>
    <w:qFormat/>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7.xml"/><Relationship Id="rId26" Type="http://schemas.openxmlformats.org/officeDocument/2006/relationships/image" Target="media/image7.wmf"/><Relationship Id="rId39" Type="http://schemas.openxmlformats.org/officeDocument/2006/relationships/image" Target="media/image15.wmf"/><Relationship Id="rId21" Type="http://schemas.openxmlformats.org/officeDocument/2006/relationships/oleObject" Target="embeddings/oleObject3.bin"/><Relationship Id="rId34" Type="http://schemas.openxmlformats.org/officeDocument/2006/relationships/image" Target="media/image11.wmf"/><Relationship Id="rId42" Type="http://schemas.openxmlformats.org/officeDocument/2006/relationships/oleObject" Target="embeddings/oleObject12.bin"/><Relationship Id="rId47" Type="http://schemas.openxmlformats.org/officeDocument/2006/relationships/image" Target="media/image19.wmf"/><Relationship Id="rId50" Type="http://schemas.openxmlformats.org/officeDocument/2006/relationships/image" Target="media/image21.wmf"/><Relationship Id="rId55" Type="http://schemas.openxmlformats.org/officeDocument/2006/relationships/image" Target="media/image24.wmf"/><Relationship Id="rId63" Type="http://schemas.openxmlformats.org/officeDocument/2006/relationships/oleObject" Target="embeddings/oleObject20.bin"/><Relationship Id="rId68" Type="http://schemas.openxmlformats.org/officeDocument/2006/relationships/image" Target="media/image33.wmf"/><Relationship Id="rId76" Type="http://schemas.openxmlformats.org/officeDocument/2006/relationships/image" Target="media/image37.gif"/><Relationship Id="rId84" Type="http://schemas.openxmlformats.org/officeDocument/2006/relationships/theme" Target="theme/theme1.xml"/><Relationship Id="rId7" Type="http://schemas.openxmlformats.org/officeDocument/2006/relationships/image" Target="media/image1.wmf"/><Relationship Id="rId71" Type="http://schemas.openxmlformats.org/officeDocument/2006/relationships/image" Target="http://www.cepep.org.py/endssr2004/informe_final/imagen/grafico8_2.gif" TargetMode="External"/><Relationship Id="rId2" Type="http://schemas.openxmlformats.org/officeDocument/2006/relationships/styles" Target="styles.xml"/><Relationship Id="rId16" Type="http://schemas.openxmlformats.org/officeDocument/2006/relationships/header" Target="header5.xml"/><Relationship Id="rId29" Type="http://schemas.openxmlformats.org/officeDocument/2006/relationships/oleObject" Target="embeddings/oleObject7.bin"/><Relationship Id="rId11" Type="http://schemas.openxmlformats.org/officeDocument/2006/relationships/oleObject" Target="embeddings/oleObject2.bin"/><Relationship Id="rId24" Type="http://schemas.openxmlformats.org/officeDocument/2006/relationships/image" Target="media/image6.wmf"/><Relationship Id="rId32" Type="http://schemas.openxmlformats.org/officeDocument/2006/relationships/image" Target="media/image10.wmf"/><Relationship Id="rId37" Type="http://schemas.openxmlformats.org/officeDocument/2006/relationships/image" Target="media/image13.wmf"/><Relationship Id="rId40" Type="http://schemas.openxmlformats.org/officeDocument/2006/relationships/oleObject" Target="embeddings/oleObject11.bin"/><Relationship Id="rId45" Type="http://schemas.openxmlformats.org/officeDocument/2006/relationships/image" Target="media/image18.wmf"/><Relationship Id="rId53" Type="http://schemas.openxmlformats.org/officeDocument/2006/relationships/oleObject" Target="embeddings/oleObject17.bin"/><Relationship Id="rId58" Type="http://schemas.openxmlformats.org/officeDocument/2006/relationships/image" Target="media/image26.wmf"/><Relationship Id="rId66" Type="http://schemas.openxmlformats.org/officeDocument/2006/relationships/image" Target="media/image32.wmf"/><Relationship Id="rId74" Type="http://schemas.openxmlformats.org/officeDocument/2006/relationships/image" Target="media/image36.wmf"/><Relationship Id="rId79" Type="http://schemas.openxmlformats.org/officeDocument/2006/relationships/image" Target="media/image39.wmf"/><Relationship Id="rId5" Type="http://schemas.openxmlformats.org/officeDocument/2006/relationships/footnotes" Target="footnotes.xml"/><Relationship Id="rId61" Type="http://schemas.openxmlformats.org/officeDocument/2006/relationships/oleObject" Target="embeddings/oleObject19.bin"/><Relationship Id="rId82" Type="http://schemas.openxmlformats.org/officeDocument/2006/relationships/header" Target="header9.xml"/><Relationship Id="rId10" Type="http://schemas.openxmlformats.org/officeDocument/2006/relationships/image" Target="media/image3.wmf"/><Relationship Id="rId19" Type="http://schemas.openxmlformats.org/officeDocument/2006/relationships/hyperlink" Target="http://www.winnernet.org" TargetMode="External"/><Relationship Id="rId31" Type="http://schemas.openxmlformats.org/officeDocument/2006/relationships/oleObject" Target="embeddings/oleObject8.bin"/><Relationship Id="rId44" Type="http://schemas.openxmlformats.org/officeDocument/2006/relationships/oleObject" Target="embeddings/oleObject13.bin"/><Relationship Id="rId52" Type="http://schemas.openxmlformats.org/officeDocument/2006/relationships/image" Target="media/image22.wmf"/><Relationship Id="rId60" Type="http://schemas.openxmlformats.org/officeDocument/2006/relationships/image" Target="media/image28.wmf"/><Relationship Id="rId65" Type="http://schemas.openxmlformats.org/officeDocument/2006/relationships/image" Target="media/image31.wmf"/><Relationship Id="rId73" Type="http://schemas.openxmlformats.org/officeDocument/2006/relationships/oleObject" Target="embeddings/oleObject23.bin"/><Relationship Id="rId78" Type="http://schemas.openxmlformats.org/officeDocument/2006/relationships/oleObject" Target="embeddings/oleObject25.bin"/><Relationship Id="rId81"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3.xml"/><Relationship Id="rId22" Type="http://schemas.openxmlformats.org/officeDocument/2006/relationships/image" Target="media/image5.wmf"/><Relationship Id="rId27" Type="http://schemas.openxmlformats.org/officeDocument/2006/relationships/oleObject" Target="embeddings/oleObject6.bin"/><Relationship Id="rId30" Type="http://schemas.openxmlformats.org/officeDocument/2006/relationships/image" Target="media/image9.wmf"/><Relationship Id="rId35" Type="http://schemas.openxmlformats.org/officeDocument/2006/relationships/image" Target="media/image12.wmf"/><Relationship Id="rId43" Type="http://schemas.openxmlformats.org/officeDocument/2006/relationships/image" Target="media/image17.wmf"/><Relationship Id="rId48" Type="http://schemas.openxmlformats.org/officeDocument/2006/relationships/image" Target="media/image20.wmf"/><Relationship Id="rId56" Type="http://schemas.openxmlformats.org/officeDocument/2006/relationships/oleObject" Target="embeddings/oleObject18.bin"/><Relationship Id="rId64" Type="http://schemas.openxmlformats.org/officeDocument/2006/relationships/image" Target="media/image30.png"/><Relationship Id="rId69" Type="http://schemas.openxmlformats.org/officeDocument/2006/relationships/oleObject" Target="embeddings/oleObject22.bin"/><Relationship Id="rId77" Type="http://schemas.openxmlformats.org/officeDocument/2006/relationships/image" Target="media/image38.wmf"/><Relationship Id="rId8" Type="http://schemas.openxmlformats.org/officeDocument/2006/relationships/image" Target="media/image2.wmf"/><Relationship Id="rId51" Type="http://schemas.openxmlformats.org/officeDocument/2006/relationships/oleObject" Target="embeddings/oleObject16.bin"/><Relationship Id="rId72" Type="http://schemas.openxmlformats.org/officeDocument/2006/relationships/image" Target="media/image35.wmf"/><Relationship Id="rId80" Type="http://schemas.openxmlformats.org/officeDocument/2006/relationships/oleObject" Target="embeddings/oleObject26.bin"/><Relationship Id="rId3"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6.xml"/><Relationship Id="rId25" Type="http://schemas.openxmlformats.org/officeDocument/2006/relationships/oleObject" Target="embeddings/oleObject5.bin"/><Relationship Id="rId33" Type="http://schemas.openxmlformats.org/officeDocument/2006/relationships/oleObject" Target="embeddings/oleObject9.bin"/><Relationship Id="rId38" Type="http://schemas.openxmlformats.org/officeDocument/2006/relationships/image" Target="media/image14.wmf"/><Relationship Id="rId46" Type="http://schemas.openxmlformats.org/officeDocument/2006/relationships/oleObject" Target="embeddings/oleObject14.bin"/><Relationship Id="rId59" Type="http://schemas.openxmlformats.org/officeDocument/2006/relationships/image" Target="media/image27.wmf"/><Relationship Id="rId67" Type="http://schemas.openxmlformats.org/officeDocument/2006/relationships/oleObject" Target="embeddings/oleObject21.bin"/><Relationship Id="rId20" Type="http://schemas.openxmlformats.org/officeDocument/2006/relationships/image" Target="media/image4.wmf"/><Relationship Id="rId41" Type="http://schemas.openxmlformats.org/officeDocument/2006/relationships/image" Target="media/image16.wmf"/><Relationship Id="rId54" Type="http://schemas.openxmlformats.org/officeDocument/2006/relationships/image" Target="media/image23.wmf"/><Relationship Id="rId62" Type="http://schemas.openxmlformats.org/officeDocument/2006/relationships/image" Target="media/image29.wmf"/><Relationship Id="rId70" Type="http://schemas.openxmlformats.org/officeDocument/2006/relationships/image" Target="media/image34.png"/><Relationship Id="rId75" Type="http://schemas.openxmlformats.org/officeDocument/2006/relationships/oleObject" Target="embeddings/oleObject24.bin"/><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4.xml"/><Relationship Id="rId23" Type="http://schemas.openxmlformats.org/officeDocument/2006/relationships/oleObject" Target="embeddings/oleObject4.bin"/><Relationship Id="rId28" Type="http://schemas.openxmlformats.org/officeDocument/2006/relationships/image" Target="media/image8.wmf"/><Relationship Id="rId36" Type="http://schemas.openxmlformats.org/officeDocument/2006/relationships/oleObject" Target="embeddings/oleObject10.bin"/><Relationship Id="rId49" Type="http://schemas.openxmlformats.org/officeDocument/2006/relationships/oleObject" Target="embeddings/oleObject15.bin"/><Relationship Id="rId57" Type="http://schemas.openxmlformats.org/officeDocument/2006/relationships/image" Target="media/image2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70416</Words>
  <Characters>401373</Characters>
  <Application>Microsoft Office Word</Application>
  <DocSecurity>4</DocSecurity>
  <Lines>3344</Lines>
  <Paragraphs>802</Paragraphs>
  <ScaleCrop>false</ScaleCrop>
  <HeadingPairs>
    <vt:vector size="2" baseType="variant">
      <vt:variant>
        <vt:lpstr>Titre</vt:lpstr>
      </vt:variant>
      <vt:variant>
        <vt:i4>1</vt:i4>
      </vt:variant>
    </vt:vector>
  </HeadingPairs>
  <TitlesOfParts>
    <vt:vector size="1" baseType="lpstr">
      <vt:lpstr>[ Original: p</vt:lpstr>
    </vt:vector>
  </TitlesOfParts>
  <Company> </Company>
  <LinksUpToDate>false</LinksUpToDate>
  <CharactersWithSpaces>492914</CharactersWithSpaces>
  <SharedDoc>false</SharedDoc>
  <HLinks>
    <vt:vector size="18" baseType="variant">
      <vt:variant>
        <vt:i4>4522012</vt:i4>
      </vt:variant>
      <vt:variant>
        <vt:i4>6</vt:i4>
      </vt:variant>
      <vt:variant>
        <vt:i4>0</vt:i4>
      </vt:variant>
      <vt:variant>
        <vt:i4>5</vt:i4>
      </vt:variant>
      <vt:variant>
        <vt:lpwstr>http://www.winnernet.org/</vt:lpwstr>
      </vt:variant>
      <vt:variant>
        <vt:lpwstr/>
      </vt:variant>
      <vt:variant>
        <vt:i4>4259951</vt:i4>
      </vt:variant>
      <vt:variant>
        <vt:i4>344397</vt:i4>
      </vt:variant>
      <vt:variant>
        <vt:i4>1026</vt:i4>
      </vt:variant>
      <vt:variant>
        <vt:i4>1</vt:i4>
      </vt:variant>
      <vt:variant>
        <vt:lpwstr>clip_image004</vt:lpwstr>
      </vt:variant>
      <vt:variant>
        <vt:lpwstr/>
      </vt:variant>
      <vt:variant>
        <vt:i4>8192095</vt:i4>
      </vt:variant>
      <vt:variant>
        <vt:i4>387599</vt:i4>
      </vt:variant>
      <vt:variant>
        <vt:i4>1027</vt:i4>
      </vt:variant>
      <vt:variant>
        <vt:i4>1</vt:i4>
      </vt:variant>
      <vt:variant>
        <vt:lpwstr>grafico8_2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Original: p</dc:title>
  <dc:subject/>
  <dc:creator>Barbara Morris</dc:creator>
  <cp:keywords/>
  <dc:description/>
  <cp:lastModifiedBy>csd</cp:lastModifiedBy>
  <cp:revision>3</cp:revision>
  <cp:lastPrinted>2007-10-11T14:27:00Z</cp:lastPrinted>
  <dcterms:created xsi:type="dcterms:W3CDTF">2007-10-17T12:11:00Z</dcterms:created>
  <dcterms:modified xsi:type="dcterms:W3CDTF">2007-10-17T12:11:00Z</dcterms:modified>
</cp:coreProperties>
</file>