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A</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1" DrawAspect="Content" ObjectID="_1462619856"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sz w:val="34"/>
              </w:rPr>
            </w:pPr>
            <w:r>
              <w:rPr>
                <w:rFonts w:ascii="Arial" w:hAnsi="Arial" w:cs="Arial"/>
                <w:b/>
                <w:sz w:val="34"/>
              </w:rPr>
              <w:t>General Assembly</w:t>
            </w: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A/HRC/4/19/Add.2</w:t>
              </w:r>
            </w:fldSimple>
          </w:p>
          <w:p w:rsidR="00000000" w:rsidRDefault="00000000">
            <w:fldSimple w:instr=" FILLIN &quot;Date&quot; \* MERGEFORMAT ">
              <w:r>
                <w:t>30 January 2007</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960"/>
      </w:pPr>
      <w:r>
        <w:br/>
        <w:t>HUMAN RIGHTS COUNCIL</w:t>
      </w:r>
      <w:r>
        <w:br/>
        <w:t>Fourth session</w:t>
      </w:r>
      <w:r>
        <w:br/>
        <w:t>Item 2 of the provisional agenda</w:t>
      </w:r>
    </w:p>
    <w:p w:rsidR="00000000" w:rsidRDefault="00000000">
      <w:pPr>
        <w:pStyle w:val="Heading1"/>
      </w:pPr>
      <w:r>
        <w:t>IMPLEMENTATION OF GENERAL ASSEMBLY RESOLUTION 60/251</w:t>
      </w:r>
      <w:r>
        <w:br/>
        <w:t>OF 15 MARCH 2006 ENTITLED “HUMAN RIGHTS COUNCIL”</w:t>
      </w:r>
    </w:p>
    <w:p w:rsidR="00000000" w:rsidRDefault="00000000">
      <w:pPr>
        <w:pStyle w:val="Heading2"/>
      </w:pPr>
      <w:r>
        <w:t>Report by Mr. Doudou Diène, Special Rapporteur on contemporary forms</w:t>
      </w:r>
      <w:r>
        <w:br/>
        <w:t>of racism, racial discrimination, xenophobia and related intolerance</w:t>
      </w:r>
    </w:p>
    <w:p w:rsidR="00000000" w:rsidRDefault="00000000">
      <w:pPr>
        <w:pStyle w:val="Heading2"/>
      </w:pPr>
      <w:r>
        <w:t>Addendum</w:t>
      </w:r>
      <w:r>
        <w:rPr>
          <w:rStyle w:val="FootnoteReference"/>
          <w:vertAlign w:val="baseline"/>
        </w:rPr>
        <w:footnoteReference w:customMarkFollows="1" w:id="2"/>
        <w:t>*</w:t>
      </w:r>
    </w:p>
    <w:p w:rsidR="00000000" w:rsidRDefault="00000000">
      <w:pPr>
        <w:pStyle w:val="Heading1"/>
      </w:pPr>
      <w:r>
        <w:t>Mission to Switzerland</w:t>
      </w:r>
    </w:p>
    <w:p w:rsidR="00000000" w:rsidRDefault="00000000">
      <w:pPr>
        <w:pStyle w:val="Heading2"/>
      </w:pPr>
      <w:r>
        <w:br w:type="page"/>
        <w:t>Summary</w:t>
      </w:r>
    </w:p>
    <w:p w:rsidR="00000000" w:rsidRDefault="00000000">
      <w:pPr>
        <w:rPr>
          <w:bCs/>
        </w:rPr>
      </w:pPr>
      <w:r>
        <w:rPr>
          <w:bCs/>
        </w:rPr>
        <w:tab/>
        <w:t>The Special Rapporteur on contemporary forms of racism, racial discrimination, xenophobia and related intolerance visited Switzerland from 9 to 13 January 2006, with the principal objective of assessing the situation of racism, racial discrimination and xenophobia, as well as the policies and measures adopted by the Government to address these phenomena.</w:t>
      </w:r>
    </w:p>
    <w:p w:rsidR="00000000" w:rsidRDefault="00000000">
      <w:pPr>
        <w:rPr>
          <w:bCs/>
        </w:rPr>
      </w:pPr>
      <w:r>
        <w:rPr>
          <w:bCs/>
        </w:rPr>
        <w:tab/>
        <w:t>In the course of his mandate, the Special Rapporteur visited three of the country’s language regions.  He met with federal and cantonal authorities, members and representatives of foreign communities and national, ethnic, cultural and religious minorities, representatives of non-governmental organizations (NGOs) and other civil society groups, such as representatives of political parties, employers, and representatives of trade unions, various religions and the media.</w:t>
      </w:r>
    </w:p>
    <w:p w:rsidR="00000000" w:rsidRDefault="00000000">
      <w:pPr>
        <w:rPr>
          <w:bCs/>
        </w:rPr>
      </w:pPr>
      <w:r>
        <w:rPr>
          <w:bCs/>
        </w:rPr>
        <w:tab/>
        <w:t>In drafting the present report, the Special Rapporteur compared the information and analyses on the question of racism and xenophobia that he received from the national and regional political authorities, members and representatives of the communities concerned, NGOs and other civil society groups.  He also took account of the relevant reports and documents that were submitted to him by these Swiss civil society groups.</w:t>
      </w:r>
    </w:p>
    <w:p w:rsidR="00000000" w:rsidRDefault="00000000">
      <w:pPr>
        <w:rPr>
          <w:bCs/>
        </w:rPr>
      </w:pPr>
      <w:r>
        <w:rPr>
          <w:bCs/>
        </w:rPr>
        <w:tab/>
        <w:t>At the end of his visit, and on the basis of the information gathered, the Special Rapporteur came to the main conclusion that there is a dynamic of racism and xenophobia in Switzerland.  He noted, in this regard, that, although Switzerland has competent mechanisms and motivated officials with mandates to combat racism, at the national level this reality is not recognized and there is no coherent and resolute political and legal strategy against racism and xenophobia.  In particular, he observed two underlying causes of this dynamic:  deep-rooted cultural resistance within Swiss society to the multiculturalization process, especially where persons of south-eastern European and non-European origin are concerned, and the growing prevalence of racist and xenophobic stances in political programmes and discourse, particularly during elections and various votes.</w:t>
      </w:r>
    </w:p>
    <w:p w:rsidR="00000000" w:rsidRDefault="00000000">
      <w:pPr>
        <w:rPr>
          <w:bCs/>
        </w:rPr>
      </w:pPr>
      <w:r>
        <w:rPr>
          <w:bCs/>
        </w:rPr>
        <w:tab/>
        <w:t>Consequently, his recommendations place emphasis on the following main actions:  recognition of the dynamic of racism and xenophobia and the expression of the political will to combat those phenomena; the need for a national programme of action against racism and xenophobia comprising national legislation for this purpose and a cultural and ethical strategy for the long-term construction of a multicultural society based on both the recognition and promotion of the cultural, ethnic and religious diversity of society, and the promotion of interaction and reciprocal knowledge among the various communities that make up Swiss society.</w:t>
      </w:r>
    </w:p>
    <w:p w:rsidR="00000000" w:rsidRDefault="00000000">
      <w:pPr>
        <w:pStyle w:val="Heading2"/>
      </w:pPr>
      <w:r>
        <w:rPr>
          <w:bCs/>
        </w:rPr>
        <w:br w:type="page"/>
      </w:r>
      <w:r>
        <w:t>Annex</w:t>
      </w:r>
    </w:p>
    <w:p w:rsidR="00000000" w:rsidRDefault="00000000">
      <w:pPr>
        <w:pStyle w:val="Heading1"/>
        <w:ind w:left="624"/>
        <w:jc w:val="left"/>
      </w:pPr>
      <w:r>
        <w:t>REPORT SUBMITTED BY MR. DOUDOU DIÈNE, SPECIAL RAPPORTEUR</w:t>
      </w:r>
      <w:r>
        <w:br/>
        <w:t xml:space="preserve">ON CONTEMPORARY FORMS OF RACISM, RACIAL DISCRIMINATION, </w:t>
      </w:r>
      <w:r>
        <w:br/>
        <w:t xml:space="preserve">                        XENOPHOBIA AND RELATED INTOLERANCE                        </w:t>
      </w:r>
    </w:p>
    <w:p w:rsidR="00000000" w:rsidRDefault="00000000">
      <w:pPr>
        <w:pStyle w:val="Heading1"/>
      </w:pPr>
      <w:r>
        <w:t>MISSION TO SWITZERLAND (9-13 JANUARY 2006)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1 - 7</w:t>
      </w:r>
      <w:r>
        <w:tab/>
        <w:t>4</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w:t>
      </w:r>
      <w:r>
        <w:tab/>
        <w:t xml:space="preserve">GENERAL INFORMATION </w:t>
      </w:r>
      <w:r>
        <w:tab/>
      </w:r>
      <w:r>
        <w:tab/>
        <w:t>8 - 30</w:t>
      </w:r>
      <w:r>
        <w:tab/>
        <w:t>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A.</w:t>
      </w:r>
      <w:r>
        <w:tab/>
        <w:t xml:space="preserve">Linguistic and religious composition </w:t>
      </w:r>
      <w:r>
        <w:tab/>
      </w:r>
      <w:r>
        <w:tab/>
        <w:t>8 - 10</w:t>
      </w:r>
      <w:r>
        <w:tab/>
        <w:t>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B.</w:t>
      </w:r>
      <w:r>
        <w:tab/>
        <w:t xml:space="preserve">Distinctive features of the Swiss federal system </w:t>
      </w:r>
      <w:r>
        <w:tab/>
      </w:r>
      <w:r>
        <w:tab/>
        <w:t>11 - 15</w:t>
      </w:r>
      <w:r>
        <w:tab/>
        <w:t>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C.</w:t>
      </w:r>
      <w:r>
        <w:tab/>
        <w:t xml:space="preserve">Legislative framework </w:t>
      </w:r>
      <w:r>
        <w:tab/>
      </w:r>
      <w:r>
        <w:tab/>
        <w:t>16 - 22</w:t>
      </w:r>
      <w:r>
        <w:tab/>
        <w:t>6</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D.</w:t>
      </w:r>
      <w:r>
        <w:tab/>
        <w:t xml:space="preserve">Recent votes on immigration and asylum </w:t>
      </w:r>
      <w:r>
        <w:tab/>
      </w:r>
      <w:r>
        <w:tab/>
        <w:t>23 - 30</w:t>
      </w:r>
      <w:r>
        <w:tab/>
        <w:t>8</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II.</w:t>
      </w:r>
      <w:r>
        <w:tab/>
        <w:t xml:space="preserve">ANALYSIS OF THE SITUATION BY THE </w:t>
      </w:r>
      <w:r>
        <w:br/>
      </w:r>
      <w:r>
        <w:tab/>
      </w:r>
      <w:r>
        <w:tab/>
        <w:t xml:space="preserve">AUTHORITIES </w:t>
      </w:r>
      <w:r>
        <w:tab/>
      </w:r>
      <w:r>
        <w:tab/>
        <w:t>31 - 50</w:t>
      </w:r>
      <w:r>
        <w:tab/>
        <w:t>10</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A.</w:t>
      </w:r>
      <w:r>
        <w:tab/>
        <w:t xml:space="preserve">Immigration and integration policy </w:t>
      </w:r>
      <w:r>
        <w:tab/>
      </w:r>
      <w:r>
        <w:tab/>
        <w:t>33 - 37</w:t>
      </w:r>
      <w:r>
        <w:tab/>
        <w:t>11</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B.</w:t>
      </w:r>
      <w:r>
        <w:tab/>
        <w:t xml:space="preserve">Specialized bodies and commissions </w:t>
      </w:r>
      <w:r>
        <w:tab/>
      </w:r>
      <w:r>
        <w:tab/>
        <w:t>38 - 45</w:t>
      </w:r>
      <w:r>
        <w:tab/>
        <w:t>12</w:t>
      </w:r>
    </w:p>
    <w:p w:rsidR="00000000" w:rsidRDefault="00000000">
      <w:pPr>
        <w:pStyle w:val="Header"/>
        <w:tabs>
          <w:tab w:val="clear" w:pos="4320"/>
          <w:tab w:val="clear" w:pos="8640"/>
          <w:tab w:val="left" w:pos="1247"/>
          <w:tab w:val="left" w:pos="1701"/>
          <w:tab w:val="left" w:leader="dot" w:pos="6945"/>
          <w:tab w:val="decimal" w:pos="7654"/>
          <w:tab w:val="left" w:pos="7682"/>
          <w:tab w:val="right" w:pos="9043"/>
        </w:tabs>
        <w:spacing w:after="220"/>
      </w:pPr>
      <w:r>
        <w:tab/>
        <w:t>1.</w:t>
      </w:r>
      <w:r>
        <w:tab/>
        <w:t xml:space="preserve">Federal Commission against Racism </w:t>
      </w:r>
      <w:r>
        <w:tab/>
      </w:r>
      <w:r>
        <w:tab/>
        <w:t>38 - 41</w:t>
      </w:r>
      <w:r>
        <w:tab/>
        <w:t>12</w:t>
      </w:r>
    </w:p>
    <w:p w:rsidR="00000000" w:rsidRDefault="00000000">
      <w:pPr>
        <w:pStyle w:val="Header"/>
        <w:tabs>
          <w:tab w:val="clear" w:pos="4320"/>
          <w:tab w:val="clear" w:pos="8640"/>
          <w:tab w:val="left" w:pos="1247"/>
          <w:tab w:val="left" w:pos="1701"/>
          <w:tab w:val="left" w:leader="dot" w:pos="6945"/>
          <w:tab w:val="decimal" w:pos="7654"/>
          <w:tab w:val="left" w:pos="7682"/>
          <w:tab w:val="right" w:pos="9043"/>
        </w:tabs>
        <w:spacing w:after="220"/>
      </w:pPr>
      <w:r>
        <w:tab/>
        <w:t>2.</w:t>
      </w:r>
      <w:r>
        <w:tab/>
        <w:t xml:space="preserve">Federal Commission for Foreigners </w:t>
      </w:r>
      <w:r>
        <w:tab/>
      </w:r>
      <w:r>
        <w:tab/>
        <w:t>42 - 43</w:t>
      </w:r>
      <w:r>
        <w:tab/>
        <w:t>13</w:t>
      </w:r>
    </w:p>
    <w:p w:rsidR="00000000" w:rsidRDefault="00000000">
      <w:pPr>
        <w:pStyle w:val="Header"/>
        <w:tabs>
          <w:tab w:val="clear" w:pos="4320"/>
          <w:tab w:val="clear" w:pos="8640"/>
          <w:tab w:val="left" w:pos="1247"/>
          <w:tab w:val="left" w:pos="1701"/>
          <w:tab w:val="left" w:leader="dot" w:pos="6945"/>
          <w:tab w:val="decimal" w:pos="7654"/>
          <w:tab w:val="left" w:pos="7682"/>
          <w:tab w:val="right" w:pos="9043"/>
        </w:tabs>
        <w:spacing w:after="220"/>
      </w:pPr>
      <w:r>
        <w:tab/>
        <w:t>3.</w:t>
      </w:r>
      <w:r>
        <w:tab/>
        <w:t xml:space="preserve">Service for Combating Racism </w:t>
      </w:r>
      <w:r>
        <w:tab/>
      </w:r>
      <w:r>
        <w:tab/>
        <w:t>44 - 45</w:t>
      </w:r>
      <w:r>
        <w:tab/>
        <w:t>14</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C.</w:t>
      </w:r>
      <w:r>
        <w:tab/>
        <w:t xml:space="preserve">Other relevant departments and services </w:t>
      </w:r>
      <w:r>
        <w:tab/>
      </w:r>
      <w:r>
        <w:tab/>
        <w:t>46 - 50</w:t>
      </w:r>
      <w:r>
        <w:tab/>
        <w:t>14</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III.</w:t>
      </w:r>
      <w:r>
        <w:tab/>
        <w:t xml:space="preserve">ANALYSIS OF THE SITUATION BY OTHER ACTORS </w:t>
      </w:r>
      <w:r>
        <w:tab/>
      </w:r>
      <w:r>
        <w:tab/>
        <w:t>51 - 63</w:t>
      </w:r>
      <w:r>
        <w:tab/>
        <w:t>15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A.</w:t>
      </w:r>
      <w:r>
        <w:tab/>
        <w:t xml:space="preserve">Civil society </w:t>
      </w:r>
      <w:r>
        <w:tab/>
      </w:r>
      <w:r>
        <w:tab/>
        <w:t>51 - 56</w:t>
      </w:r>
      <w:r>
        <w:tab/>
        <w:t>15</w:t>
      </w:r>
    </w:p>
    <w:p w:rsidR="00000000" w:rsidRDefault="00000000">
      <w:pPr>
        <w:pStyle w:val="Header"/>
        <w:tabs>
          <w:tab w:val="clear" w:pos="4320"/>
          <w:tab w:val="clear" w:pos="8640"/>
          <w:tab w:val="left" w:pos="720"/>
          <w:tab w:val="left" w:pos="1247"/>
          <w:tab w:val="left" w:leader="dot" w:pos="6945"/>
          <w:tab w:val="decimal" w:pos="7654"/>
          <w:tab w:val="left" w:pos="7682"/>
          <w:tab w:val="right" w:pos="9043"/>
        </w:tabs>
        <w:spacing w:after="220"/>
      </w:pPr>
      <w:r>
        <w:tab/>
        <w:t>B.</w:t>
      </w:r>
      <w:r>
        <w:tab/>
        <w:t xml:space="preserve">Political parties </w:t>
      </w:r>
      <w:r>
        <w:tab/>
      </w:r>
      <w:r>
        <w:tab/>
        <w:t>57 - 63</w:t>
      </w:r>
      <w:r>
        <w:tab/>
        <w:t>17</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IV.</w:t>
      </w:r>
      <w:r>
        <w:tab/>
        <w:t xml:space="preserve">ANALYSIS AND CONCLUSIONS </w:t>
      </w:r>
      <w:r>
        <w:tab/>
      </w:r>
      <w:r>
        <w:tab/>
        <w:t>64 - 85</w:t>
      </w:r>
      <w:r>
        <w:tab/>
        <w:t>19</w:t>
      </w:r>
    </w:p>
    <w:p w:rsidR="00000000" w:rsidRDefault="00000000">
      <w:pPr>
        <w:pStyle w:val="Header"/>
        <w:tabs>
          <w:tab w:val="clear" w:pos="4320"/>
          <w:tab w:val="clear" w:pos="8640"/>
          <w:tab w:val="right" w:pos="397"/>
          <w:tab w:val="left" w:pos="720"/>
          <w:tab w:val="left" w:pos="1320"/>
          <w:tab w:val="left" w:leader="dot" w:pos="6945"/>
          <w:tab w:val="decimal" w:pos="7654"/>
          <w:tab w:val="left" w:pos="7682"/>
          <w:tab w:val="right" w:pos="9043"/>
        </w:tabs>
        <w:spacing w:after="220"/>
      </w:pPr>
      <w:r>
        <w:tab/>
        <w:t>V.</w:t>
      </w:r>
      <w:r>
        <w:tab/>
        <w:t xml:space="preserve">RECOMMENDATIONS </w:t>
      </w:r>
      <w:r>
        <w:tab/>
      </w:r>
      <w:r>
        <w:tab/>
        <w:t>86 - 97</w:t>
      </w:r>
      <w:r>
        <w:tab/>
        <w:t>25</w:t>
      </w:r>
    </w:p>
    <w:p w:rsidR="00000000" w:rsidRDefault="00000000">
      <w:pPr>
        <w:pStyle w:val="Header"/>
        <w:tabs>
          <w:tab w:val="clear" w:pos="4320"/>
          <w:tab w:val="clear" w:pos="8640"/>
          <w:tab w:val="right" w:pos="567"/>
          <w:tab w:val="left" w:pos="851"/>
          <w:tab w:val="left" w:pos="1276"/>
          <w:tab w:val="left" w:leader="dot" w:pos="8080"/>
          <w:tab w:val="right" w:pos="9043"/>
        </w:tabs>
        <w:spacing w:after="220"/>
      </w:pPr>
      <w:r>
        <w:t>Annex:</w:t>
      </w:r>
      <w:r>
        <w:tab/>
        <w:t xml:space="preserve">List of subjects of federal votes relating to foreigners or the </w:t>
      </w:r>
      <w:r>
        <w:br/>
      </w:r>
      <w:r>
        <w:tab/>
      </w:r>
      <w:r>
        <w:tab/>
        <w:t xml:space="preserve">right of asylum </w:t>
      </w:r>
      <w:r>
        <w:tab/>
      </w:r>
      <w:r>
        <w:tab/>
        <w:t>29</w:t>
      </w:r>
    </w:p>
    <w:p w:rsidR="00000000" w:rsidRDefault="00000000">
      <w:pPr>
        <w:pStyle w:val="Heading2"/>
      </w:pPr>
      <w:r>
        <w:rPr>
          <w:bCs/>
        </w:rPr>
        <w:br w:type="page"/>
      </w:r>
      <w:r>
        <w:t>Introduction</w:t>
      </w:r>
    </w:p>
    <w:p w:rsidR="00000000" w:rsidRDefault="00000000">
      <w:pPr>
        <w:rPr>
          <w:bCs/>
        </w:rPr>
      </w:pPr>
      <w:r>
        <w:rPr>
          <w:bCs/>
        </w:rPr>
        <w:t>1.</w:t>
      </w:r>
      <w:r>
        <w:rPr>
          <w:bCs/>
        </w:rPr>
        <w:tab/>
        <w:t>Following an invitation from the Swiss authorities, issued in response to his request, the Special Rapporteur on contemporary forms of racism, racial discrimination, xenophobia and related intolerance visited Switzerland from 9 to 13 January 2006.  The purpose of the visit was to assess the situation of racism, racial discrimination and xenophobia, as well as the policies and measures adopted by the Government to address these phenomena.</w:t>
      </w:r>
    </w:p>
    <w:p w:rsidR="00000000" w:rsidRDefault="00000000">
      <w:pPr>
        <w:rPr>
          <w:bCs/>
        </w:rPr>
      </w:pPr>
      <w:r>
        <w:rPr>
          <w:bCs/>
        </w:rPr>
        <w:t>2.</w:t>
      </w:r>
      <w:r>
        <w:rPr>
          <w:bCs/>
        </w:rPr>
        <w:tab/>
        <w:t>During his visit, the Special Rapporteur met, at the federal level, in Bern, with Federal Councillors Pascal Couchepin and Christopher Blocher, the State Secretary Michael Ambühl, and several directors and representatives of federal departments and offices.  He also visited the cantons of Ticino, Basel and Neuchâtel, where he met with, among others, State Councillors Luigi Pedrazzini, Gabriele Gendotti, Guy Morin, Eva Herzog and Bernard Soguel and Chancellor Robert Heuss.</w:t>
      </w:r>
    </w:p>
    <w:p w:rsidR="00000000" w:rsidRDefault="00000000">
      <w:pPr>
        <w:rPr>
          <w:bCs/>
        </w:rPr>
      </w:pPr>
      <w:r>
        <w:rPr>
          <w:bCs/>
        </w:rPr>
        <w:t>3.</w:t>
      </w:r>
      <w:r>
        <w:rPr>
          <w:bCs/>
        </w:rPr>
        <w:tab/>
        <w:t>The Special Rapporteur also spoke with Ermete Gauro, cantonal delegate for the integration of foreigners and for combating racism in Ticino; with Thomas Kessler, director of the Office for Integration of Basel City canton; and with Thomas Facchinetti, cantonal delegate for foreigners’ affairs in Neuchâtel.  He also met with members of the Federal Commission against Racism in Bern and of the Federal Commission for Foreigners in Neuchâtel.</w:t>
      </w:r>
    </w:p>
    <w:p w:rsidR="00000000" w:rsidRDefault="00000000">
      <w:pPr>
        <w:rPr>
          <w:bCs/>
        </w:rPr>
      </w:pPr>
      <w:r>
        <w:rPr>
          <w:bCs/>
        </w:rPr>
        <w:t>4.</w:t>
      </w:r>
      <w:r>
        <w:rPr>
          <w:bCs/>
        </w:rPr>
        <w:tab/>
        <w:t>In the cities that he visited, the Special Rapporteur met with many associations, non</w:t>
      </w:r>
      <w:r>
        <w:rPr>
          <w:bCs/>
        </w:rPr>
        <w:noBreakHyphen/>
        <w:t>governmental organizations (NGOs), members and representatives of foreign communities and national, ethnic and cultural minorities.  He also talked with representatives of other civil society groups, such as political parties, employers, trade unions, the sports world, various religions and the media.  At the request of one NGO, the Special Rapporteur went to Solothurn to meet with asylum-seekers whose applications had not been considered for formal reasons.  He also visited, in Basel, a deportation centre and a registration and procedure centre.</w:t>
      </w:r>
    </w:p>
    <w:p w:rsidR="00000000" w:rsidRDefault="00000000">
      <w:pPr>
        <w:rPr>
          <w:bCs/>
        </w:rPr>
      </w:pPr>
      <w:r>
        <w:rPr>
          <w:bCs/>
        </w:rPr>
        <w:t>5.</w:t>
      </w:r>
      <w:r>
        <w:rPr>
          <w:bCs/>
        </w:rPr>
        <w:tab/>
        <w:t>The Special Rapporteur wishes to thank the Government of Switzerland for its invitation, as well as for its availability and openness.  He also wishes to thank the competent services for their cooperation, particularly the Service for Combating Racism, for the efficient manner in which his visit was organized.</w:t>
      </w:r>
    </w:p>
    <w:p w:rsidR="00000000" w:rsidRDefault="00000000">
      <w:pPr>
        <w:rPr>
          <w:bCs/>
        </w:rPr>
      </w:pPr>
      <w:r>
        <w:rPr>
          <w:bCs/>
        </w:rPr>
        <w:t>6.</w:t>
      </w:r>
      <w:r>
        <w:rPr>
          <w:bCs/>
        </w:rPr>
        <w:tab/>
        <w:t>During the months of preparation preceding his visit, the Special Rapporteur closely examined the documents and reports sent to him by the Swiss authorities and NGOs, and followed with attention articles in the Swiss and international press dealing with questions relating to his mandate.</w:t>
      </w:r>
    </w:p>
    <w:p w:rsidR="00000000" w:rsidRDefault="00000000">
      <w:pPr>
        <w:rPr>
          <w:bCs/>
        </w:rPr>
      </w:pPr>
      <w:r>
        <w:rPr>
          <w:bCs/>
        </w:rPr>
        <w:t>7.</w:t>
      </w:r>
      <w:r>
        <w:rPr>
          <w:bCs/>
        </w:rPr>
        <w:tab/>
        <w:t>In the course of his mission, the Special Rapporteur raised three main questions with all the persons with whom he met, concerning (a) the existence of racism, racial discrimination and xenophobia in Switzerland; (b) their principal manifestations; and (c) measures and programmes adopted by the Government to address these phenomena, or to be carried out in cooperation with civil society and the communities concerned.  The Special Rapporteur also asked them to transmit to him with any documents that might help him to obtain the most objective and complete picture possible and to draft an objective, credible and useful report.</w:t>
      </w:r>
    </w:p>
    <w:p w:rsidR="00000000" w:rsidRDefault="00000000">
      <w:pPr>
        <w:pStyle w:val="Heading1"/>
      </w:pPr>
      <w:r>
        <w:t>I.  GENERAL INFORMATION</w:t>
      </w:r>
    </w:p>
    <w:p w:rsidR="00000000" w:rsidRDefault="00000000">
      <w:pPr>
        <w:pStyle w:val="Heading2"/>
      </w:pPr>
      <w:r>
        <w:t>A.  Linguistic and religious composition</w:t>
      </w:r>
    </w:p>
    <w:p w:rsidR="00000000" w:rsidRDefault="00000000">
      <w:pPr>
        <w:rPr>
          <w:bCs/>
        </w:rPr>
      </w:pPr>
      <w:r>
        <w:rPr>
          <w:bCs/>
        </w:rPr>
        <w:t>8.</w:t>
      </w:r>
      <w:r>
        <w:rPr>
          <w:bCs/>
        </w:rPr>
        <w:tab/>
        <w:t>The Swiss Confederation is a multicultural country with four national languages:  German (spoken by 63.7 per cent of the population), French (20.4 per cent), Italian (6.5 per cent) and Rumantsch (0.5 per cent).</w:t>
      </w:r>
      <w:r>
        <w:rPr>
          <w:rStyle w:val="FootnoteReference"/>
          <w:bCs/>
        </w:rPr>
        <w:footnoteReference w:id="3"/>
      </w:r>
    </w:p>
    <w:p w:rsidR="00000000" w:rsidRDefault="00000000">
      <w:pPr>
        <w:rPr>
          <w:bCs/>
        </w:rPr>
      </w:pPr>
      <w:r>
        <w:rPr>
          <w:bCs/>
        </w:rPr>
        <w:t>9.</w:t>
      </w:r>
      <w:r>
        <w:rPr>
          <w:bCs/>
        </w:rPr>
        <w:tab/>
        <w:t>Catholicism and Protestantism are the two traditional religions in Switzerland and, according to the latest federal census in 2000, represent 39.98 per cent and 46.32 per cent of the Swiss population, respectively.</w:t>
      </w:r>
    </w:p>
    <w:p w:rsidR="00000000" w:rsidRDefault="00000000">
      <w:pPr>
        <w:rPr>
          <w:bCs/>
        </w:rPr>
      </w:pPr>
      <w:r>
        <w:rPr>
          <w:bCs/>
        </w:rPr>
        <w:t>10.</w:t>
      </w:r>
      <w:r>
        <w:rPr>
          <w:bCs/>
        </w:rPr>
        <w:tab/>
        <w:t>According to the 2000 federal census, there are 310,807 Muslims in Switzerland; most of them are nationals of the former Yugoslavia or Turks; Arabic speakers account for only 5.6 per cent of the Muslims in Switzerland.  The Muslim population is more concentrated in predominantly urban cantons than in mountainous or rural cantons.</w:t>
      </w:r>
      <w:r>
        <w:rPr>
          <w:rStyle w:val="FootnoteReference"/>
          <w:bCs/>
        </w:rPr>
        <w:footnoteReference w:id="4"/>
      </w:r>
      <w:r>
        <w:rPr>
          <w:bCs/>
        </w:rPr>
        <w:t xml:space="preserve">  Of the total number of Muslims in Switzerland, 11.75 per cent have Swiss nationality.  The census also indicates that 0.4 per cent of the population is Hindu, 0.3 per cent Buddhist and 0.2 per cent Jewish.</w:t>
      </w:r>
    </w:p>
    <w:p w:rsidR="00000000" w:rsidRDefault="00000000">
      <w:pPr>
        <w:pStyle w:val="Heading2"/>
      </w:pPr>
      <w:r>
        <w:t>B.  Distinctive features of the Swiss federal system</w:t>
      </w:r>
    </w:p>
    <w:p w:rsidR="00000000" w:rsidRDefault="00000000">
      <w:pPr>
        <w:rPr>
          <w:bCs/>
        </w:rPr>
      </w:pPr>
      <w:r>
        <w:rPr>
          <w:bCs/>
        </w:rPr>
        <w:t>11.</w:t>
      </w:r>
      <w:r>
        <w:rPr>
          <w:bCs/>
        </w:rPr>
        <w:tab/>
        <w:t>The Swiss political structure is composed of three levels:  the commune, the canton and the Confederation.  Switzerland has approximately 2,800 communes in 26 cantons and semi</w:t>
      </w:r>
      <w:r>
        <w:rPr>
          <w:bCs/>
        </w:rPr>
        <w:noBreakHyphen/>
        <w:t>cantons.  Each canton has its own constitution, parliament and courts, and has broad powers, particularly in the areas of public education, health, the judicial system and security.</w:t>
      </w:r>
    </w:p>
    <w:p w:rsidR="00000000" w:rsidRDefault="00000000">
      <w:pPr>
        <w:rPr>
          <w:bCs/>
        </w:rPr>
      </w:pPr>
      <w:r>
        <w:rPr>
          <w:bCs/>
        </w:rPr>
        <w:t>12.</w:t>
      </w:r>
      <w:r>
        <w:rPr>
          <w:bCs/>
        </w:rPr>
        <w:tab/>
        <w:t>One of the distinctive features of Swiss democracy is that it is direct, in that the people monitor their elected officials on a continuous basis.  In fact, the electorate has two instruments that enable it to take action on a measure decided by the State:  popular referendums, which may be optional or mandatory, and popular initiatives.  The optional referendum makes it possible to question a law adopted by the Federal Assembly.  Referendums are mandatory in the cases enumerated in the Federal Constitution.  Popular initiatives at the federal level enable a citizens’ committee to propose amendments to the Federal Constitution.</w:t>
      </w:r>
    </w:p>
    <w:p w:rsidR="00000000" w:rsidRDefault="00000000">
      <w:pPr>
        <w:rPr>
          <w:bCs/>
        </w:rPr>
      </w:pPr>
      <w:r>
        <w:rPr>
          <w:bCs/>
        </w:rPr>
        <w:t>13.</w:t>
      </w:r>
      <w:r>
        <w:rPr>
          <w:bCs/>
        </w:rPr>
        <w:tab/>
        <w:t xml:space="preserve">The Federal Council is the executive organ of the Swiss Confederation.  It is composed of seven members, elected or re-elected for a four-year term, renewable by the </w:t>
      </w:r>
      <w:r>
        <w:rPr>
          <w:bCs/>
        </w:rPr>
        <w:br w:type="page"/>
        <w:t>Federal Assembly, and operates according to the principle of collegiate responsibility.  The Council is currently composed of two socialists, two radicals, a Christian democrat and two members of the Swiss People’s Party/Centre Democratic Union (SVP/UDC).</w:t>
      </w:r>
    </w:p>
    <w:p w:rsidR="00000000" w:rsidRDefault="00000000">
      <w:pPr>
        <w:rPr>
          <w:bCs/>
        </w:rPr>
      </w:pPr>
      <w:r>
        <w:rPr>
          <w:bCs/>
        </w:rPr>
        <w:t>14.</w:t>
      </w:r>
      <w:r>
        <w:rPr>
          <w:bCs/>
        </w:rPr>
        <w:tab/>
        <w:t>The Federal Constitution defines the fundamental rights and powers of the Confederation.  The Confederation is responsible for foreign policy, defence, customs, monetary policy and national legislation on entry into, sojourn in and departure from Switzerland and settlement by foreigners, and on the granting of asylum.  In keeping with the principle according to which the Confederation has only the powers conferred on it by the Constitution, whereas the cantons have general and subsidiary powers, matters that do not fall within the competence of the Confederation are dealt with by the cantons.</w:t>
      </w:r>
    </w:p>
    <w:p w:rsidR="00000000" w:rsidRDefault="00000000">
      <w:pPr>
        <w:rPr>
          <w:bCs/>
        </w:rPr>
      </w:pPr>
      <w:r>
        <w:rPr>
          <w:bCs/>
        </w:rPr>
        <w:t>15.</w:t>
      </w:r>
      <w:r>
        <w:rPr>
          <w:bCs/>
        </w:rPr>
        <w:tab/>
        <w:t>The Swiss State system is very distinctive owing to federalism, the sharing of powers between the Confederation and the cantons, and the operation of direct democracy.  Problem relating to racism can therefore fall within the competence of the Confederation, the cantons or even the communes.</w:t>
      </w:r>
    </w:p>
    <w:p w:rsidR="00000000" w:rsidRDefault="00000000">
      <w:pPr>
        <w:pStyle w:val="Heading2"/>
      </w:pPr>
      <w:r>
        <w:t>C.  Legislative framework</w:t>
      </w:r>
    </w:p>
    <w:p w:rsidR="00000000" w:rsidRDefault="00000000">
      <w:pPr>
        <w:rPr>
          <w:bCs/>
        </w:rPr>
      </w:pPr>
      <w:r>
        <w:rPr>
          <w:bCs/>
        </w:rPr>
        <w:t>16.</w:t>
      </w:r>
      <w:r>
        <w:rPr>
          <w:bCs/>
        </w:rPr>
        <w:tab/>
        <w:t>The new Federal Constitution, which entered into force in 2000, contains a provision on equality and non-discrimination (art. 8).  By amending the article of the previous Constitution, which stated that “All Swiss are equal before the law”, article 8, paragraph 1, affirms the equality of all “human beings” before the law.  Paragraph 2 of the same article declares that “Nobody shall suffer discrimination, particularly on grounds of origin, race, sex, age, language, social position, lifestyle, religious, philosophical or political convictions, or because of a physical or mental disability.”</w:t>
      </w:r>
    </w:p>
    <w:p w:rsidR="00000000" w:rsidRDefault="00000000">
      <w:pPr>
        <w:rPr>
          <w:bCs/>
        </w:rPr>
      </w:pPr>
      <w:r>
        <w:rPr>
          <w:bCs/>
        </w:rPr>
        <w:t>17.</w:t>
      </w:r>
      <w:r>
        <w:rPr>
          <w:bCs/>
        </w:rPr>
        <w:tab/>
        <w:t>The International Convention on the Elimination of All Forms of Racial Discrimination was adopted by the Federal Assembly on 9 March 1993 and entered into force in Switzerland on 29 December 1994.  In order to meet the requirements of the convention, article 261 bis, which criminalizes discrimination and public incitement to racial hatred, was introduced in the Criminal Code.  The authorities have also envisaged the adoption of two additional articles to this article concerning the wearing of distinctive signs of a discriminatory attitude based on race or the public use of slogans, gestures or forms of salutation with a racist meaning (art. 261 ter) and the criminalization of the creation of, or participation in, groups that intend to commit acts prohibited under article 261 bis (art. 261 quater).  Moreover, in June 2003 Switzerland recognized the individual communications procedure under article 14 of the International Convention on the Elimination of All Forms of Racial Discrimination.</w:t>
      </w:r>
    </w:p>
    <w:p w:rsidR="00000000" w:rsidRDefault="00000000">
      <w:pPr>
        <w:rPr>
          <w:bCs/>
        </w:rPr>
      </w:pPr>
      <w:r>
        <w:rPr>
          <w:bCs/>
        </w:rPr>
        <w:t>18.</w:t>
      </w:r>
      <w:r>
        <w:rPr>
          <w:bCs/>
        </w:rPr>
        <w:tab/>
        <w:t>Article 261 bis of the Criminal Code remains subject to two paradoxical criticisms.  On the one hand, some voices, particularly from the political right, are calling for the abolition of this article, which they consider useless or contrary to freedom of expression.  During an official mission to Turkey in October 2006, the Swiss Minister of Justice, Christophe Blocher, criticized the use of this article and stated:  “this article makes me sick”.</w:t>
      </w:r>
      <w:r>
        <w:rPr>
          <w:rStyle w:val="FootnoteReference"/>
          <w:bCs/>
        </w:rPr>
        <w:footnoteReference w:id="5"/>
      </w:r>
      <w:r>
        <w:rPr>
          <w:bCs/>
        </w:rPr>
        <w:t xml:space="preserve">  On his return, the Minister of Justice confirmed his intention of amending the anti-racist provision of the Criminal Code.</w:t>
      </w:r>
      <w:r>
        <w:rPr>
          <w:rStyle w:val="FootnoteReference"/>
          <w:bCs/>
        </w:rPr>
        <w:footnoteReference w:id="6"/>
      </w:r>
    </w:p>
    <w:p w:rsidR="00000000" w:rsidRDefault="00000000">
      <w:pPr>
        <w:rPr>
          <w:bCs/>
        </w:rPr>
      </w:pPr>
      <w:r>
        <w:rPr>
          <w:bCs/>
        </w:rPr>
        <w:t>19.</w:t>
      </w:r>
      <w:r>
        <w:rPr>
          <w:bCs/>
        </w:rPr>
        <w:tab/>
        <w:t>On the other hand, article 261 bis has been criticized because of its lack of scope and because it is difficult to use and apply.  During the Special Rapporteur’s visit, the question was asked whether racist behaviour in the Swiss army was in the “public” domain.  In the context of an inquiry to obtain additional evidence, an investigating judge of the Military Tribunal proposed that the competent commander should not order the taking of evidence against four of his recruits for the offence of racial discrimination (Nazi salutes and racist speech), but should subject them to disciplinary measures.  According to him, the accused and the soldiers that complained knew each other well and, therefore, the remarks were not made in public in the meaning of the law.  The Attorney</w:t>
      </w:r>
      <w:r>
        <w:rPr>
          <w:bCs/>
        </w:rPr>
        <w:noBreakHyphen/>
        <w:t>General of the Swiss Army rejected this argument and pointed out that “the practice of military justice in racial discrimination cases is no different from the practice of civil criminal justice, in particular that of the Swiss Federal Tribunal”.</w:t>
      </w:r>
      <w:r>
        <w:rPr>
          <w:rStyle w:val="FootnoteReference"/>
          <w:bCs/>
        </w:rPr>
        <w:footnoteReference w:id="7"/>
      </w:r>
      <w:r>
        <w:rPr>
          <w:bCs/>
        </w:rPr>
        <w:t xml:space="preserve">  In accordance with article 171 (c) of the Military Criminal Code, the content of which is identical to article 261 bis, military proceedings are still pending.</w:t>
      </w:r>
    </w:p>
    <w:p w:rsidR="00000000" w:rsidRDefault="00000000">
      <w:pPr>
        <w:rPr>
          <w:bCs/>
        </w:rPr>
      </w:pPr>
      <w:r>
        <w:rPr>
          <w:bCs/>
        </w:rPr>
        <w:t>20.</w:t>
      </w:r>
      <w:r>
        <w:rPr>
          <w:bCs/>
        </w:rPr>
        <w:tab/>
        <w:t>According to statistics provided by the Federal Commission against Racism, 212 complaints were lodged between 1995 and 2002 with the competent authorities through the application of article 261 bis.  In 48 per cent of the cases, the investigating authorities, after a brief examination of the facts, did not institute judicial proceedings, suspended the proceedings or did not consider the complaints.  In the other cases, the complaints were considered in the context of substantive law and a judgement was handed down.  In some 80 per cent of these cases, the authorities found the accused person guilty.  These decisions and judgements were handed down by the prosecution authorities or courts of various instances; certain cases were brought before higher judicial bodies.</w:t>
      </w:r>
      <w:r>
        <w:rPr>
          <w:rStyle w:val="FootnoteReference"/>
          <w:bCs/>
        </w:rPr>
        <w:footnoteReference w:id="8"/>
      </w:r>
    </w:p>
    <w:p w:rsidR="00000000" w:rsidRDefault="00000000">
      <w:pPr>
        <w:rPr>
          <w:bCs/>
        </w:rPr>
      </w:pPr>
      <w:r>
        <w:rPr>
          <w:bCs/>
        </w:rPr>
        <w:t>21.</w:t>
      </w:r>
      <w:r>
        <w:rPr>
          <w:bCs/>
        </w:rPr>
        <w:tab/>
        <w:t>New article 386 of the Criminal Code, which entered into force on 1 January 2006, created the legal basis for the Confederation’s measures to stop reprehensible acts and prevent crime, and to establish and support organizations that pursue such objectives.</w:t>
      </w:r>
    </w:p>
    <w:p w:rsidR="00000000" w:rsidRDefault="00000000">
      <w:r>
        <w:t>22.</w:t>
      </w:r>
      <w:r>
        <w:tab/>
        <w:t xml:space="preserve">The Committee on the Elimination of Racial Discrimination considered three reports submitted by Switzerland to its fifty-second and sixtieth sessions in 1998 and 2002, respectively, and made a number of recommendations to the authorities (CERD/C/304/Add.44 and CERD/C/60/CO/14).  Other institutions that have also considered questions relating to racism </w:t>
      </w:r>
      <w:r>
        <w:br w:type="page"/>
        <w:t>and xenophobia in Switzerland include the Council of Europe and the European Commission against Racism and Intolerance (ECRI).</w:t>
      </w:r>
      <w:r>
        <w:rPr>
          <w:rStyle w:val="FootnoteReference"/>
          <w:bCs/>
        </w:rPr>
        <w:footnoteReference w:id="9"/>
      </w:r>
      <w:r>
        <w:t xml:space="preserve">  It should be noted that, when it acceded to the International Convention on the Elimination of All Forms of Racial Discrimination, Switzerland made two reservations to article 2, paragraph 1 (a), stating that “Switzerland reserves the right to apply its legal provisions relating to the admission of foreigners to the Swiss labour market”, and also to article 4, concerning freedom of association.</w:t>
      </w:r>
    </w:p>
    <w:p w:rsidR="00000000" w:rsidRDefault="00000000">
      <w:pPr>
        <w:pStyle w:val="Heading2"/>
      </w:pPr>
      <w:r>
        <w:t>D.  Recent votes on immigration and asylum</w:t>
      </w:r>
    </w:p>
    <w:p w:rsidR="00000000" w:rsidRDefault="00000000">
      <w:r>
        <w:t>23.</w:t>
      </w:r>
      <w:r>
        <w:tab/>
        <w:t>Since 1970, 22 federal votes have dealt with foreigners or questions relating to asylum.  A list of these votes is contained in the annex to this document.</w:t>
      </w:r>
    </w:p>
    <w:p w:rsidR="00000000" w:rsidRDefault="00000000">
      <w:r>
        <w:t>24.</w:t>
      </w:r>
      <w:r>
        <w:tab/>
        <w:t>In September 2004, a vote was taken on two issues:  facilitated naturalization for young second-generation foreigners and acquisition of citizenship for third-generation foreigners.  During this campaign, some people condemned the “disinformation attempting to link facilitated naturalization with delinquency”.  Indeed, sharp criticism was levelled at the political campaigns launched by the Swiss People’s Party/Centre Democratic Union (SVP/UDC) on this subject and, inter alia, posters such as one showing the hands of persons of colour trying to catch Swiss passports in a basket or a poster showing Osama Bin Laden on a Swiss identity card with the subtitle “don’t be fooled”.</w:t>
      </w:r>
      <w:r>
        <w:rPr>
          <w:rStyle w:val="FootnoteReference"/>
          <w:bCs/>
        </w:rPr>
        <w:footnoteReference w:id="10"/>
      </w:r>
      <w:r>
        <w:t xml:space="preserve">  The two issues were rejected.</w:t>
      </w:r>
    </w:p>
    <w:p w:rsidR="00000000" w:rsidRDefault="00000000">
      <w:r>
        <w:t>25.</w:t>
      </w:r>
      <w:r>
        <w:tab/>
        <w:t>On 24 September 2006, two issues were submitted for a vote in Switzerland concerning the amendment of the Asylum Act and the Federal Act on Foreign Nationals.  During his mission, the Special Rapporteur followed with great interest the various debates on these votes, which involve matters directly related to his mandate.</w:t>
      </w:r>
    </w:p>
    <w:p w:rsidR="00000000" w:rsidRDefault="00000000">
      <w:r>
        <w:t>26.</w:t>
      </w:r>
      <w:r>
        <w:tab/>
        <w:t>With regard to the amendment of the law on asylum, the Special Rapporteur’s attention was drawn, in particular, to the position of certain NGOs that denounced the amendment of the law as incompatible with Switzerland’s international obligations.  Among other things, the NGOs criticized:</w:t>
      </w:r>
    </w:p>
    <w:p w:rsidR="00000000" w:rsidRDefault="00000000">
      <w:pPr>
        <w:numPr>
          <w:ilvl w:val="0"/>
          <w:numId w:val="24"/>
        </w:numPr>
        <w:tabs>
          <w:tab w:val="clear" w:pos="1080"/>
        </w:tabs>
      </w:pPr>
      <w:r>
        <w:t>The refusal of the authorities to consider requests for asylum if the applicant cannot furnish, within 48 hours, a passport or an identity card (birth certificates or driving licences will no longer be recognized as valid);</w:t>
      </w:r>
    </w:p>
    <w:p w:rsidR="00000000" w:rsidRDefault="00000000">
      <w:pPr>
        <w:numPr>
          <w:ilvl w:val="0"/>
          <w:numId w:val="24"/>
        </w:numPr>
        <w:tabs>
          <w:tab w:val="clear" w:pos="1080"/>
        </w:tabs>
      </w:pPr>
      <w:r>
        <w:br w:type="page"/>
        <w:t>The systematic refoulement of all persons coming from neighbouring transit countries that are considered safe;</w:t>
      </w:r>
    </w:p>
    <w:p w:rsidR="00000000" w:rsidRDefault="00000000">
      <w:pPr>
        <w:numPr>
          <w:ilvl w:val="0"/>
          <w:numId w:val="24"/>
        </w:numPr>
        <w:tabs>
          <w:tab w:val="clear" w:pos="1080"/>
        </w:tabs>
      </w:pPr>
      <w:r>
        <w:t>The transmission of information to the State of origin of the person without ascertaining whether or not the person in question, or his or her family who remained in the State of origin, will be subject to any risk, as soon as the first decision is taken to deport the person;</w:t>
      </w:r>
    </w:p>
    <w:p w:rsidR="00000000" w:rsidRDefault="00000000">
      <w:pPr>
        <w:numPr>
          <w:ilvl w:val="0"/>
          <w:numId w:val="24"/>
        </w:numPr>
        <w:tabs>
          <w:tab w:val="clear" w:pos="1080"/>
        </w:tabs>
      </w:pPr>
      <w:r>
        <w:t>The exclusion of social assistance for all applicants who have been rejected;</w:t>
      </w:r>
    </w:p>
    <w:p w:rsidR="00000000" w:rsidRDefault="00000000">
      <w:pPr>
        <w:numPr>
          <w:ilvl w:val="0"/>
          <w:numId w:val="24"/>
        </w:numPr>
        <w:tabs>
          <w:tab w:val="clear" w:pos="1080"/>
        </w:tabs>
      </w:pPr>
      <w:r>
        <w:t>Incarceration for up to two years for persons resisting return.</w:t>
      </w:r>
      <w:r>
        <w:rPr>
          <w:rStyle w:val="FootnoteReference"/>
          <w:bCs/>
        </w:rPr>
        <w:footnoteReference w:id="11"/>
      </w:r>
    </w:p>
    <w:p w:rsidR="00000000" w:rsidRDefault="00000000">
      <w:r>
        <w:t>27.</w:t>
      </w:r>
      <w:r>
        <w:tab/>
        <w:t>Moreover, the amendment of the law eliminates the notion of “honourable motive” for persons who assist asylum-seekers whose requests have not been considered for formal reasons (</w:t>
      </w:r>
      <w:r>
        <w:rPr>
          <w:i/>
          <w:iCs/>
        </w:rPr>
        <w:t>requérants d’asile frappés de non-entrée en matière</w:t>
      </w:r>
      <w:r>
        <w:t>)</w:t>
      </w:r>
      <w:r>
        <w:rPr>
          <w:rStyle w:val="FootnoteReference"/>
          <w:bCs/>
        </w:rPr>
        <w:footnoteReference w:id="12"/>
      </w:r>
      <w:r>
        <w:t xml:space="preserve"> and those whose requests for asylum have been dismissed.  Thus, on the one hand, whoever “facilitates the entry, departure or illegal sojourn of a foreigner or takes part in preparations for this purpose” is liable to a penalty of imprisonment for up to one year and a fine of 20,000 Swiss francs.  On the other hand, any person acting within the framework of an association or group of persons who, even for humanitarian reasons or for the purpose of protecting human rights, provide assistance to persons whose requests have been dismissed, are liable to a penalty of imprisonment for up to five years and a fine of up to 500,000 Swiss francs.</w:t>
      </w:r>
      <w:r>
        <w:rPr>
          <w:rStyle w:val="FootnoteReference"/>
          <w:bCs/>
        </w:rPr>
        <w:footnoteReference w:id="13"/>
      </w:r>
    </w:p>
    <w:p w:rsidR="00000000" w:rsidRDefault="00000000">
      <w:r>
        <w:t>28.</w:t>
      </w:r>
      <w:r>
        <w:tab/>
        <w:t>The Office of the United Nations High Commissioner for Refugees (UNHCR) expressed serious concern at certain aspects of the law, particularly the provisions restricting access to asylum for persons without valid travel or identity documents.  The 1951 Convention relating to the Status of Refugees specifically provides for refugees who may have had to flee their country without being able to obtain valid travel or identity documents.  This Swiss legal provision, which has been called one of the “strictest in Europe”, seems to ignore the case of persons fleeing for their lives who have not been able to obtain such documents.</w:t>
      </w:r>
      <w:r>
        <w:rPr>
          <w:rStyle w:val="FootnoteReference"/>
          <w:bCs/>
        </w:rPr>
        <w:footnoteReference w:id="14"/>
      </w:r>
      <w:r>
        <w:t xml:space="preserve">  The Special Rapporteur takes note of the fact that Swiss law provides for exceptions and hopes that courts take account of this in their jurisprudence.</w:t>
      </w:r>
    </w:p>
    <w:p w:rsidR="00000000" w:rsidRDefault="00000000">
      <w:r>
        <w:t>29.</w:t>
      </w:r>
      <w:r>
        <w:tab/>
        <w:t>With regard to the revision of the law on foreigners, the Special Rapporteur has taken note of the position of opponents to the amendment who have criticized the discriminatory treatment of foreigners who do not belong to a European country, the toughening of the rules on family reunification with regard to foreigners of non-European origin, the obligation to live together (and the possible effects on women of non-European origin) or the proliferation of measures making it possible to place foreigners who refuse to leave Switzerland in detention for up to two years.</w:t>
      </w:r>
    </w:p>
    <w:p w:rsidR="00000000" w:rsidRDefault="00000000">
      <w:r>
        <w:t>30.</w:t>
      </w:r>
      <w:r>
        <w:tab/>
        <w:t>The two issues obtained a majority in all cantons.</w:t>
      </w:r>
      <w:r>
        <w:rPr>
          <w:rStyle w:val="FootnoteReference"/>
          <w:bCs/>
        </w:rPr>
        <w:footnoteReference w:id="15"/>
      </w:r>
    </w:p>
    <w:p w:rsidR="00000000" w:rsidRDefault="00000000">
      <w:pPr>
        <w:pStyle w:val="Heading1"/>
      </w:pPr>
      <w:r>
        <w:t>II.  ANALYSIS OF THE SITUATION BY THE AUTHORITIES</w:t>
      </w:r>
    </w:p>
    <w:p w:rsidR="00000000" w:rsidRDefault="00000000">
      <w:r>
        <w:t>31.</w:t>
      </w:r>
      <w:r>
        <w:tab/>
        <w:t>The Swiss Government recently submitted the fourth, fifth and sixth periodic reports of Switzerland to the Committee on the Elimination of Racial Discrimination.  These reports contain a detailed description of the various problems relating to migration policy, as well as police violence and other issues, for example, the question of the status of the Travellers.</w:t>
      </w:r>
    </w:p>
    <w:p w:rsidR="00000000" w:rsidRDefault="00000000">
      <w:r>
        <w:t>32.</w:t>
      </w:r>
      <w:r>
        <w:tab/>
        <w:t>As the Federal Council pointed out in a decision of 23 February 2005, the fight against racism is a cross-cutting task for which all offices of the Confederation are responsible.  Several federal departments deal with matters that are directly or indirectly linked to the subject of racism and xenophobia.  In addition to the specialized service to combat racism, the Federal Department of the Interior includes the Federal Office for Cultural Affairs, which is responsible for the Travellers,</w:t>
      </w:r>
      <w:r>
        <w:rPr>
          <w:rStyle w:val="FootnoteReference"/>
          <w:bCs/>
        </w:rPr>
        <w:footnoteReference w:id="16"/>
      </w:r>
      <w:r>
        <w:t xml:space="preserve"> and the Federal Office for Equality between Women and Men whose mandate, which derives from the article on equality in the Federal Constitution and equality legislation, is to combat all forms of sex-based discrimination, direct or indirect.  The Department of Justice and Police includes, inter alia, the Federal Office for Migration,</w:t>
      </w:r>
      <w:r>
        <w:rPr>
          <w:rStyle w:val="FootnoteReference"/>
          <w:bCs/>
        </w:rPr>
        <w:footnoteReference w:id="17"/>
      </w:r>
      <w:r>
        <w:t xml:space="preserve"> which deals with questions relating to the right of foreigners and the right of asylum, and the Federal Police, which deals with all violent forms of extremism, including rightist extremism, as a threat to the State.  At the federal and cantonal levels, various federal departments have units or focal points that deal with questions of discrimination and produce information materials for foreigners and migrants.  The Directorate for Public International Law of the Department of Foreign Affairs is responsible for preparing periodic reports under article 9 of the International Convention on the Elimination of All Forms of Racial Discrimination.</w:t>
      </w:r>
    </w:p>
    <w:p w:rsidR="00000000" w:rsidRDefault="00000000">
      <w:pPr>
        <w:pStyle w:val="Heading2"/>
      </w:pPr>
      <w:r>
        <w:t>A.  Immigration and integration policy</w:t>
      </w:r>
    </w:p>
    <w:p w:rsidR="00000000" w:rsidRDefault="00000000">
      <w:r>
        <w:t>33.</w:t>
      </w:r>
      <w:r>
        <w:tab/>
        <w:t>Swiss migration policy is based in theory on the needs of the job market.  In 1991, Switzerland opted for a “three-circle” immigration policy:  the first circle was composed of the countries of the European Union before enlargement, and the countries of the European Free Trade Association; the second, of countries with similar economies and ideologies, such as the United States of America, Canada and New Zealand; the last circle being the rest of the world.  The Committee on the Elimination of Racial Discrimination considered “the conception and effect of this policy to be stigmatizing and discriminatory, and therefore contrary to the principles and provisions of the Convention” (CERD/C/304/Add.44, para. 6).  This “three-circle model” was officially abandoned in October 1998 and replaced by a “binary admission system” established by the Federal Council (see CERD/C/351/Add.2, para. 270).  This system is based on Switzerland’s conclusion with the European Union and the European Free Trade Association, within the framework of close bilateral relations, of an agreement on the free movement of persons.  It should be noted, however, that the Federal Act on the Temporary and Permanent Residence of Foreigners, which concerned all foreigners, has been replaced by the new Federal Act on Foreign Nationals, which deals with foreigners from countries that are not members of the European Union.  This binary admission system, which provides for two different legal regimes depending on the person’s origin, is considered by some, including Swiss anti-racist circles, to be highly discriminatory and a perpetuation of the spirit of the “three-circle model” in Swiss legislation.</w:t>
      </w:r>
      <w:r>
        <w:rPr>
          <w:rStyle w:val="FootnoteReference"/>
          <w:bCs/>
        </w:rPr>
        <w:footnoteReference w:id="18"/>
      </w:r>
    </w:p>
    <w:p w:rsidR="00000000" w:rsidRDefault="00000000">
      <w:r>
        <w:t>34.</w:t>
      </w:r>
      <w:r>
        <w:tab/>
        <w:t>With regard to integration, every year Switzerland allocates 14 million Swiss francs for the integration of the migrant population in accordance with article 25 (a) of the Federal Act on the Temporary and Permanent Residence of Foreigners and the Ordinance on the Integration of Foreigners.  Article 3 and article 14 (a) of the Ordinance indicate that integration efforts and measures are the common task of the cantons and the Confederation.</w:t>
      </w:r>
    </w:p>
    <w:p w:rsidR="00000000" w:rsidRDefault="00000000">
      <w:r>
        <w:t>35.</w:t>
      </w:r>
      <w:r>
        <w:tab/>
        <w:t>Integration is understood as a cross-cutting task involving all official institutions, each participating in its area of competence.  The Federal Office for Migration coordinates the integration measures adopted by the federal offices, guarantees exchanges of views and experience with the cantons and the cities, and finances integration measures for refugees and foreigners.  At the cantonal level, delegates for integration are also active in efforts to combat discrimination, which is considered as a central objective in the context of promoting integration.</w:t>
      </w:r>
    </w:p>
    <w:p w:rsidR="00000000" w:rsidRDefault="00000000">
      <w:r>
        <w:t>36.</w:t>
      </w:r>
      <w:r>
        <w:tab/>
        <w:t xml:space="preserve">The naturalization of foreigners in Switzerland involves three procedures that are carried out at the federal, cantonal and communal levels.  The procedures are governed by cantonal law; however, there may be variations depending on the commune.  Naturalization procedures have </w:t>
      </w:r>
      <w:r>
        <w:br w:type="page"/>
        <w:t>sometimes been challenged, as demonstrated by the case of Emmen commune (Lucerne) which, in March 2002, refused to grant Swiss citizenship to 19 candidates from the Balkans, while it had granted citizenship to Italian candidates.</w:t>
      </w:r>
      <w:r>
        <w:rPr>
          <w:rStyle w:val="FootnoteReference"/>
          <w:bCs/>
        </w:rPr>
        <w:footnoteReference w:id="19"/>
      </w:r>
      <w:r>
        <w:t xml:space="preserve">  On 9 July 2003, the First Chamber of Public Law of the Federal Tribunal handed down a ruling rescinding this decision.</w:t>
      </w:r>
    </w:p>
    <w:p w:rsidR="00000000" w:rsidRDefault="00000000">
      <w:r>
        <w:t>37.</w:t>
      </w:r>
      <w:r>
        <w:tab/>
        <w:t>Some Swiss cantons have granted foreigners residing in their territory the right to vote.</w:t>
      </w:r>
      <w:r>
        <w:rPr>
          <w:rStyle w:val="FootnoteReference"/>
          <w:bCs/>
        </w:rPr>
        <w:footnoteReference w:id="20"/>
      </w:r>
    </w:p>
    <w:p w:rsidR="00000000" w:rsidRDefault="00000000">
      <w:pPr>
        <w:pStyle w:val="Heading2"/>
      </w:pPr>
      <w:r>
        <w:t>B.  Specialized bodies and commissions</w:t>
      </w:r>
    </w:p>
    <w:p w:rsidR="00000000" w:rsidRDefault="00000000">
      <w:pPr>
        <w:pStyle w:val="Heading2"/>
      </w:pPr>
      <w:r>
        <w:t>1.  Federal Commission against Racism</w:t>
      </w:r>
    </w:p>
    <w:p w:rsidR="00000000" w:rsidRDefault="00000000">
      <w:r>
        <w:t>38.</w:t>
      </w:r>
      <w:r>
        <w:tab/>
        <w:t>The Federal Council established the Federal Commission against Racism on 23 August 1995 with a view to implementing the International Convention on the Elimination of All Forms of Racial Discrimination.  In its message concerning Switzerland’s accession to this Convention and on the relevant amendment of its criminal law of 2 March 1992, the Federal Council noted that the fight against racial discrimination is a task that involves pedagogical, sociological, cultural, federalist and legal aspects, as well as aspects of development policy and migration policy, and it mandated the Commission to “concern itself with racial discrimination, to work towards promoting better understanding between persons of different races, colours, origins, ethnic or national backgrounds or different religions and to combat all forms of direct or indirect racial discrimination, attaching particular importance to effective prevention”.</w:t>
      </w:r>
      <w:r>
        <w:rPr>
          <w:rStyle w:val="FootnoteReference"/>
          <w:bCs/>
        </w:rPr>
        <w:footnoteReference w:id="21"/>
      </w:r>
    </w:p>
    <w:p w:rsidR="00000000" w:rsidRDefault="00000000">
      <w:r>
        <w:t>39.</w:t>
      </w:r>
      <w:r>
        <w:tab/>
        <w:t xml:space="preserve">The Federal Commission against Racism is composed of 19 experts appointed </w:t>
      </w:r>
      <w:r>
        <w:rPr>
          <w:i/>
          <w:iCs/>
        </w:rPr>
        <w:t>ad personam</w:t>
      </w:r>
      <w:r>
        <w:t xml:space="preserve"> by the Federal Council, representing religious communities, minorities, NGOs, social partners as well as cantonal directors of public education and the police.  Interest groups, the sexes, languages, regions and age groups should, in principle, be equitably represented in the Commission.</w:t>
      </w:r>
    </w:p>
    <w:p w:rsidR="00000000" w:rsidRDefault="00000000">
      <w:r>
        <w:t>40.</w:t>
      </w:r>
      <w:r>
        <w:tab/>
        <w:t>The Federal Commission against Racism has, among others, the tasks of raising awareness, making recommendations, issuing opinions, and providing advice and support to persons who consider themselves to be victims of racial discrimination, and provides mediation services in cases of conflict.</w:t>
      </w:r>
      <w:r>
        <w:rPr>
          <w:rStyle w:val="FootnoteReference"/>
          <w:bCs/>
        </w:rPr>
        <w:footnoteReference w:id="22"/>
      </w:r>
    </w:p>
    <w:p w:rsidR="00000000" w:rsidRDefault="00000000">
      <w:r>
        <w:br w:type="page"/>
        <w:t>41.</w:t>
      </w:r>
      <w:r>
        <w:tab/>
        <w:t>In its discussion with the Special Rapporteur, the Federal Commission against Racism raised several important points.  It believes that there is no coherent policy concerning racism in Switzerland and that measures taken in this area are isolated and divided among the various institutions.  The Commission also referred to the lack of political will in this respect, the decline in resources available to actors involved in combating racism, xenophobia and the propagation of extremist ideas, and to the limited scope of, and difficulties in implementing, article 261 bis.</w:t>
      </w:r>
    </w:p>
    <w:p w:rsidR="00000000" w:rsidRDefault="00000000">
      <w:pPr>
        <w:pStyle w:val="Heading2"/>
      </w:pPr>
      <w:r>
        <w:t>2.  Federal Commission for Foreigners</w:t>
      </w:r>
    </w:p>
    <w:p w:rsidR="00000000" w:rsidRDefault="00000000">
      <w:r>
        <w:t>42.</w:t>
      </w:r>
      <w:r>
        <w:tab/>
        <w:t>The Federal Commission for Foreigners, established in 1970, is composed of 30 members of which half are of foreign nationality, elected by the Federal Council and, at the administrative level, attached directly to the Federal Department of Justice and Police.  The Commission deals with social, economic, cultural, political, demographic and legal questions with a view to encouraging the coexistence of foreign nationals settled in Switzerland and the Swiss population.  The Commission takes positions on questions of migration and gives its opinion to the Federal Council on questions of integration policy.  It defines integration as “the will of foreigners to become integrated in the host society and the openness of Swiss society to the foreign population”.</w:t>
      </w:r>
      <w:r>
        <w:rPr>
          <w:rStyle w:val="FootnoteReference"/>
          <w:bCs/>
        </w:rPr>
        <w:footnoteReference w:id="23"/>
      </w:r>
      <w:r>
        <w:t xml:space="preserve">  The Commission also administers an integration loan, established in 2001, to support projects in different areas.</w:t>
      </w:r>
      <w:r>
        <w:rPr>
          <w:rStyle w:val="FootnoteReference"/>
          <w:bCs/>
        </w:rPr>
        <w:footnoteReference w:id="24"/>
      </w:r>
    </w:p>
    <w:p w:rsidR="00000000" w:rsidRDefault="00000000">
      <w:r>
        <w:t>43.</w:t>
      </w:r>
      <w:r>
        <w:tab/>
        <w:t>During his discussion with the Federal Commission for Foreigners, the Special Rapporteur’s attention was drawn to the very restrictive nature of naturalization in Switzerland.  One of the members of the Commission pointed out that article 16 of the 1931 Federal Act on the Temporary and Permanent Residence of Foreigners refers to “foreign overpopulation”, which would indicate that any foreign presence is considered excessive by the law.</w:t>
      </w:r>
      <w:r>
        <w:rPr>
          <w:rStyle w:val="FootnoteReference"/>
          <w:bCs/>
        </w:rPr>
        <w:footnoteReference w:id="25"/>
      </w:r>
      <w:r>
        <w:t xml:space="preserve">  The text of the amended Act on Foreign Nationals no longer refers to “foreign overpopulation” but to “sociodemographic evolution”.  In spite of this semantic progress, the Commission believes that the new text is more restrictive than the one currently in force.  According to the Commission, the agreements on the free movement of persons between the European Union and the European Free Trade Association have had the result that this article no longer applies to nationals from these countries, who account for 60 per cent of the foreigners in Switzerland.  In this regard, the Special Rapporteur noted that the situation is strangely reminiscent of the old “three-circle” immigration policy, which was considered discriminatory by the Committee on the Elimination of Racial Discrimination.  Here, there are only two circles:  the Swiss, the Europeans and “close” countries (such as the United States or Canada) and the “others”, or the rest of the world.</w:t>
      </w:r>
    </w:p>
    <w:p w:rsidR="00000000" w:rsidRDefault="00000000">
      <w:pPr>
        <w:pStyle w:val="Heading2"/>
      </w:pPr>
      <w:r>
        <w:t>3.  Service for Combating Racism</w:t>
      </w:r>
    </w:p>
    <w:p w:rsidR="00000000" w:rsidRDefault="00000000">
      <w:r>
        <w:t>44.</w:t>
      </w:r>
      <w:r>
        <w:tab/>
        <w:t>The Service for Combating Racism, which is part of the Department of the Interior, is the Confederation’s representative in matters concerning the fight against racism, anti-Semitism, xenophobia and rightist extremism.  The activities of the Service include coordination and encouragement of initiatives to prevent and combat these phenomena at the federal, cantonal and communal levels.</w:t>
      </w:r>
    </w:p>
    <w:p w:rsidR="00000000" w:rsidRDefault="00000000">
      <w:r>
        <w:t>45.</w:t>
      </w:r>
      <w:r>
        <w:tab/>
        <w:t>The Service was established on 21 February 2001 by the Federal Council with a view to coordinating and networking internal administrative measures, and cooperating with cantonal and communal partners and representatives of civil society.  On the same day, the Federal Council decided to create a fund for projects against racism and in favour of human rights, with 15 million Swiss francs to support projects in these areas (2001-2005).  On 23 February 2005, the Federal Council decided to continue to support the work of the Service and third-party projects by allocating to them, beginning in 2006, an annual amount of 1.1 million Swiss francs.</w:t>
      </w:r>
      <w:r>
        <w:rPr>
          <w:rStyle w:val="FootnoteReference"/>
          <w:bCs/>
        </w:rPr>
        <w:footnoteReference w:id="26"/>
      </w:r>
    </w:p>
    <w:p w:rsidR="00000000" w:rsidRDefault="00000000">
      <w:pPr>
        <w:pStyle w:val="Heading2"/>
      </w:pPr>
      <w:r>
        <w:t>C.  Other relevant departments and services</w:t>
      </w:r>
    </w:p>
    <w:p w:rsidR="00000000" w:rsidRDefault="00000000">
      <w:r>
        <w:t>46.</w:t>
      </w:r>
      <w:r>
        <w:tab/>
        <w:t>During discussions with representatives of offices and departments of special interest to his mandate, the Special Rapporteur gathered the following information concerning measures to combat racism and promote integration:</w:t>
      </w:r>
    </w:p>
    <w:p w:rsidR="00000000" w:rsidRDefault="00000000">
      <w:pPr>
        <w:numPr>
          <w:ilvl w:val="0"/>
          <w:numId w:val="25"/>
        </w:numPr>
      </w:pPr>
      <w:r>
        <w:t>According to the Office for Equality between Women and Men, women of foreign origin are more likely to be employed in precarious jobs and have lower-than-average salaries;</w:t>
      </w:r>
    </w:p>
    <w:p w:rsidR="00000000" w:rsidRDefault="00000000">
      <w:pPr>
        <w:numPr>
          <w:ilvl w:val="0"/>
          <w:numId w:val="25"/>
        </w:numPr>
      </w:pPr>
      <w:r>
        <w:t>The Federal Office for Statistics informed the Special Rapporteur that there were no statistics or indicators for racism.  The representative of the Office stated that Swiss society was beginning to become stratified by ethnic origin;</w:t>
      </w:r>
    </w:p>
    <w:p w:rsidR="00000000" w:rsidRDefault="00000000">
      <w:pPr>
        <w:numPr>
          <w:ilvl w:val="0"/>
          <w:numId w:val="25"/>
        </w:numPr>
      </w:pPr>
      <w:r>
        <w:t>The lack of a specific study on racial discrimination by the Federal Office of Public Health;</w:t>
      </w:r>
    </w:p>
    <w:p w:rsidR="00000000" w:rsidRDefault="00000000">
      <w:pPr>
        <w:numPr>
          <w:ilvl w:val="0"/>
          <w:numId w:val="25"/>
        </w:numPr>
      </w:pPr>
      <w:r>
        <w:t>In the area of employment, termination is abusive when it is given by one party “because of a quality inherent in the personality of the other party” (article 336 of the Code of Obligations).  Nevertheless, the State Secretary for Economic Affairs has stated that he has no information on this subject;</w:t>
      </w:r>
    </w:p>
    <w:p w:rsidR="00000000" w:rsidRDefault="00000000">
      <w:pPr>
        <w:numPr>
          <w:ilvl w:val="0"/>
          <w:numId w:val="25"/>
        </w:numPr>
      </w:pPr>
      <w:r>
        <w:t>Primary school is accessible to all children, even children whose parents are in an illegal situation.</w:t>
      </w:r>
    </w:p>
    <w:p w:rsidR="00000000" w:rsidRDefault="00000000">
      <w:r>
        <w:t>47.</w:t>
      </w:r>
      <w:r>
        <w:tab/>
        <w:t>During the Special Rapporteur’s discussions with various cantonal and federal departments, in particular the Federal Office for Migration and the departments of justice and police, it was pointed out that crime in Switzerland was perpetrated mainly by foreigners, particularly asylum-seekers, that 90 per cent of requests for asylum do not meet admissibility criteria, and that it would therefore be necessary to adopt measures to distinguish “bad” asylum</w:t>
      </w:r>
      <w:r>
        <w:noBreakHyphen/>
        <w:t>seekers from “good” ones.  Moreover, in a letter to the Special Rapporteur, the Federal Office for Migration, states that “the return of individuals to certain countries of origin is often very difficult, or even impossible, when the foreigner concerned chooses not to cooperate with the authorities.  Such problems are currently encountered by a large number of persons from African countries.  For this reason, they are likely to be subjected to coercive measures and are comparatively often placed in detention pending deportation.  However, this state of affairs does not have any racial connotations”.</w:t>
      </w:r>
    </w:p>
    <w:p w:rsidR="00000000" w:rsidRDefault="00000000">
      <w:r>
        <w:t>48.</w:t>
      </w:r>
      <w:r>
        <w:tab/>
        <w:t>The delegates for integration who met with the Special Rapporteur stressed the importance of the policy for promoting the integration of foreigners, and noting in this regard that foreigners should be allowed to vote and stand for election.</w:t>
      </w:r>
    </w:p>
    <w:p w:rsidR="00000000" w:rsidRDefault="00000000">
      <w:r>
        <w:t>49.</w:t>
      </w:r>
      <w:r>
        <w:tab/>
        <w:t>The Special Rapporteur noted with interest the initiatives undertaken by certain cantonal police forces, particularity in Basel City, where the police authorities and associations representing black communities have begun meetings for dialogue and exchange of views.  Such exchanges have reportedly improved reciprocal knowledge, reduced prejudice and misunderstandings, and fostered better contacts between the police and these communities.  The Special Rapporteur notes that the encouragement of similar intercultural dialogues is one way to prevent the deterioration of social relations and to avoid misunderstandings and errors arising from ignorance and lack of comprehension of others.</w:t>
      </w:r>
    </w:p>
    <w:p w:rsidR="00000000" w:rsidRDefault="00000000">
      <w:r>
        <w:t>50.</w:t>
      </w:r>
      <w:r>
        <w:tab/>
        <w:t>In Basel, the Special Rapporteur visited a deportation centre and a centre for registering applicants at the border.  He noted that, while almost all detainees in this deportation centre were black, there were few blacks in the registration centre.  According to the explanation given by the authorities, “the high proportion of Africans in the Basel deportation centre can be explained by an enforcement problem.  Persons whose countries have concluded bilateral return agreements or who are considered to be willing to cooperate cannot be held in deportation centres.  Bilateral return agreements provide for material assistance for the return, which gives individuals an incentive to return to their countries without resistance; there are no such agreements with African countries.  This is why a high number of Africans are held in deportation centres”.  This explanation is contained in a letter from the Service for Combating Racism, entitled “Additional information on the subject of remedies”, which was sent to the Special Rapporteur following his visit.</w:t>
      </w:r>
    </w:p>
    <w:p w:rsidR="00000000" w:rsidRDefault="00000000">
      <w:pPr>
        <w:pStyle w:val="Heading1"/>
      </w:pPr>
      <w:r>
        <w:t>III.  ANALYSIS OF THE SITUATION BY OTHER ACTORS</w:t>
      </w:r>
    </w:p>
    <w:p w:rsidR="00000000" w:rsidRDefault="00000000">
      <w:pPr>
        <w:pStyle w:val="Heading2"/>
      </w:pPr>
      <w:r>
        <w:t>A.  Civil society</w:t>
      </w:r>
    </w:p>
    <w:p w:rsidR="00000000" w:rsidRDefault="00000000">
      <w:r>
        <w:t>51.</w:t>
      </w:r>
      <w:r>
        <w:tab/>
        <w:t>The Special Rapporteur met with various components of civil society, including representatives of foreign communities, religious communities, NGOs, associations, asylum</w:t>
      </w:r>
      <w:r>
        <w:noBreakHyphen/>
        <w:t xml:space="preserve">seekers, trade unions and employers.  He therefore had an opportunity to hear real-life </w:t>
      </w:r>
      <w:r>
        <w:br w:type="page"/>
        <w:t>testimonies from members of the communities and to verify the information provided by Swiss and foreign institutions concerning the situation of racism, racial discrimination and xenophobia in Switzerland.</w:t>
      </w:r>
    </w:p>
    <w:p w:rsidR="00000000" w:rsidRDefault="00000000">
      <w:r>
        <w:t>52.</w:t>
      </w:r>
      <w:r>
        <w:tab/>
        <w:t>During his meetings, the Special Rapporteur collected several testimonies concerning racist and xenophobic acts on the part of the population, particularly on the part of State bodies, such as the police.</w:t>
      </w:r>
      <w:r>
        <w:rPr>
          <w:rStyle w:val="FootnoteReference"/>
          <w:bCs/>
        </w:rPr>
        <w:footnoteReference w:id="27"/>
      </w:r>
      <w:r>
        <w:t xml:space="preserve">  The information submitted indicated the following:</w:t>
      </w:r>
    </w:p>
    <w:p w:rsidR="00000000" w:rsidRDefault="00000000">
      <w:pPr>
        <w:numPr>
          <w:ilvl w:val="0"/>
          <w:numId w:val="26"/>
        </w:numPr>
        <w:tabs>
          <w:tab w:val="clear" w:pos="1080"/>
        </w:tabs>
      </w:pPr>
      <w:r>
        <w:t>A feeling of great anxiety in the black community in Switzerland owing to, on the one hand, the general rise in discrimination and, on the other, serious and recurrent acts - particularly by the police - of racism against blacks, although there are only 37,000 black persons - or 0.5 per cent of the population - in Switzerland;</w:t>
      </w:r>
    </w:p>
    <w:p w:rsidR="00000000" w:rsidRDefault="00000000">
      <w:pPr>
        <w:numPr>
          <w:ilvl w:val="0"/>
          <w:numId w:val="26"/>
        </w:numPr>
        <w:tabs>
          <w:tab w:val="clear" w:pos="1080"/>
        </w:tabs>
      </w:pPr>
      <w:r>
        <w:t>The high number of racial profiling incidents targeting certain groups of foreigners, particularly blacks;</w:t>
      </w:r>
    </w:p>
    <w:p w:rsidR="00000000" w:rsidRDefault="00000000">
      <w:pPr>
        <w:numPr>
          <w:ilvl w:val="0"/>
          <w:numId w:val="26"/>
        </w:numPr>
        <w:tabs>
          <w:tab w:val="clear" w:pos="1080"/>
        </w:tabs>
      </w:pPr>
      <w:r>
        <w:t>A feeling of growing Islamophobia in Swiss society, according to most of the Muslim community representatives with whom the Special Rapporteur met;</w:t>
      </w:r>
    </w:p>
    <w:p w:rsidR="00000000" w:rsidRDefault="00000000">
      <w:pPr>
        <w:numPr>
          <w:ilvl w:val="0"/>
          <w:numId w:val="26"/>
        </w:numPr>
        <w:tabs>
          <w:tab w:val="clear" w:pos="1080"/>
        </w:tabs>
      </w:pPr>
      <w:r>
        <w:t>The existence of old and new forms of anti-Semitism in Switzerland, according to the Jewish community leaders with whom the Special Rapporteur met;</w:t>
      </w:r>
    </w:p>
    <w:p w:rsidR="00000000" w:rsidRDefault="00000000">
      <w:pPr>
        <w:numPr>
          <w:ilvl w:val="0"/>
          <w:numId w:val="26"/>
        </w:numPr>
        <w:tabs>
          <w:tab w:val="clear" w:pos="1080"/>
        </w:tabs>
      </w:pPr>
      <w:r>
        <w:t>The existence of discriminatory practices in stations and airports, particularly Zurich airport, including racial profiling, physical violence and verbal abuse, as well as violent expulsions of persons tied to wheelchairs, with helmets and diapers;</w:t>
      </w:r>
    </w:p>
    <w:p w:rsidR="00000000" w:rsidRDefault="00000000">
      <w:pPr>
        <w:numPr>
          <w:ilvl w:val="0"/>
          <w:numId w:val="26"/>
        </w:numPr>
        <w:tabs>
          <w:tab w:val="clear" w:pos="1080"/>
        </w:tabs>
      </w:pPr>
      <w:r>
        <w:t>The negative trend in Swiss domestic legislation towards restricting the rights of and reducing protection for, foreigners, or criminalizing foreigners;</w:t>
      </w:r>
    </w:p>
    <w:p w:rsidR="00000000" w:rsidRDefault="00000000">
      <w:pPr>
        <w:numPr>
          <w:ilvl w:val="0"/>
          <w:numId w:val="26"/>
        </w:numPr>
        <w:tabs>
          <w:tab w:val="clear" w:pos="1080"/>
        </w:tabs>
      </w:pPr>
      <w:r>
        <w:t>The toughening of social relations and the rise of racist and xenophobic discourse by political parties;</w:t>
      </w:r>
    </w:p>
    <w:p w:rsidR="00000000" w:rsidRDefault="00000000">
      <w:pPr>
        <w:numPr>
          <w:ilvl w:val="0"/>
          <w:numId w:val="26"/>
        </w:numPr>
        <w:tabs>
          <w:tab w:val="clear" w:pos="1080"/>
        </w:tabs>
      </w:pPr>
      <w:r>
        <w:t>The general increase of acts and manifestations of racial discrimination</w:t>
      </w:r>
      <w:r>
        <w:rPr>
          <w:rStyle w:val="FootnoteReference"/>
          <w:bCs/>
        </w:rPr>
        <w:footnoteReference w:id="28"/>
      </w:r>
      <w:r>
        <w:t xml:space="preserve"> felt by members of all foreign communities and national minorities;</w:t>
      </w:r>
    </w:p>
    <w:p w:rsidR="00000000" w:rsidRDefault="00000000">
      <w:pPr>
        <w:numPr>
          <w:ilvl w:val="0"/>
          <w:numId w:val="26"/>
        </w:numPr>
        <w:tabs>
          <w:tab w:val="clear" w:pos="1080"/>
        </w:tabs>
      </w:pPr>
      <w:r>
        <w:t>The real suffering of the victims and the difficulty of lodging complaints, which is often a long and costly procedure that is not always successful and does not guarantee the restoration of the rights and respect for the dignity of the victim;</w:t>
      </w:r>
    </w:p>
    <w:p w:rsidR="00000000" w:rsidRDefault="00000000">
      <w:pPr>
        <w:numPr>
          <w:ilvl w:val="0"/>
          <w:numId w:val="26"/>
        </w:numPr>
        <w:tabs>
          <w:tab w:val="clear" w:pos="1080"/>
        </w:tabs>
      </w:pPr>
      <w:r>
        <w:t>The need expressed by civil society for a national human rights institution;</w:t>
      </w:r>
    </w:p>
    <w:p w:rsidR="00000000" w:rsidRDefault="00000000">
      <w:pPr>
        <w:numPr>
          <w:ilvl w:val="0"/>
          <w:numId w:val="26"/>
        </w:numPr>
        <w:tabs>
          <w:tab w:val="clear" w:pos="1080"/>
        </w:tabs>
      </w:pPr>
      <w:r>
        <w:t>The lack of mechanisms for an independent investigation into allegations of police violence.</w:t>
      </w:r>
    </w:p>
    <w:p w:rsidR="00000000" w:rsidRDefault="00000000">
      <w:r>
        <w:t>53.</w:t>
      </w:r>
      <w:r>
        <w:tab/>
        <w:t>The Special Rapporteur took note of reports concerning the treatment of persons whose applications had not been considered for formal reasons.  Such treatment allegedly includes physical and verbal abuse, humiliation, refusal to provide medical treatment, body searches and the undressing of the victim in public without regard for the sex of the persons present, theft of money and property by public authority officials, unhealthy accommodations, detention in public toilets, refusal to accept complaints lodged by the victims, etc.</w:t>
      </w:r>
      <w:r>
        <w:rPr>
          <w:rStyle w:val="FootnoteReference"/>
          <w:bCs/>
        </w:rPr>
        <w:footnoteReference w:id="29"/>
      </w:r>
    </w:p>
    <w:p w:rsidR="00000000" w:rsidRDefault="00000000">
      <w:r>
        <w:t>54.</w:t>
      </w:r>
      <w:r>
        <w:tab/>
        <w:t>Some associations have denounced discriminatory practices in the methods used by the Swiss authorities in matters relating to asylum, particularly with regard to requests from West African asylum-seekers.</w:t>
      </w:r>
      <w:r>
        <w:rPr>
          <w:rStyle w:val="FootnoteReference"/>
        </w:rPr>
        <w:footnoteReference w:id="30"/>
      </w:r>
    </w:p>
    <w:p w:rsidR="00000000" w:rsidRDefault="00000000">
      <w:r>
        <w:t>55.</w:t>
      </w:r>
      <w:r>
        <w:tab/>
        <w:t>Representatives of the Union of Swiss Employers (Schweizerischer Arbeitgeberverband/ Union Patronale Suisse) said that the question of racism did not arise at the level of enterprises, and referred to the positive stance taken in votes on foreigners and facilitated naturalization.  They also pointed to the existence, in certain collective agreements, of articles on the protection of the person and on non</w:t>
      </w:r>
      <w:r>
        <w:noBreakHyphen/>
        <w:t>discrimination against workers.</w:t>
      </w:r>
    </w:p>
    <w:p w:rsidR="00000000" w:rsidRDefault="00000000">
      <w:r>
        <w:t>56.</w:t>
      </w:r>
      <w:r>
        <w:tab/>
        <w:t>Representatives of trade unions talked about discrimination in hiring foreigners and in the availability of training places for foreigners, particularly young people, based on their origin and social status.  They consider that worker protection in Switzerland is particularly poor, especially in cases of discrimination.</w:t>
      </w:r>
    </w:p>
    <w:p w:rsidR="00000000" w:rsidRDefault="00000000">
      <w:pPr>
        <w:pStyle w:val="Heading2"/>
      </w:pPr>
      <w:r>
        <w:t>B.  Political parties</w:t>
      </w:r>
    </w:p>
    <w:p w:rsidR="00000000" w:rsidRDefault="00000000">
      <w:r>
        <w:t>57.</w:t>
      </w:r>
      <w:r>
        <w:tab/>
        <w:t>Switzerland’s policy towards foreigners and its asylum policy continue to be the subject of lively political debates.  The following paragraphs provide a general survey of the position of the main parties in Switzerland.</w:t>
      </w:r>
    </w:p>
    <w:p w:rsidR="00000000" w:rsidRDefault="00000000">
      <w:r>
        <w:t>58.</w:t>
      </w:r>
      <w:r>
        <w:tab/>
        <w:t>The Swiss Liberal Party (Liberale Partei der Schweiz/Parti libéral suisse; LPS/PLS) is calling for the prosecution of asylum-seekers who commit criminal offences and for greater flexibility in particularly difficult humanitarian situations for which exceptional measures (“humanitarian permit”) should be taken.  The measures to be taken include:  the speedier and more systematic execution of return decisions, graduated social assistance, subject to established justification for extending the stay of the person in question and, under certain conditions, limited work permits.</w:t>
      </w:r>
      <w:r>
        <w:rPr>
          <w:rStyle w:val="FootnoteReference"/>
          <w:bCs/>
        </w:rPr>
        <w:footnoteReference w:id="31"/>
      </w:r>
    </w:p>
    <w:p w:rsidR="00000000" w:rsidRDefault="00000000">
      <w:r>
        <w:t>59.</w:t>
      </w:r>
      <w:r>
        <w:tab/>
        <w:t>For the Christian Democratic Party (Christlich-demokratische Volkspartei/Parti démocratique chrétien; CVP/PDC), the declared guiding principle is to control immigration in Switzerland while reducing crime committed by foreigners.  The Party advocates the facilitation, under certain conditions, of naturalization for young foreigners, the maintenance of the prohibition on work by asylum-seekers for three months, the reduction of the time limit for lodging an appeal in asylum procedures, and support for expulsion orders for persons residing in the country illegally.</w:t>
      </w:r>
      <w:r>
        <w:rPr>
          <w:rStyle w:val="FootnoteReference"/>
          <w:bCs/>
        </w:rPr>
        <w:footnoteReference w:id="32"/>
      </w:r>
    </w:p>
    <w:p w:rsidR="00000000" w:rsidRDefault="00000000">
      <w:r>
        <w:t>60.</w:t>
      </w:r>
      <w:r>
        <w:tab/>
        <w:t>The Swiss People’s Party/Centre Democratic Union (Schweizerische Volkspartei/Union démocratique du Centre; SVP/UDC) is calling for a tougher policy towards foreigners, particularly asylum-seekers.  The Party advocates, inter alia, the more effective surveillance of Switzerland’s borders, the placement of asylum-seekers in collective shelters pending the authorities’ decision and the execution of this decision, the reduction of time limits for procedures, appeals and re-evaluations of asylum procedures, as well as the immediate expulsion of asylum-seekers who are known criminals, or their internment pending their expulsion.  This Party’s political campaigns and posters have often been criticized and denounced by civil society organizations, the Federal Commission against Racism, the media and members of foreign communities and minorities as advocating racist and xenophobic ideas.</w:t>
      </w:r>
    </w:p>
    <w:p w:rsidR="00000000" w:rsidRDefault="00000000">
      <w:r>
        <w:t>61.</w:t>
      </w:r>
      <w:r>
        <w:tab/>
        <w:t>For the Freethinking Democratic Party of Switzerland/Radical Democratic Party of Switzerland (Freisinnige Demokratische Partei Schweiz/Parti radical-démocrate Suisse; FDP/PRD), integration includes “respect and recognition of the norms and habits of the indigenous population”.  Foreigners should be willing to integrate and the Swiss population should be open to that wish.</w:t>
      </w:r>
      <w:r>
        <w:rPr>
          <w:rStyle w:val="FootnoteReference"/>
          <w:bCs/>
        </w:rPr>
        <w:footnoteReference w:id="33"/>
      </w:r>
      <w:r>
        <w:t xml:space="preserve">  According to the Radical Democratic Party’s programme, the management of immigration should take account of national interests and national identity and </w:t>
      </w:r>
      <w:r>
        <w:br w:type="page"/>
        <w:t>the limitation of immigration in accordance with the objective of integration.</w:t>
      </w:r>
      <w:r>
        <w:rPr>
          <w:rStyle w:val="FootnoteReference"/>
          <w:bCs/>
        </w:rPr>
        <w:footnoteReference w:id="34"/>
      </w:r>
      <w:r>
        <w:t xml:space="preserve">  The position of the Radical Democratic Party on the right to asylum is not as clear-cut as that of the Christian Democratic Party or the Centre Democratic Union.  For the Radical Democratic Party, “despite the political implications of the asylum policy, asylum in Switzerland accounts for only 7 per cent of total immigration.  The exaggerated problems that this policy causes are the result of difficulties in implementing legally adopted decisions”.</w:t>
      </w:r>
      <w:r>
        <w:rPr>
          <w:rStyle w:val="FootnoteReference"/>
          <w:bCs/>
        </w:rPr>
        <w:footnoteReference w:id="35"/>
      </w:r>
    </w:p>
    <w:p w:rsidR="00000000" w:rsidRDefault="00000000">
      <w:r>
        <w:t>62.</w:t>
      </w:r>
      <w:r>
        <w:tab/>
        <w:t>For the Social Democratic Party of Switzerland or the Swiss Socialist Party (Sozialdemokratische Partei der Schweiz/Parti socialiste suisse; SPS/PSS), the “establishment of quotas for foreigners” (</w:t>
      </w:r>
      <w:r>
        <w:rPr>
          <w:i/>
          <w:iCs/>
        </w:rPr>
        <w:t>contingentement des personnes étrangères</w:t>
      </w:r>
      <w:r>
        <w:t>) reflects the policy of fear surrounding migration policy.  That policy is viewed as a bureaucratic approach to the global quantitative management of the number of foreign workers, which is not adapted to the changing needs of regional economies.  The Party denounces “the combination of vague legislation and the broad discretionary powers accorded to the cantonal police for foreigners”, which opens the way to unequal treatment and arbitrariness.  Moreover, it states that “the attitude of the authorities towards migrants has largely contributed to the population’s adoption of a distrustful approach towards persons who do not hold Swiss passports”.</w:t>
      </w:r>
      <w:r>
        <w:rPr>
          <w:rStyle w:val="FootnoteReference"/>
          <w:bCs/>
        </w:rPr>
        <w:footnoteReference w:id="36"/>
      </w:r>
    </w:p>
    <w:p w:rsidR="00000000" w:rsidRDefault="00000000">
      <w:r>
        <w:t>63.</w:t>
      </w:r>
      <w:r>
        <w:tab/>
        <w:t>The Green Party of Switzerland (Grüne Partei der Schweiz/Parti écologiste suisse) has taken a clear position against the toughening of legislation on foreigners and the right of asylum.  It considers the tightening of Swiss legislation discriminatory and in violation of the basic human rights of asylum-seekers.  With several other organizations, the Green Party launched a referendum against the Act on Foreign Nationals, which it called a “discriminatory and segregationist law that leaves the way completely open for arbitrary acts on the part of the administration”.</w:t>
      </w:r>
      <w:r>
        <w:rPr>
          <w:rStyle w:val="FootnoteReference"/>
          <w:bCs/>
        </w:rPr>
        <w:footnoteReference w:id="37"/>
      </w:r>
    </w:p>
    <w:p w:rsidR="00000000" w:rsidRDefault="00000000">
      <w:pPr>
        <w:pStyle w:val="Heading1"/>
      </w:pPr>
      <w:r>
        <w:t>IV.  ANALYSIS AND CONCLUSIONS</w:t>
      </w:r>
    </w:p>
    <w:p w:rsidR="00000000" w:rsidRDefault="00000000">
      <w:r>
        <w:t>64.</w:t>
      </w:r>
      <w:r>
        <w:tab/>
        <w:t>Switzerland has adopted general laws concerning respect for and the promotion of human rights.  However, the lack of comprehensive national legislation against racism, racial discrimination and xenophobia poses a major obstacle to the effectiveness of its fight against racism.  One illustration of this situation is the relative lack of legislation or remedies against the recurring manifestations of discrimination in employment and housing, which may be considered symbolic social indicators of discrimination.</w:t>
      </w:r>
    </w:p>
    <w:p w:rsidR="00000000" w:rsidRDefault="00000000">
      <w:pPr>
        <w:rPr>
          <w:bCs/>
        </w:rPr>
      </w:pPr>
      <w:r>
        <w:t>65.</w:t>
      </w:r>
      <w:r>
        <w:tab/>
        <w:t xml:space="preserve">Moreover, neither civil nor criminal law in Switzerland grants an association the right to bring legal proceedings on behalf of or for victims of racism, contrary to the situation in other countries.  However, in certain cantons, a request may be submitted to a judge, who decides on a </w:t>
      </w:r>
      <w:r>
        <w:rPr>
          <w:bCs/>
        </w:rPr>
        <w:t>case-by-case basis.  This gap in Swiss legislation has long been criticized by civil society and the Federal Commission against Racism.</w:t>
      </w:r>
    </w:p>
    <w:p w:rsidR="00000000" w:rsidRDefault="00000000">
      <w:pPr>
        <w:rPr>
          <w:bCs/>
        </w:rPr>
      </w:pPr>
      <w:r>
        <w:rPr>
          <w:bCs/>
        </w:rPr>
        <w:t>66.</w:t>
      </w:r>
      <w:r>
        <w:rPr>
          <w:bCs/>
        </w:rPr>
        <w:tab/>
        <w:t>Moreover, Switzerland is one of the rare European countries that does not have a national institution devoted entirely to human rights, in spite of the existence, for the past five years, of a parliamentary initiative calling for the establishment of a federal human rights commission.</w:t>
      </w:r>
    </w:p>
    <w:p w:rsidR="00000000" w:rsidRDefault="00000000">
      <w:pPr>
        <w:rPr>
          <w:bCs/>
        </w:rPr>
      </w:pPr>
      <w:r>
        <w:rPr>
          <w:bCs/>
        </w:rPr>
        <w:t>67.</w:t>
      </w:r>
      <w:r>
        <w:rPr>
          <w:bCs/>
        </w:rPr>
        <w:tab/>
        <w:t>The Special Rapporteur notes that the Swiss authorities, at both the federal and cantonal levels, have recognized the existence of problems related to racism and xenophobia, but that they have considered that these problems are not really serious, or that they are only a “secondary phenomenon”.</w:t>
      </w:r>
      <w:r>
        <w:rPr>
          <w:rStyle w:val="FootnoteReference"/>
          <w:bCs/>
        </w:rPr>
        <w:footnoteReference w:id="38"/>
      </w:r>
      <w:r>
        <w:rPr>
          <w:bCs/>
        </w:rPr>
        <w:t xml:space="preserve">  He noted that this assessment varies from department to department and according to the hierarchical position of the person questioned:  persons who are closest to social realities more openly acknowledge the existence of manifestations of racism, racial discrimination and xenophobia; this acknowledgement tends to become more diffuse at higher levels in the hierarchy.  Most of the members of foreign communities and national minorities with whom the Special Rapporteur met stated, often with great emotion, that they experienced racism and discrimination on a daily basis and that there was an overall atmosphere of xenophobia; they expressed a feeling of loneliness within the population and their fear of certain institutions, particularly the police.  The most affected communities and groups seem, at present, to be blacks, Jews, Travellers, asylum-seekers and Muslims or persons of Muslim culture.</w:t>
      </w:r>
    </w:p>
    <w:p w:rsidR="00000000" w:rsidRDefault="00000000">
      <w:pPr>
        <w:rPr>
          <w:bCs/>
        </w:rPr>
      </w:pPr>
      <w:r>
        <w:rPr>
          <w:bCs/>
        </w:rPr>
        <w:t>68.</w:t>
      </w:r>
      <w:r>
        <w:rPr>
          <w:bCs/>
        </w:rPr>
        <w:tab/>
        <w:t>Like all modern societies, Swiss society is faced with a process of far-reaching multiculturalism.  While the previous waves of migration came from European countries, the new migrations come from regions of Eastern Europe and from other geocultural regions and areas of the world.  Swiss society is therefore tending to be more marked than in the past by a higher degree of cultural, ethnic and religious diversity.  In Switzerland, as elsewhere in Europe, the challenge to national identity posed by this new diversity is a source of identity-related tensions.  The political, legal and cultural awareness, recognition and treatment of these tensions are crucial factors in the construction of a harmonious multicultural society.  However, Switzerland illustrates, in a particularly striking manner, one of the underlying causes of racism and xenophobia, namely the politicization of identity-related tensions that is embodied not only by the existence, according to civil society, of political parties with racist and xenophobic platforms and with the ability to implement them through government alliances, but also the gradual infiltration of these platforms into the political programmes of democratic parties.  This most often takes the form of legislation and policies that approach immigration and asylum issues solely from a security point of view and criminalize immigrants and asylum-seekers.</w:t>
      </w:r>
    </w:p>
    <w:p w:rsidR="00000000" w:rsidRDefault="00000000">
      <w:pPr>
        <w:rPr>
          <w:bCs/>
        </w:rPr>
      </w:pPr>
      <w:r>
        <w:rPr>
          <w:bCs/>
        </w:rPr>
        <w:br w:type="page"/>
        <w:t>69.</w:t>
      </w:r>
      <w:r>
        <w:rPr>
          <w:bCs/>
        </w:rPr>
        <w:tab/>
        <w:t>The Special Rapporteur noted, both in political discourse and in political platforms, as well as in some of the media, the growing emphasis on rhetoric based on the “defence of national identity” and the “threat of the foreign presence”.  The electoral success of these platforms reflects the existence in society of a current of political opinion that promotes the defence of identity vis-à-vis immigration and fosters the emergence of a culture of xenophobia in some segments of society - particularly rural society - which has been confirmed by the results of certain recent votes.  Questions relating to the place of foreigners in society, immigration and asylum are not treated as a matter of priority on the basis of the relevant international human rights instruments but, increasingly, only on the basis of two criteria:  the security imperative and the defence of national identity.</w:t>
      </w:r>
    </w:p>
    <w:p w:rsidR="00000000" w:rsidRDefault="00000000">
      <w:pPr>
        <w:rPr>
          <w:bCs/>
        </w:rPr>
      </w:pPr>
      <w:r>
        <w:rPr>
          <w:bCs/>
        </w:rPr>
        <w:t>70.</w:t>
      </w:r>
      <w:r>
        <w:rPr>
          <w:bCs/>
        </w:rPr>
        <w:tab/>
        <w:t>Historically, the Swiss authorities have linked foreign immigration to the job market.  This is reflected in the text of laws on the granting of residence permits.  The Special Rapporteur notes that these successive waves of workers have been tolerated and later accepted in the country as long as there was no deterioration in the economy and the job market.  The most recent influxes of foreigners in Switzerland have come at a time of a relative increase in unemployment and a decrease in growth owing to international factors and to the Swiss economy.  These new arrivals, including refugees and asylum-seekers, have been singled out by certain populist parties as responsible for rising unemployment or the State debt.</w:t>
      </w:r>
    </w:p>
    <w:p w:rsidR="00000000" w:rsidRDefault="00000000">
      <w:pPr>
        <w:rPr>
          <w:bCs/>
        </w:rPr>
      </w:pPr>
      <w:r>
        <w:rPr>
          <w:bCs/>
        </w:rPr>
        <w:t>71.</w:t>
      </w:r>
      <w:r>
        <w:rPr>
          <w:bCs/>
        </w:rPr>
        <w:tab/>
        <w:t>The Special Rapporteur notes with regret the tendency, which began several years ago, to criminalize foreigners, asylum-seekers and refugees in Switzerland.  This is done by the enactment of laws, regulations and decrees that place these groups of persons in a vulnerable legal situation, resulting in their social marginalization and cultural stigmatization.</w:t>
      </w:r>
    </w:p>
    <w:p w:rsidR="00000000" w:rsidRDefault="00000000">
      <w:pPr>
        <w:rPr>
          <w:bCs/>
        </w:rPr>
      </w:pPr>
      <w:r>
        <w:rPr>
          <w:bCs/>
        </w:rPr>
        <w:t>72.</w:t>
      </w:r>
      <w:r>
        <w:rPr>
          <w:bCs/>
        </w:rPr>
        <w:tab/>
        <w:t>In this context, the Special Rapporteur notes the political authorities’ lack of unity and a coherent national policy concerning the question of racism and xenophobia.  The general picture, which is one of significant progress and serious regression and is therefore marked by contrast and contradiction, seems to reflect the existence of internal tensions and profound disagreements among the political authorities.  Indeed, on the one hand, the Swiss Confederation has adopted anti-discriminatory norms, even if there is room for progress in this area, and finances projects to combat discrimination and racism.  On the other, it constantly reinforces its legislative restrictions against foreigners, refugees and asylum-seekers.  In doing so, it sends the population the message that foreigners are stigmatized and criminalized, thereby reinforcing prejudices and increasing discrimination and xenophobia within society.  This tends to legitimize acts of racism and xenophobia, both on the part of State bodies and in everyday social relations.  The Special Rapporteur noted significant questions in this regard within certain State institutions and in civil society.  Thus, an eminent official of one of these institutions stated in a letter addressed to the Special Rapporteur following his visit that “significant efforts have been made over the past few years to integrate foreigners.  However, paradoxically, rarely has speech reflecting distrust, and even contempt, towards them been so crude, nauseating and so widespread and echoed”.</w:t>
      </w:r>
    </w:p>
    <w:p w:rsidR="00000000" w:rsidRDefault="00000000">
      <w:pPr>
        <w:rPr>
          <w:bCs/>
        </w:rPr>
      </w:pPr>
      <w:r>
        <w:rPr>
          <w:bCs/>
        </w:rPr>
        <w:t>73.</w:t>
      </w:r>
      <w:r>
        <w:rPr>
          <w:bCs/>
        </w:rPr>
        <w:tab/>
        <w:t xml:space="preserve">The Special Rapporteur considers that racist and xenophobic discourse has left its mark on people’s minds, even within the State apparatus.  The leitmotif of foreigners as criminals, </w:t>
      </w:r>
      <w:r>
        <w:rPr>
          <w:bCs/>
        </w:rPr>
        <w:br w:type="page"/>
        <w:t>repeatedly revived on the occasion of many votes, punctuated by political discourse and exaggerated by certain media, increasingly penetrates the collective mentality and gives legitimacy not only to identity-related tensions hostile to cultural diversity but also to discriminatory and arbitrary behaviour by members of certain State bodies.</w:t>
      </w:r>
    </w:p>
    <w:p w:rsidR="00000000" w:rsidRDefault="00000000">
      <w:pPr>
        <w:rPr>
          <w:bCs/>
        </w:rPr>
      </w:pPr>
      <w:r>
        <w:rPr>
          <w:bCs/>
        </w:rPr>
        <w:t>74.</w:t>
      </w:r>
      <w:r>
        <w:rPr>
          <w:bCs/>
        </w:rPr>
        <w:tab/>
        <w:t>The establishment of the Service for Combating Racism and the Fund for Projects against Racism and in favour of Human Rights within the Federal Department of the Interior reflects a certain degree of political will to implement the Durban Programme of Action adopted by the World Conference against Racism, Racial Discrimination and Related Intolerance.  The establishment of the Federal Commission against Racism and the Federal Commission for Foreigners reflects a desire to involve civil society in this undertaking.  The personal commitment and high degree of motivation and sensitivity regarding the question of racism of officials and staff of the Service for Combating Racism and the members of these commissions demonstrate the existence in the State apparatus of motivated staff capable of implementing, with the appropriate means, any declared political will to combat racism and xenophobia.  However, two significant factors undermine this political will:  the absence of political consensus at the highest level, demonstrated by repeated proposals by political parties represented in the Government to abolish or marginalize these services and mechanisms, and by the fact that these services and mechanisms do not have the necessary powers and authority and do not receive the means and resources that they need to implement their mandates effectively.</w:t>
      </w:r>
    </w:p>
    <w:p w:rsidR="00000000" w:rsidRDefault="00000000">
      <w:pPr>
        <w:rPr>
          <w:bCs/>
        </w:rPr>
      </w:pPr>
      <w:r>
        <w:rPr>
          <w:bCs/>
        </w:rPr>
        <w:t>75.</w:t>
      </w:r>
      <w:r>
        <w:rPr>
          <w:bCs/>
        </w:rPr>
        <w:tab/>
        <w:t>The Special Rapporteur notes that the new legislation on foreigners and on asylum, owing to its restrictive and repressive nature, reveals a tendency to approach immigration and asylum issues solely from a security point of view and to criminalize foreigners, immigrants and asylum-seekers.  The considerable number of acts of police violence with racist and xenophobic overtones against these target groups and the judicial and administrative impunity enjoyed, according to the victims, by the perpetrators, as well as the absence of clear policy guidelines for the police force in order to prevent all discriminatory practices, are alarming signs of the failure to attach priority to combating racism and xenophobia.</w:t>
      </w:r>
    </w:p>
    <w:p w:rsidR="00000000" w:rsidRDefault="00000000">
      <w:pPr>
        <w:rPr>
          <w:bCs/>
        </w:rPr>
      </w:pPr>
      <w:r>
        <w:rPr>
          <w:bCs/>
        </w:rPr>
        <w:t>76.</w:t>
      </w:r>
      <w:r>
        <w:rPr>
          <w:bCs/>
        </w:rPr>
        <w:tab/>
        <w:t>Nevertheless, the Special Rapporteur took note with interest of initiatives, such as that of the Basel police, to implement an intercultural training programme and establish direct dialogue with representatives of the black community.  He was informed that a federal bill on the use of coercion by the police and police measures in areas that fall within the competence of the Confederation, expressly providing for training in the areas of “basic rights, protection of the person and procedural law and behaviour towards persons of different cultural backgrounds” is under consideration.  Nevertheless, the Special Rapporteur, with reference to the testimonies that he received during his visit, as well as to various reports prepared by recognized national and international NGOs, must conclude that police practices differ not only from canton to canton but remain one of the dark stains on Switzerland’s efforts to combat racism and xenophobia.</w:t>
      </w:r>
    </w:p>
    <w:p w:rsidR="00000000" w:rsidRDefault="00000000">
      <w:pPr>
        <w:rPr>
          <w:bCs/>
        </w:rPr>
      </w:pPr>
      <w:r>
        <w:rPr>
          <w:bCs/>
        </w:rPr>
        <w:t>77.</w:t>
      </w:r>
      <w:r>
        <w:rPr>
          <w:bCs/>
        </w:rPr>
        <w:tab/>
        <w:t xml:space="preserve">The Special Rapporteur was particularly alarmed at the lack of reliable data and statistics concerning manifestations and expressions of racism, discrimination and xenophobia in </w:t>
      </w:r>
      <w:r>
        <w:rPr>
          <w:bCs/>
        </w:rPr>
        <w:br w:type="page"/>
        <w:t>Switzerland.</w:t>
      </w:r>
      <w:r>
        <w:rPr>
          <w:rStyle w:val="FootnoteReference"/>
          <w:bCs/>
        </w:rPr>
        <w:footnoteReference w:id="39"/>
      </w:r>
      <w:r>
        <w:rPr>
          <w:bCs/>
        </w:rPr>
        <w:t xml:space="preserve">  The absence of this essential measuring tool makes it difficult to assess the phenomenon and limits the effectiveness of even sporadic policies, programmes and initiatives to combat racism.  Moreover, since statistics are not standardized among the cantons, whatever data are available, particularly data on crime, are difficult to interpret.</w:t>
      </w:r>
    </w:p>
    <w:p w:rsidR="00000000" w:rsidRDefault="00000000">
      <w:pPr>
        <w:rPr>
          <w:bCs/>
        </w:rPr>
      </w:pPr>
      <w:r>
        <w:rPr>
          <w:bCs/>
        </w:rPr>
        <w:t>78.</w:t>
      </w:r>
      <w:r>
        <w:rPr>
          <w:bCs/>
        </w:rPr>
        <w:tab/>
        <w:t>Through the diversity of situations and policies, the Special Rapporteur noted the impact of the distinctive nature of the federal structure, the powers and prerogatives of the cantons and the democratic tradition of popular votes on the recognition and treatment of questions relating to racism and xenophobia.  It would appear, therefore, that the question of racism, racial discrimination and xenophobia has not been the subject of a comprehensive and coherent approach or a resolute and credible national political programme.</w:t>
      </w:r>
    </w:p>
    <w:p w:rsidR="00000000" w:rsidRDefault="00000000">
      <w:pPr>
        <w:rPr>
          <w:bCs/>
        </w:rPr>
      </w:pPr>
      <w:r>
        <w:rPr>
          <w:bCs/>
        </w:rPr>
        <w:t>79.</w:t>
      </w:r>
      <w:r>
        <w:rPr>
          <w:bCs/>
        </w:rPr>
        <w:tab/>
        <w:t>The Special Rapporteur is particularly alarmed at the possibility that, owing to their electoral impact, racist and xenophobic political platforms will spread in the future, bearing in mind the degree of resistance to cultural diversity in the light of the increasing multiculturalization, particularly as a result of non-European immigration, of Swiss society.  In this regard, there are already signs, particularly in the context of the widespread tendency in Europe to associate Islam with terrorism, that one of the prime targets of these platforms will be the presence of Muslims in Switzerland.</w:t>
      </w:r>
    </w:p>
    <w:p w:rsidR="00000000" w:rsidRDefault="00000000">
      <w:pPr>
        <w:rPr>
          <w:bCs/>
        </w:rPr>
      </w:pPr>
      <w:r>
        <w:rPr>
          <w:bCs/>
        </w:rPr>
        <w:t>80.</w:t>
      </w:r>
      <w:r>
        <w:rPr>
          <w:bCs/>
        </w:rPr>
        <w:tab/>
        <w:t>During his visit, the Special Rapporteur spoke at length with his interlocutors concerning integration measures and programmes.  He noted that the positive aspects of some of these programmes are handicapped by two political and cultural factors in Switzerland:  (a) at the political level, by ideological hostility to integration, reflected in the political platforms of parties, such as the Swiss People’s Party/Centre Democratic Union, which are members of the Government; and (b) at the cultural level, by the rejection of cultural diversity, which takes the form of refusing to acknowledge the cultural specificity of immigrant minorities, particularly non-European minorities, which are suspected of threatening “national identity” and are enjoined to “adapt to national values”, thereby depriving such minorities of any opportunity to make cultural contributions to and enrich Swiss society.</w:t>
      </w:r>
    </w:p>
    <w:p w:rsidR="00000000" w:rsidRDefault="00000000">
      <w:pPr>
        <w:rPr>
          <w:bCs/>
        </w:rPr>
      </w:pPr>
      <w:r>
        <w:rPr>
          <w:bCs/>
        </w:rPr>
        <w:t>81.</w:t>
      </w:r>
      <w:r>
        <w:rPr>
          <w:bCs/>
        </w:rPr>
        <w:tab/>
        <w:t>The Special Rapporteur welcomes the commitment, in the context of Switzerland’s participatory democracy, of associations and civil society, including churches, to combating racism in Switzerland.  However, he notes with concern the current political and legal trend, demonstrated by the most recent vote, towards abolishing measures to defend and protect victims.</w:t>
      </w:r>
    </w:p>
    <w:p w:rsidR="00000000" w:rsidRDefault="00000000">
      <w:pPr>
        <w:rPr>
          <w:bCs/>
        </w:rPr>
      </w:pPr>
      <w:r>
        <w:rPr>
          <w:bCs/>
        </w:rPr>
        <w:t>82.</w:t>
      </w:r>
      <w:r>
        <w:rPr>
          <w:bCs/>
        </w:rPr>
        <w:tab/>
        <w:t>The Special Rapporteur is particularly alarmed at the situation, often extremely precarious, of asylum-seekers whose applications have not been considered for formal reasons, and at the Government’s policy - characterized by criminalization, suspicion and rejection - towards such persons.  Reports and official documents</w:t>
      </w:r>
      <w:r>
        <w:rPr>
          <w:rStyle w:val="FootnoteReference"/>
          <w:bCs/>
        </w:rPr>
        <w:footnoteReference w:id="40"/>
      </w:r>
      <w:r>
        <w:rPr>
          <w:bCs/>
        </w:rPr>
        <w:t xml:space="preserve"> clearly indicate a reduction of social assistance for such persons.  According to an official report, the measure excluding social assistance, which has been in force since 1 April 2004, has a twofold objective:  “reduce by 10,000 persons staff involved in asylum matters in order to realize savings on the order 117 million over three years, and create a better basis for asylum policy by refusing access to social assistance to persons who clearly have no need to be protected by the Swiss authorities”.</w:t>
      </w:r>
      <w:r>
        <w:rPr>
          <w:rStyle w:val="FootnoteReference"/>
          <w:bCs/>
        </w:rPr>
        <w:footnoteReference w:id="41"/>
      </w:r>
      <w:r>
        <w:rPr>
          <w:bCs/>
        </w:rPr>
        <w:t xml:space="preserve">  These “negative incentives” aimed at decisions not to consider requests for formal reasons will take the form of “a reduction to a minimum of the conditions of housing, food and health care provided, an obligation to renew on a regular basis requests for social benefits with the institutions stipulated by the authorities”.</w:t>
      </w:r>
      <w:r>
        <w:rPr>
          <w:rStyle w:val="FootnoteReference"/>
          <w:bCs/>
        </w:rPr>
        <w:footnoteReference w:id="42"/>
      </w:r>
      <w:r>
        <w:rPr>
          <w:bCs/>
        </w:rPr>
        <w:t xml:space="preserve">  The Special Rapporteur would like to mention here his satisfaction with the decision of the Federal Tribunal of 18 March 2005, in which the Tribunal ruled that Solothurn canton’s withholding of all material assistance, including emergency assistance, from persons whose requests had not been considered and who refused to cooperate in their return, was unconstitutional (Federal Tribunal ruling 131 166).</w:t>
      </w:r>
    </w:p>
    <w:p w:rsidR="00000000" w:rsidRDefault="00000000">
      <w:pPr>
        <w:rPr>
          <w:bCs/>
        </w:rPr>
      </w:pPr>
      <w:r>
        <w:rPr>
          <w:bCs/>
        </w:rPr>
        <w:t>83.</w:t>
      </w:r>
      <w:r>
        <w:rPr>
          <w:bCs/>
        </w:rPr>
        <w:tab/>
        <w:t>The Special Rapporteur regrets that such measures are used by a democratic State in contravention of Switzerland’s international human rights obligations, and that they damage the dignity of the persons affected.  In this regard, he wishes to remind the Swiss authorities of article 12 of the Federal Constitution, which states:  “Persons in distress and incapable of looking after themselves have the right to be helped and assisted, and to receive the means that are indispensable for leading a life in human dignity.”  It is in this spirit that the obligations contained in the Universal Declaration of Human Rights and other international instruments applicable to Switzerland must also be understood.  Moreover, the publication of certain documents by the authorities, such as the report referred to in the previous paragraph, reflects a premise of suspicion:  the asylum-seeker is a priori a false applicant whose only aim is to take advantage of Switzerland’s wealth.</w:t>
      </w:r>
    </w:p>
    <w:p w:rsidR="00000000" w:rsidRDefault="00000000">
      <w:pPr>
        <w:rPr>
          <w:bCs/>
        </w:rPr>
      </w:pPr>
      <w:r>
        <w:rPr>
          <w:bCs/>
        </w:rPr>
        <w:t>84.</w:t>
      </w:r>
      <w:r>
        <w:rPr>
          <w:bCs/>
        </w:rPr>
        <w:tab/>
        <w:t xml:space="preserve">Lastly, the Special Rapporteur questions, in this regard, the real meaning of the statement following his visit, made by the spokesman of the Swiss People’s Party/Centre Democratic Union, which is represented in the Government, who said:  “I can accept that a United Nations representative can criticize us since we are now members of the United Nations, but it is a bit much when these comments are made by a Senegalese.”  The Special Rapporteur welcomed the </w:t>
      </w:r>
      <w:r>
        <w:rPr>
          <w:bCs/>
        </w:rPr>
        <w:br w:type="page"/>
        <w:t>reactions of the Federal Department of Foreign Affairs, which deeply regretted the fact that the spokesman of a government party should challenge the authority of a Special Rapporteur of the United Nations, and of the Federal Department of the Interior, whose spokesman said that the comment, which was out of place, showed how ignorant the person was regarding the quality of African intellectuals.  Similarly, the President of the Swiss Confederation, Mr. Moritz Leuenberger, said that he hoped that no such remark had ever been made but, if it had, it should be vigorously condemned.</w:t>
      </w:r>
    </w:p>
    <w:p w:rsidR="00000000" w:rsidRDefault="00000000">
      <w:pPr>
        <w:rPr>
          <w:bCs/>
        </w:rPr>
      </w:pPr>
      <w:r>
        <w:rPr>
          <w:bCs/>
        </w:rPr>
        <w:t>85.</w:t>
      </w:r>
      <w:r>
        <w:rPr>
          <w:bCs/>
        </w:rPr>
        <w:tab/>
        <w:t>Following his visit, the Special Rapporteur received various letters, some anonymous, from Swiss people, both denouncing situations of racism and the lack of action on the part of the authorities, and criticizing the Special Rapporteur’s preliminary findings and telling him that Switzerland “had no lessons to learn from anyone”.  These documents and the content of certain articles and commentaries in the press that repeatedly refer to the Special Rapporteur’s nationality demonstrate the disturbing emergence of a culture of xenophobia in certain segments of Swiss society, which can have a long-term damaging effect on the image of the country, which is the European headquarters of the United Nations and which is rightly respected throughout the world for the originality and vitality of its political system of participatory democracy.</w:t>
      </w:r>
    </w:p>
    <w:p w:rsidR="00000000" w:rsidRDefault="00000000">
      <w:pPr>
        <w:pStyle w:val="Heading1"/>
        <w:rPr>
          <w:bCs/>
        </w:rPr>
      </w:pPr>
      <w:r>
        <w:t>V.  RECOMMENDATIONS</w:t>
      </w:r>
    </w:p>
    <w:p w:rsidR="00000000" w:rsidRDefault="00000000">
      <w:pPr>
        <w:rPr>
          <w:b/>
        </w:rPr>
      </w:pPr>
      <w:r>
        <w:rPr>
          <w:bCs/>
        </w:rPr>
        <w:t>86.</w:t>
      </w:r>
      <w:r>
        <w:rPr>
          <w:bCs/>
        </w:rPr>
        <w:tab/>
      </w:r>
      <w:r>
        <w:rPr>
          <w:b/>
        </w:rPr>
        <w:t>The Special Rapporteur recommends that the Swiss authorities prepare, as a matter of priority, a comprehensive political strategy to combat racism, racial discrimination and xenophobia, focusing on three main areas:</w:t>
      </w:r>
    </w:p>
    <w:p w:rsidR="00000000" w:rsidRDefault="00000000">
      <w:pPr>
        <w:numPr>
          <w:ilvl w:val="0"/>
          <w:numId w:val="27"/>
        </w:numPr>
        <w:tabs>
          <w:tab w:val="clear" w:pos="1080"/>
        </w:tabs>
        <w:rPr>
          <w:b/>
        </w:rPr>
      </w:pPr>
      <w:r>
        <w:rPr>
          <w:b/>
        </w:rPr>
        <w:t>The Government’s public expression of its political will to combat all forms and manifestations of racism, racial discrimination and xenophobia;</w:t>
      </w:r>
    </w:p>
    <w:p w:rsidR="00000000" w:rsidRDefault="00000000">
      <w:pPr>
        <w:numPr>
          <w:ilvl w:val="0"/>
          <w:numId w:val="27"/>
        </w:numPr>
        <w:tabs>
          <w:tab w:val="clear" w:pos="1080"/>
        </w:tabs>
        <w:rPr>
          <w:b/>
        </w:rPr>
      </w:pPr>
      <w:r>
        <w:rPr>
          <w:b/>
        </w:rPr>
        <w:t>Opposition to and condemnation of all racist and xenophobic political platforms;</w:t>
      </w:r>
    </w:p>
    <w:p w:rsidR="00000000" w:rsidRDefault="00000000">
      <w:pPr>
        <w:numPr>
          <w:ilvl w:val="0"/>
          <w:numId w:val="27"/>
        </w:numPr>
        <w:tabs>
          <w:tab w:val="clear" w:pos="1080"/>
        </w:tabs>
        <w:rPr>
          <w:b/>
        </w:rPr>
      </w:pPr>
      <w:r>
        <w:rPr>
          <w:b/>
        </w:rPr>
        <w:t>Recognition of, respect for and promotion of cultural diversity, and commitment to promote, in the long term, a democratic, egalitarian and interactive multiculturalism.</w:t>
      </w:r>
    </w:p>
    <w:p w:rsidR="00000000" w:rsidRDefault="00000000">
      <w:pPr>
        <w:rPr>
          <w:b/>
          <w:bCs/>
        </w:rPr>
      </w:pPr>
      <w:r>
        <w:rPr>
          <w:bCs/>
        </w:rPr>
        <w:t>87.</w:t>
      </w:r>
      <w:r>
        <w:rPr>
          <w:bCs/>
        </w:rPr>
        <w:tab/>
      </w:r>
      <w:r>
        <w:rPr>
          <w:b/>
          <w:bCs/>
        </w:rPr>
        <w:t>The Special Rapporteur therefore recommends that the Government make available the appropriate means, mechanisms and institutions to implement this political will, in particular by:</w:t>
      </w:r>
    </w:p>
    <w:p w:rsidR="00000000" w:rsidRDefault="00000000">
      <w:pPr>
        <w:numPr>
          <w:ilvl w:val="0"/>
          <w:numId w:val="28"/>
        </w:numPr>
        <w:rPr>
          <w:b/>
          <w:bCs/>
        </w:rPr>
      </w:pPr>
      <w:r>
        <w:rPr>
          <w:b/>
          <w:bCs/>
        </w:rPr>
        <w:t>Drafting, in cooperation with all political parties and in consultation with civil society organizations and representatives of national, ethnic, cultural and religious minorities, of comprehensive national legislation and a national programme of action to combat racism, racial discrimination and xenophobia.</w:t>
      </w:r>
    </w:p>
    <w:p w:rsidR="00000000" w:rsidRDefault="00000000">
      <w:pPr>
        <w:rPr>
          <w:b/>
          <w:bCs/>
        </w:rPr>
      </w:pPr>
      <w:r>
        <w:rPr>
          <w:b/>
          <w:bCs/>
        </w:rPr>
        <w:t>At the institutional level, the Special Rapporteur recommends two measures:</w:t>
      </w:r>
    </w:p>
    <w:p w:rsidR="00000000" w:rsidRDefault="00000000">
      <w:pPr>
        <w:numPr>
          <w:ilvl w:val="0"/>
          <w:numId w:val="28"/>
        </w:numPr>
        <w:tabs>
          <w:tab w:val="clear" w:pos="1080"/>
        </w:tabs>
        <w:rPr>
          <w:b/>
          <w:bCs/>
        </w:rPr>
      </w:pPr>
      <w:r>
        <w:rPr>
          <w:b/>
          <w:bCs/>
        </w:rPr>
        <w:t xml:space="preserve">In order to address the current rise in xenophobia, the Government should strengthen the Federal Commission for Foreigners and the Federal Commission </w:t>
      </w:r>
      <w:r>
        <w:rPr>
          <w:b/>
          <w:bCs/>
        </w:rPr>
        <w:br w:type="page"/>
        <w:t>against Racism with regard to material, budgetary and human resources and their authority and capacity for action and intervention.  The Service for Combating Racism should also be strengthened;</w:t>
      </w:r>
    </w:p>
    <w:p w:rsidR="00000000" w:rsidRDefault="00000000">
      <w:pPr>
        <w:numPr>
          <w:ilvl w:val="0"/>
          <w:numId w:val="28"/>
        </w:numPr>
        <w:tabs>
          <w:tab w:val="clear" w:pos="1080"/>
        </w:tabs>
        <w:rPr>
          <w:b/>
          <w:bCs/>
        </w:rPr>
      </w:pPr>
      <w:r>
        <w:rPr>
          <w:b/>
          <w:bCs/>
        </w:rPr>
        <w:t>In order to ensure a holistic approach that takes account of common underlying sources and of the link between all forms of discrimination, the Government should establish a federal commission to promote human rights and combat all forms of discrimination relating to race, religious belief, gender, age, disability and sexual preference.  Bearing in mind the urgency of questions relating to racism and xenophobia, the commission should attach high priority, at the initial stage, to combating racism and xenophobia.  The commission’s mandate should incorporate the current mandates of the Federal Commission against Racism and the Federal Commission for Foreigners.  The commission should be structured around subcommissions relating to each of these forms of discrimination and should be granted administrative, legal and normative powers of investigation, action and appeal with respect to all forms of discrimination, as well as the appropriate human, material and financial resources.  Its budget should be allocated by the Federal Assembly.  The president and members of the commission should be appointed by the Federal Assembly at the proposal of the Government, in consultation with political parties, civil society organizations and all cultural, religious and linguistic communities, in order to reflect the diversity of Swiss society and the necessary balances.  The commission should submit an annual report to the Federal Assembly containing an assessment of the situation and action-oriented recommendations for ensuring the promotion of and respect for human rights, and for combating all forms of discrimination.  The commission should be administered by a technical secretariat under its authority, either by the transfer, strengthening and transformation of the current Service for Combating Racism, reinforced with additional human, material and budgetary resources, or by a new mechanism.  This service should be given the mandate of follow-up, collection of statistical data, and recording and analysing incidents, manifestations and expressions of discrimination, for the commission.</w:t>
      </w:r>
    </w:p>
    <w:p w:rsidR="00000000" w:rsidRDefault="00000000">
      <w:pPr>
        <w:rPr>
          <w:b/>
          <w:bCs/>
        </w:rPr>
      </w:pPr>
      <w:r>
        <w:rPr>
          <w:bCs/>
        </w:rPr>
        <w:t>88.</w:t>
      </w:r>
      <w:r>
        <w:rPr>
          <w:bCs/>
        </w:rPr>
        <w:tab/>
      </w:r>
      <w:r>
        <w:rPr>
          <w:b/>
          <w:bCs/>
        </w:rPr>
        <w:t>The Special Rapporteur recommends that the resources provided to independent bodies that combat racism should be maintained, if not increased.</w:t>
      </w:r>
    </w:p>
    <w:p w:rsidR="00000000" w:rsidRDefault="00000000">
      <w:pPr>
        <w:rPr>
          <w:b/>
          <w:bCs/>
        </w:rPr>
      </w:pPr>
      <w:r>
        <w:rPr>
          <w:bCs/>
        </w:rPr>
        <w:t>89.</w:t>
      </w:r>
      <w:r>
        <w:rPr>
          <w:bCs/>
        </w:rPr>
        <w:tab/>
      </w:r>
      <w:r>
        <w:rPr>
          <w:b/>
          <w:bCs/>
        </w:rPr>
        <w:t>The Special Rapporteur is aware of the challenges arising from Switzerland’s federal structure and the division of powers between the Confederation and the cantons.  He nevertheless considers that the authorities should establish appropriate mechanisms to address the shortcomings in the area of protecting individuals against racism and racial discrimination.  In this regard, he endorses the recommendations made by the Committee on the Elimination of Racial Discrimination in 2002, particularly the assertion that “the Federal Government has the responsibility of ensuring the implementation of the Convention on its entire territory and must ensure that cantonal authorities are aware of the rights set out in the Convention and take the necessary measures in order to respect them” (CERD/C/60/CO/14, para. 8).</w:t>
      </w:r>
    </w:p>
    <w:p w:rsidR="00000000" w:rsidRDefault="00000000">
      <w:pPr>
        <w:rPr>
          <w:b/>
          <w:bCs/>
        </w:rPr>
      </w:pPr>
      <w:r>
        <w:rPr>
          <w:bCs/>
        </w:rPr>
        <w:t>90.</w:t>
      </w:r>
      <w:r>
        <w:rPr>
          <w:bCs/>
        </w:rPr>
        <w:tab/>
      </w:r>
      <w:r>
        <w:rPr>
          <w:b/>
          <w:bCs/>
        </w:rPr>
        <w:t>With regard to incidents of police violence, the Special Rapporteur wishes to remind the federal and cantonal authorities of their obligations under international norms for the protection of human rights, which apply to everyone without distinction.  In this regard, he strongly recommends, pending the establishment of the aforementioned federal commission, the creation of independent mechanisms to investigate allegations of racism, racial discrimination, xenophobia and related intolerance by various bodies and administrations at the federal, cantonal and communal levels.</w:t>
      </w:r>
    </w:p>
    <w:p w:rsidR="00000000" w:rsidRDefault="00000000">
      <w:pPr>
        <w:rPr>
          <w:b/>
          <w:bCs/>
        </w:rPr>
      </w:pPr>
      <w:r>
        <w:rPr>
          <w:bCs/>
        </w:rPr>
        <w:t>91.</w:t>
      </w:r>
      <w:r>
        <w:rPr>
          <w:bCs/>
        </w:rPr>
        <w:tab/>
      </w:r>
      <w:r>
        <w:rPr>
          <w:b/>
          <w:bCs/>
        </w:rPr>
        <w:t>The Special Rapporteur, having noted the weakness of Swiss administrative and civil legislation regarding protection against discrimination, particularly in the areas of housing, employment and access to public places, considers that Swiss legislation in these areas should explicitly incorporate effective anti-discriminatory and anti-racist norms.  Swiss law should also provide for legislation for the implementation of anti-racist norms, and provide for compensation or reparation.</w:t>
      </w:r>
    </w:p>
    <w:p w:rsidR="00000000" w:rsidRDefault="00000000">
      <w:pPr>
        <w:rPr>
          <w:b/>
          <w:bCs/>
        </w:rPr>
      </w:pPr>
      <w:r>
        <w:rPr>
          <w:bCs/>
        </w:rPr>
        <w:t>92.</w:t>
      </w:r>
      <w:r>
        <w:rPr>
          <w:bCs/>
        </w:rPr>
        <w:tab/>
      </w:r>
      <w:r>
        <w:rPr>
          <w:b/>
          <w:bCs/>
        </w:rPr>
        <w:t>The Special Rapporteur supports the planned adoption by the Swiss authorities of two articles to supplement article 261 dealing with distinctive symbols of a discriminatory attitude based on race or the public use of slogans, gestures or forms of salutation with a racist meaning, and with the criminalization of the creation of, or participation in, groups that intend to commit acts prohibited under article 261 bis.</w:t>
      </w:r>
    </w:p>
    <w:p w:rsidR="00000000" w:rsidRDefault="00000000">
      <w:pPr>
        <w:rPr>
          <w:b/>
          <w:bCs/>
        </w:rPr>
      </w:pPr>
      <w:r>
        <w:rPr>
          <w:bCs/>
        </w:rPr>
        <w:t>93.</w:t>
      </w:r>
      <w:r>
        <w:rPr>
          <w:bCs/>
        </w:rPr>
        <w:tab/>
      </w:r>
      <w:r>
        <w:rPr>
          <w:b/>
          <w:bCs/>
        </w:rPr>
        <w:t>He also recommends that Swiss legislation introduce the right of associations and non-governmental organizations to appear in court and act on behalf of victims, since this would provide better protection for persons who are reluctant or unable to take their cases to the courts.</w:t>
      </w:r>
    </w:p>
    <w:p w:rsidR="00000000" w:rsidRDefault="00000000">
      <w:pPr>
        <w:rPr>
          <w:b/>
          <w:bCs/>
        </w:rPr>
      </w:pPr>
      <w:r>
        <w:rPr>
          <w:bCs/>
        </w:rPr>
        <w:t>94.</w:t>
      </w:r>
      <w:r>
        <w:rPr>
          <w:bCs/>
        </w:rPr>
        <w:tab/>
      </w:r>
      <w:r>
        <w:rPr>
          <w:b/>
          <w:bCs/>
        </w:rPr>
        <w:t>The Special Rapporteur encourages the Swiss authorities to withdraw the reservations to article 2, paragraph 1 (a), and article 4 of the International Convention on the Elimination of All Forms of Racial Discrimination.</w:t>
      </w:r>
    </w:p>
    <w:p w:rsidR="00000000" w:rsidRDefault="00000000">
      <w:pPr>
        <w:rPr>
          <w:b/>
          <w:bCs/>
        </w:rPr>
      </w:pPr>
      <w:r>
        <w:rPr>
          <w:bCs/>
        </w:rPr>
        <w:t>95.</w:t>
      </w:r>
      <w:r>
        <w:rPr>
          <w:bCs/>
        </w:rPr>
        <w:tab/>
      </w:r>
      <w:r>
        <w:rPr>
          <w:b/>
          <w:bCs/>
        </w:rPr>
        <w:t>The Special Rapporteur is aware that the legal strategy alone cannot combat prejudices which, in Switzerland as elsewhere, are deeply rooted in history and culture.  He therefore recommends that the political and legal strategy be supplemented by a cultural and ethical strategy with the aim - in order to overcome the deadlocks and tensions of an ideological and partisan management of de facto uncontrolled multiculturalization - of the voluntary, gradual and long-term construction of a democratic, egalitarian, non</w:t>
      </w:r>
      <w:r>
        <w:rPr>
          <w:b/>
          <w:bCs/>
        </w:rPr>
        <w:noBreakHyphen/>
        <w:t>discriminatory and interactive multiculturalism centred around two related areas:  the promotion of reciprocal knowledge among communities reflecting the diversity of Swiss society and the promotion of interaction and cross-fertilization among these communities.  Action must be taken, here and now, to promote fruitful and non-antagonistic coexistence, the dialectic of unity and diversity, the founding principle of Swiss federalism, bearing in mind the current twofold challenge of the growing complexity of diversity as a result of non-European and non-Christian immigration, and of the dynamic of attempts to defend identity, which is exploited for political ends.</w:t>
      </w:r>
    </w:p>
    <w:p w:rsidR="00000000" w:rsidRDefault="00000000">
      <w:pPr>
        <w:rPr>
          <w:b/>
          <w:bCs/>
        </w:rPr>
      </w:pPr>
      <w:r>
        <w:rPr>
          <w:bCs/>
        </w:rPr>
        <w:br w:type="page"/>
        <w:t>96.</w:t>
      </w:r>
      <w:r>
        <w:rPr>
          <w:bCs/>
        </w:rPr>
        <w:tab/>
      </w:r>
      <w:r>
        <w:rPr>
          <w:b/>
          <w:bCs/>
        </w:rPr>
        <w:t>The Special Rapporteur considers that certain awareness-raising and training initiatives undertaken within State bodies, such as the training of the Basel City police force, are very positive, and recommends that they be undertaken in all cantons.  He also recommends that the Government increase, to the extent possible, the recruitment, at all State levels, of staff from among the immigrant population and the various foreign communities, and promote comprehensive intercultural training in all State services and institutions that deal with immigration and the situation of foreigners, in particular the police and border authorities, airports, stations, etc.</w:t>
      </w:r>
    </w:p>
    <w:p w:rsidR="00000000" w:rsidRDefault="00000000">
      <w:pPr>
        <w:rPr>
          <w:b/>
          <w:bCs/>
        </w:rPr>
      </w:pPr>
      <w:r>
        <w:rPr>
          <w:bCs/>
        </w:rPr>
        <w:t>97.</w:t>
      </w:r>
      <w:r>
        <w:rPr>
          <w:bCs/>
        </w:rPr>
        <w:tab/>
      </w:r>
      <w:r>
        <w:rPr>
          <w:b/>
          <w:bCs/>
        </w:rPr>
        <w:t>The Special Rapporteur strongly recommends that civil society organizations make use of the United Nations mechanisms available to them, both treaty body mechanisms, such as the Committee on the Elimination of Racial Discrimination, and the special procedures, and transmit to these bodies relevant information concerning possible human rights violations as a result of the application of laws such as the Act on Foreign Nationals or the Asylum Act.  In this regard, he encourages civil society to record and document acts of racism, racial discrimination and xenophobia.  He wishes to commend the non</w:t>
      </w:r>
      <w:r>
        <w:rPr>
          <w:b/>
          <w:bCs/>
        </w:rPr>
        <w:noBreakHyphen/>
        <w:t>governmental organizations that have already taken steps in this regard.</w:t>
      </w:r>
      <w:r>
        <w:rPr>
          <w:rStyle w:val="FootnoteReference"/>
        </w:rPr>
        <w:footnoteReference w:id="43"/>
      </w:r>
    </w:p>
    <w:p w:rsidR="00000000" w:rsidRDefault="00000000">
      <w:pPr>
        <w:pStyle w:val="Heading2"/>
        <w:spacing w:after="180"/>
        <w:rPr>
          <w:sz w:val="20"/>
        </w:rPr>
      </w:pPr>
    </w:p>
    <w:p w:rsidR="00000000" w:rsidRDefault="00000000">
      <w:pPr>
        <w:pStyle w:val="Heading2"/>
        <w:spacing w:after="180"/>
        <w:rPr>
          <w:sz w:val="20"/>
        </w:rPr>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sectPr>
      </w:pPr>
    </w:p>
    <w:p w:rsidR="00000000" w:rsidRDefault="00000000">
      <w:pPr>
        <w:pStyle w:val="Heading2"/>
        <w:spacing w:after="180"/>
        <w:rPr>
          <w:sz w:val="20"/>
        </w:rPr>
      </w:pPr>
      <w:r>
        <w:rPr>
          <w:sz w:val="20"/>
        </w:rPr>
        <w:t>Annex</w:t>
      </w:r>
    </w:p>
    <w:p w:rsidR="00000000" w:rsidRDefault="00000000">
      <w:pPr>
        <w:pStyle w:val="Heading2"/>
        <w:spacing w:after="180"/>
        <w:rPr>
          <w:sz w:val="20"/>
        </w:rPr>
      </w:pPr>
      <w:r>
        <w:rPr>
          <w:sz w:val="20"/>
        </w:rPr>
        <w:t>List of subjects of federal votes relating to foreigners or the right of asylum</w:t>
      </w:r>
    </w:p>
    <w:tbl>
      <w:tblPr>
        <w:tblW w:w="13445" w:type="dxa"/>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
        <w:gridCol w:w="986"/>
        <w:gridCol w:w="3875"/>
        <w:gridCol w:w="699"/>
        <w:gridCol w:w="1058"/>
        <w:gridCol w:w="689"/>
        <w:gridCol w:w="821"/>
        <w:gridCol w:w="821"/>
        <w:gridCol w:w="821"/>
        <w:gridCol w:w="853"/>
        <w:gridCol w:w="973"/>
        <w:gridCol w:w="913"/>
      </w:tblGrid>
      <w:tr w:rsidR="00000000">
        <w:trPr>
          <w:tblHeader/>
          <w:jc w:val="center"/>
        </w:trPr>
        <w:tc>
          <w:tcPr>
            <w:tcW w:w="936" w:type="dxa"/>
            <w:noWrap/>
            <w:tcMar>
              <w:left w:w="68" w:type="dxa"/>
              <w:right w:w="68" w:type="dxa"/>
            </w:tcMar>
          </w:tcPr>
          <w:p w:rsidR="00000000" w:rsidRDefault="00000000">
            <w:pPr>
              <w:spacing w:before="40" w:after="30"/>
              <w:ind w:left="57"/>
              <w:rPr>
                <w:sz w:val="17"/>
                <w:szCs w:val="16"/>
              </w:rPr>
            </w:pPr>
            <w:r>
              <w:rPr>
                <w:rFonts w:eastAsia="MS Mincho"/>
                <w:sz w:val="17"/>
                <w:szCs w:val="16"/>
              </w:rPr>
              <w:t>No. of vote</w:t>
            </w:r>
            <w:r>
              <w:rPr>
                <w:rFonts w:eastAsia="MS Mincho"/>
                <w:b/>
                <w:bCs/>
                <w:sz w:val="17"/>
                <w:szCs w:val="16"/>
                <w:vertAlign w:val="superscript"/>
              </w:rPr>
              <w:t>(</w:t>
            </w:r>
            <w:r>
              <w:rPr>
                <w:b/>
                <w:bCs/>
                <w:sz w:val="17"/>
                <w:szCs w:val="16"/>
                <w:vertAlign w:val="superscript"/>
              </w:rPr>
              <w:t>1)</w:t>
            </w:r>
          </w:p>
        </w:tc>
        <w:tc>
          <w:tcPr>
            <w:tcW w:w="986" w:type="dxa"/>
            <w:noWrap/>
            <w:tcMar>
              <w:left w:w="68" w:type="dxa"/>
              <w:right w:w="68" w:type="dxa"/>
            </w:tcMar>
          </w:tcPr>
          <w:p w:rsidR="00000000" w:rsidRDefault="00000000">
            <w:pPr>
              <w:spacing w:before="40" w:after="30"/>
              <w:jc w:val="center"/>
              <w:rPr>
                <w:sz w:val="17"/>
                <w:szCs w:val="16"/>
              </w:rPr>
            </w:pPr>
            <w:r>
              <w:rPr>
                <w:sz w:val="17"/>
                <w:szCs w:val="16"/>
              </w:rPr>
              <w:t>Date</w:t>
            </w:r>
          </w:p>
        </w:tc>
        <w:tc>
          <w:tcPr>
            <w:tcW w:w="3875" w:type="dxa"/>
            <w:noWrap/>
            <w:tcMar>
              <w:left w:w="68" w:type="dxa"/>
              <w:right w:w="68" w:type="dxa"/>
            </w:tcMar>
          </w:tcPr>
          <w:p w:rsidR="00000000" w:rsidRDefault="00000000">
            <w:pPr>
              <w:spacing w:before="40" w:after="30"/>
              <w:jc w:val="center"/>
              <w:rPr>
                <w:sz w:val="17"/>
                <w:szCs w:val="16"/>
              </w:rPr>
            </w:pPr>
            <w:r>
              <w:rPr>
                <w:sz w:val="17"/>
                <w:szCs w:val="16"/>
              </w:rPr>
              <w:t>Subject</w:t>
            </w:r>
          </w:p>
        </w:tc>
        <w:tc>
          <w:tcPr>
            <w:tcW w:w="699" w:type="dxa"/>
            <w:noWrap/>
            <w:tcMar>
              <w:left w:w="68" w:type="dxa"/>
              <w:right w:w="68" w:type="dxa"/>
            </w:tcMar>
          </w:tcPr>
          <w:p w:rsidR="00000000" w:rsidRDefault="00000000">
            <w:pPr>
              <w:spacing w:before="40" w:after="30"/>
              <w:jc w:val="center"/>
              <w:rPr>
                <w:sz w:val="17"/>
                <w:szCs w:val="16"/>
              </w:rPr>
            </w:pPr>
            <w:r>
              <w:rPr>
                <w:sz w:val="17"/>
                <w:szCs w:val="16"/>
              </w:rPr>
              <w:t>Type</w:t>
            </w:r>
            <w:r>
              <w:rPr>
                <w:b/>
                <w:bCs/>
                <w:sz w:val="17"/>
                <w:szCs w:val="16"/>
                <w:vertAlign w:val="superscript"/>
              </w:rPr>
              <w:t>(2)</w:t>
            </w:r>
          </w:p>
        </w:tc>
        <w:tc>
          <w:tcPr>
            <w:tcW w:w="1058" w:type="dxa"/>
            <w:noWrap/>
            <w:tcMar>
              <w:left w:w="68" w:type="dxa"/>
              <w:right w:w="68" w:type="dxa"/>
            </w:tcMar>
          </w:tcPr>
          <w:p w:rsidR="00000000" w:rsidRDefault="00000000">
            <w:pPr>
              <w:spacing w:before="40" w:after="30"/>
              <w:jc w:val="center"/>
              <w:rPr>
                <w:sz w:val="17"/>
                <w:szCs w:val="16"/>
              </w:rPr>
            </w:pPr>
            <w:r>
              <w:rPr>
                <w:sz w:val="17"/>
                <w:szCs w:val="16"/>
              </w:rPr>
              <w:t>Participation (%)</w:t>
            </w:r>
          </w:p>
        </w:tc>
        <w:tc>
          <w:tcPr>
            <w:tcW w:w="689" w:type="dxa"/>
            <w:noWrap/>
            <w:tcMar>
              <w:left w:w="68" w:type="dxa"/>
              <w:right w:w="68" w:type="dxa"/>
            </w:tcMar>
          </w:tcPr>
          <w:p w:rsidR="00000000" w:rsidRDefault="00000000">
            <w:pPr>
              <w:spacing w:before="40" w:after="30"/>
              <w:jc w:val="center"/>
              <w:rPr>
                <w:sz w:val="17"/>
                <w:szCs w:val="16"/>
              </w:rPr>
            </w:pPr>
            <w:r>
              <w:rPr>
                <w:sz w:val="17"/>
                <w:szCs w:val="16"/>
              </w:rPr>
              <w:t>Blank</w:t>
            </w:r>
          </w:p>
        </w:tc>
        <w:tc>
          <w:tcPr>
            <w:tcW w:w="821" w:type="dxa"/>
            <w:noWrap/>
            <w:tcMar>
              <w:left w:w="68" w:type="dxa"/>
              <w:right w:w="68" w:type="dxa"/>
            </w:tcMar>
          </w:tcPr>
          <w:p w:rsidR="00000000" w:rsidRDefault="00000000">
            <w:pPr>
              <w:spacing w:before="40" w:after="30"/>
              <w:jc w:val="center"/>
              <w:rPr>
                <w:sz w:val="17"/>
                <w:szCs w:val="16"/>
              </w:rPr>
            </w:pPr>
            <w:r>
              <w:rPr>
                <w:sz w:val="17"/>
                <w:szCs w:val="16"/>
              </w:rPr>
              <w:t>YES</w:t>
            </w:r>
          </w:p>
        </w:tc>
        <w:tc>
          <w:tcPr>
            <w:tcW w:w="821" w:type="dxa"/>
            <w:noWrap/>
            <w:tcMar>
              <w:left w:w="68" w:type="dxa"/>
              <w:right w:w="68" w:type="dxa"/>
            </w:tcMar>
          </w:tcPr>
          <w:p w:rsidR="00000000" w:rsidRDefault="00000000">
            <w:pPr>
              <w:spacing w:before="40" w:after="30"/>
              <w:jc w:val="center"/>
              <w:rPr>
                <w:sz w:val="17"/>
                <w:szCs w:val="16"/>
              </w:rPr>
            </w:pPr>
            <w:r>
              <w:rPr>
                <w:sz w:val="17"/>
                <w:szCs w:val="16"/>
              </w:rPr>
              <w:t>NO</w:t>
            </w:r>
          </w:p>
        </w:tc>
        <w:tc>
          <w:tcPr>
            <w:tcW w:w="821" w:type="dxa"/>
            <w:noWrap/>
            <w:tcMar>
              <w:left w:w="68" w:type="dxa"/>
              <w:right w:w="68" w:type="dxa"/>
            </w:tcMar>
          </w:tcPr>
          <w:p w:rsidR="00000000" w:rsidRDefault="00000000">
            <w:pPr>
              <w:spacing w:before="40" w:after="30"/>
              <w:jc w:val="center"/>
              <w:rPr>
                <w:sz w:val="17"/>
              </w:rPr>
            </w:pPr>
            <w:r>
              <w:rPr>
                <w:sz w:val="17"/>
              </w:rPr>
              <w:t>YES (%)</w:t>
            </w:r>
            <w:r>
              <w:rPr>
                <w:b/>
                <w:bCs/>
                <w:sz w:val="17"/>
                <w:vertAlign w:val="superscript"/>
              </w:rPr>
              <w:t>(3)</w:t>
            </w:r>
          </w:p>
        </w:tc>
        <w:tc>
          <w:tcPr>
            <w:tcW w:w="853" w:type="dxa"/>
            <w:noWrap/>
            <w:tcMar>
              <w:left w:w="68" w:type="dxa"/>
              <w:right w:w="68" w:type="dxa"/>
            </w:tcMar>
          </w:tcPr>
          <w:p w:rsidR="00000000" w:rsidRDefault="00000000">
            <w:pPr>
              <w:spacing w:before="40" w:after="30"/>
              <w:jc w:val="center"/>
              <w:rPr>
                <w:sz w:val="17"/>
                <w:szCs w:val="16"/>
              </w:rPr>
            </w:pPr>
            <w:r>
              <w:rPr>
                <w:sz w:val="17"/>
                <w:szCs w:val="16"/>
              </w:rPr>
              <w:t>Accepted  (A)</w:t>
            </w:r>
            <w:r>
              <w:rPr>
                <w:sz w:val="17"/>
                <w:szCs w:val="16"/>
              </w:rPr>
              <w:br/>
              <w:t>Rejected (R)</w:t>
            </w:r>
          </w:p>
        </w:tc>
        <w:tc>
          <w:tcPr>
            <w:tcW w:w="973" w:type="dxa"/>
            <w:noWrap/>
            <w:tcMar>
              <w:left w:w="68" w:type="dxa"/>
              <w:right w:w="68" w:type="dxa"/>
            </w:tcMar>
          </w:tcPr>
          <w:p w:rsidR="00000000" w:rsidRDefault="00000000">
            <w:pPr>
              <w:spacing w:before="40" w:after="30"/>
              <w:rPr>
                <w:sz w:val="17"/>
                <w:szCs w:val="16"/>
              </w:rPr>
            </w:pPr>
            <w:r>
              <w:rPr>
                <w:sz w:val="17"/>
                <w:szCs w:val="16"/>
              </w:rPr>
              <w:t xml:space="preserve">Cantons accepting </w:t>
            </w:r>
            <w:r>
              <w:rPr>
                <w:b/>
                <w:bCs/>
                <w:sz w:val="17"/>
                <w:szCs w:val="16"/>
                <w:vertAlign w:val="superscript"/>
              </w:rPr>
              <w:t>(4)</w:t>
            </w:r>
          </w:p>
        </w:tc>
        <w:tc>
          <w:tcPr>
            <w:tcW w:w="913" w:type="dxa"/>
            <w:noWrap/>
            <w:tcMar>
              <w:left w:w="68" w:type="dxa"/>
              <w:right w:w="68" w:type="dxa"/>
            </w:tcMar>
          </w:tcPr>
          <w:p w:rsidR="00000000" w:rsidRDefault="00000000">
            <w:pPr>
              <w:spacing w:before="40" w:after="30"/>
              <w:rPr>
                <w:sz w:val="17"/>
                <w:szCs w:val="16"/>
              </w:rPr>
            </w:pPr>
            <w:r>
              <w:rPr>
                <w:sz w:val="17"/>
                <w:szCs w:val="16"/>
              </w:rPr>
              <w:t xml:space="preserve">Cantons rejecting </w:t>
            </w:r>
            <w:r>
              <w:rPr>
                <w:b/>
                <w:bCs/>
                <w:sz w:val="17"/>
                <w:szCs w:val="16"/>
                <w:vertAlign w:val="superscript"/>
              </w:rPr>
              <w:t>(4)</w:t>
            </w:r>
          </w:p>
        </w:tc>
      </w:tr>
      <w:tr w:rsidR="00000000">
        <w:trPr>
          <w:jc w:val="center"/>
        </w:trPr>
        <w:tc>
          <w:tcPr>
            <w:tcW w:w="936" w:type="dxa"/>
            <w:noWrap/>
          </w:tcPr>
          <w:p w:rsidR="00000000" w:rsidRDefault="00000000">
            <w:pPr>
              <w:spacing w:before="40" w:after="30"/>
              <w:ind w:left="57"/>
              <w:rPr>
                <w:sz w:val="17"/>
                <w:szCs w:val="16"/>
              </w:rPr>
            </w:pPr>
            <w:r>
              <w:rPr>
                <w:sz w:val="17"/>
                <w:szCs w:val="16"/>
              </w:rPr>
              <w:t>524 p</w:t>
            </w:r>
          </w:p>
        </w:tc>
        <w:tc>
          <w:tcPr>
            <w:tcW w:w="986" w:type="dxa"/>
            <w:noWrap/>
          </w:tcPr>
          <w:p w:rsidR="00000000" w:rsidRDefault="00000000">
            <w:pPr>
              <w:spacing w:before="40" w:after="30"/>
              <w:jc w:val="center"/>
              <w:rPr>
                <w:sz w:val="17"/>
                <w:szCs w:val="16"/>
              </w:rPr>
            </w:pPr>
            <w:r>
              <w:rPr>
                <w:sz w:val="17"/>
                <w:szCs w:val="16"/>
              </w:rPr>
              <w:t>24.09.2006</w:t>
            </w:r>
          </w:p>
        </w:tc>
        <w:tc>
          <w:tcPr>
            <w:tcW w:w="3875" w:type="dxa"/>
            <w:noWrap/>
          </w:tcPr>
          <w:p w:rsidR="00000000" w:rsidRDefault="00000000">
            <w:pPr>
              <w:spacing w:before="40" w:after="30"/>
              <w:rPr>
                <w:sz w:val="17"/>
                <w:szCs w:val="16"/>
              </w:rPr>
            </w:pPr>
            <w:r>
              <w:rPr>
                <w:bCs/>
                <w:sz w:val="17"/>
              </w:rPr>
              <w:t>Federal Act on Foreign Nationals</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w:t>
            </w:r>
          </w:p>
        </w:tc>
        <w:tc>
          <w:tcPr>
            <w:tcW w:w="689" w:type="dxa"/>
            <w:noWrap/>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Pr>
          <w:p w:rsidR="00000000" w:rsidRDefault="00000000">
            <w:pPr>
              <w:spacing w:before="40" w:after="30"/>
              <w:jc w:val="center"/>
              <w:rPr>
                <w:sz w:val="17"/>
              </w:rPr>
            </w:pPr>
            <w:r>
              <w:rPr>
                <w:sz w:val="17"/>
              </w:rPr>
              <w:t>68.0</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284" w:type="dxa"/>
            </w:tcMar>
          </w:tcPr>
          <w:p w:rsidR="00000000" w:rsidRDefault="00000000">
            <w:pPr>
              <w:spacing w:before="40" w:after="30"/>
              <w:jc w:val="center"/>
              <w:rPr>
                <w:sz w:val="17"/>
                <w:szCs w:val="16"/>
              </w:rPr>
            </w:pPr>
            <w:r>
              <w:rPr>
                <w:sz w:val="17"/>
                <w:szCs w:val="16"/>
              </w:rPr>
              <w:t>*</w:t>
            </w:r>
          </w:p>
        </w:tc>
        <w:tc>
          <w:tcPr>
            <w:tcW w:w="913" w:type="dxa"/>
            <w:noWrap/>
          </w:tcPr>
          <w:p w:rsidR="00000000" w:rsidRDefault="00000000">
            <w:pPr>
              <w:spacing w:before="40" w:after="30"/>
              <w:jc w:val="center"/>
              <w:rPr>
                <w:sz w:val="17"/>
                <w:szCs w:val="16"/>
              </w:rPr>
            </w:pPr>
            <w:r>
              <w:rPr>
                <w:sz w:val="17"/>
                <w:szCs w:val="16"/>
              </w:rPr>
              <w:t>*</w:t>
            </w:r>
          </w:p>
        </w:tc>
      </w:tr>
      <w:tr w:rsidR="00000000">
        <w:trPr>
          <w:jc w:val="center"/>
        </w:trPr>
        <w:tc>
          <w:tcPr>
            <w:tcW w:w="936" w:type="dxa"/>
            <w:noWrap/>
          </w:tcPr>
          <w:p w:rsidR="00000000" w:rsidRDefault="00000000">
            <w:pPr>
              <w:spacing w:before="40" w:after="30"/>
              <w:ind w:left="57"/>
              <w:rPr>
                <w:sz w:val="17"/>
                <w:szCs w:val="16"/>
              </w:rPr>
            </w:pPr>
            <w:r>
              <w:rPr>
                <w:sz w:val="17"/>
                <w:szCs w:val="16"/>
              </w:rPr>
              <w:t>525 p</w:t>
            </w:r>
          </w:p>
        </w:tc>
        <w:tc>
          <w:tcPr>
            <w:tcW w:w="986" w:type="dxa"/>
            <w:noWrap/>
          </w:tcPr>
          <w:p w:rsidR="00000000" w:rsidRDefault="00000000">
            <w:pPr>
              <w:spacing w:before="40" w:after="30"/>
              <w:jc w:val="center"/>
              <w:rPr>
                <w:sz w:val="17"/>
                <w:szCs w:val="16"/>
              </w:rPr>
            </w:pPr>
            <w:r>
              <w:rPr>
                <w:sz w:val="17"/>
                <w:szCs w:val="16"/>
              </w:rPr>
              <w:t>24.09.2006</w:t>
            </w:r>
          </w:p>
        </w:tc>
        <w:tc>
          <w:tcPr>
            <w:tcW w:w="3875" w:type="dxa"/>
            <w:noWrap/>
          </w:tcPr>
          <w:p w:rsidR="00000000" w:rsidRDefault="00000000">
            <w:pPr>
              <w:spacing w:before="40" w:after="30"/>
              <w:rPr>
                <w:sz w:val="17"/>
                <w:szCs w:val="16"/>
              </w:rPr>
            </w:pPr>
            <w:r>
              <w:rPr>
                <w:bCs/>
                <w:sz w:val="17"/>
              </w:rPr>
              <w:t>Amendment of the Asylum Act</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w:t>
            </w:r>
          </w:p>
        </w:tc>
        <w:tc>
          <w:tcPr>
            <w:tcW w:w="689" w:type="dxa"/>
            <w:noWrap/>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Mar>
              <w:left w:w="28" w:type="dxa"/>
              <w:right w:w="28" w:type="dxa"/>
            </w:tcMar>
          </w:tcPr>
          <w:p w:rsidR="00000000" w:rsidRDefault="00000000">
            <w:pPr>
              <w:spacing w:before="40" w:after="30"/>
              <w:jc w:val="center"/>
              <w:rPr>
                <w:sz w:val="17"/>
                <w:szCs w:val="16"/>
              </w:rPr>
            </w:pPr>
            <w:r>
              <w:rPr>
                <w:sz w:val="17"/>
                <w:szCs w:val="16"/>
              </w:rPr>
              <w:t>…</w:t>
            </w:r>
          </w:p>
        </w:tc>
        <w:tc>
          <w:tcPr>
            <w:tcW w:w="821" w:type="dxa"/>
            <w:noWrap/>
          </w:tcPr>
          <w:p w:rsidR="00000000" w:rsidRDefault="00000000">
            <w:pPr>
              <w:spacing w:before="40" w:after="30"/>
              <w:jc w:val="center"/>
              <w:rPr>
                <w:sz w:val="17"/>
              </w:rPr>
            </w:pPr>
            <w:r>
              <w:rPr>
                <w:sz w:val="17"/>
              </w:rPr>
              <w:t>67.8</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284" w:type="dxa"/>
            </w:tcMar>
          </w:tcPr>
          <w:p w:rsidR="00000000" w:rsidRDefault="00000000">
            <w:pPr>
              <w:spacing w:before="40" w:after="30"/>
              <w:jc w:val="center"/>
              <w:rPr>
                <w:sz w:val="17"/>
                <w:szCs w:val="16"/>
              </w:rPr>
            </w:pPr>
            <w:r>
              <w:rPr>
                <w:sz w:val="17"/>
                <w:szCs w:val="16"/>
              </w:rPr>
              <w:t>*</w:t>
            </w:r>
          </w:p>
        </w:tc>
        <w:tc>
          <w:tcPr>
            <w:tcW w:w="913" w:type="dxa"/>
            <w:noWrap/>
          </w:tcPr>
          <w:p w:rsidR="00000000" w:rsidRDefault="00000000">
            <w:pPr>
              <w:spacing w:before="40" w:after="30"/>
              <w:jc w:val="center"/>
              <w:rPr>
                <w:sz w:val="17"/>
                <w:szCs w:val="16"/>
              </w:rPr>
            </w:pPr>
            <w:r>
              <w:rPr>
                <w:sz w:val="17"/>
                <w:szCs w:val="16"/>
              </w:rPr>
              <w:t>*</w:t>
            </w:r>
          </w:p>
        </w:tc>
      </w:tr>
      <w:tr w:rsidR="00000000">
        <w:trPr>
          <w:jc w:val="center"/>
        </w:trPr>
        <w:tc>
          <w:tcPr>
            <w:tcW w:w="936" w:type="dxa"/>
            <w:noWrap/>
          </w:tcPr>
          <w:p w:rsidR="00000000" w:rsidRDefault="00000000">
            <w:pPr>
              <w:spacing w:before="40" w:after="30"/>
              <w:ind w:left="57"/>
              <w:rPr>
                <w:sz w:val="17"/>
                <w:szCs w:val="16"/>
              </w:rPr>
            </w:pPr>
            <w:r>
              <w:rPr>
                <w:sz w:val="17"/>
                <w:szCs w:val="16"/>
              </w:rPr>
              <w:t>510</w:t>
            </w:r>
          </w:p>
        </w:tc>
        <w:tc>
          <w:tcPr>
            <w:tcW w:w="986" w:type="dxa"/>
            <w:noWrap/>
          </w:tcPr>
          <w:p w:rsidR="00000000" w:rsidRDefault="00000000">
            <w:pPr>
              <w:spacing w:before="40" w:after="30"/>
              <w:jc w:val="center"/>
              <w:rPr>
                <w:sz w:val="17"/>
                <w:szCs w:val="16"/>
              </w:rPr>
            </w:pPr>
            <w:r>
              <w:rPr>
                <w:sz w:val="17"/>
                <w:szCs w:val="16"/>
              </w:rPr>
              <w:t>26.09.2004</w:t>
            </w:r>
          </w:p>
        </w:tc>
        <w:tc>
          <w:tcPr>
            <w:tcW w:w="3875" w:type="dxa"/>
            <w:noWrap/>
          </w:tcPr>
          <w:p w:rsidR="00000000" w:rsidRDefault="00000000">
            <w:pPr>
              <w:spacing w:before="40" w:after="30"/>
              <w:rPr>
                <w:sz w:val="17"/>
                <w:szCs w:val="16"/>
              </w:rPr>
            </w:pPr>
            <w:r>
              <w:rPr>
                <w:sz w:val="17"/>
                <w:szCs w:val="16"/>
              </w:rPr>
              <w:t>Federal decree on ordinary naturalization and on facilitated naturalization for young second-generation foreigners</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53.8</w:t>
            </w:r>
          </w:p>
        </w:tc>
        <w:tc>
          <w:tcPr>
            <w:tcW w:w="689" w:type="dxa"/>
            <w:noWrap/>
            <w:tcMar>
              <w:left w:w="68" w:type="dxa"/>
              <w:right w:w="68" w:type="dxa"/>
            </w:tcMar>
          </w:tcPr>
          <w:p w:rsidR="00000000" w:rsidRDefault="00000000">
            <w:pPr>
              <w:spacing w:before="40" w:after="30"/>
              <w:jc w:val="center"/>
              <w:rPr>
                <w:sz w:val="17"/>
                <w:szCs w:val="16"/>
              </w:rPr>
            </w:pPr>
            <w:r>
              <w:rPr>
                <w:sz w:val="17"/>
                <w:szCs w:val="16"/>
              </w:rPr>
              <w:t>20 188</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1 106 529</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1 452 453</w:t>
            </w:r>
          </w:p>
        </w:tc>
        <w:tc>
          <w:tcPr>
            <w:tcW w:w="821" w:type="dxa"/>
            <w:noWrap/>
          </w:tcPr>
          <w:p w:rsidR="00000000" w:rsidRDefault="00000000">
            <w:pPr>
              <w:spacing w:before="40" w:after="30"/>
              <w:jc w:val="center"/>
              <w:rPr>
                <w:sz w:val="17"/>
              </w:rPr>
            </w:pPr>
            <w:r>
              <w:rPr>
                <w:sz w:val="17"/>
              </w:rPr>
              <w:t>43.2</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5 1/2</w:t>
            </w:r>
          </w:p>
        </w:tc>
        <w:tc>
          <w:tcPr>
            <w:tcW w:w="913" w:type="dxa"/>
            <w:noWrap/>
          </w:tcPr>
          <w:p w:rsidR="00000000" w:rsidRDefault="00000000">
            <w:pPr>
              <w:spacing w:before="40" w:after="30"/>
              <w:jc w:val="center"/>
              <w:rPr>
                <w:sz w:val="17"/>
                <w:szCs w:val="16"/>
              </w:rPr>
            </w:pPr>
            <w:r>
              <w:rPr>
                <w:sz w:val="17"/>
                <w:szCs w:val="16"/>
              </w:rPr>
              <w:t>15 5/2</w:t>
            </w:r>
          </w:p>
        </w:tc>
      </w:tr>
      <w:tr w:rsidR="00000000">
        <w:trPr>
          <w:jc w:val="center"/>
        </w:trPr>
        <w:tc>
          <w:tcPr>
            <w:tcW w:w="936" w:type="dxa"/>
            <w:noWrap/>
          </w:tcPr>
          <w:p w:rsidR="00000000" w:rsidRDefault="00000000">
            <w:pPr>
              <w:spacing w:before="40" w:after="30"/>
              <w:ind w:left="57"/>
              <w:rPr>
                <w:sz w:val="17"/>
                <w:szCs w:val="16"/>
              </w:rPr>
            </w:pPr>
            <w:r>
              <w:rPr>
                <w:sz w:val="17"/>
                <w:szCs w:val="16"/>
              </w:rPr>
              <w:t>511</w:t>
            </w:r>
          </w:p>
        </w:tc>
        <w:tc>
          <w:tcPr>
            <w:tcW w:w="986" w:type="dxa"/>
            <w:noWrap/>
          </w:tcPr>
          <w:p w:rsidR="00000000" w:rsidRDefault="00000000">
            <w:pPr>
              <w:spacing w:before="40" w:after="30"/>
              <w:jc w:val="center"/>
              <w:rPr>
                <w:sz w:val="17"/>
                <w:szCs w:val="16"/>
              </w:rPr>
            </w:pPr>
            <w:r>
              <w:rPr>
                <w:sz w:val="17"/>
                <w:szCs w:val="16"/>
              </w:rPr>
              <w:t>26.09.2004</w:t>
            </w:r>
          </w:p>
        </w:tc>
        <w:tc>
          <w:tcPr>
            <w:tcW w:w="3875" w:type="dxa"/>
            <w:noWrap/>
          </w:tcPr>
          <w:p w:rsidR="00000000" w:rsidRDefault="00000000">
            <w:pPr>
              <w:spacing w:before="40" w:after="30"/>
              <w:rPr>
                <w:sz w:val="17"/>
                <w:szCs w:val="16"/>
              </w:rPr>
            </w:pPr>
            <w:r>
              <w:rPr>
                <w:sz w:val="17"/>
                <w:szCs w:val="16"/>
              </w:rPr>
              <w:t>Federal decree on the acquisition of citizenship by third-generation foreigners</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53.8</w:t>
            </w:r>
          </w:p>
        </w:tc>
        <w:tc>
          <w:tcPr>
            <w:tcW w:w="689" w:type="dxa"/>
            <w:noWrap/>
            <w:tcMar>
              <w:left w:w="68" w:type="dxa"/>
              <w:right w:w="68" w:type="dxa"/>
            </w:tcMar>
          </w:tcPr>
          <w:p w:rsidR="00000000" w:rsidRDefault="00000000">
            <w:pPr>
              <w:spacing w:before="40" w:after="30"/>
              <w:jc w:val="center"/>
              <w:rPr>
                <w:sz w:val="17"/>
                <w:szCs w:val="16"/>
              </w:rPr>
            </w:pPr>
            <w:r>
              <w:rPr>
                <w:sz w:val="17"/>
                <w:szCs w:val="16"/>
              </w:rPr>
              <w:t>18 214</w:t>
            </w:r>
          </w:p>
        </w:tc>
        <w:tc>
          <w:tcPr>
            <w:tcW w:w="821" w:type="dxa"/>
            <w:noWrap/>
            <w:tcMar>
              <w:left w:w="68" w:type="dxa"/>
              <w:right w:w="68" w:type="dxa"/>
            </w:tcMar>
          </w:tcPr>
          <w:p w:rsidR="00000000" w:rsidRDefault="00000000">
            <w:pPr>
              <w:spacing w:before="40" w:after="30"/>
              <w:jc w:val="right"/>
              <w:rPr>
                <w:sz w:val="17"/>
                <w:szCs w:val="16"/>
              </w:rPr>
            </w:pPr>
            <w:r>
              <w:rPr>
                <w:sz w:val="17"/>
                <w:szCs w:val="16"/>
              </w:rPr>
              <w:t>1 238 912</w:t>
            </w:r>
          </w:p>
        </w:tc>
        <w:tc>
          <w:tcPr>
            <w:tcW w:w="821" w:type="dxa"/>
            <w:noWrap/>
            <w:tcMar>
              <w:left w:w="68" w:type="dxa"/>
              <w:right w:w="68" w:type="dxa"/>
            </w:tcMar>
          </w:tcPr>
          <w:p w:rsidR="00000000" w:rsidRDefault="00000000">
            <w:pPr>
              <w:spacing w:before="40" w:after="30"/>
              <w:jc w:val="right"/>
              <w:rPr>
                <w:sz w:val="17"/>
                <w:szCs w:val="16"/>
              </w:rPr>
            </w:pPr>
            <w:r>
              <w:rPr>
                <w:sz w:val="17"/>
                <w:szCs w:val="16"/>
              </w:rPr>
              <w:t>1 322 587</w:t>
            </w:r>
          </w:p>
        </w:tc>
        <w:tc>
          <w:tcPr>
            <w:tcW w:w="821" w:type="dxa"/>
            <w:noWrap/>
          </w:tcPr>
          <w:p w:rsidR="00000000" w:rsidRDefault="00000000">
            <w:pPr>
              <w:spacing w:before="40" w:after="30"/>
              <w:jc w:val="center"/>
              <w:rPr>
                <w:sz w:val="17"/>
              </w:rPr>
            </w:pPr>
            <w:r>
              <w:rPr>
                <w:sz w:val="17"/>
              </w:rPr>
              <w:t>48.4</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6 1/2</w:t>
            </w:r>
          </w:p>
        </w:tc>
        <w:tc>
          <w:tcPr>
            <w:tcW w:w="913" w:type="dxa"/>
            <w:noWrap/>
          </w:tcPr>
          <w:p w:rsidR="00000000" w:rsidRDefault="00000000">
            <w:pPr>
              <w:spacing w:before="40" w:after="30"/>
              <w:jc w:val="center"/>
              <w:rPr>
                <w:sz w:val="17"/>
                <w:szCs w:val="16"/>
              </w:rPr>
            </w:pPr>
            <w:r>
              <w:rPr>
                <w:sz w:val="17"/>
                <w:szCs w:val="16"/>
              </w:rPr>
              <w:t>14 5/2</w:t>
            </w:r>
          </w:p>
        </w:tc>
      </w:tr>
      <w:tr w:rsidR="00000000">
        <w:trPr>
          <w:jc w:val="center"/>
        </w:trPr>
        <w:tc>
          <w:tcPr>
            <w:tcW w:w="936" w:type="dxa"/>
            <w:noWrap/>
          </w:tcPr>
          <w:p w:rsidR="00000000" w:rsidRDefault="00000000">
            <w:pPr>
              <w:spacing w:before="40" w:after="30"/>
              <w:ind w:left="57"/>
              <w:rPr>
                <w:sz w:val="17"/>
                <w:szCs w:val="16"/>
              </w:rPr>
            </w:pPr>
            <w:r>
              <w:rPr>
                <w:sz w:val="17"/>
                <w:szCs w:val="16"/>
              </w:rPr>
              <w:t>491</w:t>
            </w:r>
          </w:p>
        </w:tc>
        <w:tc>
          <w:tcPr>
            <w:tcW w:w="986" w:type="dxa"/>
            <w:noWrap/>
          </w:tcPr>
          <w:p w:rsidR="00000000" w:rsidRDefault="00000000">
            <w:pPr>
              <w:spacing w:before="40" w:after="30"/>
              <w:jc w:val="center"/>
              <w:rPr>
                <w:sz w:val="17"/>
                <w:szCs w:val="16"/>
              </w:rPr>
            </w:pPr>
            <w:r>
              <w:rPr>
                <w:sz w:val="17"/>
                <w:szCs w:val="16"/>
              </w:rPr>
              <w:t>24.11.2002</w:t>
            </w:r>
          </w:p>
        </w:tc>
        <w:tc>
          <w:tcPr>
            <w:tcW w:w="3875" w:type="dxa"/>
            <w:noWrap/>
          </w:tcPr>
          <w:p w:rsidR="00000000" w:rsidRDefault="00000000">
            <w:pPr>
              <w:spacing w:before="40" w:after="30"/>
              <w:rPr>
                <w:sz w:val="17"/>
                <w:szCs w:val="16"/>
              </w:rPr>
            </w:pPr>
            <w:r>
              <w:rPr>
                <w:sz w:val="17"/>
                <w:szCs w:val="16"/>
              </w:rPr>
              <w:t>Popular initiative “against abuses of the right of asylum”</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47.9</w:t>
            </w:r>
          </w:p>
        </w:tc>
        <w:tc>
          <w:tcPr>
            <w:tcW w:w="689" w:type="dxa"/>
            <w:noWrap/>
            <w:tcMar>
              <w:left w:w="68" w:type="dxa"/>
              <w:right w:w="68" w:type="dxa"/>
            </w:tcMar>
          </w:tcPr>
          <w:p w:rsidR="00000000" w:rsidRDefault="00000000">
            <w:pPr>
              <w:spacing w:before="40" w:after="30"/>
              <w:jc w:val="center"/>
              <w:rPr>
                <w:sz w:val="17"/>
                <w:szCs w:val="16"/>
              </w:rPr>
            </w:pPr>
            <w:r>
              <w:rPr>
                <w:sz w:val="17"/>
                <w:szCs w:val="16"/>
              </w:rPr>
              <w:t>62 974</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1 119 342</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1 123 550</w:t>
            </w:r>
          </w:p>
        </w:tc>
        <w:tc>
          <w:tcPr>
            <w:tcW w:w="821" w:type="dxa"/>
            <w:noWrap/>
          </w:tcPr>
          <w:p w:rsidR="00000000" w:rsidRDefault="00000000">
            <w:pPr>
              <w:spacing w:before="40" w:after="30"/>
              <w:jc w:val="center"/>
              <w:rPr>
                <w:sz w:val="17"/>
              </w:rPr>
            </w:pPr>
            <w:r>
              <w:rPr>
                <w:sz w:val="17"/>
              </w:rPr>
              <w:t>49.9</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19 2/2</w:t>
            </w:r>
          </w:p>
        </w:tc>
        <w:tc>
          <w:tcPr>
            <w:tcW w:w="913" w:type="dxa"/>
            <w:noWrap/>
          </w:tcPr>
          <w:p w:rsidR="00000000" w:rsidRDefault="00000000">
            <w:pPr>
              <w:spacing w:before="40" w:after="30"/>
              <w:jc w:val="center"/>
              <w:rPr>
                <w:sz w:val="17"/>
                <w:szCs w:val="16"/>
              </w:rPr>
            </w:pPr>
            <w:r>
              <w:rPr>
                <w:sz w:val="17"/>
                <w:szCs w:val="16"/>
              </w:rPr>
              <w:t>17 4/2</w:t>
            </w:r>
          </w:p>
        </w:tc>
      </w:tr>
      <w:tr w:rsidR="00000000">
        <w:trPr>
          <w:jc w:val="center"/>
        </w:trPr>
        <w:tc>
          <w:tcPr>
            <w:tcW w:w="936" w:type="dxa"/>
            <w:noWrap/>
          </w:tcPr>
          <w:p w:rsidR="00000000" w:rsidRDefault="00000000">
            <w:pPr>
              <w:spacing w:before="40" w:after="30"/>
              <w:ind w:left="57"/>
              <w:rPr>
                <w:sz w:val="17"/>
                <w:szCs w:val="16"/>
              </w:rPr>
            </w:pPr>
            <w:r>
              <w:rPr>
                <w:sz w:val="17"/>
                <w:szCs w:val="16"/>
              </w:rPr>
              <w:t>455</w:t>
            </w:r>
          </w:p>
        </w:tc>
        <w:tc>
          <w:tcPr>
            <w:tcW w:w="986" w:type="dxa"/>
            <w:noWrap/>
          </w:tcPr>
          <w:p w:rsidR="00000000" w:rsidRDefault="00000000">
            <w:pPr>
              <w:spacing w:before="40" w:after="30"/>
              <w:jc w:val="center"/>
              <w:rPr>
                <w:sz w:val="17"/>
                <w:szCs w:val="16"/>
              </w:rPr>
            </w:pPr>
            <w:r>
              <w:rPr>
                <w:sz w:val="17"/>
                <w:szCs w:val="16"/>
              </w:rPr>
              <w:t>13.06.1999</w:t>
            </w:r>
          </w:p>
        </w:tc>
        <w:tc>
          <w:tcPr>
            <w:tcW w:w="3875" w:type="dxa"/>
            <w:noWrap/>
          </w:tcPr>
          <w:p w:rsidR="00000000" w:rsidRDefault="00000000">
            <w:pPr>
              <w:spacing w:before="40" w:after="30"/>
              <w:rPr>
                <w:sz w:val="17"/>
                <w:szCs w:val="16"/>
              </w:rPr>
            </w:pPr>
            <w:r>
              <w:rPr>
                <w:sz w:val="17"/>
                <w:szCs w:val="16"/>
              </w:rPr>
              <w:t>Federal decree on emergency measures in the field of asylum and foreigners (AMU)</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45.6</w:t>
            </w:r>
          </w:p>
        </w:tc>
        <w:tc>
          <w:tcPr>
            <w:tcW w:w="689" w:type="dxa"/>
            <w:noWrap/>
            <w:tcMar>
              <w:left w:w="68" w:type="dxa"/>
              <w:right w:w="68" w:type="dxa"/>
            </w:tcMar>
          </w:tcPr>
          <w:p w:rsidR="00000000" w:rsidRDefault="00000000">
            <w:pPr>
              <w:spacing w:before="40" w:after="30"/>
              <w:jc w:val="center"/>
              <w:rPr>
                <w:sz w:val="17"/>
                <w:szCs w:val="16"/>
              </w:rPr>
            </w:pPr>
            <w:r>
              <w:rPr>
                <w:sz w:val="17"/>
                <w:szCs w:val="16"/>
              </w:rPr>
              <w:t>68 695</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1 447 984</w:t>
            </w:r>
          </w:p>
        </w:tc>
        <w:tc>
          <w:tcPr>
            <w:tcW w:w="821" w:type="dxa"/>
            <w:noWrap/>
            <w:tcMar>
              <w:left w:w="68" w:type="dxa"/>
              <w:right w:w="68" w:type="dxa"/>
            </w:tcMar>
          </w:tcPr>
          <w:p w:rsidR="00000000" w:rsidRDefault="00000000">
            <w:pPr>
              <w:spacing w:before="40" w:after="30"/>
              <w:jc w:val="right"/>
              <w:rPr>
                <w:sz w:val="17"/>
                <w:szCs w:val="16"/>
              </w:rPr>
            </w:pPr>
            <w:r>
              <w:rPr>
                <w:sz w:val="17"/>
                <w:szCs w:val="16"/>
              </w:rPr>
              <w:t>595 908</w:t>
            </w:r>
          </w:p>
        </w:tc>
        <w:tc>
          <w:tcPr>
            <w:tcW w:w="821" w:type="dxa"/>
            <w:noWrap/>
          </w:tcPr>
          <w:p w:rsidR="00000000" w:rsidRDefault="00000000">
            <w:pPr>
              <w:spacing w:before="40" w:after="30"/>
              <w:jc w:val="center"/>
              <w:rPr>
                <w:sz w:val="17"/>
              </w:rPr>
            </w:pPr>
            <w:r>
              <w:rPr>
                <w:sz w:val="17"/>
              </w:rPr>
              <w:t>70.8</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454</w:t>
            </w:r>
          </w:p>
        </w:tc>
        <w:tc>
          <w:tcPr>
            <w:tcW w:w="986" w:type="dxa"/>
            <w:noWrap/>
          </w:tcPr>
          <w:p w:rsidR="00000000" w:rsidRDefault="00000000">
            <w:pPr>
              <w:spacing w:before="40" w:after="30"/>
              <w:jc w:val="center"/>
              <w:rPr>
                <w:sz w:val="17"/>
                <w:szCs w:val="16"/>
              </w:rPr>
            </w:pPr>
            <w:r>
              <w:rPr>
                <w:sz w:val="17"/>
                <w:szCs w:val="16"/>
              </w:rPr>
              <w:t>13.06.1999</w:t>
            </w:r>
          </w:p>
        </w:tc>
        <w:tc>
          <w:tcPr>
            <w:tcW w:w="3875" w:type="dxa"/>
            <w:noWrap/>
          </w:tcPr>
          <w:p w:rsidR="00000000" w:rsidRDefault="00000000">
            <w:pPr>
              <w:spacing w:before="40" w:after="30"/>
              <w:rPr>
                <w:sz w:val="17"/>
                <w:szCs w:val="16"/>
              </w:rPr>
            </w:pPr>
            <w:r>
              <w:rPr>
                <w:bCs/>
                <w:sz w:val="17"/>
              </w:rPr>
              <w:t>Asylum Act (LAsi)</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45.6</w:t>
            </w:r>
          </w:p>
        </w:tc>
        <w:tc>
          <w:tcPr>
            <w:tcW w:w="689" w:type="dxa"/>
            <w:noWrap/>
            <w:tcMar>
              <w:left w:w="68" w:type="dxa"/>
              <w:right w:w="68" w:type="dxa"/>
            </w:tcMar>
          </w:tcPr>
          <w:p w:rsidR="00000000" w:rsidRDefault="00000000">
            <w:pPr>
              <w:spacing w:before="40" w:after="30"/>
              <w:jc w:val="center"/>
              <w:rPr>
                <w:sz w:val="17"/>
                <w:szCs w:val="16"/>
              </w:rPr>
            </w:pPr>
            <w:r>
              <w:rPr>
                <w:sz w:val="17"/>
                <w:szCs w:val="16"/>
              </w:rPr>
              <w:t>66 156</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1 443 137</w:t>
            </w:r>
          </w:p>
        </w:tc>
        <w:tc>
          <w:tcPr>
            <w:tcW w:w="821" w:type="dxa"/>
            <w:noWrap/>
            <w:tcMar>
              <w:left w:w="68" w:type="dxa"/>
              <w:right w:w="68" w:type="dxa"/>
            </w:tcMar>
          </w:tcPr>
          <w:p w:rsidR="00000000" w:rsidRDefault="00000000">
            <w:pPr>
              <w:spacing w:before="40" w:after="30"/>
              <w:jc w:val="right"/>
              <w:rPr>
                <w:sz w:val="17"/>
                <w:szCs w:val="16"/>
              </w:rPr>
            </w:pPr>
            <w:r>
              <w:rPr>
                <w:sz w:val="17"/>
                <w:szCs w:val="16"/>
              </w:rPr>
              <w:t>601 389</w:t>
            </w:r>
          </w:p>
        </w:tc>
        <w:tc>
          <w:tcPr>
            <w:tcW w:w="821" w:type="dxa"/>
            <w:noWrap/>
          </w:tcPr>
          <w:p w:rsidR="00000000" w:rsidRDefault="00000000">
            <w:pPr>
              <w:spacing w:before="40" w:after="30"/>
              <w:jc w:val="center"/>
              <w:rPr>
                <w:sz w:val="17"/>
              </w:rPr>
            </w:pPr>
            <w:r>
              <w:rPr>
                <w:sz w:val="17"/>
              </w:rPr>
              <w:t>70.6</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432</w:t>
            </w:r>
          </w:p>
        </w:tc>
        <w:tc>
          <w:tcPr>
            <w:tcW w:w="986" w:type="dxa"/>
            <w:noWrap/>
          </w:tcPr>
          <w:p w:rsidR="00000000" w:rsidRDefault="00000000">
            <w:pPr>
              <w:spacing w:before="40" w:after="30"/>
              <w:jc w:val="center"/>
              <w:rPr>
                <w:sz w:val="17"/>
                <w:szCs w:val="16"/>
              </w:rPr>
            </w:pPr>
            <w:r>
              <w:rPr>
                <w:sz w:val="17"/>
                <w:szCs w:val="16"/>
              </w:rPr>
              <w:t>01.12.1996</w:t>
            </w:r>
          </w:p>
        </w:tc>
        <w:tc>
          <w:tcPr>
            <w:tcW w:w="3875" w:type="dxa"/>
            <w:noWrap/>
          </w:tcPr>
          <w:p w:rsidR="00000000" w:rsidRDefault="00000000">
            <w:pPr>
              <w:spacing w:before="40" w:after="30"/>
              <w:rPr>
                <w:sz w:val="17"/>
                <w:szCs w:val="16"/>
              </w:rPr>
            </w:pPr>
            <w:r>
              <w:rPr>
                <w:bCs/>
                <w:sz w:val="17"/>
              </w:rPr>
              <w:t>Popular initiative “against clandestine immigration”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46.7</w:t>
            </w:r>
          </w:p>
        </w:tc>
        <w:tc>
          <w:tcPr>
            <w:tcW w:w="689" w:type="dxa"/>
            <w:noWrap/>
            <w:tcMar>
              <w:left w:w="68" w:type="dxa"/>
              <w:right w:w="68" w:type="dxa"/>
            </w:tcMar>
          </w:tcPr>
          <w:p w:rsidR="00000000" w:rsidRDefault="00000000">
            <w:pPr>
              <w:spacing w:before="40" w:after="30"/>
              <w:jc w:val="center"/>
              <w:rPr>
                <w:sz w:val="17"/>
                <w:szCs w:val="16"/>
              </w:rPr>
            </w:pPr>
            <w:r>
              <w:rPr>
                <w:sz w:val="17"/>
                <w:szCs w:val="16"/>
              </w:rPr>
              <w:t>28 657</w:t>
            </w:r>
          </w:p>
        </w:tc>
        <w:tc>
          <w:tcPr>
            <w:tcW w:w="821" w:type="dxa"/>
            <w:noWrap/>
            <w:tcMar>
              <w:left w:w="68" w:type="dxa"/>
              <w:right w:w="68" w:type="dxa"/>
            </w:tcMar>
          </w:tcPr>
          <w:p w:rsidR="00000000" w:rsidRDefault="00000000">
            <w:pPr>
              <w:spacing w:before="40" w:after="30"/>
              <w:jc w:val="right"/>
              <w:rPr>
                <w:sz w:val="17"/>
                <w:szCs w:val="16"/>
              </w:rPr>
            </w:pPr>
            <w:r>
              <w:rPr>
                <w:sz w:val="17"/>
                <w:szCs w:val="16"/>
              </w:rPr>
              <w:t>982 867</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1 138 301</w:t>
            </w:r>
          </w:p>
        </w:tc>
        <w:tc>
          <w:tcPr>
            <w:tcW w:w="821" w:type="dxa"/>
            <w:noWrap/>
          </w:tcPr>
          <w:p w:rsidR="00000000" w:rsidRDefault="00000000">
            <w:pPr>
              <w:spacing w:before="40" w:after="30"/>
              <w:jc w:val="center"/>
              <w:rPr>
                <w:sz w:val="17"/>
              </w:rPr>
            </w:pPr>
            <w:r>
              <w:rPr>
                <w:sz w:val="17"/>
              </w:rPr>
              <w:t>46.3</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10 2/2</w:t>
            </w:r>
          </w:p>
        </w:tc>
        <w:tc>
          <w:tcPr>
            <w:tcW w:w="913" w:type="dxa"/>
            <w:noWrap/>
          </w:tcPr>
          <w:p w:rsidR="00000000" w:rsidRDefault="00000000">
            <w:pPr>
              <w:spacing w:before="40" w:after="30"/>
              <w:jc w:val="center"/>
              <w:rPr>
                <w:sz w:val="17"/>
                <w:szCs w:val="16"/>
              </w:rPr>
            </w:pPr>
            <w:r>
              <w:rPr>
                <w:sz w:val="17"/>
                <w:szCs w:val="16"/>
              </w:rPr>
              <w:t>10 4/2</w:t>
            </w:r>
          </w:p>
        </w:tc>
      </w:tr>
      <w:tr w:rsidR="00000000">
        <w:trPr>
          <w:jc w:val="center"/>
        </w:trPr>
        <w:tc>
          <w:tcPr>
            <w:tcW w:w="936" w:type="dxa"/>
            <w:noWrap/>
          </w:tcPr>
          <w:p w:rsidR="00000000" w:rsidRDefault="00000000">
            <w:pPr>
              <w:spacing w:before="40" w:after="30"/>
              <w:ind w:left="57"/>
              <w:rPr>
                <w:sz w:val="17"/>
                <w:szCs w:val="16"/>
              </w:rPr>
            </w:pPr>
            <w:r>
              <w:rPr>
                <w:sz w:val="17"/>
                <w:szCs w:val="16"/>
              </w:rPr>
              <w:t>424</w:t>
            </w:r>
          </w:p>
        </w:tc>
        <w:tc>
          <w:tcPr>
            <w:tcW w:w="986" w:type="dxa"/>
            <w:noWrap/>
          </w:tcPr>
          <w:p w:rsidR="00000000" w:rsidRDefault="00000000">
            <w:pPr>
              <w:spacing w:before="40" w:after="30"/>
              <w:jc w:val="center"/>
              <w:rPr>
                <w:sz w:val="17"/>
                <w:szCs w:val="16"/>
              </w:rPr>
            </w:pPr>
            <w:r>
              <w:rPr>
                <w:sz w:val="17"/>
                <w:szCs w:val="16"/>
              </w:rPr>
              <w:t>25.06.1995</w:t>
            </w:r>
          </w:p>
        </w:tc>
        <w:tc>
          <w:tcPr>
            <w:tcW w:w="3875" w:type="dxa"/>
            <w:noWrap/>
          </w:tcPr>
          <w:p w:rsidR="00000000" w:rsidRDefault="00000000">
            <w:pPr>
              <w:spacing w:before="40" w:after="30"/>
              <w:rPr>
                <w:sz w:val="17"/>
                <w:szCs w:val="16"/>
              </w:rPr>
            </w:pPr>
            <w:r>
              <w:rPr>
                <w:sz w:val="17"/>
                <w:szCs w:val="16"/>
              </w:rPr>
              <w:t xml:space="preserve">Federal act on the acquisition of real estate by persons abroad (LFAIE), amendment of </w:t>
            </w:r>
            <w:r>
              <w:rPr>
                <w:sz w:val="17"/>
                <w:szCs w:val="16"/>
              </w:rPr>
              <w:br/>
              <w:t>7 October 1994</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40.3</w:t>
            </w:r>
          </w:p>
        </w:tc>
        <w:tc>
          <w:tcPr>
            <w:tcW w:w="689" w:type="dxa"/>
            <w:noWrap/>
            <w:tcMar>
              <w:left w:w="68" w:type="dxa"/>
              <w:right w:w="68" w:type="dxa"/>
            </w:tcMar>
          </w:tcPr>
          <w:p w:rsidR="00000000" w:rsidRDefault="00000000">
            <w:pPr>
              <w:spacing w:before="40" w:after="30"/>
              <w:jc w:val="center"/>
              <w:rPr>
                <w:sz w:val="17"/>
                <w:szCs w:val="16"/>
              </w:rPr>
            </w:pPr>
            <w:r>
              <w:rPr>
                <w:sz w:val="17"/>
                <w:szCs w:val="16"/>
              </w:rPr>
              <w:t>48 577</w:t>
            </w:r>
          </w:p>
        </w:tc>
        <w:tc>
          <w:tcPr>
            <w:tcW w:w="821" w:type="dxa"/>
            <w:noWrap/>
            <w:tcMar>
              <w:left w:w="68" w:type="dxa"/>
              <w:right w:w="68" w:type="dxa"/>
            </w:tcMar>
          </w:tcPr>
          <w:p w:rsidR="00000000" w:rsidRDefault="00000000">
            <w:pPr>
              <w:spacing w:before="40" w:after="30"/>
              <w:jc w:val="right"/>
              <w:rPr>
                <w:sz w:val="17"/>
                <w:szCs w:val="16"/>
              </w:rPr>
            </w:pPr>
            <w:r>
              <w:rPr>
                <w:sz w:val="17"/>
                <w:szCs w:val="16"/>
              </w:rPr>
              <w:t>834 673</w:t>
            </w:r>
          </w:p>
        </w:tc>
        <w:tc>
          <w:tcPr>
            <w:tcW w:w="821" w:type="dxa"/>
            <w:noWrap/>
            <w:tcMar>
              <w:left w:w="68" w:type="dxa"/>
              <w:right w:w="68" w:type="dxa"/>
            </w:tcMar>
          </w:tcPr>
          <w:p w:rsidR="00000000" w:rsidRDefault="00000000">
            <w:pPr>
              <w:spacing w:before="40" w:after="30"/>
              <w:jc w:val="right"/>
              <w:rPr>
                <w:sz w:val="17"/>
                <w:szCs w:val="16"/>
              </w:rPr>
            </w:pPr>
            <w:r>
              <w:rPr>
                <w:sz w:val="17"/>
                <w:szCs w:val="16"/>
              </w:rPr>
              <w:t>962 702</w:t>
            </w:r>
          </w:p>
        </w:tc>
        <w:tc>
          <w:tcPr>
            <w:tcW w:w="821" w:type="dxa"/>
            <w:noWrap/>
          </w:tcPr>
          <w:p w:rsidR="00000000" w:rsidRDefault="00000000">
            <w:pPr>
              <w:spacing w:before="40" w:after="30"/>
              <w:jc w:val="center"/>
              <w:rPr>
                <w:sz w:val="17"/>
              </w:rPr>
            </w:pPr>
            <w:r>
              <w:rPr>
                <w:sz w:val="17"/>
              </w:rPr>
              <w:t>46.4</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417</w:t>
            </w:r>
          </w:p>
        </w:tc>
        <w:tc>
          <w:tcPr>
            <w:tcW w:w="986" w:type="dxa"/>
            <w:noWrap/>
          </w:tcPr>
          <w:p w:rsidR="00000000" w:rsidRDefault="00000000">
            <w:pPr>
              <w:spacing w:before="40" w:after="30"/>
              <w:jc w:val="center"/>
              <w:rPr>
                <w:sz w:val="17"/>
                <w:szCs w:val="16"/>
              </w:rPr>
            </w:pPr>
            <w:r>
              <w:rPr>
                <w:sz w:val="17"/>
                <w:szCs w:val="16"/>
              </w:rPr>
              <w:t>04.12.1994</w:t>
            </w:r>
          </w:p>
        </w:tc>
        <w:tc>
          <w:tcPr>
            <w:tcW w:w="3875" w:type="dxa"/>
            <w:noWrap/>
          </w:tcPr>
          <w:p w:rsidR="00000000" w:rsidRDefault="00000000">
            <w:pPr>
              <w:spacing w:before="40" w:after="30"/>
              <w:rPr>
                <w:sz w:val="17"/>
                <w:szCs w:val="16"/>
              </w:rPr>
            </w:pPr>
            <w:r>
              <w:rPr>
                <w:bCs/>
                <w:sz w:val="17"/>
              </w:rPr>
              <w:t>Federal act on coercive measures with regard to the law relating to foreign nationals of 18 March 1994</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44.0</w:t>
            </w:r>
          </w:p>
        </w:tc>
        <w:tc>
          <w:tcPr>
            <w:tcW w:w="689" w:type="dxa"/>
            <w:noWrap/>
            <w:tcMar>
              <w:left w:w="68" w:type="dxa"/>
              <w:right w:w="68" w:type="dxa"/>
            </w:tcMar>
          </w:tcPr>
          <w:p w:rsidR="00000000" w:rsidRDefault="00000000">
            <w:pPr>
              <w:spacing w:before="40" w:after="30"/>
              <w:jc w:val="center"/>
              <w:rPr>
                <w:sz w:val="17"/>
                <w:szCs w:val="16"/>
              </w:rPr>
            </w:pPr>
            <w:r>
              <w:rPr>
                <w:sz w:val="17"/>
                <w:szCs w:val="16"/>
              </w:rPr>
              <w:t>42 333</w:t>
            </w:r>
          </w:p>
        </w:tc>
        <w:tc>
          <w:tcPr>
            <w:tcW w:w="821" w:type="dxa"/>
            <w:noWrap/>
            <w:tcMar>
              <w:left w:w="68" w:type="dxa"/>
              <w:right w:w="68" w:type="dxa"/>
            </w:tcMar>
          </w:tcPr>
          <w:p w:rsidR="00000000" w:rsidRDefault="00000000">
            <w:pPr>
              <w:spacing w:before="40" w:after="30"/>
              <w:jc w:val="right"/>
              <w:rPr>
                <w:sz w:val="17"/>
                <w:szCs w:val="16"/>
              </w:rPr>
            </w:pPr>
            <w:r>
              <w:rPr>
                <w:sz w:val="17"/>
                <w:szCs w:val="16"/>
              </w:rPr>
              <w:t>1 435 040</w:t>
            </w:r>
          </w:p>
        </w:tc>
        <w:tc>
          <w:tcPr>
            <w:tcW w:w="821" w:type="dxa"/>
            <w:noWrap/>
            <w:tcMar>
              <w:left w:w="68" w:type="dxa"/>
              <w:right w:w="68" w:type="dxa"/>
            </w:tcMar>
          </w:tcPr>
          <w:p w:rsidR="00000000" w:rsidRDefault="00000000">
            <w:pPr>
              <w:spacing w:before="40" w:after="30"/>
              <w:jc w:val="right"/>
              <w:rPr>
                <w:sz w:val="17"/>
                <w:szCs w:val="16"/>
              </w:rPr>
            </w:pPr>
            <w:r>
              <w:rPr>
                <w:sz w:val="17"/>
                <w:szCs w:val="16"/>
              </w:rPr>
              <w:t>533 297</w:t>
            </w:r>
          </w:p>
        </w:tc>
        <w:tc>
          <w:tcPr>
            <w:tcW w:w="821" w:type="dxa"/>
            <w:noWrap/>
          </w:tcPr>
          <w:p w:rsidR="00000000" w:rsidRDefault="00000000">
            <w:pPr>
              <w:spacing w:before="40" w:after="30"/>
              <w:jc w:val="center"/>
              <w:rPr>
                <w:sz w:val="17"/>
              </w:rPr>
            </w:pPr>
            <w:r>
              <w:rPr>
                <w:sz w:val="17"/>
              </w:rPr>
              <w:t>72.9</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355</w:t>
            </w:r>
          </w:p>
        </w:tc>
        <w:tc>
          <w:tcPr>
            <w:tcW w:w="986" w:type="dxa"/>
            <w:noWrap/>
          </w:tcPr>
          <w:p w:rsidR="00000000" w:rsidRDefault="00000000">
            <w:pPr>
              <w:spacing w:before="40" w:after="30"/>
              <w:jc w:val="center"/>
              <w:rPr>
                <w:sz w:val="17"/>
                <w:szCs w:val="16"/>
              </w:rPr>
            </w:pPr>
            <w:r>
              <w:rPr>
                <w:sz w:val="17"/>
                <w:szCs w:val="16"/>
              </w:rPr>
              <w:t>04.12.1988</w:t>
            </w:r>
          </w:p>
        </w:tc>
        <w:tc>
          <w:tcPr>
            <w:tcW w:w="3875" w:type="dxa"/>
            <w:noWrap/>
          </w:tcPr>
          <w:p w:rsidR="00000000" w:rsidRDefault="00000000">
            <w:pPr>
              <w:spacing w:before="40" w:after="30"/>
              <w:rPr>
                <w:sz w:val="17"/>
                <w:szCs w:val="16"/>
              </w:rPr>
            </w:pPr>
            <w:r>
              <w:rPr>
                <w:bCs/>
                <w:sz w:val="17"/>
              </w:rPr>
              <w:t>Popular initiative “to limit immigration”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52.8</w:t>
            </w:r>
          </w:p>
        </w:tc>
        <w:tc>
          <w:tcPr>
            <w:tcW w:w="689" w:type="dxa"/>
            <w:noWrap/>
            <w:tcMar>
              <w:left w:w="68" w:type="dxa"/>
              <w:right w:w="68" w:type="dxa"/>
            </w:tcMar>
          </w:tcPr>
          <w:p w:rsidR="00000000" w:rsidRDefault="00000000">
            <w:pPr>
              <w:spacing w:before="40" w:after="30"/>
              <w:jc w:val="center"/>
              <w:rPr>
                <w:sz w:val="17"/>
                <w:szCs w:val="16"/>
              </w:rPr>
            </w:pPr>
            <w:r>
              <w:rPr>
                <w:sz w:val="17"/>
                <w:szCs w:val="16"/>
              </w:rPr>
              <w:t>23 752</w:t>
            </w:r>
          </w:p>
        </w:tc>
        <w:tc>
          <w:tcPr>
            <w:tcW w:w="821" w:type="dxa"/>
            <w:noWrap/>
            <w:tcMar>
              <w:left w:w="68" w:type="dxa"/>
              <w:right w:w="68" w:type="dxa"/>
            </w:tcMar>
          </w:tcPr>
          <w:p w:rsidR="00000000" w:rsidRDefault="00000000">
            <w:pPr>
              <w:spacing w:before="40" w:after="30"/>
              <w:jc w:val="right"/>
              <w:rPr>
                <w:sz w:val="17"/>
                <w:szCs w:val="16"/>
              </w:rPr>
            </w:pPr>
            <w:r>
              <w:rPr>
                <w:sz w:val="17"/>
                <w:szCs w:val="16"/>
              </w:rPr>
              <w:t>731 929</w:t>
            </w:r>
          </w:p>
        </w:tc>
        <w:tc>
          <w:tcPr>
            <w:tcW w:w="821" w:type="dxa"/>
            <w:noWrap/>
            <w:tcMar>
              <w:left w:w="68" w:type="dxa"/>
              <w:right w:w="68" w:type="dxa"/>
            </w:tcMar>
          </w:tcPr>
          <w:p w:rsidR="00000000" w:rsidRDefault="00000000">
            <w:pPr>
              <w:spacing w:before="40" w:after="30"/>
              <w:jc w:val="right"/>
              <w:rPr>
                <w:sz w:val="17"/>
                <w:szCs w:val="16"/>
              </w:rPr>
            </w:pPr>
            <w:r>
              <w:rPr>
                <w:sz w:val="17"/>
                <w:szCs w:val="16"/>
              </w:rPr>
              <w:t>1 506 492</w:t>
            </w:r>
          </w:p>
        </w:tc>
        <w:tc>
          <w:tcPr>
            <w:tcW w:w="821" w:type="dxa"/>
            <w:noWrap/>
          </w:tcPr>
          <w:p w:rsidR="00000000" w:rsidRDefault="00000000">
            <w:pPr>
              <w:spacing w:before="40" w:after="30"/>
              <w:jc w:val="center"/>
              <w:rPr>
                <w:sz w:val="17"/>
              </w:rPr>
            </w:pPr>
            <w:r>
              <w:rPr>
                <w:sz w:val="17"/>
              </w:rPr>
              <w:t>32.7</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20 6/2</w:t>
            </w:r>
          </w:p>
        </w:tc>
      </w:tr>
      <w:tr w:rsidR="00000000">
        <w:trPr>
          <w:jc w:val="center"/>
        </w:trPr>
        <w:tc>
          <w:tcPr>
            <w:tcW w:w="936" w:type="dxa"/>
            <w:noWrap/>
          </w:tcPr>
          <w:p w:rsidR="00000000" w:rsidRDefault="00000000">
            <w:pPr>
              <w:spacing w:before="40" w:after="30"/>
              <w:ind w:left="57"/>
              <w:rPr>
                <w:sz w:val="17"/>
                <w:szCs w:val="16"/>
              </w:rPr>
            </w:pPr>
            <w:r>
              <w:rPr>
                <w:sz w:val="17"/>
                <w:szCs w:val="16"/>
              </w:rPr>
              <w:t>345</w:t>
            </w:r>
          </w:p>
        </w:tc>
        <w:tc>
          <w:tcPr>
            <w:tcW w:w="986" w:type="dxa"/>
            <w:noWrap/>
          </w:tcPr>
          <w:p w:rsidR="00000000" w:rsidRDefault="00000000">
            <w:pPr>
              <w:spacing w:before="40" w:after="30"/>
              <w:jc w:val="center"/>
              <w:rPr>
                <w:sz w:val="17"/>
                <w:szCs w:val="16"/>
              </w:rPr>
            </w:pPr>
            <w:r>
              <w:rPr>
                <w:sz w:val="17"/>
                <w:szCs w:val="16"/>
              </w:rPr>
              <w:t>05.04.1987</w:t>
            </w:r>
          </w:p>
        </w:tc>
        <w:tc>
          <w:tcPr>
            <w:tcW w:w="3875" w:type="dxa"/>
            <w:noWrap/>
          </w:tcPr>
          <w:p w:rsidR="00000000" w:rsidRDefault="00000000">
            <w:pPr>
              <w:spacing w:before="40" w:after="30"/>
              <w:rPr>
                <w:sz w:val="17"/>
                <w:szCs w:val="16"/>
              </w:rPr>
            </w:pPr>
            <w:r>
              <w:rPr>
                <w:bCs/>
                <w:sz w:val="17"/>
              </w:rPr>
              <w:t>Federal Act on the Temporary and Permanent Residence of foreigners, amendment of 20 June 1986</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42.2</w:t>
            </w:r>
          </w:p>
        </w:tc>
        <w:tc>
          <w:tcPr>
            <w:tcW w:w="689" w:type="dxa"/>
            <w:noWrap/>
            <w:tcMar>
              <w:left w:w="68" w:type="dxa"/>
              <w:right w:w="68" w:type="dxa"/>
            </w:tcMar>
          </w:tcPr>
          <w:p w:rsidR="00000000" w:rsidRDefault="00000000">
            <w:pPr>
              <w:spacing w:before="40" w:after="30"/>
              <w:jc w:val="center"/>
              <w:rPr>
                <w:sz w:val="17"/>
                <w:szCs w:val="16"/>
              </w:rPr>
            </w:pPr>
            <w:r>
              <w:rPr>
                <w:sz w:val="17"/>
                <w:szCs w:val="16"/>
              </w:rPr>
              <w:t>73 532</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1 122 027</w:t>
            </w:r>
          </w:p>
        </w:tc>
        <w:tc>
          <w:tcPr>
            <w:tcW w:w="821" w:type="dxa"/>
            <w:noWrap/>
            <w:tcMar>
              <w:left w:w="68" w:type="dxa"/>
              <w:right w:w="68" w:type="dxa"/>
            </w:tcMar>
          </w:tcPr>
          <w:p w:rsidR="00000000" w:rsidRDefault="00000000">
            <w:pPr>
              <w:spacing w:before="40" w:after="30"/>
              <w:jc w:val="right"/>
              <w:rPr>
                <w:sz w:val="17"/>
                <w:szCs w:val="16"/>
              </w:rPr>
            </w:pPr>
            <w:r>
              <w:rPr>
                <w:sz w:val="17"/>
                <w:szCs w:val="16"/>
              </w:rPr>
              <w:t>585 460</w:t>
            </w:r>
          </w:p>
        </w:tc>
        <w:tc>
          <w:tcPr>
            <w:tcW w:w="821" w:type="dxa"/>
            <w:noWrap/>
          </w:tcPr>
          <w:p w:rsidR="00000000" w:rsidRDefault="00000000">
            <w:pPr>
              <w:spacing w:before="40" w:after="30"/>
              <w:jc w:val="center"/>
              <w:rPr>
                <w:sz w:val="17"/>
              </w:rPr>
            </w:pPr>
            <w:r>
              <w:rPr>
                <w:sz w:val="17"/>
              </w:rPr>
              <w:t>65.7</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344</w:t>
            </w:r>
          </w:p>
        </w:tc>
        <w:tc>
          <w:tcPr>
            <w:tcW w:w="986" w:type="dxa"/>
            <w:noWrap/>
          </w:tcPr>
          <w:p w:rsidR="00000000" w:rsidRDefault="00000000">
            <w:pPr>
              <w:spacing w:before="40" w:after="30"/>
              <w:jc w:val="center"/>
              <w:rPr>
                <w:sz w:val="17"/>
                <w:szCs w:val="16"/>
              </w:rPr>
            </w:pPr>
            <w:r>
              <w:rPr>
                <w:sz w:val="17"/>
                <w:szCs w:val="16"/>
              </w:rPr>
              <w:t>05.04.1987</w:t>
            </w:r>
          </w:p>
        </w:tc>
        <w:tc>
          <w:tcPr>
            <w:tcW w:w="3875" w:type="dxa"/>
            <w:noWrap/>
          </w:tcPr>
          <w:p w:rsidR="00000000" w:rsidRDefault="00000000">
            <w:pPr>
              <w:spacing w:before="40" w:after="30"/>
              <w:rPr>
                <w:sz w:val="17"/>
                <w:szCs w:val="16"/>
              </w:rPr>
            </w:pPr>
            <w:r>
              <w:rPr>
                <w:bCs/>
                <w:sz w:val="17"/>
              </w:rPr>
              <w:t>Asylum Act, amendment of 20 June 1986</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42.4</w:t>
            </w:r>
          </w:p>
        </w:tc>
        <w:tc>
          <w:tcPr>
            <w:tcW w:w="689" w:type="dxa"/>
            <w:noWrap/>
            <w:tcMar>
              <w:left w:w="68" w:type="dxa"/>
              <w:right w:w="68" w:type="dxa"/>
            </w:tcMar>
          </w:tcPr>
          <w:p w:rsidR="00000000" w:rsidRDefault="00000000">
            <w:pPr>
              <w:spacing w:before="40" w:after="30"/>
              <w:jc w:val="center"/>
              <w:rPr>
                <w:sz w:val="17"/>
                <w:szCs w:val="16"/>
              </w:rPr>
            </w:pPr>
            <w:r>
              <w:rPr>
                <w:sz w:val="17"/>
                <w:szCs w:val="16"/>
              </w:rPr>
              <w:t>35 021</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1 180 082</w:t>
            </w:r>
          </w:p>
        </w:tc>
        <w:tc>
          <w:tcPr>
            <w:tcW w:w="821" w:type="dxa"/>
            <w:noWrap/>
            <w:tcMar>
              <w:left w:w="68" w:type="dxa"/>
              <w:right w:w="68" w:type="dxa"/>
            </w:tcMar>
          </w:tcPr>
          <w:p w:rsidR="00000000" w:rsidRDefault="00000000">
            <w:pPr>
              <w:spacing w:before="40" w:after="30"/>
              <w:jc w:val="right"/>
              <w:rPr>
                <w:sz w:val="17"/>
                <w:szCs w:val="16"/>
              </w:rPr>
            </w:pPr>
            <w:r>
              <w:rPr>
                <w:sz w:val="17"/>
                <w:szCs w:val="16"/>
              </w:rPr>
              <w:t>572 330</w:t>
            </w:r>
          </w:p>
        </w:tc>
        <w:tc>
          <w:tcPr>
            <w:tcW w:w="821" w:type="dxa"/>
            <w:noWrap/>
          </w:tcPr>
          <w:p w:rsidR="00000000" w:rsidRDefault="00000000">
            <w:pPr>
              <w:spacing w:before="40" w:after="30"/>
              <w:jc w:val="center"/>
              <w:rPr>
                <w:sz w:val="17"/>
              </w:rPr>
            </w:pPr>
            <w:r>
              <w:rPr>
                <w:sz w:val="17"/>
              </w:rPr>
              <w:t>67.3</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320</w:t>
            </w:r>
          </w:p>
        </w:tc>
        <w:tc>
          <w:tcPr>
            <w:tcW w:w="986" w:type="dxa"/>
            <w:noWrap/>
          </w:tcPr>
          <w:p w:rsidR="00000000" w:rsidRDefault="00000000">
            <w:pPr>
              <w:spacing w:before="40" w:after="30"/>
              <w:jc w:val="center"/>
              <w:rPr>
                <w:sz w:val="17"/>
                <w:szCs w:val="16"/>
              </w:rPr>
            </w:pPr>
            <w:r>
              <w:rPr>
                <w:sz w:val="17"/>
                <w:szCs w:val="16"/>
              </w:rPr>
              <w:t>20.05.1984</w:t>
            </w:r>
          </w:p>
        </w:tc>
        <w:tc>
          <w:tcPr>
            <w:tcW w:w="3875" w:type="dxa"/>
            <w:noWrap/>
          </w:tcPr>
          <w:p w:rsidR="00000000" w:rsidRDefault="00000000">
            <w:pPr>
              <w:spacing w:before="40" w:after="30"/>
              <w:rPr>
                <w:sz w:val="17"/>
                <w:szCs w:val="16"/>
              </w:rPr>
            </w:pPr>
            <w:r>
              <w:rPr>
                <w:bCs/>
                <w:sz w:val="17"/>
              </w:rPr>
              <w:t>Popular initiative “against the selling off of national land”</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42.5</w:t>
            </w:r>
          </w:p>
        </w:tc>
        <w:tc>
          <w:tcPr>
            <w:tcW w:w="689" w:type="dxa"/>
            <w:noWrap/>
            <w:tcMar>
              <w:left w:w="68" w:type="dxa"/>
              <w:right w:w="68" w:type="dxa"/>
            </w:tcMar>
          </w:tcPr>
          <w:p w:rsidR="00000000" w:rsidRDefault="00000000">
            <w:pPr>
              <w:spacing w:before="40" w:after="30"/>
              <w:jc w:val="center"/>
              <w:rPr>
                <w:sz w:val="17"/>
                <w:szCs w:val="16"/>
              </w:rPr>
            </w:pPr>
            <w:r>
              <w:rPr>
                <w:sz w:val="17"/>
                <w:szCs w:val="16"/>
              </w:rPr>
              <w:t>25 824</w:t>
            </w:r>
          </w:p>
        </w:tc>
        <w:tc>
          <w:tcPr>
            <w:tcW w:w="821" w:type="dxa"/>
            <w:noWrap/>
            <w:tcMar>
              <w:left w:w="68" w:type="dxa"/>
              <w:right w:w="68" w:type="dxa"/>
            </w:tcMar>
          </w:tcPr>
          <w:p w:rsidR="00000000" w:rsidRDefault="00000000">
            <w:pPr>
              <w:spacing w:before="40" w:after="30"/>
              <w:jc w:val="right"/>
              <w:rPr>
                <w:sz w:val="17"/>
                <w:szCs w:val="16"/>
              </w:rPr>
            </w:pPr>
            <w:r>
              <w:rPr>
                <w:sz w:val="17"/>
                <w:szCs w:val="16"/>
              </w:rPr>
              <w:t>837 997</w:t>
            </w:r>
          </w:p>
        </w:tc>
        <w:tc>
          <w:tcPr>
            <w:tcW w:w="821" w:type="dxa"/>
            <w:noWrap/>
            <w:tcMar>
              <w:left w:w="68" w:type="dxa"/>
              <w:right w:w="68" w:type="dxa"/>
            </w:tcMar>
          </w:tcPr>
          <w:p w:rsidR="00000000" w:rsidRDefault="00000000">
            <w:pPr>
              <w:spacing w:before="40" w:after="30"/>
              <w:jc w:val="right"/>
              <w:rPr>
                <w:sz w:val="17"/>
                <w:szCs w:val="16"/>
              </w:rPr>
            </w:pPr>
            <w:r>
              <w:rPr>
                <w:sz w:val="17"/>
                <w:szCs w:val="16"/>
              </w:rPr>
              <w:t>874 954</w:t>
            </w:r>
          </w:p>
        </w:tc>
        <w:tc>
          <w:tcPr>
            <w:tcW w:w="821" w:type="dxa"/>
            <w:noWrap/>
          </w:tcPr>
          <w:p w:rsidR="00000000" w:rsidRDefault="00000000">
            <w:pPr>
              <w:spacing w:before="40" w:after="30"/>
              <w:jc w:val="center"/>
              <w:rPr>
                <w:sz w:val="17"/>
              </w:rPr>
            </w:pPr>
            <w:r>
              <w:rPr>
                <w:sz w:val="17"/>
              </w:rPr>
              <w:t>48.9</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7 3/2</w:t>
            </w:r>
          </w:p>
        </w:tc>
        <w:tc>
          <w:tcPr>
            <w:tcW w:w="913" w:type="dxa"/>
            <w:noWrap/>
          </w:tcPr>
          <w:p w:rsidR="00000000" w:rsidRDefault="00000000">
            <w:pPr>
              <w:spacing w:before="40" w:after="30"/>
              <w:jc w:val="center"/>
              <w:rPr>
                <w:sz w:val="17"/>
                <w:szCs w:val="16"/>
              </w:rPr>
            </w:pPr>
            <w:r>
              <w:rPr>
                <w:sz w:val="17"/>
                <w:szCs w:val="16"/>
              </w:rPr>
              <w:t>13 3/2</w:t>
            </w:r>
          </w:p>
        </w:tc>
      </w:tr>
      <w:tr w:rsidR="00000000">
        <w:trPr>
          <w:jc w:val="center"/>
        </w:trPr>
        <w:tc>
          <w:tcPr>
            <w:tcW w:w="936" w:type="dxa"/>
            <w:noWrap/>
          </w:tcPr>
          <w:p w:rsidR="00000000" w:rsidRDefault="00000000">
            <w:pPr>
              <w:spacing w:before="40" w:after="30"/>
              <w:ind w:left="57"/>
              <w:rPr>
                <w:sz w:val="17"/>
                <w:szCs w:val="16"/>
              </w:rPr>
            </w:pPr>
            <w:r>
              <w:rPr>
                <w:sz w:val="17"/>
                <w:szCs w:val="16"/>
              </w:rPr>
              <w:t>315</w:t>
            </w:r>
          </w:p>
        </w:tc>
        <w:tc>
          <w:tcPr>
            <w:tcW w:w="986" w:type="dxa"/>
            <w:noWrap/>
          </w:tcPr>
          <w:p w:rsidR="00000000" w:rsidRDefault="00000000">
            <w:pPr>
              <w:spacing w:before="40" w:after="30"/>
              <w:jc w:val="center"/>
              <w:rPr>
                <w:sz w:val="17"/>
                <w:szCs w:val="16"/>
              </w:rPr>
            </w:pPr>
            <w:r>
              <w:rPr>
                <w:sz w:val="17"/>
                <w:szCs w:val="16"/>
              </w:rPr>
              <w:t>04.12.1983</w:t>
            </w:r>
          </w:p>
        </w:tc>
        <w:tc>
          <w:tcPr>
            <w:tcW w:w="3875" w:type="dxa"/>
            <w:noWrap/>
          </w:tcPr>
          <w:p w:rsidR="00000000" w:rsidRDefault="00000000">
            <w:pPr>
              <w:spacing w:before="40" w:after="30"/>
              <w:rPr>
                <w:sz w:val="17"/>
                <w:szCs w:val="16"/>
              </w:rPr>
            </w:pPr>
            <w:r>
              <w:rPr>
                <w:bCs/>
                <w:sz w:val="17"/>
              </w:rPr>
              <w:t>Federal decree facilitating certain types of naturalizations of 24 June 1983</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35.9</w:t>
            </w:r>
          </w:p>
        </w:tc>
        <w:tc>
          <w:tcPr>
            <w:tcW w:w="689" w:type="dxa"/>
            <w:noWrap/>
            <w:tcMar>
              <w:left w:w="68" w:type="dxa"/>
              <w:right w:w="68" w:type="dxa"/>
            </w:tcMar>
          </w:tcPr>
          <w:p w:rsidR="00000000" w:rsidRDefault="00000000">
            <w:pPr>
              <w:spacing w:before="40" w:after="30"/>
              <w:jc w:val="center"/>
              <w:rPr>
                <w:sz w:val="17"/>
                <w:szCs w:val="16"/>
              </w:rPr>
            </w:pPr>
            <w:r>
              <w:rPr>
                <w:sz w:val="17"/>
                <w:szCs w:val="16"/>
              </w:rPr>
              <w:t>21 687</w:t>
            </w:r>
          </w:p>
        </w:tc>
        <w:tc>
          <w:tcPr>
            <w:tcW w:w="821" w:type="dxa"/>
            <w:noWrap/>
            <w:tcMar>
              <w:left w:w="68" w:type="dxa"/>
              <w:right w:w="68" w:type="dxa"/>
            </w:tcMar>
          </w:tcPr>
          <w:p w:rsidR="00000000" w:rsidRDefault="00000000">
            <w:pPr>
              <w:spacing w:before="40" w:after="30"/>
              <w:jc w:val="right"/>
              <w:rPr>
                <w:sz w:val="17"/>
                <w:szCs w:val="16"/>
              </w:rPr>
            </w:pPr>
            <w:r>
              <w:rPr>
                <w:sz w:val="17"/>
                <w:szCs w:val="16"/>
              </w:rPr>
              <w:t>644 669</w:t>
            </w:r>
          </w:p>
        </w:tc>
        <w:tc>
          <w:tcPr>
            <w:tcW w:w="821" w:type="dxa"/>
            <w:noWrap/>
            <w:tcMar>
              <w:left w:w="68" w:type="dxa"/>
              <w:right w:w="68" w:type="dxa"/>
            </w:tcMar>
          </w:tcPr>
          <w:p w:rsidR="00000000" w:rsidRDefault="00000000">
            <w:pPr>
              <w:spacing w:before="40" w:after="30"/>
              <w:jc w:val="right"/>
              <w:rPr>
                <w:sz w:val="17"/>
                <w:szCs w:val="16"/>
              </w:rPr>
            </w:pPr>
            <w:r>
              <w:rPr>
                <w:sz w:val="17"/>
                <w:szCs w:val="16"/>
              </w:rPr>
              <w:t>793 253</w:t>
            </w:r>
          </w:p>
        </w:tc>
        <w:tc>
          <w:tcPr>
            <w:tcW w:w="821" w:type="dxa"/>
            <w:noWrap/>
          </w:tcPr>
          <w:p w:rsidR="00000000" w:rsidRDefault="00000000">
            <w:pPr>
              <w:spacing w:before="40" w:after="30"/>
              <w:jc w:val="center"/>
              <w:rPr>
                <w:sz w:val="17"/>
              </w:rPr>
            </w:pPr>
            <w:r>
              <w:rPr>
                <w:sz w:val="17"/>
              </w:rPr>
              <w:t>44.8</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4 2/2</w:t>
            </w:r>
          </w:p>
        </w:tc>
        <w:tc>
          <w:tcPr>
            <w:tcW w:w="913" w:type="dxa"/>
            <w:noWrap/>
          </w:tcPr>
          <w:p w:rsidR="00000000" w:rsidRDefault="00000000">
            <w:pPr>
              <w:spacing w:before="40" w:after="30"/>
              <w:jc w:val="center"/>
              <w:rPr>
                <w:sz w:val="17"/>
                <w:szCs w:val="16"/>
              </w:rPr>
            </w:pPr>
            <w:r>
              <w:rPr>
                <w:sz w:val="17"/>
                <w:szCs w:val="16"/>
              </w:rPr>
              <w:t>16 4/2</w:t>
            </w:r>
          </w:p>
        </w:tc>
      </w:tr>
      <w:tr w:rsidR="00000000">
        <w:trPr>
          <w:jc w:val="center"/>
        </w:trPr>
        <w:tc>
          <w:tcPr>
            <w:tcW w:w="936" w:type="dxa"/>
            <w:noWrap/>
          </w:tcPr>
          <w:p w:rsidR="00000000" w:rsidRDefault="00000000">
            <w:pPr>
              <w:spacing w:before="40" w:after="30"/>
              <w:ind w:left="57"/>
              <w:rPr>
                <w:sz w:val="17"/>
                <w:szCs w:val="16"/>
              </w:rPr>
            </w:pPr>
            <w:r>
              <w:rPr>
                <w:sz w:val="17"/>
                <w:szCs w:val="16"/>
              </w:rPr>
              <w:t>310</w:t>
            </w:r>
          </w:p>
        </w:tc>
        <w:tc>
          <w:tcPr>
            <w:tcW w:w="986" w:type="dxa"/>
            <w:noWrap/>
          </w:tcPr>
          <w:p w:rsidR="00000000" w:rsidRDefault="00000000">
            <w:pPr>
              <w:spacing w:before="40" w:after="30"/>
              <w:jc w:val="center"/>
              <w:rPr>
                <w:sz w:val="17"/>
                <w:szCs w:val="16"/>
              </w:rPr>
            </w:pPr>
            <w:r>
              <w:rPr>
                <w:sz w:val="17"/>
                <w:szCs w:val="16"/>
              </w:rPr>
              <w:t>06.06.1982</w:t>
            </w:r>
          </w:p>
        </w:tc>
        <w:tc>
          <w:tcPr>
            <w:tcW w:w="3875" w:type="dxa"/>
            <w:noWrap/>
          </w:tcPr>
          <w:p w:rsidR="00000000" w:rsidRDefault="00000000">
            <w:pPr>
              <w:spacing w:before="40" w:after="30"/>
              <w:rPr>
                <w:sz w:val="17"/>
                <w:szCs w:val="16"/>
              </w:rPr>
            </w:pPr>
            <w:r>
              <w:rPr>
                <w:bCs/>
                <w:sz w:val="17"/>
              </w:rPr>
              <w:t>Act on Foreign Nationals (LETr) of 19 June 1981</w:t>
            </w:r>
          </w:p>
        </w:tc>
        <w:tc>
          <w:tcPr>
            <w:tcW w:w="699" w:type="dxa"/>
            <w:noWrap/>
          </w:tcPr>
          <w:p w:rsidR="00000000" w:rsidRDefault="00000000">
            <w:pPr>
              <w:spacing w:before="40" w:after="30"/>
              <w:jc w:val="center"/>
              <w:rPr>
                <w:sz w:val="17"/>
                <w:szCs w:val="16"/>
              </w:rPr>
            </w:pPr>
            <w:r>
              <w:rPr>
                <w:sz w:val="17"/>
                <w:szCs w:val="16"/>
              </w:rPr>
              <w:t>Opt.</w:t>
            </w:r>
          </w:p>
        </w:tc>
        <w:tc>
          <w:tcPr>
            <w:tcW w:w="1058" w:type="dxa"/>
            <w:noWrap/>
          </w:tcPr>
          <w:p w:rsidR="00000000" w:rsidRDefault="00000000">
            <w:pPr>
              <w:spacing w:before="40" w:after="30"/>
              <w:jc w:val="center"/>
              <w:rPr>
                <w:sz w:val="17"/>
                <w:szCs w:val="16"/>
              </w:rPr>
            </w:pPr>
            <w:r>
              <w:rPr>
                <w:sz w:val="17"/>
                <w:szCs w:val="16"/>
              </w:rPr>
              <w:t>35.2</w:t>
            </w:r>
          </w:p>
        </w:tc>
        <w:tc>
          <w:tcPr>
            <w:tcW w:w="689" w:type="dxa"/>
            <w:noWrap/>
            <w:tcMar>
              <w:left w:w="68" w:type="dxa"/>
              <w:right w:w="68" w:type="dxa"/>
            </w:tcMar>
          </w:tcPr>
          <w:p w:rsidR="00000000" w:rsidRDefault="00000000">
            <w:pPr>
              <w:spacing w:before="40" w:after="30"/>
              <w:jc w:val="center"/>
              <w:rPr>
                <w:sz w:val="17"/>
                <w:szCs w:val="16"/>
              </w:rPr>
            </w:pPr>
            <w:r>
              <w:rPr>
                <w:sz w:val="17"/>
                <w:szCs w:val="16"/>
              </w:rPr>
              <w:t>34 425</w:t>
            </w:r>
          </w:p>
        </w:tc>
        <w:tc>
          <w:tcPr>
            <w:tcW w:w="821" w:type="dxa"/>
            <w:noWrap/>
            <w:tcMar>
              <w:left w:w="68" w:type="dxa"/>
              <w:right w:w="68" w:type="dxa"/>
            </w:tcMar>
          </w:tcPr>
          <w:p w:rsidR="00000000" w:rsidRDefault="00000000">
            <w:pPr>
              <w:spacing w:before="40" w:after="30"/>
              <w:jc w:val="right"/>
              <w:rPr>
                <w:sz w:val="17"/>
                <w:szCs w:val="16"/>
              </w:rPr>
            </w:pPr>
            <w:r>
              <w:rPr>
                <w:sz w:val="17"/>
                <w:szCs w:val="16"/>
              </w:rPr>
              <w:t>680 404</w:t>
            </w:r>
          </w:p>
        </w:tc>
        <w:tc>
          <w:tcPr>
            <w:tcW w:w="821" w:type="dxa"/>
            <w:noWrap/>
            <w:tcMar>
              <w:left w:w="68" w:type="dxa"/>
              <w:right w:w="68" w:type="dxa"/>
            </w:tcMar>
          </w:tcPr>
          <w:p w:rsidR="00000000" w:rsidRDefault="00000000">
            <w:pPr>
              <w:spacing w:before="40" w:after="30"/>
              <w:jc w:val="right"/>
              <w:rPr>
                <w:sz w:val="17"/>
                <w:szCs w:val="16"/>
              </w:rPr>
            </w:pPr>
            <w:r>
              <w:rPr>
                <w:sz w:val="17"/>
                <w:szCs w:val="16"/>
              </w:rPr>
              <w:t>690 268</w:t>
            </w:r>
          </w:p>
        </w:tc>
        <w:tc>
          <w:tcPr>
            <w:tcW w:w="821" w:type="dxa"/>
            <w:noWrap/>
          </w:tcPr>
          <w:p w:rsidR="00000000" w:rsidRDefault="00000000">
            <w:pPr>
              <w:spacing w:before="40" w:after="30"/>
              <w:jc w:val="center"/>
              <w:rPr>
                <w:sz w:val="17"/>
              </w:rPr>
            </w:pPr>
            <w:r>
              <w:rPr>
                <w:sz w:val="17"/>
              </w:rPr>
              <w:t>49.6</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305</w:t>
            </w:r>
          </w:p>
        </w:tc>
        <w:tc>
          <w:tcPr>
            <w:tcW w:w="986" w:type="dxa"/>
            <w:noWrap/>
          </w:tcPr>
          <w:p w:rsidR="00000000" w:rsidRDefault="00000000">
            <w:pPr>
              <w:spacing w:before="40" w:after="30"/>
              <w:jc w:val="center"/>
              <w:rPr>
                <w:sz w:val="17"/>
                <w:szCs w:val="16"/>
              </w:rPr>
            </w:pPr>
            <w:r>
              <w:rPr>
                <w:sz w:val="17"/>
                <w:szCs w:val="16"/>
              </w:rPr>
              <w:t>05.04.1981</w:t>
            </w:r>
          </w:p>
        </w:tc>
        <w:tc>
          <w:tcPr>
            <w:tcW w:w="3875" w:type="dxa"/>
            <w:noWrap/>
          </w:tcPr>
          <w:p w:rsidR="00000000" w:rsidRDefault="00000000">
            <w:pPr>
              <w:spacing w:before="40" w:after="30"/>
              <w:rPr>
                <w:sz w:val="17"/>
                <w:szCs w:val="16"/>
              </w:rPr>
            </w:pPr>
            <w:r>
              <w:rPr>
                <w:bCs/>
                <w:sz w:val="17"/>
              </w:rPr>
              <w:t>Popular initiative “united for a new policy on foreigners” of 10 October 1980</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39.9</w:t>
            </w:r>
          </w:p>
        </w:tc>
        <w:tc>
          <w:tcPr>
            <w:tcW w:w="689" w:type="dxa"/>
            <w:noWrap/>
            <w:tcMar>
              <w:left w:w="68" w:type="dxa"/>
              <w:right w:w="68" w:type="dxa"/>
            </w:tcMar>
          </w:tcPr>
          <w:p w:rsidR="00000000" w:rsidRDefault="00000000">
            <w:pPr>
              <w:spacing w:before="40" w:after="30"/>
              <w:jc w:val="center"/>
              <w:rPr>
                <w:sz w:val="17"/>
                <w:szCs w:val="16"/>
              </w:rPr>
            </w:pPr>
            <w:r>
              <w:rPr>
                <w:sz w:val="17"/>
                <w:szCs w:val="16"/>
              </w:rPr>
              <w:t>15 524</w:t>
            </w:r>
          </w:p>
        </w:tc>
        <w:tc>
          <w:tcPr>
            <w:tcW w:w="821" w:type="dxa"/>
            <w:noWrap/>
            <w:tcMar>
              <w:left w:w="68" w:type="dxa"/>
              <w:right w:w="68" w:type="dxa"/>
            </w:tcMar>
          </w:tcPr>
          <w:p w:rsidR="00000000" w:rsidRDefault="00000000">
            <w:pPr>
              <w:spacing w:before="40" w:after="30"/>
              <w:jc w:val="right"/>
              <w:rPr>
                <w:sz w:val="17"/>
                <w:szCs w:val="16"/>
              </w:rPr>
            </w:pPr>
            <w:r>
              <w:rPr>
                <w:sz w:val="17"/>
                <w:szCs w:val="16"/>
              </w:rPr>
              <w:t>252 531</w:t>
            </w:r>
          </w:p>
        </w:tc>
        <w:tc>
          <w:tcPr>
            <w:tcW w:w="821" w:type="dxa"/>
            <w:noWrap/>
            <w:tcMar>
              <w:left w:w="68" w:type="dxa"/>
              <w:right w:w="68" w:type="dxa"/>
            </w:tcMar>
          </w:tcPr>
          <w:p w:rsidR="00000000" w:rsidRDefault="00000000">
            <w:pPr>
              <w:spacing w:before="40" w:after="30"/>
              <w:jc w:val="right"/>
              <w:rPr>
                <w:sz w:val="17"/>
                <w:szCs w:val="16"/>
              </w:rPr>
            </w:pPr>
            <w:r>
              <w:rPr>
                <w:sz w:val="17"/>
                <w:szCs w:val="16"/>
              </w:rPr>
              <w:t>1 304 153</w:t>
            </w:r>
          </w:p>
        </w:tc>
        <w:tc>
          <w:tcPr>
            <w:tcW w:w="821" w:type="dxa"/>
            <w:noWrap/>
          </w:tcPr>
          <w:p w:rsidR="00000000" w:rsidRDefault="00000000">
            <w:pPr>
              <w:spacing w:before="40" w:after="30"/>
              <w:jc w:val="center"/>
              <w:rPr>
                <w:sz w:val="17"/>
              </w:rPr>
            </w:pPr>
            <w:r>
              <w:rPr>
                <w:sz w:val="17"/>
              </w:rPr>
              <w:t>16.2</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20 6/2</w:t>
            </w:r>
          </w:p>
        </w:tc>
      </w:tr>
      <w:tr w:rsidR="00000000">
        <w:trPr>
          <w:jc w:val="center"/>
        </w:trPr>
        <w:tc>
          <w:tcPr>
            <w:tcW w:w="936" w:type="dxa"/>
            <w:noWrap/>
          </w:tcPr>
          <w:p w:rsidR="00000000" w:rsidRDefault="00000000">
            <w:pPr>
              <w:spacing w:before="40" w:after="30"/>
              <w:ind w:left="57"/>
              <w:rPr>
                <w:sz w:val="17"/>
                <w:szCs w:val="16"/>
              </w:rPr>
            </w:pPr>
            <w:r>
              <w:rPr>
                <w:sz w:val="17"/>
                <w:szCs w:val="16"/>
              </w:rPr>
              <w:t>266</w:t>
            </w:r>
          </w:p>
        </w:tc>
        <w:tc>
          <w:tcPr>
            <w:tcW w:w="986" w:type="dxa"/>
            <w:noWrap/>
          </w:tcPr>
          <w:p w:rsidR="00000000" w:rsidRDefault="00000000">
            <w:pPr>
              <w:spacing w:before="40" w:after="30"/>
              <w:jc w:val="center"/>
              <w:rPr>
                <w:sz w:val="17"/>
                <w:szCs w:val="16"/>
              </w:rPr>
            </w:pPr>
            <w:r>
              <w:rPr>
                <w:sz w:val="17"/>
                <w:szCs w:val="16"/>
              </w:rPr>
              <w:t>13.03.1977</w:t>
            </w:r>
          </w:p>
        </w:tc>
        <w:tc>
          <w:tcPr>
            <w:tcW w:w="3875" w:type="dxa"/>
            <w:noWrap/>
          </w:tcPr>
          <w:p w:rsidR="00000000" w:rsidRDefault="00000000">
            <w:pPr>
              <w:spacing w:before="40" w:after="30"/>
              <w:rPr>
                <w:sz w:val="17"/>
                <w:szCs w:val="16"/>
              </w:rPr>
            </w:pPr>
            <w:r>
              <w:rPr>
                <w:bCs/>
                <w:sz w:val="17"/>
              </w:rPr>
              <w:t>Popular initiative “to limit the annual number of naturalizations” (fifth initiative against foreign expropriation)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45.2</w:t>
            </w:r>
          </w:p>
        </w:tc>
        <w:tc>
          <w:tcPr>
            <w:tcW w:w="689" w:type="dxa"/>
            <w:noWrap/>
            <w:tcMar>
              <w:left w:w="68" w:type="dxa"/>
              <w:right w:w="68" w:type="dxa"/>
            </w:tcMar>
          </w:tcPr>
          <w:p w:rsidR="00000000" w:rsidRDefault="00000000">
            <w:pPr>
              <w:spacing w:before="40" w:after="30"/>
              <w:jc w:val="center"/>
              <w:rPr>
                <w:sz w:val="17"/>
                <w:szCs w:val="16"/>
              </w:rPr>
            </w:pPr>
            <w:r>
              <w:rPr>
                <w:sz w:val="17"/>
                <w:szCs w:val="16"/>
              </w:rPr>
              <w:t>24 673</w:t>
            </w:r>
          </w:p>
        </w:tc>
        <w:tc>
          <w:tcPr>
            <w:tcW w:w="821" w:type="dxa"/>
            <w:noWrap/>
            <w:tcMar>
              <w:left w:w="68" w:type="dxa"/>
              <w:right w:w="68" w:type="dxa"/>
            </w:tcMar>
          </w:tcPr>
          <w:p w:rsidR="00000000" w:rsidRDefault="00000000">
            <w:pPr>
              <w:spacing w:before="40" w:after="30"/>
              <w:jc w:val="right"/>
              <w:rPr>
                <w:sz w:val="17"/>
                <w:szCs w:val="16"/>
              </w:rPr>
            </w:pPr>
            <w:r>
              <w:rPr>
                <w:sz w:val="17"/>
                <w:szCs w:val="16"/>
              </w:rPr>
              <w:t>568 867</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1 116 188</w:t>
            </w:r>
          </w:p>
        </w:tc>
        <w:tc>
          <w:tcPr>
            <w:tcW w:w="821" w:type="dxa"/>
            <w:noWrap/>
          </w:tcPr>
          <w:p w:rsidR="00000000" w:rsidRDefault="00000000">
            <w:pPr>
              <w:spacing w:before="40" w:after="30"/>
              <w:jc w:val="center"/>
              <w:rPr>
                <w:sz w:val="17"/>
              </w:rPr>
            </w:pPr>
            <w:r>
              <w:rPr>
                <w:sz w:val="17"/>
              </w:rPr>
              <w:t>33.8</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19 6/2</w:t>
            </w:r>
          </w:p>
        </w:tc>
      </w:tr>
      <w:tr w:rsidR="00000000">
        <w:trPr>
          <w:jc w:val="center"/>
        </w:trPr>
        <w:tc>
          <w:tcPr>
            <w:tcW w:w="936" w:type="dxa"/>
            <w:noWrap/>
          </w:tcPr>
          <w:p w:rsidR="00000000" w:rsidRDefault="00000000">
            <w:pPr>
              <w:spacing w:before="40" w:after="30"/>
              <w:ind w:left="57"/>
              <w:rPr>
                <w:sz w:val="17"/>
                <w:szCs w:val="16"/>
              </w:rPr>
            </w:pPr>
            <w:r>
              <w:rPr>
                <w:sz w:val="17"/>
                <w:szCs w:val="16"/>
              </w:rPr>
              <w:t>265</w:t>
            </w:r>
          </w:p>
        </w:tc>
        <w:tc>
          <w:tcPr>
            <w:tcW w:w="986" w:type="dxa"/>
            <w:noWrap/>
          </w:tcPr>
          <w:p w:rsidR="00000000" w:rsidRDefault="00000000">
            <w:pPr>
              <w:spacing w:before="40" w:after="30"/>
              <w:jc w:val="center"/>
              <w:rPr>
                <w:sz w:val="17"/>
                <w:szCs w:val="16"/>
              </w:rPr>
            </w:pPr>
            <w:r>
              <w:rPr>
                <w:sz w:val="17"/>
                <w:szCs w:val="16"/>
              </w:rPr>
              <w:t>13.03.1977</w:t>
            </w:r>
          </w:p>
        </w:tc>
        <w:tc>
          <w:tcPr>
            <w:tcW w:w="3875" w:type="dxa"/>
            <w:noWrap/>
          </w:tcPr>
          <w:p w:rsidR="00000000" w:rsidRDefault="00000000">
            <w:pPr>
              <w:spacing w:before="40" w:after="30"/>
              <w:rPr>
                <w:sz w:val="17"/>
                <w:szCs w:val="16"/>
              </w:rPr>
            </w:pPr>
            <w:r>
              <w:rPr>
                <w:bCs/>
                <w:sz w:val="17"/>
              </w:rPr>
              <w:t>Popular initiative of the Republican Party “to protect Switzerland” (fourth initiative against foreign expropriation)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45.2</w:t>
            </w:r>
          </w:p>
        </w:tc>
        <w:tc>
          <w:tcPr>
            <w:tcW w:w="689" w:type="dxa"/>
            <w:noWrap/>
            <w:tcMar>
              <w:left w:w="68" w:type="dxa"/>
              <w:right w:w="68" w:type="dxa"/>
            </w:tcMar>
          </w:tcPr>
          <w:p w:rsidR="00000000" w:rsidRDefault="00000000">
            <w:pPr>
              <w:spacing w:before="40" w:after="30"/>
              <w:jc w:val="center"/>
              <w:rPr>
                <w:sz w:val="17"/>
                <w:szCs w:val="16"/>
              </w:rPr>
            </w:pPr>
            <w:r>
              <w:rPr>
                <w:sz w:val="17"/>
                <w:szCs w:val="16"/>
              </w:rPr>
              <w:t>29 949</w:t>
            </w:r>
          </w:p>
        </w:tc>
        <w:tc>
          <w:tcPr>
            <w:tcW w:w="821" w:type="dxa"/>
            <w:noWrap/>
            <w:tcMar>
              <w:left w:w="68" w:type="dxa"/>
              <w:right w:w="68" w:type="dxa"/>
            </w:tcMar>
          </w:tcPr>
          <w:p w:rsidR="00000000" w:rsidRDefault="00000000">
            <w:pPr>
              <w:spacing w:before="40" w:after="30"/>
              <w:jc w:val="right"/>
              <w:rPr>
                <w:sz w:val="17"/>
                <w:szCs w:val="16"/>
              </w:rPr>
            </w:pPr>
            <w:r>
              <w:rPr>
                <w:sz w:val="17"/>
                <w:szCs w:val="16"/>
              </w:rPr>
              <w:t>495 904</w:t>
            </w:r>
          </w:p>
        </w:tc>
        <w:tc>
          <w:tcPr>
            <w:tcW w:w="821" w:type="dxa"/>
            <w:noWrap/>
            <w:tcMar>
              <w:left w:w="68" w:type="dxa"/>
              <w:right w:w="68" w:type="dxa"/>
            </w:tcMar>
          </w:tcPr>
          <w:p w:rsidR="00000000" w:rsidRDefault="00000000">
            <w:pPr>
              <w:spacing w:before="40" w:after="30"/>
              <w:jc w:val="right"/>
              <w:rPr>
                <w:sz w:val="17"/>
                <w:szCs w:val="16"/>
              </w:rPr>
            </w:pPr>
            <w:r>
              <w:rPr>
                <w:sz w:val="17"/>
                <w:szCs w:val="16"/>
              </w:rPr>
              <w:t>1 182 820</w:t>
            </w:r>
          </w:p>
        </w:tc>
        <w:tc>
          <w:tcPr>
            <w:tcW w:w="821" w:type="dxa"/>
            <w:noWrap/>
          </w:tcPr>
          <w:p w:rsidR="00000000" w:rsidRDefault="00000000">
            <w:pPr>
              <w:spacing w:before="40" w:after="30"/>
              <w:jc w:val="center"/>
              <w:rPr>
                <w:sz w:val="17"/>
              </w:rPr>
            </w:pPr>
            <w:r>
              <w:rPr>
                <w:sz w:val="17"/>
              </w:rPr>
              <w:t>29.5</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19 6/2</w:t>
            </w:r>
          </w:p>
        </w:tc>
      </w:tr>
      <w:tr w:rsidR="00000000">
        <w:trPr>
          <w:jc w:val="center"/>
        </w:trPr>
        <w:tc>
          <w:tcPr>
            <w:tcW w:w="936" w:type="dxa"/>
            <w:noWrap/>
          </w:tcPr>
          <w:p w:rsidR="00000000" w:rsidRDefault="00000000">
            <w:pPr>
              <w:spacing w:before="40" w:after="30"/>
              <w:ind w:left="57"/>
              <w:rPr>
                <w:sz w:val="17"/>
                <w:szCs w:val="16"/>
              </w:rPr>
            </w:pPr>
            <w:r>
              <w:rPr>
                <w:sz w:val="17"/>
                <w:szCs w:val="16"/>
              </w:rPr>
              <w:t>252</w:t>
            </w:r>
          </w:p>
        </w:tc>
        <w:tc>
          <w:tcPr>
            <w:tcW w:w="986" w:type="dxa"/>
            <w:noWrap/>
          </w:tcPr>
          <w:p w:rsidR="00000000" w:rsidRDefault="00000000">
            <w:pPr>
              <w:spacing w:before="40" w:after="30"/>
              <w:jc w:val="center"/>
              <w:rPr>
                <w:sz w:val="17"/>
                <w:szCs w:val="16"/>
              </w:rPr>
            </w:pPr>
            <w:r>
              <w:rPr>
                <w:sz w:val="17"/>
                <w:szCs w:val="16"/>
              </w:rPr>
              <w:t>07.12.1975</w:t>
            </w:r>
          </w:p>
        </w:tc>
        <w:tc>
          <w:tcPr>
            <w:tcW w:w="3875" w:type="dxa"/>
            <w:noWrap/>
          </w:tcPr>
          <w:p w:rsidR="00000000" w:rsidRDefault="00000000">
            <w:pPr>
              <w:spacing w:before="40" w:after="30"/>
              <w:rPr>
                <w:sz w:val="17"/>
                <w:szCs w:val="16"/>
              </w:rPr>
            </w:pPr>
            <w:r>
              <w:rPr>
                <w:bCs/>
                <w:sz w:val="17"/>
              </w:rPr>
              <w:t>Federal decree amending the Constitution (freedom of establishment and regulations on assistance)</w:t>
            </w:r>
          </w:p>
        </w:tc>
        <w:tc>
          <w:tcPr>
            <w:tcW w:w="699" w:type="dxa"/>
            <w:noWrap/>
          </w:tcPr>
          <w:p w:rsidR="00000000" w:rsidRDefault="00000000">
            <w:pPr>
              <w:spacing w:before="40" w:after="30"/>
              <w:jc w:val="center"/>
              <w:rPr>
                <w:sz w:val="17"/>
                <w:szCs w:val="16"/>
              </w:rPr>
            </w:pPr>
            <w:r>
              <w:rPr>
                <w:sz w:val="17"/>
                <w:szCs w:val="16"/>
              </w:rPr>
              <w:t>Obl.</w:t>
            </w:r>
          </w:p>
        </w:tc>
        <w:tc>
          <w:tcPr>
            <w:tcW w:w="1058" w:type="dxa"/>
            <w:noWrap/>
          </w:tcPr>
          <w:p w:rsidR="00000000" w:rsidRDefault="00000000">
            <w:pPr>
              <w:spacing w:before="40" w:after="30"/>
              <w:jc w:val="center"/>
              <w:rPr>
                <w:sz w:val="17"/>
                <w:szCs w:val="16"/>
              </w:rPr>
            </w:pPr>
            <w:r>
              <w:rPr>
                <w:sz w:val="17"/>
                <w:szCs w:val="16"/>
              </w:rPr>
              <w:t>30.9</w:t>
            </w:r>
          </w:p>
        </w:tc>
        <w:tc>
          <w:tcPr>
            <w:tcW w:w="689" w:type="dxa"/>
            <w:noWrap/>
            <w:tcMar>
              <w:left w:w="68" w:type="dxa"/>
              <w:right w:w="68" w:type="dxa"/>
            </w:tcMar>
          </w:tcPr>
          <w:p w:rsidR="00000000" w:rsidRDefault="00000000">
            <w:pPr>
              <w:spacing w:before="40" w:after="30"/>
              <w:jc w:val="center"/>
              <w:rPr>
                <w:sz w:val="17"/>
                <w:szCs w:val="16"/>
              </w:rPr>
            </w:pPr>
            <w:r>
              <w:rPr>
                <w:sz w:val="17"/>
                <w:szCs w:val="16"/>
              </w:rPr>
              <w:t>39 934</w:t>
            </w:r>
          </w:p>
        </w:tc>
        <w:tc>
          <w:tcPr>
            <w:tcW w:w="821" w:type="dxa"/>
            <w:noWrap/>
            <w:tcMar>
              <w:left w:w="68" w:type="dxa"/>
              <w:right w:w="68" w:type="dxa"/>
            </w:tcMar>
          </w:tcPr>
          <w:p w:rsidR="00000000" w:rsidRDefault="00000000">
            <w:pPr>
              <w:spacing w:before="40" w:after="30"/>
              <w:jc w:val="right"/>
              <w:rPr>
                <w:sz w:val="17"/>
                <w:szCs w:val="16"/>
              </w:rPr>
            </w:pPr>
            <w:r>
              <w:rPr>
                <w:sz w:val="17"/>
                <w:szCs w:val="16"/>
              </w:rPr>
              <w:t>842 165</w:t>
            </w:r>
          </w:p>
        </w:tc>
        <w:tc>
          <w:tcPr>
            <w:tcW w:w="821" w:type="dxa"/>
            <w:noWrap/>
            <w:tcMar>
              <w:left w:w="68" w:type="dxa"/>
              <w:right w:w="68" w:type="dxa"/>
            </w:tcMar>
          </w:tcPr>
          <w:p w:rsidR="00000000" w:rsidRDefault="00000000">
            <w:pPr>
              <w:spacing w:before="40" w:after="30"/>
              <w:jc w:val="right"/>
              <w:rPr>
                <w:sz w:val="17"/>
                <w:szCs w:val="16"/>
              </w:rPr>
            </w:pPr>
            <w:r>
              <w:rPr>
                <w:sz w:val="17"/>
                <w:szCs w:val="16"/>
              </w:rPr>
              <w:t>271 563</w:t>
            </w:r>
          </w:p>
        </w:tc>
        <w:tc>
          <w:tcPr>
            <w:tcW w:w="821" w:type="dxa"/>
            <w:noWrap/>
          </w:tcPr>
          <w:p w:rsidR="00000000" w:rsidRDefault="00000000">
            <w:pPr>
              <w:spacing w:before="40" w:after="30"/>
              <w:jc w:val="center"/>
              <w:rPr>
                <w:sz w:val="17"/>
              </w:rPr>
            </w:pPr>
            <w:r>
              <w:rPr>
                <w:sz w:val="17"/>
              </w:rPr>
              <w:t>75.6</w:t>
            </w:r>
          </w:p>
        </w:tc>
        <w:tc>
          <w:tcPr>
            <w:tcW w:w="853" w:type="dxa"/>
            <w:noWrap/>
          </w:tcPr>
          <w:p w:rsidR="00000000" w:rsidRDefault="00000000">
            <w:pPr>
              <w:spacing w:before="40" w:after="30"/>
              <w:jc w:val="center"/>
              <w:rPr>
                <w:sz w:val="17"/>
                <w:szCs w:val="16"/>
              </w:rPr>
            </w:pPr>
            <w:r>
              <w:rPr>
                <w:sz w:val="17"/>
                <w:szCs w:val="16"/>
              </w:rPr>
              <w:t>A</w:t>
            </w:r>
          </w:p>
        </w:tc>
        <w:tc>
          <w:tcPr>
            <w:tcW w:w="973" w:type="dxa"/>
            <w:noWrap/>
            <w:tcMar>
              <w:left w:w="68" w:type="dxa"/>
              <w:right w:w="312" w:type="dxa"/>
            </w:tcMar>
          </w:tcPr>
          <w:p w:rsidR="00000000" w:rsidRDefault="00000000">
            <w:pPr>
              <w:spacing w:before="40" w:after="30"/>
              <w:jc w:val="right"/>
              <w:rPr>
                <w:sz w:val="17"/>
                <w:szCs w:val="16"/>
              </w:rPr>
            </w:pPr>
            <w:r>
              <w:rPr>
                <w:sz w:val="17"/>
                <w:szCs w:val="16"/>
              </w:rPr>
              <w:t>19 6/2</w:t>
            </w:r>
          </w:p>
        </w:tc>
        <w:tc>
          <w:tcPr>
            <w:tcW w:w="913" w:type="dxa"/>
            <w:noWrap/>
          </w:tcPr>
          <w:p w:rsidR="00000000" w:rsidRDefault="00000000">
            <w:pPr>
              <w:spacing w:before="40" w:after="30"/>
              <w:jc w:val="center"/>
              <w:rPr>
                <w:sz w:val="17"/>
                <w:szCs w:val="16"/>
              </w:rPr>
            </w:pPr>
          </w:p>
        </w:tc>
      </w:tr>
      <w:tr w:rsidR="00000000">
        <w:trPr>
          <w:jc w:val="center"/>
        </w:trPr>
        <w:tc>
          <w:tcPr>
            <w:tcW w:w="936" w:type="dxa"/>
            <w:noWrap/>
          </w:tcPr>
          <w:p w:rsidR="00000000" w:rsidRDefault="00000000">
            <w:pPr>
              <w:spacing w:before="40" w:after="30"/>
              <w:ind w:left="57"/>
              <w:rPr>
                <w:sz w:val="17"/>
                <w:szCs w:val="16"/>
              </w:rPr>
            </w:pPr>
            <w:r>
              <w:rPr>
                <w:sz w:val="17"/>
                <w:szCs w:val="16"/>
              </w:rPr>
              <w:t>242</w:t>
            </w:r>
          </w:p>
        </w:tc>
        <w:tc>
          <w:tcPr>
            <w:tcW w:w="986" w:type="dxa"/>
            <w:noWrap/>
          </w:tcPr>
          <w:p w:rsidR="00000000" w:rsidRDefault="00000000">
            <w:pPr>
              <w:spacing w:before="40" w:after="30"/>
              <w:jc w:val="center"/>
              <w:rPr>
                <w:sz w:val="17"/>
                <w:szCs w:val="16"/>
              </w:rPr>
            </w:pPr>
            <w:r>
              <w:rPr>
                <w:sz w:val="17"/>
                <w:szCs w:val="16"/>
              </w:rPr>
              <w:t>20.10.1974</w:t>
            </w:r>
          </w:p>
        </w:tc>
        <w:tc>
          <w:tcPr>
            <w:tcW w:w="3875" w:type="dxa"/>
            <w:noWrap/>
          </w:tcPr>
          <w:p w:rsidR="00000000" w:rsidRDefault="00000000">
            <w:pPr>
              <w:spacing w:before="40" w:after="30"/>
              <w:rPr>
                <w:sz w:val="17"/>
                <w:szCs w:val="16"/>
              </w:rPr>
            </w:pPr>
            <w:r>
              <w:rPr>
                <w:sz w:val="17"/>
                <w:szCs w:val="16"/>
              </w:rPr>
              <w:t>Popular initiative against foreign expropriation and the overpopulation of Switzerland</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70.3</w:t>
            </w:r>
          </w:p>
        </w:tc>
        <w:tc>
          <w:tcPr>
            <w:tcW w:w="689" w:type="dxa"/>
            <w:noWrap/>
            <w:tcMar>
              <w:left w:w="68" w:type="dxa"/>
              <w:right w:w="68" w:type="dxa"/>
            </w:tcMar>
          </w:tcPr>
          <w:p w:rsidR="00000000" w:rsidRDefault="00000000">
            <w:pPr>
              <w:spacing w:before="40" w:after="30"/>
              <w:jc w:val="center"/>
              <w:rPr>
                <w:sz w:val="17"/>
                <w:szCs w:val="16"/>
              </w:rPr>
            </w:pPr>
            <w:r>
              <w:rPr>
                <w:sz w:val="17"/>
                <w:szCs w:val="16"/>
              </w:rPr>
              <w:t>28 338</w:t>
            </w:r>
          </w:p>
        </w:tc>
        <w:tc>
          <w:tcPr>
            <w:tcW w:w="821" w:type="dxa"/>
            <w:noWrap/>
            <w:tcMar>
              <w:left w:w="68" w:type="dxa"/>
              <w:right w:w="68" w:type="dxa"/>
            </w:tcMar>
          </w:tcPr>
          <w:p w:rsidR="00000000" w:rsidRDefault="00000000">
            <w:pPr>
              <w:spacing w:before="40" w:after="30"/>
              <w:jc w:val="right"/>
              <w:rPr>
                <w:sz w:val="17"/>
                <w:szCs w:val="16"/>
              </w:rPr>
            </w:pPr>
            <w:r>
              <w:rPr>
                <w:sz w:val="17"/>
                <w:szCs w:val="16"/>
              </w:rPr>
              <w:t>878 891</w:t>
            </w:r>
          </w:p>
        </w:tc>
        <w:tc>
          <w:tcPr>
            <w:tcW w:w="821" w:type="dxa"/>
            <w:noWrap/>
            <w:tcMar>
              <w:left w:w="68" w:type="dxa"/>
              <w:right w:w="68" w:type="dxa"/>
            </w:tcMar>
          </w:tcPr>
          <w:p w:rsidR="00000000" w:rsidRDefault="00000000">
            <w:pPr>
              <w:spacing w:before="40" w:after="30"/>
              <w:jc w:val="right"/>
              <w:rPr>
                <w:sz w:val="17"/>
                <w:szCs w:val="16"/>
              </w:rPr>
            </w:pPr>
            <w:r>
              <w:rPr>
                <w:sz w:val="17"/>
                <w:szCs w:val="16"/>
              </w:rPr>
              <w:t>1 691 632</w:t>
            </w:r>
          </w:p>
        </w:tc>
        <w:tc>
          <w:tcPr>
            <w:tcW w:w="821" w:type="dxa"/>
            <w:noWrap/>
          </w:tcPr>
          <w:p w:rsidR="00000000" w:rsidRDefault="00000000">
            <w:pPr>
              <w:spacing w:before="40" w:after="30"/>
              <w:jc w:val="center"/>
              <w:rPr>
                <w:sz w:val="17"/>
              </w:rPr>
            </w:pPr>
            <w:r>
              <w:rPr>
                <w:sz w:val="17"/>
              </w:rPr>
              <w:t>34.2</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p>
        </w:tc>
        <w:tc>
          <w:tcPr>
            <w:tcW w:w="913" w:type="dxa"/>
            <w:noWrap/>
          </w:tcPr>
          <w:p w:rsidR="00000000" w:rsidRDefault="00000000">
            <w:pPr>
              <w:spacing w:before="40" w:after="30"/>
              <w:jc w:val="center"/>
              <w:rPr>
                <w:sz w:val="17"/>
                <w:szCs w:val="16"/>
              </w:rPr>
            </w:pPr>
            <w:r>
              <w:rPr>
                <w:sz w:val="17"/>
                <w:szCs w:val="16"/>
              </w:rPr>
              <w:t>19 6/2</w:t>
            </w:r>
          </w:p>
        </w:tc>
      </w:tr>
      <w:tr w:rsidR="00000000">
        <w:trPr>
          <w:jc w:val="center"/>
        </w:trPr>
        <w:tc>
          <w:tcPr>
            <w:tcW w:w="936" w:type="dxa"/>
            <w:noWrap/>
          </w:tcPr>
          <w:p w:rsidR="00000000" w:rsidRDefault="00000000">
            <w:pPr>
              <w:spacing w:before="40" w:after="30"/>
              <w:ind w:left="57"/>
              <w:rPr>
                <w:sz w:val="17"/>
                <w:szCs w:val="16"/>
              </w:rPr>
            </w:pPr>
            <w:r>
              <w:rPr>
                <w:sz w:val="17"/>
                <w:szCs w:val="16"/>
              </w:rPr>
              <w:t>220</w:t>
            </w:r>
          </w:p>
        </w:tc>
        <w:tc>
          <w:tcPr>
            <w:tcW w:w="986" w:type="dxa"/>
            <w:noWrap/>
          </w:tcPr>
          <w:p w:rsidR="00000000" w:rsidRDefault="00000000">
            <w:pPr>
              <w:spacing w:before="40" w:after="30"/>
              <w:jc w:val="center"/>
              <w:rPr>
                <w:sz w:val="17"/>
                <w:szCs w:val="16"/>
              </w:rPr>
            </w:pPr>
            <w:r>
              <w:rPr>
                <w:sz w:val="17"/>
                <w:szCs w:val="16"/>
              </w:rPr>
              <w:t>07.06.1970</w:t>
            </w:r>
          </w:p>
        </w:tc>
        <w:tc>
          <w:tcPr>
            <w:tcW w:w="3875" w:type="dxa"/>
            <w:noWrap/>
          </w:tcPr>
          <w:p w:rsidR="00000000" w:rsidRDefault="00000000">
            <w:pPr>
              <w:spacing w:before="40" w:after="30"/>
              <w:rPr>
                <w:sz w:val="17"/>
                <w:szCs w:val="16"/>
              </w:rPr>
            </w:pPr>
            <w:r>
              <w:rPr>
                <w:sz w:val="17"/>
                <w:szCs w:val="16"/>
              </w:rPr>
              <w:t>Popular initiative against foreign expropriation</w:t>
            </w:r>
          </w:p>
        </w:tc>
        <w:tc>
          <w:tcPr>
            <w:tcW w:w="699" w:type="dxa"/>
            <w:noWrap/>
          </w:tcPr>
          <w:p w:rsidR="00000000" w:rsidRDefault="00000000">
            <w:pPr>
              <w:spacing w:before="40" w:after="30"/>
              <w:jc w:val="center"/>
              <w:rPr>
                <w:sz w:val="17"/>
                <w:szCs w:val="16"/>
              </w:rPr>
            </w:pPr>
            <w:r>
              <w:rPr>
                <w:sz w:val="17"/>
                <w:szCs w:val="16"/>
              </w:rPr>
              <w:t>I.</w:t>
            </w:r>
          </w:p>
        </w:tc>
        <w:tc>
          <w:tcPr>
            <w:tcW w:w="1058" w:type="dxa"/>
            <w:noWrap/>
          </w:tcPr>
          <w:p w:rsidR="00000000" w:rsidRDefault="00000000">
            <w:pPr>
              <w:spacing w:before="40" w:after="30"/>
              <w:jc w:val="center"/>
              <w:rPr>
                <w:sz w:val="17"/>
                <w:szCs w:val="16"/>
              </w:rPr>
            </w:pPr>
            <w:r>
              <w:rPr>
                <w:sz w:val="17"/>
                <w:szCs w:val="16"/>
              </w:rPr>
              <w:t>74.7</w:t>
            </w:r>
          </w:p>
        </w:tc>
        <w:tc>
          <w:tcPr>
            <w:tcW w:w="689" w:type="dxa"/>
            <w:noWrap/>
            <w:tcMar>
              <w:left w:w="68" w:type="dxa"/>
              <w:right w:w="68" w:type="dxa"/>
            </w:tcMar>
          </w:tcPr>
          <w:p w:rsidR="00000000" w:rsidRDefault="00000000">
            <w:pPr>
              <w:spacing w:before="40" w:after="30"/>
              <w:jc w:val="center"/>
              <w:rPr>
                <w:sz w:val="17"/>
                <w:szCs w:val="16"/>
              </w:rPr>
            </w:pPr>
            <w:r>
              <w:rPr>
                <w:sz w:val="17"/>
                <w:szCs w:val="16"/>
              </w:rPr>
              <w:t>11 740</w:t>
            </w:r>
          </w:p>
        </w:tc>
        <w:tc>
          <w:tcPr>
            <w:tcW w:w="821" w:type="dxa"/>
            <w:noWrap/>
            <w:tcMar>
              <w:left w:w="68" w:type="dxa"/>
              <w:right w:w="68" w:type="dxa"/>
            </w:tcMar>
          </w:tcPr>
          <w:p w:rsidR="00000000" w:rsidRDefault="00000000">
            <w:pPr>
              <w:spacing w:before="40" w:after="30"/>
              <w:jc w:val="right"/>
              <w:rPr>
                <w:sz w:val="17"/>
                <w:szCs w:val="16"/>
              </w:rPr>
            </w:pPr>
            <w:r>
              <w:rPr>
                <w:sz w:val="17"/>
                <w:szCs w:val="16"/>
              </w:rPr>
              <w:t>557 517</w:t>
            </w:r>
          </w:p>
        </w:tc>
        <w:tc>
          <w:tcPr>
            <w:tcW w:w="821" w:type="dxa"/>
            <w:noWrap/>
            <w:tcMar>
              <w:left w:w="68" w:type="dxa"/>
              <w:right w:w="68" w:type="dxa"/>
            </w:tcMar>
          </w:tcPr>
          <w:p w:rsidR="00000000" w:rsidRDefault="00000000">
            <w:pPr>
              <w:spacing w:before="40" w:after="30"/>
              <w:jc w:val="right"/>
              <w:rPr>
                <w:sz w:val="17"/>
                <w:szCs w:val="16"/>
              </w:rPr>
            </w:pPr>
            <w:r>
              <w:rPr>
                <w:sz w:val="17"/>
                <w:szCs w:val="16"/>
              </w:rPr>
              <w:t>654 844</w:t>
            </w:r>
          </w:p>
        </w:tc>
        <w:tc>
          <w:tcPr>
            <w:tcW w:w="821" w:type="dxa"/>
            <w:noWrap/>
          </w:tcPr>
          <w:p w:rsidR="00000000" w:rsidRDefault="00000000">
            <w:pPr>
              <w:spacing w:before="40" w:after="30"/>
              <w:jc w:val="center"/>
              <w:rPr>
                <w:sz w:val="17"/>
              </w:rPr>
            </w:pPr>
            <w:r>
              <w:rPr>
                <w:sz w:val="17"/>
              </w:rPr>
              <w:t>46.0</w:t>
            </w:r>
          </w:p>
        </w:tc>
        <w:tc>
          <w:tcPr>
            <w:tcW w:w="853" w:type="dxa"/>
            <w:noWrap/>
          </w:tcPr>
          <w:p w:rsidR="00000000" w:rsidRDefault="00000000">
            <w:pPr>
              <w:spacing w:before="40" w:after="30"/>
              <w:jc w:val="center"/>
              <w:rPr>
                <w:sz w:val="17"/>
                <w:szCs w:val="16"/>
              </w:rPr>
            </w:pPr>
            <w:r>
              <w:rPr>
                <w:sz w:val="17"/>
                <w:szCs w:val="16"/>
              </w:rPr>
              <w:t>R</w:t>
            </w:r>
          </w:p>
        </w:tc>
        <w:tc>
          <w:tcPr>
            <w:tcW w:w="973" w:type="dxa"/>
            <w:noWrap/>
            <w:tcMar>
              <w:left w:w="68" w:type="dxa"/>
              <w:right w:w="312" w:type="dxa"/>
            </w:tcMar>
          </w:tcPr>
          <w:p w:rsidR="00000000" w:rsidRDefault="00000000">
            <w:pPr>
              <w:spacing w:before="40" w:after="30"/>
              <w:jc w:val="right"/>
              <w:rPr>
                <w:sz w:val="17"/>
                <w:szCs w:val="16"/>
              </w:rPr>
            </w:pPr>
            <w:r>
              <w:rPr>
                <w:sz w:val="17"/>
                <w:szCs w:val="16"/>
              </w:rPr>
              <w:t>6 2/2</w:t>
            </w:r>
          </w:p>
        </w:tc>
        <w:tc>
          <w:tcPr>
            <w:tcW w:w="913" w:type="dxa"/>
            <w:noWrap/>
          </w:tcPr>
          <w:p w:rsidR="00000000" w:rsidRDefault="00000000">
            <w:pPr>
              <w:spacing w:before="40" w:after="30"/>
              <w:jc w:val="center"/>
              <w:rPr>
                <w:sz w:val="17"/>
                <w:szCs w:val="16"/>
              </w:rPr>
            </w:pPr>
            <w:r>
              <w:rPr>
                <w:sz w:val="17"/>
                <w:szCs w:val="16"/>
              </w:rPr>
              <w:t>13 4/2</w:t>
            </w:r>
          </w:p>
        </w:tc>
      </w:tr>
    </w:tbl>
    <w:p w:rsidR="00000000" w:rsidRDefault="00000000">
      <w:pPr>
        <w:pStyle w:val="Header"/>
        <w:tabs>
          <w:tab w:val="clear" w:pos="4320"/>
          <w:tab w:val="clear" w:pos="8640"/>
          <w:tab w:val="left" w:pos="4037"/>
        </w:tabs>
        <w:spacing w:after="0"/>
        <w:rPr>
          <w:bCs/>
          <w:sz w:val="8"/>
        </w:rPr>
      </w:pPr>
    </w:p>
    <w:p w:rsidR="00000000" w:rsidRDefault="00000000">
      <w:pPr>
        <w:spacing w:after="120"/>
        <w:rPr>
          <w:bCs/>
          <w:sz w:val="17"/>
        </w:rPr>
      </w:pPr>
      <w:r>
        <w:rPr>
          <w:bCs/>
          <w:sz w:val="17"/>
        </w:rPr>
        <w:t>To this table should be added the votes on bilateral I and on free movement with the European Union of 21 May 2000 (accepted by 67 per cent), the vote of 25 September 2005 on the extension of free movement (accepted by 56 per cent) and the vote on the initiative to lower the number of foreigners in Switzerland to 18 per cent of 24 September 2000 (rejected by 64 per cent).</w:t>
      </w:r>
    </w:p>
    <w:p w:rsidR="00000000" w:rsidRDefault="00000000">
      <w:pPr>
        <w:spacing w:after="120"/>
        <w:rPr>
          <w:bCs/>
          <w:sz w:val="17"/>
        </w:rPr>
      </w:pPr>
      <w:r>
        <w:rPr>
          <w:b/>
          <w:sz w:val="17"/>
          <w:vertAlign w:val="superscript"/>
        </w:rPr>
        <w:t>(1)</w:t>
      </w:r>
      <w:r>
        <w:rPr>
          <w:bCs/>
          <w:sz w:val="17"/>
        </w:rPr>
        <w:t xml:space="preserve">  Popular initiatives with counter-bills are counted as a single vote.  Votes “without response” are not listed in the table.</w:t>
      </w:r>
    </w:p>
    <w:p w:rsidR="00000000" w:rsidRDefault="00000000">
      <w:pPr>
        <w:spacing w:after="120"/>
        <w:rPr>
          <w:bCs/>
          <w:sz w:val="17"/>
        </w:rPr>
      </w:pPr>
      <w:r>
        <w:rPr>
          <w:b/>
          <w:sz w:val="17"/>
          <w:vertAlign w:val="superscript"/>
        </w:rPr>
        <w:t>(2)</w:t>
      </w:r>
      <w:r>
        <w:rPr>
          <w:bCs/>
          <w:sz w:val="17"/>
        </w:rPr>
        <w:t xml:space="preserve">  Obl. = Constitutional bills from the Federal Assembly submitted for obligatory referendum.</w:t>
      </w:r>
    </w:p>
    <w:p w:rsidR="00000000" w:rsidRDefault="00000000">
      <w:pPr>
        <w:pStyle w:val="Header"/>
        <w:tabs>
          <w:tab w:val="clear" w:pos="4320"/>
          <w:tab w:val="clear" w:pos="8640"/>
        </w:tabs>
        <w:spacing w:after="120"/>
        <w:rPr>
          <w:bCs/>
          <w:sz w:val="17"/>
        </w:rPr>
      </w:pPr>
      <w:r>
        <w:rPr>
          <w:bCs/>
          <w:sz w:val="17"/>
        </w:rPr>
        <w:t xml:space="preserve">     Opt. = Federal laws and decrees against which an optional referendum succeeded.</w:t>
      </w:r>
    </w:p>
    <w:p w:rsidR="00000000" w:rsidRDefault="00000000">
      <w:pPr>
        <w:spacing w:after="120"/>
        <w:rPr>
          <w:bCs/>
          <w:sz w:val="17"/>
        </w:rPr>
      </w:pPr>
      <w:r>
        <w:rPr>
          <w:bCs/>
          <w:sz w:val="17"/>
        </w:rPr>
        <w:t xml:space="preserve">          I. = Constitutional bills based on popular initiatives.</w:t>
      </w:r>
    </w:p>
    <w:p w:rsidR="00000000" w:rsidRDefault="00000000">
      <w:pPr>
        <w:spacing w:after="120"/>
        <w:rPr>
          <w:bCs/>
          <w:sz w:val="17"/>
        </w:rPr>
      </w:pPr>
      <w:r>
        <w:rPr>
          <w:b/>
          <w:sz w:val="17"/>
          <w:vertAlign w:val="superscript"/>
        </w:rPr>
        <w:t>(3)</w:t>
      </w:r>
      <w:r>
        <w:rPr>
          <w:bCs/>
          <w:sz w:val="17"/>
        </w:rPr>
        <w:t xml:space="preserve">  With respect to valid ballots.</w:t>
      </w:r>
    </w:p>
    <w:p w:rsidR="00000000" w:rsidRDefault="00000000">
      <w:pPr>
        <w:spacing w:after="120"/>
        <w:rPr>
          <w:bCs/>
          <w:sz w:val="17"/>
        </w:rPr>
      </w:pPr>
      <w:r>
        <w:rPr>
          <w:b/>
          <w:sz w:val="17"/>
          <w:vertAlign w:val="superscript"/>
        </w:rPr>
        <w:t>(4)</w:t>
      </w:r>
      <w:r>
        <w:rPr>
          <w:bCs/>
          <w:sz w:val="17"/>
        </w:rPr>
        <w:t xml:space="preserve">  A total of 23 cantons (until 1978:  22 cantons).  In optional referendums, a simple majority is sufficient.</w:t>
      </w:r>
    </w:p>
    <w:p w:rsidR="00000000" w:rsidRDefault="00000000">
      <w:pPr>
        <w:spacing w:after="120"/>
        <w:rPr>
          <w:bCs/>
          <w:sz w:val="17"/>
        </w:rPr>
      </w:pPr>
      <w:r>
        <w:rPr>
          <w:bCs/>
          <w:sz w:val="17"/>
        </w:rPr>
        <w:t xml:space="preserve">     (p) provisional results</w:t>
      </w:r>
    </w:p>
    <w:p w:rsidR="00000000" w:rsidRDefault="00000000">
      <w:pPr>
        <w:spacing w:after="120"/>
        <w:rPr>
          <w:bCs/>
          <w:sz w:val="17"/>
        </w:rPr>
      </w:pPr>
      <w:r>
        <w:rPr>
          <w:bCs/>
          <w:sz w:val="17"/>
        </w:rPr>
        <w:t xml:space="preserve">     Federal Chancellery, Information Service.  Information:  031 322 37 91</w:t>
      </w:r>
    </w:p>
    <w:p w:rsidR="00000000" w:rsidRDefault="00000000">
      <w:pPr>
        <w:spacing w:after="120"/>
        <w:rPr>
          <w:bCs/>
          <w:sz w:val="17"/>
        </w:rPr>
      </w:pPr>
      <w:r>
        <w:rPr>
          <w:bCs/>
          <w:sz w:val="17"/>
        </w:rPr>
        <w:t xml:space="preserve">     E-mail:  webmaster@admin.ch</w:t>
      </w:r>
    </w:p>
    <w:p w:rsidR="00000000" w:rsidRDefault="00000000">
      <w:pPr>
        <w:spacing w:after="120"/>
        <w:rPr>
          <w:bCs/>
          <w:sz w:val="17"/>
        </w:rPr>
      </w:pPr>
      <w:r>
        <w:rPr>
          <w:bCs/>
          <w:sz w:val="17"/>
        </w:rPr>
        <w:t xml:space="preserve">    Federal Office for Statistics, statistics on federal votes</w:t>
      </w:r>
    </w:p>
    <w:p w:rsidR="00000000" w:rsidRDefault="00000000">
      <w:pPr>
        <w:spacing w:after="120"/>
        <w:rPr>
          <w:bCs/>
          <w:sz w:val="17"/>
        </w:rPr>
      </w:pPr>
      <w:r>
        <w:rPr>
          <w:bCs/>
          <w:sz w:val="17"/>
        </w:rPr>
        <w:t xml:space="preserve">    Information:  Werner Seitz, 032 713 63 65, werner.seitz@bfs.admin.ch</w:t>
      </w:r>
    </w:p>
    <w:p w:rsidR="00000000" w:rsidRDefault="00000000">
      <w:pPr>
        <w:spacing w:after="120"/>
        <w:rPr>
          <w:bCs/>
          <w:sz w:val="17"/>
        </w:rPr>
      </w:pPr>
      <w:r>
        <w:rPr>
          <w:bCs/>
          <w:sz w:val="17"/>
        </w:rPr>
        <w:t xml:space="preserve">    Madeleine Schneider, 032 713 63 99, madeleine.schneider@bfs.admin.ch</w:t>
      </w:r>
    </w:p>
    <w:p w:rsidR="00000000" w:rsidRDefault="00000000">
      <w:pPr>
        <w:spacing w:after="120"/>
      </w:pPr>
      <w:r>
        <w:rPr>
          <w:bCs/>
          <w:noProof/>
          <w:sz w:val="20"/>
        </w:rPr>
        <w:pict>
          <v:shapetype id="_x0000_t202" coordsize="21600,21600" o:spt="202" path="m,l,21600r21600,l21600,xe">
            <v:stroke joinstyle="miter"/>
            <v:path gradientshapeok="t" o:connecttype="rect"/>
          </v:shapetype>
          <v:shape id="_x0000_s1032" type="#_x0000_t202" style="position:absolute;margin-left:70.9pt;margin-top:203pt;width:14.15pt;height:50.45pt;z-index:-1;mso-wrap-edited:f;mso-position-horizontal-relative:page;mso-position-vertical-relative:margin" wrapcoords="-568 0 -568 21278 21600 21278 21600 0 -568 0" o:allowincell="f" stroked="f">
            <v:textbox style="layout-flow:vertical;mso-next-textbox:#_x0000_s1032" inset="0,0,0,0">
              <w:txbxContent>
                <w:p w:rsidR="00000000" w:rsidRDefault="00000000">
                  <w:pPr>
                    <w:jc w:val="center"/>
                  </w:pPr>
                  <w:r>
                    <w:t>-----</w:t>
                  </w:r>
                </w:p>
              </w:txbxContent>
            </v:textbox>
            <w10:wrap side="right" anchorx="page" anchory="margin"/>
          </v:shape>
        </w:pict>
      </w:r>
      <w:r>
        <w:rPr>
          <w:bCs/>
          <w:sz w:val="17"/>
        </w:rPr>
        <w:t xml:space="preserve">    © OFS - Encyclopédie statistique de la Suisse.</w:t>
      </w:r>
    </w:p>
    <w:sectPr w:rsidR="00000000">
      <w:headerReference w:type="even" r:id="rId13"/>
      <w:headerReference w:type="default" r:id="rId14"/>
      <w:headerReference w:type="first" r:id="rId15"/>
      <w:endnotePr>
        <w:numFmt w:val="decimal"/>
      </w:endnotePr>
      <w:pgSz w:w="16840" w:h="11907" w:orient="landscape" w:code="9"/>
      <w:pgMar w:top="1701" w:right="1701" w:bottom="1701" w:left="1701" w:header="851" w:footer="11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3" type="#_x0000_t202" style="position:absolute;margin-left:686.75pt;margin-top:394.75pt;width:42.5pt;height:170.1pt;z-index:3;mso-position-vertical-relative:page" stroked="f">
          <v:textbox style="layout-flow:vertical;mso-next-textbox:#_x0000_s2053" inset="0,0,0,0">
            <w:txbxContent>
              <w:p w:rsidR="00000000" w:rsidRDefault="00000000">
                <w:pPr>
                  <w:tabs>
                    <w:tab w:val="left" w:pos="851"/>
                  </w:tabs>
                </w:pPr>
                <w:r>
                  <w:tab/>
                </w:r>
                <w:fldSimple w:instr=" KEYWORDS  \* MERGEFORMAT ">
                  <w:r>
                    <w:t>A/HRC/4/19/Add.2</w:t>
                  </w:r>
                </w:fldSimple>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w10:wrap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GE.07-10558  (E)    080307    140307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rPr>
          <w:b/>
        </w:rPr>
        <w:t xml:space="preserve">  </w:t>
      </w:r>
      <w:r>
        <w:t>The summary of this mission report is being circulated in all official languages.  The report itself is contained in the annex to the summary and is being circulated in the language of submission and English only.</w:t>
      </w:r>
    </w:p>
  </w:footnote>
  <w:footnote w:id="3">
    <w:p w:rsidR="00000000" w:rsidRDefault="00000000">
      <w:pPr>
        <w:pStyle w:val="FootnoteText"/>
      </w:pPr>
      <w:r>
        <w:rPr>
          <w:rStyle w:val="FootnoteReference"/>
        </w:rPr>
        <w:footnoteRef/>
      </w:r>
      <w:r>
        <w:t xml:space="preserve">  Source:  EUREL, http://eurel.u-strasbg.fr/EN/index.php.</w:t>
      </w:r>
    </w:p>
  </w:footnote>
  <w:footnote w:id="4">
    <w:p w:rsidR="00000000" w:rsidRDefault="00000000">
      <w:pPr>
        <w:pStyle w:val="FootnoteText"/>
      </w:pPr>
      <w:r>
        <w:rPr>
          <w:rStyle w:val="FootnoteReference"/>
        </w:rPr>
        <w:footnoteRef/>
      </w:r>
      <w:r>
        <w:t xml:space="preserve">  </w:t>
      </w:r>
      <w:r>
        <w:rPr>
          <w:i/>
          <w:iCs/>
        </w:rPr>
        <w:t>Vie musulmane en Suisse:  Profils identitaires, demandes et perceptions des musulmans en Suisse</w:t>
      </w:r>
      <w:r>
        <w:t>, report prepared by the Group of Researchers on Islam in Switzerland (GRIS), Documentation on Integration Policy, Bern, Federal Commission for Foreigners, 2005, p. 5.</w:t>
      </w:r>
    </w:p>
  </w:footnote>
  <w:footnote w:id="5">
    <w:p w:rsidR="00000000" w:rsidRDefault="00000000">
      <w:pPr>
        <w:pStyle w:val="FootnoteText"/>
      </w:pPr>
      <w:r>
        <w:rPr>
          <w:rStyle w:val="FootnoteReference"/>
        </w:rPr>
        <w:footnoteRef/>
      </w:r>
      <w:r>
        <w:t xml:space="preserve">  www.swissinfo.org, </w:t>
      </w:r>
      <w:r>
        <w:rPr>
          <w:i/>
          <w:iCs/>
        </w:rPr>
        <w:t>De Turquie, Blocher provoque une polémique en Suisse</w:t>
      </w:r>
      <w:r>
        <w:t>, 4 October 2006.</w:t>
      </w:r>
    </w:p>
  </w:footnote>
  <w:footnote w:id="6">
    <w:p w:rsidR="00000000" w:rsidRDefault="00000000">
      <w:pPr>
        <w:pStyle w:val="FootnoteText"/>
      </w:pPr>
      <w:r>
        <w:rPr>
          <w:rStyle w:val="FootnoteReference"/>
        </w:rPr>
        <w:footnoteRef/>
      </w:r>
      <w:r>
        <w:t xml:space="preserve">  www.swissinfo.org, </w:t>
      </w:r>
      <w:r>
        <w:rPr>
          <w:i/>
          <w:iCs/>
        </w:rPr>
        <w:t>Christopher Blocher tient à réviser la norme antiracisme</w:t>
      </w:r>
      <w:r>
        <w:t>, 6 October 2006.</w:t>
      </w:r>
    </w:p>
  </w:footnote>
  <w:footnote w:id="7">
    <w:p w:rsidR="00000000" w:rsidRDefault="00000000">
      <w:pPr>
        <w:pStyle w:val="FootnoteText"/>
      </w:pPr>
      <w:r>
        <w:rPr>
          <w:rStyle w:val="FootnoteReference"/>
        </w:rPr>
        <w:footnoteRef/>
      </w:r>
      <w:r>
        <w:t xml:space="preserve">  Office of the Attorney</w:t>
      </w:r>
      <w:r>
        <w:noBreakHyphen/>
        <w:t>General, press release, 10 January 2006.</w:t>
      </w:r>
    </w:p>
  </w:footnote>
  <w:footnote w:id="8">
    <w:p w:rsidR="00000000" w:rsidRDefault="00000000">
      <w:pPr>
        <w:pStyle w:val="FootnoteText"/>
      </w:pPr>
      <w:r>
        <w:rPr>
          <w:rStyle w:val="FootnoteReference"/>
        </w:rPr>
        <w:footnoteRef/>
      </w:r>
      <w:r>
        <w:t xml:space="preserve">  The Federal Commission against Racism has opened a database on the Internet listing the decisions handed down under article 261 bis (http://www.edi.admin.ch/ekr/db/start/).</w:t>
      </w:r>
    </w:p>
  </w:footnote>
  <w:footnote w:id="9">
    <w:p w:rsidR="00000000" w:rsidRDefault="00000000">
      <w:pPr>
        <w:pStyle w:val="FootnoteText"/>
      </w:pPr>
      <w:r>
        <w:rPr>
          <w:rStyle w:val="FootnoteReference"/>
        </w:rPr>
        <w:footnoteRef/>
      </w:r>
      <w:r>
        <w:t xml:space="preserve">  Respectively, the report of Mr. Alvaro Gil-Robles, Commissioner for Human Rights, on his visit to Switzerland, 29 November-3 December 2004, Strasbourg, 8 June 2005 CommDH(2005)7, and European Commission against Racism and Intolerance (ECRI), third report on Switzerland, adopted on 27 June 2003, Strasbourg, 27 January 2004, </w:t>
      </w:r>
      <w:r>
        <w:br/>
        <w:t>CRI(2004)5.</w:t>
      </w:r>
    </w:p>
  </w:footnote>
  <w:footnote w:id="10">
    <w:p w:rsidR="00000000" w:rsidRDefault="00000000">
      <w:pPr>
        <w:pStyle w:val="FootnoteText"/>
      </w:pPr>
      <w:r>
        <w:rPr>
          <w:rStyle w:val="FootnoteReference"/>
        </w:rPr>
        <w:footnoteRef/>
      </w:r>
      <w:r>
        <w:t xml:space="preserve">  Poster signed by young people supporting UDC Valais Romand.</w:t>
      </w:r>
    </w:p>
  </w:footnote>
  <w:footnote w:id="11">
    <w:p w:rsidR="00000000" w:rsidRDefault="00000000">
      <w:pPr>
        <w:pStyle w:val="FootnoteText"/>
      </w:pPr>
      <w:r>
        <w:rPr>
          <w:rStyle w:val="FootnoteReference"/>
        </w:rPr>
        <w:footnoteRef/>
      </w:r>
      <w:r>
        <w:t xml:space="preserve">  See, for example, http://www.stopexclusion.ch.</w:t>
      </w:r>
    </w:p>
  </w:footnote>
  <w:footnote w:id="12">
    <w:p w:rsidR="00000000" w:rsidRDefault="00000000">
      <w:pPr>
        <w:pStyle w:val="FootnoteText"/>
      </w:pPr>
      <w:r>
        <w:rPr>
          <w:rStyle w:val="FootnoteReference"/>
        </w:rPr>
        <w:footnoteRef/>
      </w:r>
      <w:r>
        <w:t xml:space="preserve">  A decision of </w:t>
      </w:r>
      <w:r>
        <w:rPr>
          <w:i/>
          <w:iCs/>
        </w:rPr>
        <w:t>non-entrée en matière</w:t>
      </w:r>
      <w:r>
        <w:t xml:space="preserve"> means that, for formal reasons, the request for asylum will not be considered further.  As a general rule, the persons concerned must leave Switzerland immediately, http://www.osar.ch/asylum</w:t>
      </w:r>
      <w:r>
        <w:noBreakHyphen/>
        <w:t>rights/all</w:t>
      </w:r>
      <w:r>
        <w:noBreakHyphen/>
        <w:t>about</w:t>
      </w:r>
      <w:r>
        <w:noBreakHyphen/>
        <w:t>asylum</w:t>
      </w:r>
      <w:r>
        <w:noBreakHyphen/>
        <w:t>in</w:t>
      </w:r>
      <w:r>
        <w:noBreakHyphen/>
        <w:t>switzerland/ non</w:t>
      </w:r>
      <w:r>
        <w:noBreakHyphen/>
        <w:t>admission?appendLang=fr.</w:t>
      </w:r>
    </w:p>
  </w:footnote>
  <w:footnote w:id="13">
    <w:p w:rsidR="00000000" w:rsidRDefault="00000000">
      <w:pPr>
        <w:pStyle w:val="FootnoteText"/>
      </w:pPr>
      <w:r>
        <w:rPr>
          <w:rStyle w:val="FootnoteReference"/>
        </w:rPr>
        <w:footnoteRef/>
      </w:r>
      <w:r>
        <w:t xml:space="preserve">  Federal Law Act Foreign Nationals (LEtr) of 16 December 2005, chap. 16:  Criminal provisions and administrative sanctions.</w:t>
      </w:r>
    </w:p>
  </w:footnote>
  <w:footnote w:id="14">
    <w:p w:rsidR="00000000" w:rsidRDefault="00000000">
      <w:pPr>
        <w:pStyle w:val="FootnoteText"/>
      </w:pPr>
      <w:r>
        <w:rPr>
          <w:rStyle w:val="FootnoteReference"/>
        </w:rPr>
        <w:footnoteRef/>
      </w:r>
      <w:r>
        <w:t xml:space="preserve">  Ron Redmond, spokesperson for UNHCR, briefing note of 27 September 2005, http://www.unhcr.org/cgi-bin/texis/vtx/news/opendoc.htm?tbl=NEWS&amp;id=4339291211.</w:t>
      </w:r>
    </w:p>
  </w:footnote>
  <w:footnote w:id="15">
    <w:p w:rsidR="00000000" w:rsidRDefault="00000000">
      <w:pPr>
        <w:pStyle w:val="FootnoteText"/>
      </w:pPr>
      <w:r>
        <w:rPr>
          <w:rStyle w:val="FootnoteReference"/>
        </w:rPr>
        <w:footnoteRef/>
      </w:r>
      <w:r>
        <w:t xml:space="preserve">  See, for example, http://www.bfs.admin.ch/bfs/portal/fr/index/themen/17/03/ blank/key/2006/02.html.</w:t>
      </w:r>
    </w:p>
  </w:footnote>
  <w:footnote w:id="16">
    <w:p w:rsidR="00000000" w:rsidRDefault="00000000">
      <w:pPr>
        <w:pStyle w:val="FootnoteText"/>
      </w:pPr>
      <w:r>
        <w:rPr>
          <w:rStyle w:val="FootnoteReference"/>
        </w:rPr>
        <w:footnoteRef/>
      </w:r>
      <w:r>
        <w:t xml:space="preserve">  There are two Traveller communities in Switzerland:  the Jenisch and the Roma-Sinti.</w:t>
      </w:r>
    </w:p>
  </w:footnote>
  <w:footnote w:id="17">
    <w:p w:rsidR="00000000" w:rsidRDefault="00000000">
      <w:pPr>
        <w:pStyle w:val="FootnoteText"/>
      </w:pPr>
      <w:r>
        <w:rPr>
          <w:rStyle w:val="FootnoteReference"/>
        </w:rPr>
        <w:footnoteRef/>
      </w:r>
      <w:r>
        <w:t xml:space="preserve">  Established on 1 January 2005, the Federal Office for Migration is the result of the merger of the Federal Office for Refugees and the Federal Office for Immigration, Integration and Emigration.</w:t>
      </w:r>
    </w:p>
  </w:footnote>
  <w:footnote w:id="18">
    <w:p w:rsidR="00000000" w:rsidRDefault="00000000">
      <w:pPr>
        <w:pStyle w:val="FootnoteText"/>
      </w:pPr>
      <w:r>
        <w:rPr>
          <w:rStyle w:val="FootnoteReference"/>
        </w:rPr>
        <w:footnoteRef/>
      </w:r>
      <w:r>
        <w:t xml:space="preserve">  See, for example, </w:t>
      </w:r>
      <w:r>
        <w:rPr>
          <w:i/>
          <w:iCs/>
        </w:rPr>
        <w:t>Position de la Commission fédérale contre le racisme sur le système binaire d’admission de la politique des étrangers en Suisse</w:t>
      </w:r>
      <w:r>
        <w:t>, 2 May 2003, http://www.edi.admin.ch/ekr/ themen/00104/00660/030502_prise-de-position_systeme_binaire_admission_ fr.pdf?PHPSESSID=ebcf4c4ff4#search=%22syst%C3%A8me%20binaire%20d%E2%80%99 admission%22.</w:t>
      </w:r>
    </w:p>
  </w:footnote>
  <w:footnote w:id="19">
    <w:p w:rsidR="00000000" w:rsidRDefault="00000000">
      <w:pPr>
        <w:pStyle w:val="FootnoteText"/>
      </w:pPr>
      <w:r>
        <w:rPr>
          <w:rStyle w:val="FootnoteReference"/>
        </w:rPr>
        <w:footnoteRef/>
      </w:r>
      <w:r>
        <w:t xml:space="preserve">  Valérie de Graffenried, “</w:t>
      </w:r>
      <w:r>
        <w:rPr>
          <w:i/>
          <w:iCs/>
        </w:rPr>
        <w:t>Histoire de la loi sur les naturalisations, élaborée en 1952 dans un climat émotionnel tendu</w:t>
      </w:r>
      <w:r>
        <w:t xml:space="preserve">”, </w:t>
      </w:r>
      <w:r>
        <w:rPr>
          <w:i/>
          <w:iCs/>
        </w:rPr>
        <w:t>Le Temps</w:t>
      </w:r>
      <w:r>
        <w:t>, 26 July 2004.</w:t>
      </w:r>
    </w:p>
  </w:footnote>
  <w:footnote w:id="20">
    <w:p w:rsidR="00000000" w:rsidRDefault="00000000">
      <w:pPr>
        <w:pStyle w:val="FootnoteText"/>
      </w:pPr>
      <w:r>
        <w:rPr>
          <w:rStyle w:val="FootnoteReference"/>
        </w:rPr>
        <w:footnoteRef/>
      </w:r>
      <w:r>
        <w:t xml:space="preserve">  The cantons of Jura, Appenzell Outer Rhodes, Graubünden (Grisons), Vaud, Fribourg, Geneva and Neuchâtel.</w:t>
      </w:r>
    </w:p>
  </w:footnote>
  <w:footnote w:id="21">
    <w:p w:rsidR="00000000" w:rsidRDefault="00000000">
      <w:pPr>
        <w:pStyle w:val="FootnoteText"/>
      </w:pPr>
      <w:r>
        <w:rPr>
          <w:rStyle w:val="FootnoteReference"/>
        </w:rPr>
        <w:footnoteRef/>
      </w:r>
      <w:r>
        <w:t xml:space="preserve">  Composition and mandate of the Federal Commission against Racism, Federal Council decision of 23 August 1995.</w:t>
      </w:r>
    </w:p>
  </w:footnote>
  <w:footnote w:id="22">
    <w:p w:rsidR="00000000" w:rsidRDefault="00000000">
      <w:pPr>
        <w:pStyle w:val="FootnoteText"/>
      </w:pPr>
      <w:r>
        <w:rPr>
          <w:rStyle w:val="FootnoteReference"/>
        </w:rPr>
        <w:footnoteRef/>
      </w:r>
      <w:r>
        <w:t xml:space="preserve">  The Commission’s reports may be found at the Internet address: http://www.edi.admin.ch/ekr.</w:t>
      </w:r>
    </w:p>
  </w:footnote>
  <w:footnote w:id="23">
    <w:p w:rsidR="00000000" w:rsidRDefault="00000000">
      <w:pPr>
        <w:pStyle w:val="FootnoteText"/>
      </w:pPr>
      <w:r>
        <w:rPr>
          <w:rStyle w:val="FootnoteReference"/>
        </w:rPr>
        <w:footnoteRef/>
      </w:r>
      <w:r>
        <w:t xml:space="preserve">  http://www.eka-cfe.ch/f/kommission.asp.</w:t>
      </w:r>
    </w:p>
  </w:footnote>
  <w:footnote w:id="24">
    <w:p w:rsidR="00000000" w:rsidRDefault="00000000">
      <w:pPr>
        <w:pStyle w:val="FootnoteText"/>
      </w:pPr>
      <w:r>
        <w:rPr>
          <w:rStyle w:val="FootnoteReference"/>
        </w:rPr>
        <w:footnoteRef/>
      </w:r>
      <w:r>
        <w:t xml:space="preserve">  See note 20 above.</w:t>
      </w:r>
    </w:p>
  </w:footnote>
  <w:footnote w:id="25">
    <w:p w:rsidR="00000000" w:rsidRDefault="00000000">
      <w:pPr>
        <w:pStyle w:val="FootnoteText"/>
      </w:pPr>
      <w:r>
        <w:rPr>
          <w:rStyle w:val="FootnoteReference"/>
        </w:rPr>
        <w:footnoteRef/>
      </w:r>
      <w:r>
        <w:t xml:space="preserve">  Subparagraph 1 of this article reads:  “With respect to authorizations, the authorities should bear in mind the moral and economic interests of the country, as well as the level of foreign overpopulation.”</w:t>
      </w:r>
    </w:p>
  </w:footnote>
  <w:footnote w:id="26">
    <w:p w:rsidR="00000000" w:rsidRDefault="00000000">
      <w:pPr>
        <w:pStyle w:val="FootnoteText"/>
      </w:pPr>
      <w:r>
        <w:rPr>
          <w:rStyle w:val="FootnoteReference"/>
        </w:rPr>
        <w:footnoteRef/>
      </w:r>
      <w:r>
        <w:t xml:space="preserve">  Documents of the Service for Combating Racism may be consulted on the Internet:  http://www.edi.admin.ch/frb/.</w:t>
      </w:r>
    </w:p>
  </w:footnote>
  <w:footnote w:id="27">
    <w:p w:rsidR="00000000" w:rsidRDefault="00000000">
      <w:pPr>
        <w:pStyle w:val="FootnoteText"/>
      </w:pPr>
      <w:r>
        <w:rPr>
          <w:rStyle w:val="FootnoteReference"/>
        </w:rPr>
        <w:footnoteRef/>
      </w:r>
      <w:r>
        <w:t xml:space="preserve">  Many reports by Swiss and international NGOs on contemporary forms of racism, racial discrimination, xenophobia and related intolerance in Switzerland are available.  These include the 2005 report of Amnesty International, Switzerland (http://web.amnesty.org/report2005/ che</w:t>
      </w:r>
      <w:r>
        <w:noBreakHyphen/>
        <w:t xml:space="preserve">summary-fra); the 2004 report of Observatoire du racisme, Association contre le racisme (ACOR), SOS Racisme, 30 pp.; Ramdane Babadji, </w:t>
      </w:r>
      <w:r>
        <w:rPr>
          <w:i/>
          <w:iCs/>
        </w:rPr>
        <w:t>Lutte contre le racisme:  où va la Suisse?</w:t>
      </w:r>
      <w:r>
        <w:t>, Association mondiale pour l’École, instrument de paix (EIP), 2005.</w:t>
      </w:r>
    </w:p>
  </w:footnote>
  <w:footnote w:id="28">
    <w:p w:rsidR="00000000" w:rsidRDefault="00000000">
      <w:pPr>
        <w:pStyle w:val="FootnoteText"/>
      </w:pPr>
      <w:r>
        <w:rPr>
          <w:rStyle w:val="FootnoteReference"/>
        </w:rPr>
        <w:footnoteRef/>
      </w:r>
      <w:r>
        <w:t xml:space="preserve">  See, inter alia, Carrefour de réflexion et d’action anti-noir (CRAN), </w:t>
      </w:r>
      <w:r>
        <w:rPr>
          <w:i/>
          <w:iCs/>
        </w:rPr>
        <w:t>Actualité du racisme anti</w:t>
      </w:r>
      <w:r>
        <w:rPr>
          <w:i/>
          <w:iCs/>
        </w:rPr>
        <w:noBreakHyphen/>
        <w:t>noir en Suisse, Rapport annuel 2002-2003</w:t>
      </w:r>
      <w:r>
        <w:t xml:space="preserve">, and Association contre le racisme (ACOR) SOS Racisme, </w:t>
      </w:r>
      <w:r>
        <w:rPr>
          <w:i/>
          <w:iCs/>
        </w:rPr>
        <w:t>Rapport d’observation du racisme 2004 et Tableau des situations concernant la police genevoise suivies par ACOR SOS Racisme depuis 2002</w:t>
      </w:r>
      <w:r>
        <w:t>, August 2005.</w:t>
      </w:r>
    </w:p>
  </w:footnote>
  <w:footnote w:id="29">
    <w:p w:rsidR="00000000" w:rsidRDefault="00000000">
      <w:pPr>
        <w:pStyle w:val="FootnoteText"/>
      </w:pPr>
      <w:r>
        <w:rPr>
          <w:rStyle w:val="FootnoteReference"/>
        </w:rPr>
        <w:footnoteRef/>
      </w:r>
      <w:r>
        <w:t xml:space="preserve">  See, for example, Didier Estoppey, “</w:t>
      </w:r>
      <w:r>
        <w:rPr>
          <w:i/>
          <w:iCs/>
        </w:rPr>
        <w:t>Soleure:  les W.C. pour ultime horizon?</w:t>
      </w:r>
      <w:r>
        <w:t xml:space="preserve">”, </w:t>
      </w:r>
      <w:r>
        <w:rPr>
          <w:i/>
          <w:iCs/>
        </w:rPr>
        <w:t>Le Courrier</w:t>
      </w:r>
      <w:r>
        <w:t>, 3</w:t>
      </w:r>
      <w:r>
        <w:noBreakHyphen/>
        <w:t>4 September 2005 or the broadcast by Télévision Suisse Romande (TSR),</w:t>
      </w:r>
      <w:r>
        <w:rPr>
          <w:i/>
          <w:iCs/>
        </w:rPr>
        <w:t xml:space="preserve"> Temps présent</w:t>
      </w:r>
      <w:r>
        <w:t>, of 7 April 2005.</w:t>
      </w:r>
    </w:p>
  </w:footnote>
  <w:footnote w:id="30">
    <w:p w:rsidR="00000000" w:rsidRDefault="00000000">
      <w:pPr>
        <w:pStyle w:val="FootnoteText"/>
      </w:pPr>
      <w:r>
        <w:rPr>
          <w:rStyle w:val="FootnoteReference"/>
        </w:rPr>
        <w:footnoteRef/>
      </w:r>
      <w:r>
        <w:t xml:space="preserve">  Gaétan Nanchen, “</w:t>
      </w:r>
      <w:r>
        <w:rPr>
          <w:i/>
          <w:iCs/>
        </w:rPr>
        <w:t>L’Afrique et l’asile, Analyses des méthodes des autorités suisses en matière d’asile au regard des demandes des requérants ouest africains</w:t>
      </w:r>
      <w:r>
        <w:t>”, Organisation suisse d’aide aux réfugiés (OSAR), August 2005.</w:t>
      </w:r>
    </w:p>
  </w:footnote>
  <w:footnote w:id="31">
    <w:p w:rsidR="00000000" w:rsidRDefault="00000000">
      <w:pPr>
        <w:pStyle w:val="FootnoteText"/>
      </w:pPr>
      <w:r>
        <w:rPr>
          <w:rStyle w:val="FootnoteReference"/>
        </w:rPr>
        <w:footnoteRef/>
      </w:r>
      <w:r>
        <w:t xml:space="preserve">  Programme of the Swiss Liberal Party 2004-2007, 11 June 2003.</w:t>
      </w:r>
    </w:p>
  </w:footnote>
  <w:footnote w:id="32">
    <w:p w:rsidR="00000000" w:rsidRDefault="00000000">
      <w:pPr>
        <w:pStyle w:val="FootnoteText"/>
      </w:pPr>
      <w:r>
        <w:rPr>
          <w:rStyle w:val="FootnoteReference"/>
        </w:rPr>
        <w:footnoteRef/>
      </w:r>
      <w:r>
        <w:t xml:space="preserve">  Programme of the Christian Democratic Party, adopted at the Party’s congress on 18 September 2004.</w:t>
      </w:r>
    </w:p>
  </w:footnote>
  <w:footnote w:id="33">
    <w:p w:rsidR="00000000" w:rsidRDefault="00000000">
      <w:pPr>
        <w:pStyle w:val="FootnoteText"/>
      </w:pPr>
      <w:r>
        <w:rPr>
          <w:rStyle w:val="FootnoteReference"/>
        </w:rPr>
        <w:footnoteRef/>
      </w:r>
      <w:r>
        <w:t xml:space="preserve">  Radical Democratic Party, migration policy, position paper adopted by the conference of chairpersons of the cantonal parties of the Radical Democratic Party of Switzerland on 12 April 2002 at Hergiswil (Nidwalden), p. 9.</w:t>
      </w:r>
    </w:p>
  </w:footnote>
  <w:footnote w:id="34">
    <w:p w:rsidR="00000000" w:rsidRDefault="00000000">
      <w:pPr>
        <w:pStyle w:val="FootnoteText"/>
      </w:pPr>
      <w:r>
        <w:rPr>
          <w:rStyle w:val="FootnoteReference"/>
        </w:rPr>
        <w:footnoteRef/>
      </w:r>
      <w:r>
        <w:t xml:space="preserve">  Ibid., p. 11.</w:t>
      </w:r>
    </w:p>
  </w:footnote>
  <w:footnote w:id="35">
    <w:p w:rsidR="00000000" w:rsidRDefault="00000000">
      <w:pPr>
        <w:pStyle w:val="FootnoteText"/>
      </w:pPr>
      <w:r>
        <w:rPr>
          <w:rStyle w:val="FootnoteReference"/>
        </w:rPr>
        <w:footnoteRef/>
      </w:r>
      <w:r>
        <w:t xml:space="preserve">  Ibid., p. 13.</w:t>
      </w:r>
    </w:p>
  </w:footnote>
  <w:footnote w:id="36">
    <w:p w:rsidR="00000000" w:rsidRDefault="00000000">
      <w:pPr>
        <w:pStyle w:val="FootnoteText"/>
      </w:pPr>
      <w:r>
        <w:rPr>
          <w:rStyle w:val="FootnoteReference"/>
        </w:rPr>
        <w:footnoteRef/>
      </w:r>
      <w:r>
        <w:t xml:space="preserve">  Swiss Socialist Party, Foundations of Swiss migratory policy, concept paper adopted by the regular congress held in Zurich on 19 and 20 October 2002.</w:t>
      </w:r>
    </w:p>
  </w:footnote>
  <w:footnote w:id="37">
    <w:p w:rsidR="00000000" w:rsidRDefault="00000000">
      <w:pPr>
        <w:pStyle w:val="FootnoteText"/>
      </w:pPr>
      <w:r>
        <w:rPr>
          <w:rStyle w:val="FootnoteReference"/>
        </w:rPr>
        <w:footnoteRef/>
      </w:r>
      <w:r>
        <w:t xml:space="preserve">  Referendum against the Act on Foreign Nationals, press release on the Internet website dated 22 December 2005.</w:t>
      </w:r>
    </w:p>
  </w:footnote>
  <w:footnote w:id="38">
    <w:p w:rsidR="00000000" w:rsidRDefault="00000000">
      <w:pPr>
        <w:pStyle w:val="FootnoteText"/>
      </w:pPr>
      <w:r>
        <w:rPr>
          <w:rStyle w:val="FootnoteReference"/>
        </w:rPr>
        <w:footnoteRef/>
      </w:r>
      <w:r>
        <w:t xml:space="preserve">  Letter addressed to the Special Rapporteur by the Federal Office for Migration, p. 1.</w:t>
      </w:r>
    </w:p>
  </w:footnote>
  <w:footnote w:id="39">
    <w:p w:rsidR="00000000" w:rsidRDefault="00000000">
      <w:pPr>
        <w:pStyle w:val="FootnoteText"/>
      </w:pPr>
      <w:r>
        <w:rPr>
          <w:rStyle w:val="FootnoteReference"/>
        </w:rPr>
        <w:footnoteRef/>
      </w:r>
      <w:r>
        <w:t xml:space="preserve">  The Committee on the Elimination of Racial Discrimination requested such information from Switzerland in 2002:  “The Committee requests information about the legislation in force prohibiting racial discrimination within the private sector in fields such as employment, housing, education, health and access to public places.” (CERD/C/60/CO/14, para. 16).</w:t>
      </w:r>
    </w:p>
  </w:footnote>
  <w:footnote w:id="40">
    <w:p w:rsidR="00000000" w:rsidRDefault="00000000">
      <w:pPr>
        <w:pStyle w:val="FootnoteText"/>
      </w:pPr>
      <w:r>
        <w:rPr>
          <w:rStyle w:val="FootnoteReference"/>
        </w:rPr>
        <w:footnoteRef/>
      </w:r>
      <w:r>
        <w:t xml:space="preserve">  Such as the report entitled “</w:t>
      </w:r>
      <w:r>
        <w:rPr>
          <w:i/>
          <w:iCs/>
        </w:rPr>
        <w:t>Incitations individuelles et institutionnelles dans le domaine de l’asile, Rapport final du groupe de travail sur le financement du domaine de l’asile à l’attention du Département fédéral de justice et police</w:t>
      </w:r>
      <w:r>
        <w:t>” - the “Fuhrer-Gerber report” - of 9 March 2000, and other documents provided by the Swiss authorities to the Special Rapporteur during his visit.</w:t>
      </w:r>
    </w:p>
  </w:footnote>
  <w:footnote w:id="41">
    <w:p w:rsidR="00000000" w:rsidRDefault="00000000">
      <w:pPr>
        <w:pStyle w:val="FootnoteText"/>
      </w:pPr>
      <w:r>
        <w:rPr>
          <w:rStyle w:val="FootnoteReference"/>
        </w:rPr>
        <w:footnoteRef/>
      </w:r>
      <w:r>
        <w:t xml:space="preserve">  Federal Office for Migration, </w:t>
      </w:r>
      <w:r>
        <w:rPr>
          <w:i/>
          <w:iCs/>
        </w:rPr>
        <w:t>Rapport de monitoring NEM, 1er trimestre 2005</w:t>
      </w:r>
      <w:r>
        <w:t>, Bern-Wabern, July 2005, p. II.</w:t>
      </w:r>
    </w:p>
  </w:footnote>
  <w:footnote w:id="42">
    <w:p w:rsidR="00000000" w:rsidRDefault="00000000">
      <w:pPr>
        <w:pStyle w:val="FootnoteText"/>
      </w:pPr>
      <w:r>
        <w:rPr>
          <w:rStyle w:val="FootnoteReference"/>
        </w:rPr>
        <w:footnoteRef/>
      </w:r>
      <w:r>
        <w:t xml:space="preserve">  “</w:t>
      </w:r>
      <w:r>
        <w:rPr>
          <w:i/>
          <w:iCs/>
        </w:rPr>
        <w:t>Incitations individuelles et institutionnelles dans le domaine de l’asile, Rapport final du groupe de travail sur le financement du domaine de l’asile à l’attention du Département fédérale de justice et police</w:t>
      </w:r>
      <w:r>
        <w:t>” - the “Fuhrer-Gerber report” - of 9 March 2000, p. 10.</w:t>
      </w:r>
    </w:p>
  </w:footnote>
  <w:footnote w:id="43">
    <w:p w:rsidR="00000000" w:rsidRDefault="00000000">
      <w:pPr>
        <w:pStyle w:val="FootnoteText"/>
      </w:pPr>
      <w:r>
        <w:rPr>
          <w:rStyle w:val="FootnoteReference"/>
        </w:rPr>
        <w:footnoteRef/>
      </w:r>
      <w:r>
        <w:t xml:space="preserve">  See, for example, the documents provided to Carrefour de réflexion et d’action anti-noir (CRAN), to Association contre le racisme (ACOR) and Association des minorités de Suisse (GMS) and Fondation contre le racisme et l’antisémitisme (GRA).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74.75pt;margin-top:-42.55pt;width:43.95pt;height:150.8pt;z-index:2;mso-position-vertical-relative:margin" o:allowincell="f" stroked="f">
          <v:textbox style="layout-flow:vertical;mso-next-textbox:#_x0000_s2051" inset="0,0,0,0">
            <w:txbxContent>
              <w:p w:rsidR="00000000" w:rsidRDefault="00000000">
                <w:r>
                  <w:t>A/HRC/4/19/Add.2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v:textbox>
          <w10:wrap anchory="margin"/>
        </v:shape>
      </w:pict>
    </w:r>
    <w:r>
      <w:t>A/HRC/4/19/Add.2</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4"/>
      </w:tabs>
      <w:spacing w:after="0"/>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000000" w:rsidRDefault="00000000">
                <w:pPr>
                  <w:tabs>
                    <w:tab w:val="left" w:pos="851"/>
                  </w:tabs>
                </w:pPr>
                <w:r>
                  <w:tab/>
                  <w:t xml:space="preserve">      </w:t>
                </w:r>
                <w:fldSimple w:instr=" KEYWORDS  \* MERGEFORMAT ">
                  <w:r>
                    <w:t>A/HRC/4/19/Add.2</w:t>
                  </w:r>
                </w:fldSimple>
                <w:r>
                  <w:br/>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w10:wrap anchory="page"/>
        </v:shape>
      </w:pict>
    </w:r>
    <w:r>
      <w:tab/>
      <w:t>A/HRC/4/19/Add.2</w:t>
    </w:r>
  </w:p>
  <w:p w:rsidR="00000000" w:rsidRDefault="00000000">
    <w:pPr>
      <w:pStyle w:val="Header"/>
      <w:tabs>
        <w:tab w:val="clear" w:pos="4320"/>
        <w:tab w:val="clear" w:pos="8640"/>
        <w:tab w:val="left" w:pos="6804"/>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spacing w:after="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5" type="#_x0000_t202" style="position:absolute;margin-left:674.75pt;margin-top:-42.55pt;width:43.95pt;height:150.8pt;z-index:4;mso-position-vertical-relative:margin" o:allowincell="f" stroked="f">
          <v:textbox style="layout-flow:vertical;mso-next-textbox:#_x0000_s2055" inset="0,0,0,0">
            <w:txbxContent>
              <w:p w:rsidR="00000000" w:rsidRDefault="00000000">
                <w:r>
                  <w:t>A/HRC/4/19/Add.2</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w10:wrap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7E"/>
    <w:multiLevelType w:val="singleLevel"/>
    <w:tmpl w:val="95D2FD9C"/>
    <w:lvl w:ilvl="0">
      <w:start w:val="1"/>
      <w:numFmt w:val="decimal"/>
      <w:lvlText w:val="%1."/>
      <w:lvlJc w:val="left"/>
      <w:pPr>
        <w:tabs>
          <w:tab w:val="num" w:pos="926"/>
        </w:tabs>
        <w:ind w:left="926" w:hanging="360"/>
      </w:pPr>
    </w:lvl>
  </w:abstractNum>
  <w:abstractNum w:abstractNumId="3">
    <w:nsid w:val="FFFFFF7F"/>
    <w:multiLevelType w:val="singleLevel"/>
    <w:tmpl w:val="153E4CEE"/>
    <w:lvl w:ilvl="0">
      <w:start w:val="1"/>
      <w:numFmt w:val="decimal"/>
      <w:lvlText w:val="%1."/>
      <w:lvlJc w:val="left"/>
      <w:pPr>
        <w:tabs>
          <w:tab w:val="num" w:pos="643"/>
        </w:tabs>
        <w:ind w:left="643" w:hanging="360"/>
      </w:pPr>
    </w:lvl>
  </w:abstractNum>
  <w:abstractNum w:abstractNumId="4">
    <w:nsid w:val="FFFFFF80"/>
    <w:multiLevelType w:val="singleLevel"/>
    <w:tmpl w:val="1B561F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F606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3A61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5079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38A546"/>
    <w:lvl w:ilvl="0">
      <w:start w:val="1"/>
      <w:numFmt w:val="decimal"/>
      <w:lvlText w:val="%1."/>
      <w:lvlJc w:val="left"/>
      <w:pPr>
        <w:tabs>
          <w:tab w:val="num" w:pos="360"/>
        </w:tabs>
        <w:ind w:left="360" w:hanging="360"/>
      </w:pPr>
    </w:lvl>
  </w:abstractNum>
  <w:abstractNum w:abstractNumId="9">
    <w:nsid w:val="FFFFFF89"/>
    <w:multiLevelType w:val="singleLevel"/>
    <w:tmpl w:val="CC4AE77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613FD6"/>
    <w:multiLevelType w:val="hybridMultilevel"/>
    <w:tmpl w:val="78A85022"/>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05816119"/>
    <w:multiLevelType w:val="hybridMultilevel"/>
    <w:tmpl w:val="8E76BBA2"/>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326A34"/>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A192288"/>
    <w:multiLevelType w:val="hybridMultilevel"/>
    <w:tmpl w:val="38684B52"/>
    <w:lvl w:ilvl="0" w:tplc="F0FEC898">
      <w:start w:val="1"/>
      <w:numFmt w:val="decimal"/>
      <w:lvlText w:val="%1."/>
      <w:lvlJc w:val="left"/>
      <w:pPr>
        <w:tabs>
          <w:tab w:val="num" w:pos="720"/>
        </w:tabs>
        <w:ind w:left="0" w:firstLine="0"/>
      </w:pPr>
      <w:rPr>
        <w:rFonts w:hint="default"/>
        <w:b w:val="0"/>
        <w:bCs w:val="0"/>
        <w:color w:val="auto"/>
        <w:em w:val="none"/>
      </w:rPr>
    </w:lvl>
    <w:lvl w:ilvl="1" w:tplc="A68AA18C">
      <w:start w:val="1"/>
      <w:numFmt w:val="upperRoman"/>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rPr>
        <w:rFonts w:hint="default"/>
        <w:b w:val="0"/>
        <w:bCs w:val="0"/>
        <w:color w:val="auto"/>
      </w:rPr>
    </w:lvl>
    <w:lvl w:ilvl="3" w:tplc="E89C3474">
      <w:start w:val="1"/>
      <w:numFmt w:val="bullet"/>
      <w:lvlText w:val=""/>
      <w:lvlJc w:val="left"/>
      <w:pPr>
        <w:tabs>
          <w:tab w:val="num" w:pos="600"/>
        </w:tabs>
        <w:ind w:left="600" w:hanging="360"/>
      </w:pPr>
      <w:rPr>
        <w:rFonts w:ascii="Symbol" w:hAnsi="Symbol" w:hint="default"/>
        <w:b w:val="0"/>
        <w:bCs w:val="0"/>
        <w:color w:val="auto"/>
        <w:em w:val="none"/>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BC9472A"/>
    <w:multiLevelType w:val="hybridMultilevel"/>
    <w:tmpl w:val="A6A48FDA"/>
    <w:lvl w:ilvl="0" w:tplc="CE9833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92772A"/>
    <w:multiLevelType w:val="hybridMultilevel"/>
    <w:tmpl w:val="CC3C91C0"/>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11C19F4"/>
    <w:multiLevelType w:val="hybridMultilevel"/>
    <w:tmpl w:val="92C29C60"/>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F93A76"/>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3252714"/>
    <w:multiLevelType w:val="hybridMultilevel"/>
    <w:tmpl w:val="C80E43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7C21E8"/>
    <w:multiLevelType w:val="hybridMultilevel"/>
    <w:tmpl w:val="EC2290C6"/>
    <w:lvl w:ilvl="0" w:tplc="80887F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4F832C2"/>
    <w:multiLevelType w:val="hybridMultilevel"/>
    <w:tmpl w:val="E9980396"/>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6DE68DC"/>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87E5992"/>
    <w:multiLevelType w:val="hybridMultilevel"/>
    <w:tmpl w:val="E44A72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BFD690C"/>
    <w:multiLevelType w:val="hybridMultilevel"/>
    <w:tmpl w:val="91DAFEDE"/>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E9E39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3F23ED5"/>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7117FF0"/>
    <w:multiLevelType w:val="hybridMultilevel"/>
    <w:tmpl w:val="4E7670B2"/>
    <w:lvl w:ilvl="0" w:tplc="81C291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75D4DED"/>
    <w:multiLevelType w:val="multilevel"/>
    <w:tmpl w:val="1F58FEFA"/>
    <w:lvl w:ilvl="0">
      <w:start w:val="1"/>
      <w:numFmt w:val="decimal"/>
      <w:isLgl/>
      <w:lvlText w:val="%1."/>
      <w:lvlJc w:val="left"/>
      <w:pPr>
        <w:tabs>
          <w:tab w:val="num" w:pos="360"/>
        </w:tabs>
        <w:ind w:left="360" w:hanging="360"/>
      </w:pPr>
      <w:rPr>
        <w:rFonts w:ascii="Times New Roman" w:hAnsi="Times New Roman" w:hint="default"/>
        <w:b w:val="0"/>
        <w:i w:val="0"/>
        <w:color w:val="000000"/>
        <w:sz w:val="24"/>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nsid w:val="2B0F0D50"/>
    <w:multiLevelType w:val="hybridMultilevel"/>
    <w:tmpl w:val="EC2290C6"/>
    <w:lvl w:ilvl="0" w:tplc="172E87E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B3F49C6"/>
    <w:multiLevelType w:val="singleLevel"/>
    <w:tmpl w:val="FDEE4480"/>
    <w:lvl w:ilvl="0">
      <w:start w:val="1"/>
      <w:numFmt w:val="lowerRoman"/>
      <w:pStyle w:val="Rom2"/>
      <w:lvlText w:val="(%1)"/>
      <w:lvlJc w:val="right"/>
      <w:pPr>
        <w:tabs>
          <w:tab w:val="num" w:pos="2160"/>
        </w:tabs>
        <w:ind w:left="2160" w:hanging="516"/>
      </w:pPr>
    </w:lvl>
  </w:abstractNum>
  <w:abstractNum w:abstractNumId="36">
    <w:nsid w:val="302A75A7"/>
    <w:multiLevelType w:val="singleLevel"/>
    <w:tmpl w:val="3496DD40"/>
    <w:lvl w:ilvl="0">
      <w:start w:val="1"/>
      <w:numFmt w:val="decimal"/>
      <w:lvlText w:val="(%1)"/>
      <w:lvlJc w:val="left"/>
      <w:pPr>
        <w:tabs>
          <w:tab w:val="num" w:pos="1440"/>
        </w:tabs>
        <w:ind w:left="1440" w:hanging="720"/>
      </w:pPr>
    </w:lvl>
  </w:abstractNum>
  <w:abstractNum w:abstractNumId="37">
    <w:nsid w:val="33F331BC"/>
    <w:multiLevelType w:val="hybridMultilevel"/>
    <w:tmpl w:val="28FA4584"/>
    <w:lvl w:ilvl="0" w:tplc="69DA2F04">
      <w:start w:val="3"/>
      <w:numFmt w:val="bullet"/>
      <w:lvlText w:val="-"/>
      <w:lvlJc w:val="left"/>
      <w:pPr>
        <w:tabs>
          <w:tab w:val="num" w:pos="1069"/>
        </w:tabs>
        <w:ind w:left="1069" w:hanging="360"/>
      </w:pPr>
      <w:rPr>
        <w:rFonts w:ascii="Arial" w:eastAsia="Times New Roman" w:hAnsi="Arial" w:cs="Arial"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8">
    <w:nsid w:val="36255761"/>
    <w:multiLevelType w:val="singleLevel"/>
    <w:tmpl w:val="0409000F"/>
    <w:lvl w:ilvl="0">
      <w:start w:val="1"/>
      <w:numFmt w:val="decimal"/>
      <w:lvlText w:val="%1."/>
      <w:lvlJc w:val="left"/>
      <w:pPr>
        <w:tabs>
          <w:tab w:val="num" w:pos="360"/>
        </w:tabs>
        <w:ind w:left="360" w:hanging="360"/>
      </w:pPr>
    </w:lvl>
  </w:abstractNum>
  <w:abstractNum w:abstractNumId="39">
    <w:nsid w:val="39C90648"/>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C315E26"/>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2">
    <w:nsid w:val="40221049"/>
    <w:multiLevelType w:val="singleLevel"/>
    <w:tmpl w:val="04D4B0C4"/>
    <w:lvl w:ilvl="0">
      <w:start w:val="1"/>
      <w:numFmt w:val="decimal"/>
      <w:lvlText w:val="%1."/>
      <w:lvlJc w:val="left"/>
      <w:pPr>
        <w:tabs>
          <w:tab w:val="num" w:pos="360"/>
        </w:tabs>
        <w:ind w:left="360" w:hanging="360"/>
      </w:pPr>
    </w:lvl>
  </w:abstractNum>
  <w:abstractNum w:abstractNumId="43">
    <w:nsid w:val="42E054C7"/>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452D144C"/>
    <w:multiLevelType w:val="singleLevel"/>
    <w:tmpl w:val="7C4C0A7C"/>
    <w:lvl w:ilvl="0">
      <w:start w:val="1"/>
      <w:numFmt w:val="decimal"/>
      <w:lvlText w:val="(%1)"/>
      <w:lvlJc w:val="left"/>
      <w:pPr>
        <w:tabs>
          <w:tab w:val="num" w:pos="720"/>
        </w:tabs>
        <w:ind w:left="720" w:hanging="720"/>
      </w:pPr>
    </w:lvl>
  </w:abstractNum>
  <w:abstractNum w:abstractNumId="4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
    <w:nsid w:val="4EFA2598"/>
    <w:multiLevelType w:val="singleLevel"/>
    <w:tmpl w:val="0409000F"/>
    <w:lvl w:ilvl="0">
      <w:start w:val="1"/>
      <w:numFmt w:val="decimal"/>
      <w:lvlText w:val="%1."/>
      <w:lvlJc w:val="left"/>
      <w:pPr>
        <w:tabs>
          <w:tab w:val="num" w:pos="360"/>
        </w:tabs>
        <w:ind w:left="360" w:hanging="360"/>
      </w:pPr>
    </w:lvl>
  </w:abstractNum>
  <w:abstractNum w:abstractNumId="4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8">
    <w:nsid w:val="50201C01"/>
    <w:multiLevelType w:val="hybridMultilevel"/>
    <w:tmpl w:val="0A884908"/>
    <w:lvl w:ilvl="0" w:tplc="2C68F0A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53117551"/>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563B7044"/>
    <w:multiLevelType w:val="hybridMultilevel"/>
    <w:tmpl w:val="526A0A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5A40069E"/>
    <w:multiLevelType w:val="hybridMultilevel"/>
    <w:tmpl w:val="0A884908"/>
    <w:lvl w:ilvl="0" w:tplc="B10EE14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5AF36272"/>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9C6136C"/>
    <w:multiLevelType w:val="hybridMultilevel"/>
    <w:tmpl w:val="7E40E8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C5D7D72"/>
    <w:multiLevelType w:val="hybridMultilevel"/>
    <w:tmpl w:val="3B34AA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FAE3EA6"/>
    <w:multiLevelType w:val="multilevel"/>
    <w:tmpl w:val="6A8840B8"/>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73B668FC"/>
    <w:multiLevelType w:val="hybridMultilevel"/>
    <w:tmpl w:val="FC225728"/>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3D75E9E"/>
    <w:multiLevelType w:val="hybridMultilevel"/>
    <w:tmpl w:val="E93C3D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7FF553B"/>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349BD"/>
    <w:multiLevelType w:val="singleLevel"/>
    <w:tmpl w:val="687E33A0"/>
    <w:lvl w:ilvl="0">
      <w:start w:val="1"/>
      <w:numFmt w:val="lowerRoman"/>
      <w:pStyle w:val="Rom1"/>
      <w:lvlText w:val="(%1)"/>
      <w:lvlJc w:val="right"/>
      <w:pPr>
        <w:tabs>
          <w:tab w:val="num" w:pos="1440"/>
        </w:tabs>
        <w:ind w:left="1440" w:hanging="589"/>
      </w:pPr>
      <w:rPr>
        <w:rFonts w:hint="default"/>
      </w:rPr>
    </w:lvl>
  </w:abstractNum>
  <w:abstractNum w:abstractNumId="63">
    <w:nsid w:val="7D267B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7DBF6B58"/>
    <w:multiLevelType w:val="singleLevel"/>
    <w:tmpl w:val="0409000F"/>
    <w:lvl w:ilvl="0">
      <w:start w:val="1"/>
      <w:numFmt w:val="decimal"/>
      <w:lvlText w:val="%1."/>
      <w:lvlJc w:val="left"/>
      <w:pPr>
        <w:tabs>
          <w:tab w:val="num" w:pos="360"/>
        </w:tabs>
        <w:ind w:left="360" w:hanging="360"/>
      </w:pPr>
    </w:lvl>
  </w:abstractNum>
  <w:abstractNum w:abstractNumId="65">
    <w:nsid w:val="7DEC0F96"/>
    <w:multiLevelType w:val="hybridMultilevel"/>
    <w:tmpl w:val="2B640926"/>
    <w:lvl w:ilvl="0" w:tplc="5EC4F2D8">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2"/>
  </w:num>
  <w:num w:numId="2">
    <w:abstractNumId w:val="35"/>
  </w:num>
  <w:num w:numId="3">
    <w:abstractNumId w:val="62"/>
  </w:num>
  <w:num w:numId="4">
    <w:abstractNumId w:val="35"/>
  </w:num>
  <w:num w:numId="5">
    <w:abstractNumId w:val="13"/>
  </w:num>
  <w:num w:numId="6">
    <w:abstractNumId w:val="38"/>
  </w:num>
  <w:num w:numId="7">
    <w:abstractNumId w:val="42"/>
  </w:num>
  <w:num w:numId="8">
    <w:abstractNumId w:val="61"/>
  </w:num>
  <w:num w:numId="9">
    <w:abstractNumId w:val="46"/>
  </w:num>
  <w:num w:numId="10">
    <w:abstractNumId w:val="64"/>
  </w:num>
  <w:num w:numId="11">
    <w:abstractNumId w:val="42"/>
  </w:num>
  <w:num w:numId="12">
    <w:abstractNumId w:val="45"/>
  </w:num>
  <w:num w:numId="13">
    <w:abstractNumId w:val="45"/>
  </w:num>
  <w:num w:numId="14">
    <w:abstractNumId w:val="54"/>
  </w:num>
  <w:num w:numId="15">
    <w:abstractNumId w:val="41"/>
  </w:num>
  <w:num w:numId="16">
    <w:abstractNumId w:val="41"/>
  </w:num>
  <w:num w:numId="17">
    <w:abstractNumId w:val="62"/>
  </w:num>
  <w:num w:numId="18">
    <w:abstractNumId w:val="35"/>
  </w:num>
  <w:num w:numId="19">
    <w:abstractNumId w:val="1"/>
  </w:num>
  <w:num w:numId="20">
    <w:abstractNumId w:val="0"/>
  </w:num>
  <w:num w:numId="21">
    <w:abstractNumId w:val="62"/>
  </w:num>
  <w:num w:numId="22">
    <w:abstractNumId w:val="35"/>
  </w:num>
  <w:num w:numId="23">
    <w:abstractNumId w:val="25"/>
  </w:num>
  <w:num w:numId="24">
    <w:abstractNumId w:val="50"/>
  </w:num>
  <w:num w:numId="25">
    <w:abstractNumId w:val="12"/>
  </w:num>
  <w:num w:numId="26">
    <w:abstractNumId w:val="29"/>
  </w:num>
  <w:num w:numId="27">
    <w:abstractNumId w:val="17"/>
  </w:num>
  <w:num w:numId="28">
    <w:abstractNumId w:val="65"/>
  </w:num>
  <w:num w:numId="29">
    <w:abstractNumId w:val="36"/>
  </w:num>
  <w:num w:numId="30">
    <w:abstractNumId w:val="10"/>
  </w:num>
  <w:num w:numId="31">
    <w:abstractNumId w:val="27"/>
  </w:num>
  <w:num w:numId="32">
    <w:abstractNumId w:val="16"/>
  </w:num>
  <w:num w:numId="33">
    <w:abstractNumId w:val="44"/>
  </w:num>
  <w:num w:numId="34">
    <w:abstractNumId w:val="53"/>
  </w:num>
  <w:num w:numId="35">
    <w:abstractNumId w:val="2"/>
  </w:num>
  <w:num w:numId="36">
    <w:abstractNumId w:val="3"/>
  </w:num>
  <w:num w:numId="37">
    <w:abstractNumId w:val="8"/>
  </w:num>
  <w:num w:numId="38">
    <w:abstractNumId w:val="9"/>
  </w:num>
  <w:num w:numId="39">
    <w:abstractNumId w:val="7"/>
  </w:num>
  <w:num w:numId="40">
    <w:abstractNumId w:val="6"/>
  </w:num>
  <w:num w:numId="41">
    <w:abstractNumId w:val="5"/>
  </w:num>
  <w:num w:numId="42">
    <w:abstractNumId w:val="4"/>
  </w:num>
  <w:num w:numId="43">
    <w:abstractNumId w:val="18"/>
  </w:num>
  <w:num w:numId="44">
    <w:abstractNumId w:val="32"/>
  </w:num>
  <w:num w:numId="45">
    <w:abstractNumId w:val="47"/>
  </w:num>
  <w:num w:numId="46">
    <w:abstractNumId w:val="33"/>
  </w:num>
  <w:num w:numId="47">
    <w:abstractNumId w:val="37"/>
  </w:num>
  <w:num w:numId="48">
    <w:abstractNumId w:val="55"/>
  </w:num>
  <w:num w:numId="49">
    <w:abstractNumId w:val="15"/>
  </w:num>
  <w:num w:numId="50">
    <w:abstractNumId w:val="19"/>
  </w:num>
  <w:num w:numId="51">
    <w:abstractNumId w:val="59"/>
  </w:num>
  <w:num w:numId="52">
    <w:abstractNumId w:val="58"/>
  </w:num>
  <w:num w:numId="53">
    <w:abstractNumId w:val="56"/>
  </w:num>
  <w:num w:numId="54">
    <w:abstractNumId w:val="28"/>
  </w:num>
  <w:num w:numId="55">
    <w:abstractNumId w:val="22"/>
  </w:num>
  <w:num w:numId="56">
    <w:abstractNumId w:val="49"/>
  </w:num>
  <w:num w:numId="57">
    <w:abstractNumId w:val="21"/>
  </w:num>
  <w:num w:numId="58">
    <w:abstractNumId w:val="52"/>
  </w:num>
  <w:num w:numId="59">
    <w:abstractNumId w:val="31"/>
  </w:num>
  <w:num w:numId="60">
    <w:abstractNumId w:val="43"/>
  </w:num>
  <w:num w:numId="61">
    <w:abstractNumId w:val="30"/>
  </w:num>
  <w:num w:numId="62">
    <w:abstractNumId w:val="63"/>
  </w:num>
  <w:num w:numId="63">
    <w:abstractNumId w:val="14"/>
  </w:num>
  <w:num w:numId="64">
    <w:abstractNumId w:val="39"/>
  </w:num>
  <w:num w:numId="65">
    <w:abstractNumId w:val="11"/>
  </w:num>
  <w:num w:numId="66">
    <w:abstractNumId w:val="57"/>
  </w:num>
  <w:num w:numId="67">
    <w:abstractNumId w:val="60"/>
  </w:num>
  <w:num w:numId="68">
    <w:abstractNumId w:val="40"/>
  </w:num>
  <w:num w:numId="69">
    <w:abstractNumId w:val="20"/>
  </w:num>
  <w:num w:numId="70">
    <w:abstractNumId w:val="26"/>
  </w:num>
  <w:num w:numId="71">
    <w:abstractNumId w:val="24"/>
  </w:num>
  <w:num w:numId="72">
    <w:abstractNumId w:val="51"/>
  </w:num>
  <w:num w:numId="73">
    <w:abstractNumId w:val="48"/>
  </w:num>
  <w:num w:numId="74">
    <w:abstractNumId w:val="23"/>
  </w:num>
  <w:num w:numId="75">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11218</Words>
  <Characters>63946</Characters>
  <Application>Microsoft Office Outlook</Application>
  <DocSecurity>4</DocSecurity>
  <Lines>532</Lines>
  <Paragraphs>127</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0710558xx</vt:lpstr>
      <vt:lpstr>IMPLEMENTATION OF GENERAL ASSEMBLY RESOLUTION 60/251 OF 15 MARCH 2006 ENTITLED “</vt:lpstr>
      <vt:lpstr>    Report by Mr. Doudou Diène, Special Rapporteur on contemporary forms of racism, </vt:lpstr>
      <vt:lpstr>    Addendum*</vt:lpstr>
      <vt:lpstr>Mission to Switzerland</vt:lpstr>
      <vt:lpstr>    Summary</vt:lpstr>
      <vt:lpstr>    Annex</vt:lpstr>
      <vt:lpstr>REPORT SUBMITTED BY MR. DOUDOU DIÈNE, SPECIAL RAPPORTEUR ON CONTEMPORARY FORMS O</vt:lpstr>
      <vt:lpstr>MISSION TO SWITZERLAND (9-13 JANUARY 2006)</vt:lpstr>
      <vt:lpstr>    Introduction</vt:lpstr>
      <vt:lpstr>I.  GENERAL INFORMATION</vt:lpstr>
      <vt:lpstr>    A.  Linguistic and religious composition</vt:lpstr>
      <vt:lpstr>    B.  Distinctive features of the Swiss federal system</vt:lpstr>
      <vt:lpstr>    C.  Legislative framework</vt:lpstr>
      <vt:lpstr>    D.  Recent votes on immigration and asylum</vt:lpstr>
      <vt:lpstr>II.  ANALYSIS OF THE SITUATION BY THE AUTHORITIES</vt:lpstr>
      <vt:lpstr>    A.  Immigration and integration policy</vt:lpstr>
      <vt:lpstr>    B.  Specialized bodies and commissions</vt:lpstr>
      <vt:lpstr>    1.  Federal Commission against Racism</vt:lpstr>
      <vt:lpstr>    2.  Federal Commission for Foreigners</vt:lpstr>
      <vt:lpstr>    3.  Service for Combating Racism</vt:lpstr>
      <vt:lpstr>    C.  Other relevant departments and services</vt:lpstr>
      <vt:lpstr>III.  ANALYSIS OF THE SITUATION BY OTHER ACTORS</vt:lpstr>
      <vt:lpstr>    A.  Civil society</vt:lpstr>
      <vt:lpstr>    B.  Political parties</vt:lpstr>
      <vt:lpstr>IV.  ANALYSIS AND CONCLUSIONS</vt:lpstr>
      <vt:lpstr>V.  RECOMMENDATIONS</vt:lpstr>
      <vt:lpstr>    </vt:lpstr>
      <vt:lpstr>    </vt:lpstr>
      <vt:lpstr>    Annex</vt:lpstr>
      <vt:lpstr>    List of subjects of federal votes relating to foreigners or the right of asylum</vt:lpstr>
    </vt:vector>
  </TitlesOfParts>
  <Company>ONU</Company>
  <LinksUpToDate>false</LinksUpToDate>
  <CharactersWithSpaces>78530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0710558xx</dc:title>
  <dc:subject/>
  <dc:creator>np</dc:creator>
  <cp:keywords>A/HRC/4/19/Add.2</cp:keywords>
  <dc:description>Final</dc:description>
  <cp:lastModifiedBy>CSD</cp:lastModifiedBy>
  <cp:revision>2</cp:revision>
  <cp:lastPrinted>2007-03-12T12:46:00Z</cp:lastPrinted>
  <dcterms:created xsi:type="dcterms:W3CDTF">2007-03-14T08:54:00Z</dcterms:created>
  <dcterms:modified xsi:type="dcterms:W3CDTF">2007-03-14T08:54:00Z</dcterms:modified>
</cp:coreProperties>
</file>