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0957" w:rsidRDefault="00880957">
      <w:pPr>
        <w:spacing w:line="60" w:lineRule="exact"/>
        <w:rPr>
          <w:sz w:val="6"/>
        </w:rPr>
        <w:sectPr w:rsidR="00880957">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880957" w:rsidRDefault="00880957">
      <w:pPr>
        <w:spacing w:line="60" w:lineRule="exact"/>
        <w:rPr>
          <w:sz w:val="6"/>
        </w:rPr>
      </w:pPr>
    </w:p>
    <w:p w:rsidR="00880957" w:rsidRDefault="00880957">
      <w:pPr>
        <w:pStyle w:val="H1"/>
        <w:rPr>
          <w:rFonts w:hint="eastAsia"/>
        </w:rPr>
      </w:pPr>
      <w:r>
        <w:rPr>
          <w:rFonts w:hint="eastAsia"/>
        </w:rPr>
        <w:t>消除对妇女歧视委员会</w:t>
      </w:r>
    </w:p>
    <w:p w:rsidR="00880957" w:rsidRDefault="00880957">
      <w:pPr>
        <w:pStyle w:val="H23"/>
        <w:rPr>
          <w:rFonts w:hint="eastAsia"/>
        </w:rPr>
      </w:pPr>
      <w:r>
        <w:rPr>
          <w:rFonts w:hint="eastAsia"/>
        </w:rPr>
        <w:t>第二十八届会议</w:t>
      </w:r>
    </w:p>
    <w:p w:rsidR="00880957" w:rsidRDefault="00880957">
      <w:pPr>
        <w:spacing w:line="120" w:lineRule="exact"/>
        <w:rPr>
          <w:sz w:val="12"/>
        </w:rPr>
      </w:pPr>
    </w:p>
    <w:p w:rsidR="00880957" w:rsidRDefault="00880957">
      <w:pPr>
        <w:spacing w:line="120" w:lineRule="exact"/>
        <w:rPr>
          <w:sz w:val="10"/>
        </w:rPr>
      </w:pPr>
    </w:p>
    <w:p w:rsidR="00880957" w:rsidRDefault="00880957">
      <w:pPr>
        <w:pStyle w:val="H23"/>
        <w:rPr>
          <w:rFonts w:hint="eastAsia"/>
        </w:rPr>
      </w:pPr>
      <w:r>
        <w:rPr>
          <w:rFonts w:hint="eastAsia"/>
        </w:rPr>
        <w:t>第611次会议简要记录</w:t>
      </w:r>
    </w:p>
    <w:p w:rsidR="00880957" w:rsidRDefault="00880957">
      <w:pPr>
        <w:rPr>
          <w:rFonts w:hint="eastAsia"/>
        </w:rPr>
      </w:pPr>
      <w:r>
        <w:rPr>
          <w:rFonts w:hint="eastAsia"/>
        </w:rPr>
        <w:t>2003年7月1日，星期二，下午3时在纽约总部举行</w:t>
      </w:r>
    </w:p>
    <w:p w:rsidR="00880957" w:rsidRDefault="00880957">
      <w:pPr>
        <w:spacing w:line="120" w:lineRule="exact"/>
        <w:rPr>
          <w:rFonts w:hint="eastAsia"/>
          <w:sz w:val="10"/>
        </w:rPr>
      </w:pPr>
    </w:p>
    <w:p w:rsidR="00880957" w:rsidRDefault="00880957">
      <w:pPr>
        <w:tabs>
          <w:tab w:val="left" w:pos="1267"/>
          <w:tab w:val="right" w:leader="dot" w:pos="8568"/>
        </w:tabs>
        <w:ind w:right="1267"/>
        <w:rPr>
          <w:rFonts w:hint="eastAsia"/>
          <w:color w:val="000000"/>
        </w:rPr>
      </w:pPr>
      <w:r>
        <w:rPr>
          <w:rFonts w:eastAsia="KaiTi_GB2312" w:hint="eastAsia"/>
          <w:color w:val="0000FF"/>
        </w:rPr>
        <w:t>主席：</w:t>
      </w:r>
      <w:r>
        <w:rPr>
          <w:rFonts w:eastAsia="KaiTi_GB2312"/>
          <w:color w:val="0000FF"/>
        </w:rPr>
        <w:tab/>
      </w:r>
      <w:r>
        <w:rPr>
          <w:rFonts w:hint="eastAsia"/>
          <w:color w:val="000000"/>
        </w:rPr>
        <w:t>阿贾尔女士</w:t>
      </w:r>
    </w:p>
    <w:p w:rsidR="00880957" w:rsidRDefault="00880957">
      <w:pPr>
        <w:tabs>
          <w:tab w:val="left" w:pos="1267"/>
          <w:tab w:val="right" w:leader="dot" w:pos="8568"/>
        </w:tabs>
        <w:ind w:right="1267"/>
        <w:rPr>
          <w:rFonts w:hint="eastAsia"/>
          <w:color w:val="000000"/>
        </w:rPr>
      </w:pPr>
      <w:r>
        <w:rPr>
          <w:rFonts w:ascii="KaiTi_GB2312" w:eastAsia="KaiTi_GB2312" w:hint="eastAsia"/>
          <w:color w:val="0000FF"/>
        </w:rPr>
        <w:t>后来：</w:t>
      </w:r>
      <w:r>
        <w:rPr>
          <w:rFonts w:ascii="KaiTi_GB2312" w:eastAsia="KaiTi_GB2312"/>
          <w:color w:val="0000FF"/>
        </w:rPr>
        <w:tab/>
      </w:r>
      <w:r>
        <w:rPr>
          <w:rFonts w:hint="eastAsia"/>
          <w:color w:val="000000"/>
        </w:rPr>
        <w:t>费雷尔·戈麦斯女士(副主席)</w:t>
      </w:r>
    </w:p>
    <w:p w:rsidR="00880957" w:rsidRDefault="00880957">
      <w:pPr>
        <w:tabs>
          <w:tab w:val="left" w:pos="1267"/>
          <w:tab w:val="right" w:leader="dot" w:pos="8568"/>
        </w:tabs>
        <w:ind w:right="1267"/>
        <w:rPr>
          <w:rFonts w:ascii="KaiTi_GB2312" w:eastAsia="KaiTi_GB2312" w:hint="eastAsia"/>
          <w:color w:val="0000FF"/>
        </w:rPr>
      </w:pPr>
      <w:r>
        <w:rPr>
          <w:rFonts w:ascii="KaiTi_GB2312" w:eastAsia="KaiTi_GB2312" w:hint="eastAsia"/>
          <w:color w:val="0000FF"/>
        </w:rPr>
        <w:t>后来：</w:t>
      </w:r>
      <w:r>
        <w:rPr>
          <w:rFonts w:ascii="KaiTi_GB2312" w:eastAsia="KaiTi_GB2312"/>
          <w:color w:val="0000FF"/>
        </w:rPr>
        <w:tab/>
      </w:r>
      <w:r>
        <w:rPr>
          <w:rFonts w:hint="eastAsia"/>
          <w:color w:val="000000"/>
        </w:rPr>
        <w:t>阿贾尔女士</w:t>
      </w:r>
    </w:p>
    <w:p w:rsidR="00880957" w:rsidRDefault="00880957">
      <w:pPr>
        <w:tabs>
          <w:tab w:val="left" w:pos="1267"/>
          <w:tab w:val="right" w:leader="dot" w:pos="8568"/>
        </w:tabs>
        <w:spacing w:line="120" w:lineRule="exact"/>
        <w:ind w:right="1267"/>
        <w:rPr>
          <w:color w:val="000000"/>
          <w:sz w:val="10"/>
        </w:rPr>
      </w:pPr>
    </w:p>
    <w:p w:rsidR="00880957" w:rsidRDefault="00880957">
      <w:pPr>
        <w:tabs>
          <w:tab w:val="left" w:pos="1267"/>
          <w:tab w:val="right" w:leader="dot" w:pos="8568"/>
        </w:tabs>
        <w:spacing w:line="120" w:lineRule="exact"/>
        <w:ind w:right="1267"/>
        <w:rPr>
          <w:color w:val="000000"/>
          <w:sz w:val="10"/>
        </w:rPr>
      </w:pPr>
    </w:p>
    <w:p w:rsidR="00880957" w:rsidRDefault="00880957">
      <w:pPr>
        <w:tabs>
          <w:tab w:val="left" w:pos="1267"/>
          <w:tab w:val="right" w:leader="dot" w:pos="8568"/>
        </w:tabs>
        <w:spacing w:line="120" w:lineRule="exact"/>
        <w:ind w:right="1267"/>
        <w:rPr>
          <w:color w:val="000000"/>
          <w:sz w:val="10"/>
        </w:rPr>
      </w:pPr>
    </w:p>
    <w:p w:rsidR="00880957" w:rsidRDefault="00880957">
      <w:pPr>
        <w:pStyle w:val="HCh"/>
        <w:rPr>
          <w:rFonts w:eastAsia="SimSun" w:hint="eastAsia"/>
        </w:rPr>
      </w:pPr>
      <w:r>
        <w:rPr>
          <w:rFonts w:eastAsia="SimSun" w:hint="eastAsia"/>
        </w:rPr>
        <w:t>目录</w:t>
      </w:r>
    </w:p>
    <w:p w:rsidR="00880957" w:rsidRDefault="00880957">
      <w:pPr>
        <w:pStyle w:val="HCh"/>
        <w:spacing w:line="240" w:lineRule="auto"/>
        <w:rPr>
          <w:rFonts w:eastAsia="SimSun"/>
          <w:sz w:val="14"/>
        </w:rPr>
      </w:pPr>
    </w:p>
    <w:p w:rsidR="00880957" w:rsidRDefault="00880957">
      <w:pPr>
        <w:pStyle w:val="SingleTxt"/>
        <w:rPr>
          <w:rFonts w:hint="eastAsia"/>
        </w:rPr>
      </w:pPr>
      <w:r>
        <w:rPr>
          <w:rFonts w:hint="eastAsia"/>
        </w:rPr>
        <w:t>审议缔约国根据《公约》第18条提交的报告</w:t>
      </w:r>
    </w:p>
    <w:p w:rsidR="00880957" w:rsidRDefault="00880957">
      <w:pPr>
        <w:pStyle w:val="SingleTxt"/>
        <w:rPr>
          <w:rFonts w:ascii="KaiTi_GB2312" w:eastAsia="KaiTi_GB2312" w:hint="eastAsia"/>
          <w:color w:val="0000FF"/>
        </w:rPr>
      </w:pPr>
      <w:r>
        <w:rPr>
          <w:rFonts w:hint="eastAsia"/>
        </w:rPr>
        <w:tab/>
      </w:r>
      <w:r>
        <w:rPr>
          <w:rFonts w:ascii="KaiTi_GB2312" w:eastAsia="KaiTi_GB2312" w:hint="eastAsia"/>
          <w:color w:val="0000FF"/>
        </w:rPr>
        <w:t>巴西的初次、第二、第三、第四和第五次合并定期报告(续)</w:t>
      </w:r>
    </w:p>
    <w:p w:rsidR="00880957" w:rsidRDefault="00880957">
      <w:pPr>
        <w:pStyle w:val="SingleTxt"/>
        <w:spacing w:after="0" w:line="60" w:lineRule="exact"/>
        <w:rPr>
          <w:rFonts w:ascii="KaiTi_GB2312" w:eastAsia="KaiTi_GB2312"/>
          <w:color w:val="0000FF"/>
        </w:rPr>
        <w:sectPr w:rsidR="00880957">
          <w:type w:val="continuous"/>
          <w:pgSz w:w="12242" w:h="15842" w:code="1"/>
          <w:pgMar w:top="1742" w:right="1195" w:bottom="1898" w:left="1195" w:header="576" w:footer="1030" w:gutter="0"/>
          <w:cols w:space="425"/>
          <w:noEndnote/>
          <w:docGrid w:type="lines" w:linePitch="312"/>
        </w:sectPr>
      </w:pPr>
      <w:r>
        <w:rPr>
          <w:rFonts w:ascii="KaiTi_GB2312" w:eastAsia="KaiTi_GB2312"/>
          <w:color w:val="0000FF"/>
        </w:rPr>
        <w:br w:type="page"/>
      </w:r>
    </w:p>
    <w:p w:rsidR="00880957" w:rsidRDefault="00880957">
      <w:pPr>
        <w:pStyle w:val="DualTxt"/>
        <w:rPr>
          <w:rFonts w:ascii="KaiTi_GB2312" w:eastAsia="KaiTi_GB2312" w:hint="eastAsia"/>
          <w:color w:val="0000FF"/>
        </w:rPr>
      </w:pPr>
      <w:r>
        <w:rPr>
          <w:rFonts w:hint="eastAsia"/>
        </w:rPr>
        <w:tab/>
      </w:r>
      <w:r>
        <w:rPr>
          <w:rFonts w:ascii="KaiTi_GB2312" w:eastAsia="KaiTi_GB2312" w:hint="eastAsia"/>
          <w:color w:val="0000FF"/>
        </w:rPr>
        <w:t>下午3时5分宣布开会</w:t>
      </w:r>
    </w:p>
    <w:p w:rsidR="00880957" w:rsidRDefault="00880957">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880957" w:rsidRDefault="00880957">
      <w:pPr>
        <w:pStyle w:val="DualTxt"/>
        <w:rPr>
          <w:rFonts w:hint="eastAsia"/>
        </w:rPr>
      </w:pPr>
      <w:r>
        <w:rPr>
          <w:rFonts w:hint="eastAsia"/>
        </w:rPr>
        <w:tab/>
      </w:r>
      <w:r>
        <w:rPr>
          <w:rFonts w:ascii="KaiTi_GB2312" w:eastAsia="KaiTi_GB2312" w:hint="eastAsia"/>
          <w:color w:val="0000FF"/>
        </w:rPr>
        <w:t>巴西的初次、第二、第三、第四和第五次合并定期报告(续)</w:t>
      </w:r>
      <w:r>
        <w:rPr>
          <w:rFonts w:hint="eastAsia"/>
        </w:rPr>
        <w:t>(CEDAW/C/BRA/1-5)</w:t>
      </w:r>
    </w:p>
    <w:p w:rsidR="00880957" w:rsidRDefault="00880957">
      <w:pPr>
        <w:pStyle w:val="DualTxt"/>
        <w:rPr>
          <w:rFonts w:hint="eastAsia"/>
        </w:rPr>
      </w:pPr>
      <w:r>
        <w:rPr>
          <w:rFonts w:hint="eastAsia"/>
        </w:rPr>
        <w:t>1.</w:t>
      </w:r>
      <w:r>
        <w:rPr>
          <w:rFonts w:hint="eastAsia"/>
        </w:rPr>
        <w:tab/>
      </w:r>
      <w:r>
        <w:rPr>
          <w:rFonts w:ascii="KaiTi_GB2312" w:eastAsia="KaiTi_GB2312" w:hint="eastAsia"/>
          <w:color w:val="0000FF"/>
        </w:rPr>
        <w:t>应主席邀请，巴西代表团在委员会议席就座。</w:t>
      </w:r>
    </w:p>
    <w:p w:rsidR="00880957" w:rsidRDefault="00880957">
      <w:pPr>
        <w:pStyle w:val="DualTxt"/>
        <w:rPr>
          <w:rFonts w:hint="eastAsia"/>
        </w:rPr>
      </w:pPr>
      <w:r>
        <w:rPr>
          <w:rFonts w:hint="eastAsia"/>
        </w:rPr>
        <w:t>2.</w:t>
      </w:r>
      <w:r>
        <w:rPr>
          <w:rFonts w:hint="eastAsia"/>
        </w:rPr>
        <w:tab/>
      </w:r>
      <w:r>
        <w:rPr>
          <w:rFonts w:ascii="SimHei" w:eastAsia="SimHei" w:hint="eastAsia"/>
          <w:color w:val="FF0000"/>
        </w:rPr>
        <w:t>主席</w:t>
      </w:r>
      <w:r>
        <w:rPr>
          <w:rFonts w:hint="eastAsia"/>
        </w:rPr>
        <w:t>请委员会成员继续就巴西的报告(CEDAW/  C/BRA/1-5)提问题。</w:t>
      </w:r>
    </w:p>
    <w:p w:rsidR="00880957" w:rsidRDefault="00880957">
      <w:pPr>
        <w:pStyle w:val="DualTxt"/>
        <w:rPr>
          <w:rFonts w:ascii="KaiTi_GB2312" w:eastAsia="KaiTi_GB2312" w:hint="eastAsia"/>
          <w:color w:val="0000FF"/>
        </w:rPr>
      </w:pPr>
      <w:r>
        <w:rPr>
          <w:rFonts w:ascii="KaiTi_GB2312" w:eastAsia="KaiTi_GB2312" w:hint="eastAsia"/>
          <w:color w:val="0000FF"/>
        </w:rPr>
        <w:t>第4条(续)</w:t>
      </w:r>
    </w:p>
    <w:p w:rsidR="00880957" w:rsidRDefault="00880957">
      <w:pPr>
        <w:pStyle w:val="DualTxt"/>
        <w:spacing w:line="340" w:lineRule="exact"/>
        <w:rPr>
          <w:rFonts w:hint="eastAsia"/>
        </w:rPr>
      </w:pPr>
      <w:r>
        <w:rPr>
          <w:rFonts w:hint="eastAsia"/>
        </w:rPr>
        <w:t>3.</w:t>
      </w:r>
      <w:r>
        <w:rPr>
          <w:rFonts w:hint="eastAsia"/>
        </w:rPr>
        <w:tab/>
      </w:r>
      <w:r>
        <w:rPr>
          <w:rFonts w:ascii="SimHei" w:eastAsia="SimHei" w:hint="eastAsia"/>
          <w:b/>
          <w:bCs/>
          <w:color w:val="FF0000"/>
        </w:rPr>
        <w:t>Gaspard</w:t>
      </w:r>
      <w:r>
        <w:rPr>
          <w:rFonts w:ascii="SimHei" w:eastAsia="SimHei" w:hint="eastAsia"/>
          <w:color w:val="FF0000"/>
        </w:rPr>
        <w:t>女士</w:t>
      </w:r>
      <w:r>
        <w:rPr>
          <w:rFonts w:hint="eastAsia"/>
        </w:rPr>
        <w:t>询问规定选举代表定额的法律是不是受《公约》第4条第1款的激励而制定的，人们是否认为这是根据该款制定的一项临时性的特别措施。她尤其想知道是否为打击歧视而在有限的时间内执行该法律，但在这种歧视消失后就予以废除？</w:t>
      </w:r>
    </w:p>
    <w:p w:rsidR="00880957" w:rsidRDefault="00880957">
      <w:pPr>
        <w:pStyle w:val="DualTxt"/>
        <w:spacing w:line="340" w:lineRule="exact"/>
        <w:rPr>
          <w:rFonts w:hint="eastAsia"/>
        </w:rPr>
      </w:pPr>
      <w:r>
        <w:rPr>
          <w:rFonts w:hint="eastAsia"/>
        </w:rPr>
        <w:t>4.</w:t>
      </w:r>
      <w:r>
        <w:rPr>
          <w:rFonts w:hint="eastAsia"/>
        </w:rPr>
        <w:tab/>
        <w:t>她还想知道这项措施没有结果的原因。法律是否规定不执行定额就予以惩罚：如果一个政党不为妇女保留30％的席位将会怎样？了解这些情况是有帮助的。</w:t>
      </w:r>
    </w:p>
    <w:p w:rsidR="00880957" w:rsidRDefault="00880957">
      <w:pPr>
        <w:pStyle w:val="DualTxt"/>
        <w:spacing w:line="340" w:lineRule="exact"/>
        <w:rPr>
          <w:rFonts w:hint="eastAsia"/>
        </w:rPr>
      </w:pPr>
      <w:r>
        <w:rPr>
          <w:rFonts w:hint="eastAsia"/>
        </w:rPr>
        <w:t>5.</w:t>
      </w:r>
      <w:r>
        <w:rPr>
          <w:rFonts w:hint="eastAsia"/>
        </w:rPr>
        <w:tab/>
      </w:r>
      <w:r>
        <w:rPr>
          <w:rFonts w:ascii="KaiTi_GB2312" w:eastAsia="KaiTi_GB2312" w:hint="eastAsia"/>
          <w:color w:val="0000FF"/>
        </w:rPr>
        <w:t>费雷尔·戈麦斯女士代行主席职务。</w:t>
      </w:r>
    </w:p>
    <w:p w:rsidR="00880957" w:rsidRDefault="00880957">
      <w:pPr>
        <w:pStyle w:val="DualTxt"/>
        <w:spacing w:line="338" w:lineRule="exact"/>
        <w:rPr>
          <w:rFonts w:hint="eastAsia"/>
        </w:rPr>
      </w:pPr>
      <w:r>
        <w:rPr>
          <w:rFonts w:hint="eastAsia"/>
        </w:rPr>
        <w:t>6.</w:t>
      </w:r>
      <w:r>
        <w:rPr>
          <w:rFonts w:hint="eastAsia"/>
        </w:rPr>
        <w:tab/>
      </w:r>
      <w:r>
        <w:rPr>
          <w:rFonts w:ascii="SimHei" w:eastAsia="SimHei" w:hint="eastAsia"/>
          <w:b/>
          <w:bCs/>
          <w:color w:val="FF0000"/>
        </w:rPr>
        <w:t>Sch</w:t>
      </w:r>
      <w:r>
        <w:rPr>
          <w:rFonts w:ascii="Times New Roman" w:eastAsia="SimHei"/>
          <w:b/>
          <w:bCs/>
          <w:color w:val="FF0000"/>
        </w:rPr>
        <w:t>ö</w:t>
      </w:r>
      <w:r>
        <w:rPr>
          <w:rFonts w:ascii="SimHei" w:eastAsia="SimHei" w:hint="eastAsia"/>
          <w:b/>
          <w:bCs/>
          <w:color w:val="FF0000"/>
        </w:rPr>
        <w:t>pp-Schilling</w:t>
      </w:r>
      <w:r>
        <w:rPr>
          <w:rFonts w:ascii="SimHei" w:eastAsia="SimHei" w:hint="eastAsia"/>
          <w:color w:val="FF0000"/>
        </w:rPr>
        <w:t>女士</w:t>
      </w:r>
      <w:r>
        <w:rPr>
          <w:rFonts w:hint="eastAsia"/>
        </w:rPr>
        <w:t>说，她想了解所谓全球化将会危及产妇保护的说法是什么意思。事实上，这使人对巴西政府能否坚持《公约》产生了疑问。在这方面，了解由谁负责起草报告可能会有帮助。她称赞巴西根据第4条采取的肯定行动措施；但委员会还是希望用“临时性特别措施”这个词。她想知道是否为确保实施这些措施而设立了任何机制，是否规定了时限和目标，是否适用任何制裁。</w:t>
      </w:r>
    </w:p>
    <w:p w:rsidR="00880957" w:rsidRDefault="00880957">
      <w:pPr>
        <w:pStyle w:val="DualTxt"/>
        <w:spacing w:line="340" w:lineRule="exact"/>
        <w:rPr>
          <w:rFonts w:hint="eastAsia"/>
        </w:rPr>
      </w:pPr>
      <w:r>
        <w:rPr>
          <w:rFonts w:hint="eastAsia"/>
        </w:rPr>
        <w:t>7.</w:t>
      </w:r>
      <w:r>
        <w:rPr>
          <w:rFonts w:hint="eastAsia"/>
        </w:rPr>
        <w:tab/>
      </w:r>
      <w:r>
        <w:rPr>
          <w:rFonts w:ascii="SimHei" w:eastAsia="SimHei" w:hint="eastAsia"/>
          <w:b/>
          <w:bCs/>
          <w:color w:val="FF0000"/>
        </w:rPr>
        <w:t>Flinterman</w:t>
      </w:r>
      <w:r>
        <w:rPr>
          <w:rFonts w:ascii="SimHei" w:eastAsia="SimHei" w:hint="eastAsia"/>
          <w:color w:val="FF0000"/>
        </w:rPr>
        <w:t>先生</w:t>
      </w:r>
      <w:r>
        <w:rPr>
          <w:rFonts w:hint="eastAsia"/>
        </w:rPr>
        <w:t>说，国家没有实施联邦法律规定的选举限额制度。这意味着国家未能履行职责，或根本就没有遵守联邦义务。在这方面，他想知道是否存在任何机制确保国家遵守这种义务，特别是联邦政府能否要求各州采取临时性特别措施确保妇女参与政治生活。</w:t>
      </w:r>
    </w:p>
    <w:p w:rsidR="00880957" w:rsidRDefault="00880957">
      <w:pPr>
        <w:pStyle w:val="DualTxt"/>
        <w:rPr>
          <w:rFonts w:ascii="KaiTi_GB2312" w:eastAsia="KaiTi_GB2312" w:hint="eastAsia"/>
          <w:color w:val="0000FF"/>
        </w:rPr>
      </w:pPr>
      <w:r>
        <w:rPr>
          <w:rFonts w:ascii="KaiTi_GB2312" w:eastAsia="KaiTi_GB2312" w:hint="eastAsia"/>
          <w:color w:val="0000FF"/>
        </w:rPr>
        <w:t>第5条</w:t>
      </w:r>
    </w:p>
    <w:p w:rsidR="00880957" w:rsidRDefault="00880957">
      <w:pPr>
        <w:pStyle w:val="DualTxt"/>
        <w:rPr>
          <w:rFonts w:hint="eastAsia"/>
        </w:rPr>
      </w:pPr>
      <w:r>
        <w:rPr>
          <w:rFonts w:hint="eastAsia"/>
        </w:rPr>
        <w:t>8.</w:t>
      </w:r>
      <w:r>
        <w:rPr>
          <w:rFonts w:hint="eastAsia"/>
        </w:rPr>
        <w:tab/>
      </w:r>
      <w:r>
        <w:rPr>
          <w:rFonts w:ascii="SimHei" w:eastAsia="SimHei" w:hint="eastAsia"/>
          <w:b/>
          <w:bCs/>
          <w:color w:val="FF0000"/>
        </w:rPr>
        <w:t>Tavares da Silva</w:t>
      </w:r>
      <w:r>
        <w:rPr>
          <w:rFonts w:ascii="SimHei" w:eastAsia="SimHei" w:hint="eastAsia"/>
          <w:color w:val="FF0000"/>
        </w:rPr>
        <w:t>女士</w:t>
      </w:r>
      <w:r>
        <w:rPr>
          <w:rFonts w:hint="eastAsia"/>
        </w:rPr>
        <w:t>说，根据报告，妇女仍被视为商品，她们的形象出现在向男人出售的产品中。这种做法有助于维持与性暴力、家庭暴力和卖淫相关的危险神话。传播媒介由国家负责颁发执照，但节目内容不受任何规章条例约束。她想知道政府是否计划解决这个问题。</w:t>
      </w:r>
    </w:p>
    <w:p w:rsidR="00880957" w:rsidRDefault="00880957">
      <w:pPr>
        <w:pStyle w:val="DualTxt"/>
        <w:rPr>
          <w:rFonts w:hint="eastAsia"/>
        </w:rPr>
      </w:pPr>
      <w:r>
        <w:rPr>
          <w:rFonts w:hint="eastAsia"/>
        </w:rPr>
        <w:t>9.</w:t>
      </w:r>
      <w:r>
        <w:rPr>
          <w:rFonts w:hint="eastAsia"/>
        </w:rPr>
        <w:tab/>
      </w:r>
      <w:r>
        <w:rPr>
          <w:rFonts w:ascii="SimHei" w:eastAsia="SimHei" w:hint="eastAsia"/>
          <w:b/>
          <w:bCs/>
          <w:color w:val="FF0000"/>
        </w:rPr>
        <w:t>Manalo</w:t>
      </w:r>
      <w:r>
        <w:rPr>
          <w:rFonts w:ascii="SimHei" w:eastAsia="SimHei" w:hint="eastAsia"/>
          <w:color w:val="FF0000"/>
        </w:rPr>
        <w:t>女士</w:t>
      </w:r>
      <w:r>
        <w:rPr>
          <w:rFonts w:hint="eastAsia"/>
        </w:rPr>
        <w:t>说，报告没有提到国家发展政策是否研究建立新文化标准的问题。在这方面，她想知道用于改变这种标准的预算百分比是多少。需要了解政府是否熟悉把性别问题纳入主流的概念，它是否在公共机构中宣传这种政策，是否对教育课程实行任何改革以废除重男轻女观念。</w:t>
      </w:r>
    </w:p>
    <w:p w:rsidR="00880957" w:rsidRDefault="00880957">
      <w:pPr>
        <w:pStyle w:val="DualTxt"/>
        <w:spacing w:line="324" w:lineRule="exact"/>
        <w:rPr>
          <w:rFonts w:hint="eastAsia"/>
        </w:rPr>
      </w:pPr>
      <w:r>
        <w:rPr>
          <w:rFonts w:hint="eastAsia"/>
        </w:rPr>
        <w:t>10.</w:t>
      </w:r>
      <w:r>
        <w:rPr>
          <w:rFonts w:hint="eastAsia"/>
        </w:rPr>
        <w:tab/>
      </w:r>
      <w:r>
        <w:rPr>
          <w:rFonts w:ascii="SimHei" w:eastAsia="SimHei" w:hint="eastAsia"/>
          <w:b/>
          <w:bCs/>
          <w:color w:val="FF0000"/>
        </w:rPr>
        <w:t>Gabr</w:t>
      </w:r>
      <w:r>
        <w:rPr>
          <w:rFonts w:ascii="SimHei" w:eastAsia="SimHei" w:hint="eastAsia"/>
          <w:color w:val="FF0000"/>
        </w:rPr>
        <w:t>女士</w:t>
      </w:r>
      <w:r>
        <w:rPr>
          <w:rFonts w:hint="eastAsia"/>
        </w:rPr>
        <w:t>说，显而易见，巴西在加强妇女在社会中作用方面取得了长足进步。但报告也提到宣传妇女负面过时形象的做法依然很普遍。巴西是一个有巨大潜力的国家，是一个发展模式，这种情况应能提高妇女地位。然而，在诸如参与政治和接受教育、农村妇女状况、妇女保健和生殖服务方面的情况皆令人担忧不已。妇女的失业状况令人不安。男女收入不等。必须强制实施法律规定，对向妇女实施暴力的肇事者给予双倍惩罚。一些地方仍保留切割女性生殖器官的做法。为了实现改革，就必须更新观念。她想知道政府对改变巴西社会中给妇女造成的负面形象有什么想法。</w:t>
      </w:r>
    </w:p>
    <w:p w:rsidR="00880957" w:rsidRDefault="00880957">
      <w:pPr>
        <w:pStyle w:val="DualTxt"/>
        <w:spacing w:line="324" w:lineRule="exact"/>
        <w:rPr>
          <w:rFonts w:hint="eastAsia"/>
        </w:rPr>
      </w:pPr>
      <w:r>
        <w:rPr>
          <w:rFonts w:hint="eastAsia"/>
        </w:rPr>
        <w:t>11.</w:t>
      </w:r>
      <w:r>
        <w:rPr>
          <w:rFonts w:hint="eastAsia"/>
        </w:rPr>
        <w:tab/>
      </w:r>
      <w:r>
        <w:rPr>
          <w:rFonts w:ascii="SimHei" w:eastAsia="SimHei" w:hint="eastAsia"/>
          <w:color w:val="FF0000"/>
        </w:rPr>
        <w:t>主席</w:t>
      </w:r>
      <w:r>
        <w:rPr>
          <w:rFonts w:hint="eastAsia"/>
        </w:rPr>
        <w:t>以个人名义发言。她说，必须制定一项改变巴西社会歧视性文化模式的计划。该国所有妇女都受歧视、不论种族或阶层如何，当然某些阶层受到的歧视更多。如果不改变态度观念，深刻的变革就是纸上谈兵。她想知道是否计划采取任何措施实现教育改革，教育领域中女教师比例达80％，以及在保健、法院、执法和新闻界中有哪些计划。</w:t>
      </w:r>
    </w:p>
    <w:p w:rsidR="00880957" w:rsidRDefault="00880957">
      <w:pPr>
        <w:pStyle w:val="DualTxt"/>
        <w:rPr>
          <w:rFonts w:ascii="KaiTi_GB2312" w:eastAsia="KaiTi_GB2312" w:hint="eastAsia"/>
          <w:color w:val="0000FF"/>
        </w:rPr>
      </w:pPr>
      <w:r>
        <w:rPr>
          <w:rFonts w:ascii="KaiTi_GB2312" w:eastAsia="KaiTi_GB2312" w:hint="eastAsia"/>
          <w:color w:val="0000FF"/>
        </w:rPr>
        <w:t>第6条</w:t>
      </w:r>
    </w:p>
    <w:p w:rsidR="00880957" w:rsidRDefault="00880957">
      <w:pPr>
        <w:pStyle w:val="DualTxt"/>
        <w:rPr>
          <w:rFonts w:hint="eastAsia"/>
        </w:rPr>
      </w:pPr>
      <w:r>
        <w:rPr>
          <w:rFonts w:hint="eastAsia"/>
        </w:rPr>
        <w:t>12.</w:t>
      </w:r>
      <w:r>
        <w:rPr>
          <w:rFonts w:hint="eastAsia"/>
        </w:rPr>
        <w:tab/>
      </w:r>
      <w:r>
        <w:rPr>
          <w:rFonts w:ascii="SimHei" w:eastAsia="SimHei" w:hint="eastAsia"/>
          <w:b/>
          <w:bCs/>
          <w:color w:val="FF0000"/>
        </w:rPr>
        <w:t>Chin</w:t>
      </w:r>
      <w:r>
        <w:rPr>
          <w:rFonts w:ascii="SimHei" w:eastAsia="SimHei" w:hint="eastAsia"/>
          <w:color w:val="FF0000"/>
        </w:rPr>
        <w:t>女士</w:t>
      </w:r>
      <w:r>
        <w:rPr>
          <w:rFonts w:hint="eastAsia"/>
        </w:rPr>
        <w:t>说，巴西社会中对妇女各种形式的暴力令人震惊。她尤其对男人对妇女犯罪却以名义自卫为由被无罪免罚感到相当困惑。必须紧急在全国设立免费电话，供妇女或女童在人身安全受到威胁时拨打。报告还提到只有300个专门援助妇女的警察局。在一个拥有1.7亿人口的国家中，每50万人中只有一个警察局。她想知道是否评估过这些警察局的作用，以及是否配备了适当的警力。</w:t>
      </w:r>
    </w:p>
    <w:p w:rsidR="00880957" w:rsidRDefault="00880957">
      <w:pPr>
        <w:pStyle w:val="DualTxt"/>
        <w:spacing w:line="326" w:lineRule="exact"/>
        <w:rPr>
          <w:rFonts w:hint="eastAsia"/>
        </w:rPr>
      </w:pPr>
      <w:r>
        <w:rPr>
          <w:rFonts w:hint="eastAsia"/>
        </w:rPr>
        <w:t>13.</w:t>
      </w:r>
      <w:r>
        <w:rPr>
          <w:rFonts w:hint="eastAsia"/>
        </w:rPr>
        <w:tab/>
      </w:r>
      <w:r>
        <w:rPr>
          <w:rFonts w:ascii="SimHei" w:eastAsia="SimHei" w:hint="eastAsia"/>
          <w:b/>
          <w:bCs/>
          <w:color w:val="FF0000"/>
        </w:rPr>
        <w:t>Manalo</w:t>
      </w:r>
      <w:r>
        <w:rPr>
          <w:rFonts w:ascii="SimHei" w:eastAsia="SimHei" w:hint="eastAsia"/>
          <w:color w:val="FF0000"/>
        </w:rPr>
        <w:t>女士</w:t>
      </w:r>
      <w:r>
        <w:rPr>
          <w:rFonts w:hint="eastAsia"/>
        </w:rPr>
        <w:t>说，报告没有提到具体的关于家庭暴力的国家法律，以及打击对妇女实施暴力的行动计划，为暴力受害者提供财务补偿的方案，或与非政府组织协调反暴力活动的机构间机制网络或任何反对贩卖人口的国家法规。</w:t>
      </w:r>
    </w:p>
    <w:p w:rsidR="00880957" w:rsidRDefault="00880957">
      <w:pPr>
        <w:pStyle w:val="DualTxt"/>
        <w:spacing w:line="326" w:lineRule="exact"/>
        <w:rPr>
          <w:rFonts w:hint="eastAsia"/>
        </w:rPr>
      </w:pPr>
      <w:r>
        <w:rPr>
          <w:rFonts w:hint="eastAsia"/>
        </w:rPr>
        <w:t>14.</w:t>
      </w:r>
      <w:r>
        <w:rPr>
          <w:rFonts w:hint="eastAsia"/>
        </w:rPr>
        <w:tab/>
      </w:r>
      <w:r>
        <w:rPr>
          <w:rFonts w:hint="eastAsia"/>
          <w:spacing w:val="-4"/>
        </w:rPr>
        <w:t>美洲人权委员会对Maria da Penha Maia Fernandes</w:t>
      </w:r>
      <w:r>
        <w:rPr>
          <w:rFonts w:hint="eastAsia"/>
        </w:rPr>
        <w:t>案件做出了裁决，她的丈夫企图杀死她。虽然做出了裁决，但巴西政府只执行其中的一项建议。她对此感到不安。她想知道为什么不执行其他建议。</w:t>
      </w:r>
    </w:p>
    <w:p w:rsidR="00880957" w:rsidRDefault="00880957">
      <w:pPr>
        <w:pStyle w:val="DualTxt"/>
        <w:spacing w:line="326" w:lineRule="exact"/>
        <w:rPr>
          <w:rFonts w:hint="eastAsia"/>
        </w:rPr>
      </w:pPr>
      <w:r>
        <w:rPr>
          <w:rFonts w:hint="eastAsia"/>
        </w:rPr>
        <w:t>15.</w:t>
      </w:r>
      <w:r>
        <w:rPr>
          <w:rFonts w:hint="eastAsia"/>
        </w:rPr>
        <w:tab/>
      </w:r>
      <w:r>
        <w:rPr>
          <w:rFonts w:ascii="SimHei" w:eastAsia="SimHei" w:hint="eastAsia"/>
          <w:b/>
          <w:bCs/>
          <w:color w:val="FF0000"/>
        </w:rPr>
        <w:t>Gonzalez</w:t>
      </w:r>
      <w:r>
        <w:rPr>
          <w:rFonts w:ascii="SimHei" w:eastAsia="SimHei" w:hint="eastAsia"/>
          <w:color w:val="FF0000"/>
        </w:rPr>
        <w:t>女士</w:t>
      </w:r>
      <w:r>
        <w:rPr>
          <w:rFonts w:hint="eastAsia"/>
        </w:rPr>
        <w:t>说，她希望得到有关法庭为处理家庭和性暴力所采取措施的进一步资料。她想知道为改变法庭的态度计划采取或执行了哪些措施，法庭通常对妇女很敌对而且歧视。一个现代民主社会是不应有这种态度的，因为它与国际法原则、特别是《公民及政治权利国际盟约》以及《经济、社会、文化权利国际盟约》相悖。她想知道对打击家庭和性暴力的国家政策是否进行过评估，如果做过，有没有得出什么结论。此外，她想知道是否制定了任何政策，打击为性活动贩卖妇女儿童以及防止对街头流浪儿童实施暴力。最后，她希望了解街头流浪儿童受毒品和卖淫影响的程度。</w:t>
      </w:r>
    </w:p>
    <w:p w:rsidR="00880957" w:rsidRDefault="00880957">
      <w:pPr>
        <w:pStyle w:val="DualTxt"/>
        <w:spacing w:line="326" w:lineRule="exact"/>
        <w:rPr>
          <w:rFonts w:ascii="KaiTi_GB2312" w:eastAsia="KaiTi_GB2312" w:hint="eastAsia"/>
          <w:color w:val="0000FF"/>
        </w:rPr>
      </w:pPr>
      <w:r>
        <w:tab/>
      </w:r>
      <w:r>
        <w:rPr>
          <w:rFonts w:ascii="KaiTi_GB2312" w:eastAsia="KaiTi_GB2312" w:hint="eastAsia"/>
          <w:color w:val="0000FF"/>
        </w:rPr>
        <w:t>阿贾尔女士继续担任主席职务。</w:t>
      </w:r>
    </w:p>
    <w:p w:rsidR="00880957" w:rsidRDefault="00880957">
      <w:pPr>
        <w:pStyle w:val="DualTxt"/>
        <w:spacing w:line="326" w:lineRule="exact"/>
        <w:rPr>
          <w:rFonts w:ascii="KaiTi_GB2312" w:eastAsia="KaiTi_GB2312" w:hint="eastAsia"/>
          <w:color w:val="0000FF"/>
        </w:rPr>
      </w:pPr>
      <w:r>
        <w:rPr>
          <w:rFonts w:ascii="KaiTi_GB2312" w:eastAsia="KaiTi_GB2312" w:hint="eastAsia"/>
          <w:color w:val="0000FF"/>
        </w:rPr>
        <w:t>第7条</w:t>
      </w:r>
    </w:p>
    <w:p w:rsidR="00880957" w:rsidRDefault="00880957">
      <w:pPr>
        <w:pStyle w:val="DualTxt"/>
        <w:spacing w:line="330" w:lineRule="exact"/>
        <w:rPr>
          <w:rFonts w:hint="eastAsia"/>
        </w:rPr>
      </w:pPr>
      <w:r>
        <w:rPr>
          <w:rFonts w:hint="eastAsia"/>
        </w:rPr>
        <w:t>16.</w:t>
      </w:r>
      <w:r>
        <w:rPr>
          <w:rFonts w:hint="eastAsia"/>
        </w:rPr>
        <w:tab/>
      </w:r>
      <w:r>
        <w:rPr>
          <w:rFonts w:ascii="SimHei" w:eastAsia="SimHei" w:hint="eastAsia"/>
          <w:b/>
          <w:bCs/>
          <w:color w:val="FF0000"/>
        </w:rPr>
        <w:t>Belmihoub-Zerdani</w:t>
      </w:r>
      <w:r>
        <w:rPr>
          <w:rFonts w:ascii="SimHei" w:eastAsia="SimHei" w:hint="eastAsia"/>
          <w:color w:val="FF0000"/>
        </w:rPr>
        <w:t>女士</w:t>
      </w:r>
      <w:r>
        <w:rPr>
          <w:rFonts w:hint="eastAsia"/>
        </w:rPr>
        <w:t>希望了解是否根据达席尔瓦总统支持妇女权利的政策对巴西《宪法》进行重新修订。《联邦宪法》第14条（CEDAW/C/BRA/1-5）是否规定不属于任何政党的巴西公民不得竞选公职？这种先决条件对巴西妇女极为不利，因为很多巴西妇女曾大力支持达席尔瓦先生竞选，并为实现妇女权利努力奋斗。第9504号法律规定，男女候选人获取职位的空缺比例最低为30％，最高为70％，也许应请巴西代表团对此做出解释（CEDAW/C/BRA/1-5,第108页)。她想知道为什么只有几个州：西阿拉、马拉尼翁、帕拉、巴拉那和联邦区规定妇女参与发展和实施政府政策（CEDAW/C/BRA/1-5，第109页)，为什么地方政府中妇女的人数比较少（只占4-5％）。她对行政部门有5名妇女担任高级别职务表示赞赏，她指出，报告和代表团的口头介绍都没有提供土著人和黑人妇女参与公职人数的统计数字。法院系统担任高级别职务的妇女也很少，包括选举和军事法庭，这些地方对妇女的偏见很大。也许最好能了解巴西政府为什么考虑要对其选举法进行进一步的修订，例如为推动妇女参与政治生活的巴西政党增加定额或补贴。民间社会妇女协会是否也受益于这些补贴，如果是的话，受益程度有多大？</w:t>
      </w:r>
    </w:p>
    <w:p w:rsidR="00880957" w:rsidRDefault="00880957">
      <w:pPr>
        <w:pStyle w:val="DualTxt"/>
        <w:spacing w:line="330" w:lineRule="exact"/>
        <w:rPr>
          <w:rFonts w:hint="eastAsia"/>
        </w:rPr>
      </w:pPr>
      <w:r>
        <w:rPr>
          <w:rFonts w:hint="eastAsia"/>
        </w:rPr>
        <w:t>17.</w:t>
      </w:r>
      <w:r>
        <w:rPr>
          <w:rFonts w:hint="eastAsia"/>
        </w:rPr>
        <w:tab/>
      </w:r>
      <w:r>
        <w:rPr>
          <w:rFonts w:ascii="SimHei" w:eastAsia="SimHei" w:hint="eastAsia"/>
          <w:b/>
          <w:bCs/>
          <w:color w:val="FF0000"/>
        </w:rPr>
        <w:t>Kwaku</w:t>
      </w:r>
      <w:r>
        <w:rPr>
          <w:rFonts w:ascii="SimHei" w:eastAsia="SimHei" w:hint="eastAsia"/>
          <w:color w:val="FF0000"/>
        </w:rPr>
        <w:t>女士</w:t>
      </w:r>
      <w:r>
        <w:rPr>
          <w:rFonts w:hint="eastAsia"/>
        </w:rPr>
        <w:t>指出，缔约国不论是在报告还是口头报告中均承认，第9504号法律规定了男女最低最高百分比，但该法律不起任何作用。她想知道在执行法律方面是否有一些障碍，并希望了解是否有其他原因。她还希望了解巴西是否认为有必要采取更有效的肯定行动措施。巴西目前似乎甘于这种状况。能否提出进一步的修订案，确保黑人和穆拉托妇女参与政治生活的比例达到50％？</w:t>
      </w:r>
    </w:p>
    <w:p w:rsidR="00880957" w:rsidRDefault="00880957">
      <w:pPr>
        <w:pStyle w:val="DualTxt"/>
        <w:spacing w:line="334" w:lineRule="exact"/>
        <w:rPr>
          <w:rFonts w:hint="eastAsia"/>
        </w:rPr>
      </w:pPr>
      <w:r>
        <w:rPr>
          <w:rFonts w:hint="eastAsia"/>
        </w:rPr>
        <w:t>18.</w:t>
      </w:r>
      <w:r>
        <w:rPr>
          <w:rFonts w:hint="eastAsia"/>
          <w:b/>
          <w:bCs/>
        </w:rPr>
        <w:tab/>
      </w:r>
      <w:r>
        <w:rPr>
          <w:rFonts w:ascii="SimHei" w:eastAsia="SimHei" w:hint="eastAsia"/>
          <w:b/>
          <w:bCs/>
          <w:color w:val="FF0000"/>
        </w:rPr>
        <w:t>Saiga</w:t>
      </w:r>
      <w:r>
        <w:rPr>
          <w:rFonts w:ascii="SimHei" w:eastAsia="SimHei" w:hint="eastAsia"/>
          <w:color w:val="FF0000"/>
        </w:rPr>
        <w:t>女士</w:t>
      </w:r>
      <w:r>
        <w:rPr>
          <w:rFonts w:hint="eastAsia"/>
        </w:rPr>
        <w:t>请求提供市政厅妇女代表人数的资料。1995年的第9100号法律和1997年的第9504号法律规定了在这方面有效的市议会选举规则？她希望对联邦法律规定市选举的规则做出解释，并想了解为什么各州能自行制定自己的选举规则？</w:t>
      </w:r>
    </w:p>
    <w:p w:rsidR="00880957" w:rsidRDefault="00880957">
      <w:pPr>
        <w:pStyle w:val="DualTxt"/>
        <w:rPr>
          <w:rFonts w:hint="eastAsia"/>
        </w:rPr>
      </w:pPr>
      <w:r>
        <w:rPr>
          <w:rFonts w:hint="eastAsia"/>
        </w:rPr>
        <w:t>19.</w:t>
      </w:r>
      <w:r>
        <w:rPr>
          <w:rFonts w:hint="eastAsia"/>
        </w:rPr>
        <w:tab/>
      </w:r>
      <w:r>
        <w:rPr>
          <w:rFonts w:ascii="SimHei" w:eastAsia="SimHei" w:hint="eastAsia"/>
          <w:b/>
          <w:bCs/>
          <w:color w:val="FF0000"/>
        </w:rPr>
        <w:t>Tavares da Silva</w:t>
      </w:r>
      <w:r>
        <w:rPr>
          <w:rFonts w:ascii="SimHei" w:eastAsia="SimHei" w:hint="eastAsia"/>
          <w:color w:val="FF0000"/>
        </w:rPr>
        <w:t>女士</w:t>
      </w:r>
      <w:r>
        <w:rPr>
          <w:rFonts w:hint="eastAsia"/>
        </w:rPr>
        <w:t>说，尽管执行和实行妇女参与政治生活的法律有一些问题，但在一个保守的重男轻女的社会中，通过法律本身就值得赞扬。某些政党内部采用的定额制已证明非常有效，法律还引发了关于这个问题的重要辩论：国民议会目前收到18份关于推动妇女参与政治的配额和其他肯定行动措施的法案。她希望了解巴西政府是否考虑制定措施，加强关于妇女参与各级、包括国家一级政治生活的法律运作情况。</w:t>
      </w:r>
    </w:p>
    <w:p w:rsidR="00880957" w:rsidRDefault="00880957">
      <w:pPr>
        <w:pStyle w:val="DualTxt"/>
        <w:spacing w:line="328" w:lineRule="exact"/>
        <w:rPr>
          <w:rFonts w:hint="eastAsia"/>
        </w:rPr>
      </w:pPr>
      <w:r>
        <w:rPr>
          <w:rFonts w:hint="eastAsia"/>
        </w:rPr>
        <w:t>20.</w:t>
      </w:r>
      <w:r>
        <w:rPr>
          <w:rFonts w:hint="eastAsia"/>
        </w:rPr>
        <w:tab/>
      </w:r>
      <w:r>
        <w:rPr>
          <w:rFonts w:ascii="SimHei" w:eastAsia="SimHei" w:hint="eastAsia"/>
          <w:b/>
          <w:bCs/>
          <w:color w:val="FF0000"/>
        </w:rPr>
        <w:t>Simonovic</w:t>
      </w:r>
      <w:r>
        <w:rPr>
          <w:rFonts w:ascii="SimHei" w:eastAsia="SimHei" w:hint="eastAsia"/>
          <w:color w:val="FF0000"/>
        </w:rPr>
        <w:t>女士</w:t>
      </w:r>
      <w:r>
        <w:rPr>
          <w:rFonts w:hint="eastAsia"/>
        </w:rPr>
        <w:t>希望了解，政府是否开展过提高认识推动妇女参与政治决策的宣传活动，或与传媒合作宣传推出妇女的领导形象。</w:t>
      </w:r>
    </w:p>
    <w:p w:rsidR="00880957" w:rsidRDefault="00880957">
      <w:pPr>
        <w:pStyle w:val="DualTxt"/>
        <w:spacing w:line="328" w:lineRule="exact"/>
        <w:rPr>
          <w:rFonts w:hint="eastAsia"/>
        </w:rPr>
      </w:pPr>
      <w:r>
        <w:rPr>
          <w:rFonts w:hint="eastAsia"/>
        </w:rPr>
        <w:t>21.</w:t>
      </w:r>
      <w:r>
        <w:rPr>
          <w:rFonts w:hint="eastAsia"/>
        </w:rPr>
        <w:tab/>
      </w:r>
      <w:r>
        <w:rPr>
          <w:rFonts w:ascii="SimHei" w:eastAsia="SimHei" w:hint="eastAsia"/>
          <w:b/>
          <w:bCs/>
          <w:color w:val="FF0000"/>
        </w:rPr>
        <w:t>Popescu Sandru</w:t>
      </w:r>
      <w:r>
        <w:rPr>
          <w:rFonts w:ascii="SimHei" w:eastAsia="SimHei" w:hint="eastAsia"/>
          <w:color w:val="FF0000"/>
        </w:rPr>
        <w:t>女士</w:t>
      </w:r>
      <w:r>
        <w:rPr>
          <w:rFonts w:hint="eastAsia"/>
        </w:rPr>
        <w:t>询问是否制定了具体措施，鼓励土著人妇女参与政治生活。她与其他专家一样认为，这方面的分类数据将会有很大帮助。她想知道为什么定额制度难于执行，检察官办公室的作用应是加强定额政策。她注意到行政和司法部门中高级别官员的任命由共和国总统负责（CEDAW/C/BRA/1-5,第113页），她想了解高等法院中妇女人数少的原因。</w:t>
      </w:r>
    </w:p>
    <w:p w:rsidR="00880957" w:rsidRDefault="00880957">
      <w:pPr>
        <w:pStyle w:val="DualTxt"/>
        <w:spacing w:line="328" w:lineRule="exact"/>
        <w:rPr>
          <w:rFonts w:hint="eastAsia"/>
        </w:rPr>
      </w:pPr>
      <w:r>
        <w:rPr>
          <w:rFonts w:hint="eastAsia"/>
        </w:rPr>
        <w:t>22.</w:t>
      </w:r>
      <w:r>
        <w:rPr>
          <w:rFonts w:hint="eastAsia"/>
        </w:rPr>
        <w:tab/>
      </w:r>
      <w:r>
        <w:rPr>
          <w:rFonts w:ascii="SimHei" w:eastAsia="SimHei" w:hint="eastAsia"/>
          <w:b/>
          <w:bCs/>
          <w:color w:val="FF0000"/>
        </w:rPr>
        <w:t>Gaspard</w:t>
      </w:r>
      <w:r>
        <w:rPr>
          <w:rFonts w:ascii="SimHei" w:eastAsia="SimHei" w:hint="eastAsia"/>
          <w:color w:val="FF0000"/>
        </w:rPr>
        <w:t>女士</w:t>
      </w:r>
      <w:r>
        <w:rPr>
          <w:rFonts w:hint="eastAsia"/>
        </w:rPr>
        <w:t>注意到代表团口头报告中提到女性市长百分比很低的情况。她强调妇女代表参与市议会的重要性，但这方面的资料似乎少得可怜（CEDAW/  C/BRA/1-5,第110页）。她曾参与国际地方当局联合会(地联)进行的一项研究，其中提到女性参与这个级别的工作对促进社区生活的某些方面具有战略意义。</w:t>
      </w:r>
    </w:p>
    <w:p w:rsidR="00880957" w:rsidRDefault="00880957">
      <w:pPr>
        <w:pStyle w:val="DualTxt"/>
        <w:spacing w:line="328" w:lineRule="exact"/>
        <w:rPr>
          <w:rFonts w:ascii="KaiTi_GB2312" w:eastAsia="KaiTi_GB2312" w:hint="eastAsia"/>
          <w:color w:val="0000FF"/>
        </w:rPr>
      </w:pPr>
      <w:r>
        <w:rPr>
          <w:rFonts w:ascii="KaiTi_GB2312" w:eastAsia="KaiTi_GB2312" w:hint="eastAsia"/>
          <w:color w:val="0000FF"/>
        </w:rPr>
        <w:t>第8条</w:t>
      </w:r>
    </w:p>
    <w:p w:rsidR="00880957" w:rsidRDefault="00880957">
      <w:pPr>
        <w:pStyle w:val="DualTxt"/>
        <w:spacing w:line="328" w:lineRule="exact"/>
        <w:rPr>
          <w:rFonts w:hint="eastAsia"/>
        </w:rPr>
      </w:pPr>
      <w:r>
        <w:rPr>
          <w:rFonts w:hint="eastAsia"/>
        </w:rPr>
        <w:t>23.</w:t>
      </w:r>
      <w:r>
        <w:rPr>
          <w:rFonts w:hint="eastAsia"/>
        </w:rPr>
        <w:tab/>
      </w:r>
      <w:r>
        <w:rPr>
          <w:rFonts w:ascii="SimHei" w:eastAsia="SimHei" w:hint="eastAsia"/>
          <w:b/>
          <w:bCs/>
          <w:color w:val="FF0000"/>
        </w:rPr>
        <w:t>Flinterman</w:t>
      </w:r>
      <w:r>
        <w:rPr>
          <w:rFonts w:ascii="SimHei" w:eastAsia="SimHei" w:hint="eastAsia"/>
          <w:color w:val="FF0000"/>
        </w:rPr>
        <w:t>先生</w:t>
      </w:r>
      <w:r>
        <w:rPr>
          <w:rFonts w:hint="eastAsia"/>
        </w:rPr>
        <w:t>提请注意巴西男女外交官人数差距大的情况。妇女参加外交官考试的成功率很低，但是参加高级和初级民事法庭招聘考试的成功率却很高，反差很大，也许这是因为某一种招聘考试与其他考试相比不注重性别。他希望了解政府是否计划开展一项综合全面的研究，确定外交界妇女人数少的原因（CEDAW/C/BRA/1-5,第123页）或是否采取过任何补救措施。</w:t>
      </w:r>
    </w:p>
    <w:p w:rsidR="00880957" w:rsidRDefault="00880957">
      <w:pPr>
        <w:pStyle w:val="DualTxt"/>
        <w:spacing w:line="328" w:lineRule="exact"/>
        <w:rPr>
          <w:rFonts w:hint="eastAsia"/>
        </w:rPr>
      </w:pPr>
      <w:r>
        <w:rPr>
          <w:rFonts w:hint="eastAsia"/>
        </w:rPr>
        <w:t>24.</w:t>
      </w:r>
      <w:r>
        <w:rPr>
          <w:rFonts w:hint="eastAsia"/>
        </w:rPr>
        <w:tab/>
      </w:r>
      <w:r>
        <w:rPr>
          <w:rFonts w:ascii="SimHei" w:eastAsia="SimHei" w:hint="eastAsia"/>
          <w:b/>
          <w:bCs/>
          <w:color w:val="FF0000"/>
        </w:rPr>
        <w:t>Belmihoub-Zerdani</w:t>
      </w:r>
      <w:r>
        <w:rPr>
          <w:rFonts w:ascii="SimHei" w:eastAsia="SimHei" w:hint="eastAsia"/>
          <w:color w:val="FF0000"/>
        </w:rPr>
        <w:t>女士</w:t>
      </w:r>
      <w:r>
        <w:rPr>
          <w:rFonts w:hint="eastAsia"/>
        </w:rPr>
        <w:t>赞扬巴西为世界上少数几个国家，既允许男人担任大使，也允许妇女担任大使。她还欢呼为外交界招聘考试候选人发放奖学金的肯定行动项目（CEDAW/C/BRA/1-5，第123页)。</w:t>
      </w:r>
    </w:p>
    <w:p w:rsidR="00880957" w:rsidRDefault="00880957">
      <w:pPr>
        <w:pStyle w:val="DualTxt"/>
        <w:rPr>
          <w:rFonts w:ascii="KaiTi_GB2312" w:eastAsia="KaiTi_GB2312" w:hint="eastAsia"/>
          <w:color w:val="0000FF"/>
        </w:rPr>
      </w:pPr>
      <w:r>
        <w:rPr>
          <w:rFonts w:ascii="KaiTi_GB2312" w:eastAsia="KaiTi_GB2312" w:hint="eastAsia"/>
          <w:color w:val="0000FF"/>
        </w:rPr>
        <w:t>第10条</w:t>
      </w:r>
    </w:p>
    <w:p w:rsidR="00880957" w:rsidRDefault="00880957">
      <w:pPr>
        <w:pStyle w:val="DualTxt"/>
        <w:rPr>
          <w:rFonts w:hint="eastAsia"/>
        </w:rPr>
      </w:pPr>
      <w:r>
        <w:rPr>
          <w:rFonts w:hint="eastAsia"/>
        </w:rPr>
        <w:t>25.</w:t>
      </w:r>
      <w:r>
        <w:rPr>
          <w:rFonts w:hint="eastAsia"/>
        </w:rPr>
        <w:tab/>
      </w:r>
      <w:r>
        <w:rPr>
          <w:rFonts w:ascii="SimHei" w:eastAsia="SimHei" w:hint="eastAsia"/>
          <w:b/>
          <w:bCs/>
          <w:color w:val="FF0000"/>
        </w:rPr>
        <w:t>Achmad</w:t>
      </w:r>
      <w:r>
        <w:rPr>
          <w:rFonts w:ascii="SimHei" w:eastAsia="SimHei" w:hint="eastAsia"/>
          <w:color w:val="FF0000"/>
        </w:rPr>
        <w:t>女士</w:t>
      </w:r>
      <w:r>
        <w:rPr>
          <w:rFonts w:hint="eastAsia"/>
        </w:rPr>
        <w:t>问是否对促进妇女受教育的短期、中期或长期方案进行过任何综合全面的审查？哪些机构负责监测这方面的进展？也许应当了解妇女权利国家秘书处是否也参与监测进程。她想知道性别观点是否列入学校的教科书、或列入教学机构、以及警察、检察官和法官学院的训练课程中，尤其是在执行法律中遇到的各种问题。她希望了解妇女权利国家秘书处在市一级执行教育政策的详情。即使实际实施政策必须由国家和市政府负责，但是国家妇女权利秘书处承担协调实施的责任。</w:t>
      </w:r>
    </w:p>
    <w:p w:rsidR="00880957" w:rsidRDefault="00880957">
      <w:pPr>
        <w:pStyle w:val="DualTxt"/>
        <w:rPr>
          <w:rFonts w:hint="eastAsia"/>
          <w:spacing w:val="2"/>
        </w:rPr>
      </w:pPr>
      <w:r>
        <w:rPr>
          <w:rFonts w:hint="eastAsia"/>
          <w:spacing w:val="2"/>
        </w:rPr>
        <w:t>26.</w:t>
      </w:r>
      <w:r>
        <w:rPr>
          <w:rFonts w:hint="eastAsia"/>
          <w:spacing w:val="2"/>
        </w:rPr>
        <w:tab/>
      </w:r>
      <w:r>
        <w:rPr>
          <w:rFonts w:ascii="SimHei" w:eastAsia="SimHei" w:hint="eastAsia"/>
          <w:b/>
          <w:bCs/>
          <w:color w:val="FF0000"/>
          <w:spacing w:val="2"/>
        </w:rPr>
        <w:t>Sch</w:t>
      </w:r>
      <w:r>
        <w:rPr>
          <w:rFonts w:ascii="SimHei" w:eastAsia="SimHei"/>
          <w:b/>
          <w:bCs/>
          <w:color w:val="FF0000"/>
          <w:spacing w:val="2"/>
        </w:rPr>
        <w:t>ö</w:t>
      </w:r>
      <w:r>
        <w:rPr>
          <w:rFonts w:ascii="SimHei" w:eastAsia="SimHei" w:hint="eastAsia"/>
          <w:b/>
          <w:bCs/>
          <w:color w:val="FF0000"/>
          <w:spacing w:val="2"/>
        </w:rPr>
        <w:t>pp-Schilling</w:t>
      </w:r>
      <w:r>
        <w:rPr>
          <w:rFonts w:ascii="SimHei" w:eastAsia="SimHei" w:hint="eastAsia"/>
          <w:color w:val="FF0000"/>
          <w:spacing w:val="2"/>
        </w:rPr>
        <w:t>女士</w:t>
      </w:r>
      <w:r>
        <w:rPr>
          <w:rFonts w:hint="eastAsia"/>
          <w:spacing w:val="2"/>
        </w:rPr>
        <w:t>赞扬缔约国在宪法中对产妇权利做了规定，尽管有些规定没有得到实际实施。缺少保育设施，对没有职业安全的妇女、包括农村女工没有充分的保护，这种情况特别令人担忧。</w:t>
      </w:r>
    </w:p>
    <w:p w:rsidR="00880957" w:rsidRDefault="00880957">
      <w:pPr>
        <w:pStyle w:val="DualTxt"/>
        <w:rPr>
          <w:rFonts w:hint="eastAsia"/>
        </w:rPr>
      </w:pPr>
      <w:r>
        <w:rPr>
          <w:rFonts w:hint="eastAsia"/>
        </w:rPr>
        <w:t>27.</w:t>
      </w:r>
      <w:r>
        <w:rPr>
          <w:rFonts w:hint="eastAsia"/>
        </w:rPr>
        <w:tab/>
        <w:t>她对女性帮工的状况极为担忧。她们占就业女性的19％。其中大部分人在没有合同的情况下工作，而且似乎只有很小一部分人根据1995年的第8061号法律在休产假时能够领到工资。她想知道没有合同的人能否享受医疗福利，例如医疗保险和带薪病假，年轻女性帮工的就业是否构成童工的问题。代表团应讨论政府关于改善帮佣工人处境的政策。</w:t>
      </w:r>
    </w:p>
    <w:p w:rsidR="00880957" w:rsidRDefault="00880957">
      <w:pPr>
        <w:pStyle w:val="DualTxt"/>
        <w:rPr>
          <w:rFonts w:hint="eastAsia"/>
        </w:rPr>
      </w:pPr>
      <w:r>
        <w:rPr>
          <w:rFonts w:hint="eastAsia"/>
        </w:rPr>
        <w:t>28.</w:t>
      </w:r>
      <w:r>
        <w:rPr>
          <w:rFonts w:hint="eastAsia"/>
        </w:rPr>
        <w:tab/>
        <w:t>她希望得到更多的非全日工的资料，其中很多人是妇女（这些资料包括薪金、福利、假期和辞退规定），以及《消除就业和职业歧视方案》中是如何考虑性别和种族问题的。这个方案迄今为止是否成功？</w:t>
      </w:r>
    </w:p>
    <w:p w:rsidR="00880957" w:rsidRDefault="00880957">
      <w:pPr>
        <w:pStyle w:val="DualTxt"/>
        <w:rPr>
          <w:rFonts w:hint="eastAsia"/>
        </w:rPr>
      </w:pPr>
      <w:r>
        <w:rPr>
          <w:rFonts w:hint="eastAsia"/>
        </w:rPr>
        <w:t>29.</w:t>
      </w:r>
      <w:r>
        <w:rPr>
          <w:rFonts w:hint="eastAsia"/>
        </w:rPr>
        <w:tab/>
        <w:t>考虑到男女工资存在着巨大差异，男女工资差异似乎没有反映出平等工作中的歧视。同工同酬也许是巴西最重要的一项原则。政府、工会或妇女协会是否考虑过这个问题？工会有没有在以女性为主的行业中要求为妇女提高工资？</w:t>
      </w:r>
    </w:p>
    <w:p w:rsidR="00880957" w:rsidRDefault="00880957">
      <w:pPr>
        <w:pStyle w:val="DualTxt"/>
        <w:rPr>
          <w:rFonts w:hint="eastAsia"/>
        </w:rPr>
      </w:pPr>
      <w:r>
        <w:rPr>
          <w:rFonts w:hint="eastAsia"/>
        </w:rPr>
        <w:t>30.</w:t>
      </w:r>
      <w:r>
        <w:rPr>
          <w:rFonts w:hint="eastAsia"/>
        </w:rPr>
        <w:tab/>
      </w:r>
      <w:r>
        <w:rPr>
          <w:rFonts w:ascii="SimHei" w:eastAsia="SimHei" w:hint="eastAsia"/>
          <w:b/>
          <w:bCs/>
          <w:color w:val="FF0000"/>
        </w:rPr>
        <w:t>Khan</w:t>
      </w:r>
      <w:r>
        <w:rPr>
          <w:rFonts w:ascii="SimHei" w:eastAsia="SimHei" w:hint="eastAsia"/>
          <w:color w:val="FF0000"/>
        </w:rPr>
        <w:t>女士</w:t>
      </w:r>
      <w:r>
        <w:rPr>
          <w:rFonts w:hint="eastAsia"/>
        </w:rPr>
        <w:t>注意到1995年4月第9029号法律禁止就业歧视，对载于表37（第155页）内的数字表示关切，希望了解采取哪些具体措施打击基于性别、肤色、种族或年龄的歧视。她还对大批妇女从事家务劳动、长时间工作表示关切，以及她们是否能够得到社会保障福利以及像产假这样的福利。她特别要求提供从事家务劳动的非白人妇女人数的统计数字，希望了解有什么方案为家务劳动者提供技能，培训和就业机会，包括微额信贷规定，以及非白人妇女能在多大程度上受益于这种方案。在这方面，她希望了解巴西是否批准或打算批准国际劳工组织《关于独立国家土著和部落居民的第169号公约》。妇女在公共部门中没有代表，她想知道是否存在任何监测机构确保白人和非白人获得同等待遇，社会观念是否阻挠巴西妇女自由选择职业。</w:t>
      </w:r>
    </w:p>
    <w:p w:rsidR="00880957" w:rsidRDefault="00880957">
      <w:pPr>
        <w:pStyle w:val="DualTxt"/>
        <w:spacing w:line="326" w:lineRule="exact"/>
        <w:rPr>
          <w:rFonts w:hint="eastAsia"/>
        </w:rPr>
      </w:pPr>
      <w:r>
        <w:rPr>
          <w:rFonts w:hint="eastAsia"/>
        </w:rPr>
        <w:t>31.</w:t>
      </w:r>
      <w:r>
        <w:rPr>
          <w:rFonts w:hint="eastAsia"/>
        </w:rPr>
        <w:tab/>
      </w:r>
      <w:r>
        <w:rPr>
          <w:rFonts w:ascii="SimHei" w:eastAsia="SimHei" w:hint="eastAsia"/>
          <w:b/>
          <w:bCs/>
          <w:color w:val="FF0000"/>
        </w:rPr>
        <w:t>Ferrer Gomez</w:t>
      </w:r>
      <w:r>
        <w:rPr>
          <w:rFonts w:ascii="SimHei" w:eastAsia="SimHei" w:hint="eastAsia"/>
          <w:color w:val="FF0000"/>
        </w:rPr>
        <w:t>女士</w:t>
      </w:r>
      <w:r>
        <w:rPr>
          <w:rFonts w:hint="eastAsia"/>
        </w:rPr>
        <w:t>要求提供资料，说明是否采取了具体措施，帮助更多的妇女加入劳动力市场。她想了解允许谈判劳工协定的法律修正案如何取代影响妇女的法律，她注意到在某些情况下对按性别分列的招工广告采取容忍态度，要求对把妇女排斥在某种行业之外的情况做出解释。</w:t>
      </w:r>
    </w:p>
    <w:p w:rsidR="00880957" w:rsidRDefault="00880957">
      <w:pPr>
        <w:pStyle w:val="DualTxt"/>
        <w:spacing w:line="326" w:lineRule="exact"/>
        <w:rPr>
          <w:rFonts w:ascii="KaiTi_GB2312" w:eastAsia="KaiTi_GB2312" w:hint="eastAsia"/>
          <w:color w:val="0000FF"/>
        </w:rPr>
      </w:pPr>
      <w:r>
        <w:rPr>
          <w:rFonts w:ascii="KaiTi_GB2312" w:eastAsia="KaiTi_GB2312" w:hint="eastAsia"/>
          <w:color w:val="0000FF"/>
        </w:rPr>
        <w:t>第12条</w:t>
      </w:r>
    </w:p>
    <w:p w:rsidR="00880957" w:rsidRDefault="00880957">
      <w:pPr>
        <w:pStyle w:val="DualTxt"/>
        <w:spacing w:line="328" w:lineRule="exact"/>
        <w:rPr>
          <w:rFonts w:hint="eastAsia"/>
          <w:spacing w:val="2"/>
        </w:rPr>
      </w:pPr>
      <w:r>
        <w:rPr>
          <w:rFonts w:hint="eastAsia"/>
          <w:spacing w:val="2"/>
        </w:rPr>
        <w:t>32.</w:t>
      </w:r>
      <w:r>
        <w:rPr>
          <w:rFonts w:hint="eastAsia"/>
          <w:spacing w:val="2"/>
        </w:rPr>
        <w:tab/>
      </w:r>
      <w:r>
        <w:rPr>
          <w:rFonts w:ascii="SimHei" w:eastAsia="SimHei" w:hint="eastAsia"/>
          <w:b/>
          <w:bCs/>
          <w:color w:val="FF0000"/>
          <w:spacing w:val="2"/>
        </w:rPr>
        <w:t>Khan</w:t>
      </w:r>
      <w:r>
        <w:rPr>
          <w:rFonts w:ascii="SimHei" w:eastAsia="SimHei" w:hint="eastAsia"/>
          <w:color w:val="FF0000"/>
          <w:spacing w:val="2"/>
        </w:rPr>
        <w:t>女士</w:t>
      </w:r>
      <w:r>
        <w:rPr>
          <w:rFonts w:hint="eastAsia"/>
          <w:spacing w:val="2"/>
        </w:rPr>
        <w:t>希望了解，如果巴西确实有符合《公约》原则的保健模式，那么妇女为什么仍要进行不安全的堕胎呢？她对产妇死亡率普遍居高不下感到震惊，要求提供资料说明为降低死亡率采取了哪些措施。她还对提到“缺乏可逆的避孕方法”(第169页)感到震惊，希望了解妇女能否得到适当的计划生育服务，绝育是不是唯一的办法。最后，她要求提供关于艾滋病毒/艾滋病情况的资料，特别是弱势群体妇女的情况。</w:t>
      </w:r>
    </w:p>
    <w:p w:rsidR="00880957" w:rsidRDefault="00880957">
      <w:pPr>
        <w:pStyle w:val="DualTxt"/>
        <w:spacing w:line="326" w:lineRule="exact"/>
        <w:rPr>
          <w:rFonts w:hint="eastAsia"/>
        </w:rPr>
      </w:pPr>
      <w:r>
        <w:rPr>
          <w:rFonts w:hint="eastAsia"/>
        </w:rPr>
        <w:t>33.</w:t>
      </w:r>
      <w:r>
        <w:rPr>
          <w:rFonts w:hint="eastAsia"/>
        </w:rPr>
        <w:tab/>
      </w:r>
      <w:r>
        <w:rPr>
          <w:rFonts w:ascii="SimHei" w:eastAsia="SimHei" w:hint="eastAsia"/>
          <w:b/>
          <w:bCs/>
          <w:color w:val="FF0000"/>
        </w:rPr>
        <w:t>Sch</w:t>
      </w:r>
      <w:r>
        <w:rPr>
          <w:rFonts w:ascii="SimHei" w:eastAsia="SimHei"/>
          <w:b/>
          <w:bCs/>
          <w:color w:val="FF0000"/>
        </w:rPr>
        <w:t>ö</w:t>
      </w:r>
      <w:r>
        <w:rPr>
          <w:rFonts w:ascii="SimHei" w:eastAsia="SimHei" w:hint="eastAsia"/>
          <w:b/>
          <w:bCs/>
          <w:color w:val="FF0000"/>
        </w:rPr>
        <w:t>pp-Schilling</w:t>
      </w:r>
      <w:r>
        <w:rPr>
          <w:rFonts w:ascii="SimHei" w:eastAsia="SimHei" w:hint="eastAsia"/>
          <w:color w:val="FF0000"/>
        </w:rPr>
        <w:t>女士</w:t>
      </w:r>
      <w:r>
        <w:rPr>
          <w:rFonts w:hint="eastAsia"/>
        </w:rPr>
        <w:t>要求提供资料，说明所有妇女得到医疗保健的情况，是否有针对妇女保健的具体方案，以及保健预算中分派给妇女的比例。考虑到产妇死亡率和发病率很高，她建议把妇女的健康列为预算中的优先事项，或作为一项临时性或特别措施，包括培训医务工作者，保护妇女的总体健康，尤其是生殖健康，同时特别强调使农村地区妇女更多地享受医疗服务。</w:t>
      </w:r>
    </w:p>
    <w:p w:rsidR="00880957" w:rsidRDefault="00880957">
      <w:pPr>
        <w:pStyle w:val="DualTxt"/>
        <w:spacing w:line="326" w:lineRule="exact"/>
        <w:rPr>
          <w:rFonts w:ascii="KaiTi_GB2312" w:eastAsia="KaiTi_GB2312" w:hint="eastAsia"/>
          <w:color w:val="0000FF"/>
        </w:rPr>
      </w:pPr>
      <w:r>
        <w:rPr>
          <w:rFonts w:ascii="KaiTi_GB2312" w:eastAsia="KaiTi_GB2312" w:hint="eastAsia"/>
          <w:color w:val="0000FF"/>
        </w:rPr>
        <w:t>第14条</w:t>
      </w:r>
    </w:p>
    <w:p w:rsidR="00880957" w:rsidRDefault="00880957">
      <w:pPr>
        <w:pStyle w:val="DualTxt"/>
        <w:spacing w:line="326" w:lineRule="exact"/>
        <w:rPr>
          <w:rFonts w:hint="eastAsia"/>
          <w:spacing w:val="4"/>
        </w:rPr>
      </w:pPr>
      <w:r>
        <w:rPr>
          <w:rFonts w:hint="eastAsia"/>
          <w:spacing w:val="4"/>
        </w:rPr>
        <w:t>34.</w:t>
      </w:r>
      <w:r>
        <w:rPr>
          <w:rFonts w:hint="eastAsia"/>
          <w:spacing w:val="4"/>
        </w:rPr>
        <w:tab/>
      </w:r>
      <w:r>
        <w:rPr>
          <w:rFonts w:ascii="SimHei" w:eastAsia="SimHei" w:hint="eastAsia"/>
          <w:b/>
          <w:bCs/>
          <w:color w:val="FF0000"/>
          <w:spacing w:val="4"/>
        </w:rPr>
        <w:t>Sch</w:t>
      </w:r>
      <w:r>
        <w:rPr>
          <w:rFonts w:ascii="Times New Roman" w:eastAsia="SimHei"/>
          <w:b/>
          <w:bCs/>
          <w:color w:val="FF0000"/>
          <w:spacing w:val="4"/>
        </w:rPr>
        <w:t>ö</w:t>
      </w:r>
      <w:r>
        <w:rPr>
          <w:rFonts w:ascii="SimHei" w:eastAsia="SimHei" w:hint="eastAsia"/>
          <w:b/>
          <w:bCs/>
          <w:color w:val="FF0000"/>
          <w:spacing w:val="4"/>
        </w:rPr>
        <w:t>pp-Schilling</w:t>
      </w:r>
      <w:r>
        <w:rPr>
          <w:rFonts w:ascii="SimHei" w:eastAsia="SimHei" w:hint="eastAsia"/>
          <w:color w:val="FF0000"/>
          <w:spacing w:val="4"/>
        </w:rPr>
        <w:t>女士</w:t>
      </w:r>
      <w:r>
        <w:rPr>
          <w:rFonts w:hint="eastAsia"/>
          <w:spacing w:val="4"/>
        </w:rPr>
        <w:t>指出，报告中关于农村妇女状况的章节过于简短，要求提供目前仍居住在农村地区的妇女比例、农村人口种族构成、以及各州农村地区人口比例的统计数字。至于后者，她强调指出联邦政府有责任确保在全国统一实施《公约》。她注意到土地改革部为家庭有耕地妇女分配30％资金的努力没有成功，她想知道对农村地区妇女的传统态度是否是妨碍她们提高地位的因素。缔约国的下一份报告应对农村妇女的状况做更深入的说明。</w:t>
      </w:r>
    </w:p>
    <w:p w:rsidR="00880957" w:rsidRDefault="00880957">
      <w:pPr>
        <w:pStyle w:val="DualTxt"/>
        <w:spacing w:line="326" w:lineRule="exact"/>
        <w:rPr>
          <w:rFonts w:ascii="KaiTi_GB2312" w:eastAsia="KaiTi_GB2312" w:hint="eastAsia"/>
          <w:color w:val="0000FF"/>
        </w:rPr>
      </w:pPr>
      <w:r>
        <w:rPr>
          <w:rFonts w:ascii="KaiTi_GB2312" w:eastAsia="KaiTi_GB2312" w:hint="eastAsia"/>
          <w:color w:val="0000FF"/>
        </w:rPr>
        <w:t>第15条</w:t>
      </w:r>
    </w:p>
    <w:p w:rsidR="00880957" w:rsidRDefault="00880957">
      <w:pPr>
        <w:pStyle w:val="DualTxt"/>
        <w:spacing w:line="334" w:lineRule="exact"/>
        <w:rPr>
          <w:rFonts w:hint="eastAsia"/>
        </w:rPr>
      </w:pPr>
      <w:r>
        <w:rPr>
          <w:rFonts w:hint="eastAsia"/>
        </w:rPr>
        <w:t>35.</w:t>
      </w:r>
      <w:r>
        <w:rPr>
          <w:rFonts w:hint="eastAsia"/>
        </w:rPr>
        <w:tab/>
      </w:r>
      <w:r>
        <w:rPr>
          <w:rFonts w:ascii="SimHei" w:eastAsia="SimHei" w:hint="eastAsia"/>
          <w:b/>
          <w:bCs/>
          <w:color w:val="FF0000"/>
        </w:rPr>
        <w:t>Gnacadja</w:t>
      </w:r>
      <w:r>
        <w:rPr>
          <w:rFonts w:ascii="SimHei" w:eastAsia="SimHei" w:hint="eastAsia"/>
          <w:color w:val="FF0000"/>
        </w:rPr>
        <w:t>女士</w:t>
      </w:r>
      <w:r>
        <w:rPr>
          <w:rFonts w:hint="eastAsia"/>
        </w:rPr>
        <w:t>对妇女在法律面前不能与男人平等表示遗憾。例如，在涉及对妇女设施暴力的案件中，关于妇女权利的法庭程序常常极为缓慢，令人十分痛苦。她对最近制定的消除家庭、婚姻和对妇女实施暴力方面的联邦法律被否决以及仍未对《刑法典》进行修订感到惊愕沮丧，这意味着妇女仍被视为二等公民，附属于男人。</w:t>
      </w:r>
    </w:p>
    <w:p w:rsidR="00880957" w:rsidRDefault="00880957">
      <w:pPr>
        <w:pStyle w:val="DualTxt"/>
        <w:spacing w:line="330" w:lineRule="exact"/>
        <w:rPr>
          <w:rFonts w:hint="eastAsia"/>
        </w:rPr>
      </w:pPr>
      <w:r>
        <w:rPr>
          <w:rFonts w:hint="eastAsia"/>
        </w:rPr>
        <w:t>36.</w:t>
      </w:r>
      <w:r>
        <w:rPr>
          <w:rFonts w:hint="eastAsia"/>
        </w:rPr>
        <w:tab/>
        <w:t>法律改革进展缓慢使对妇女施暴者可以不受惩罚，逍遥法外。她提到Maria da Penha的案件。1983年Maria da Penha遭到丈夫枪击成为瘫痪。虽然他被法庭判定有罪，但却从未被逮捕。由于不断上诉，这个案件仍在进行之中。在这种情况下，1997年11月27日的第9520号法律赋予妇女提出控告或索赔要求的改革几乎没起任何作用、保护妇女警察局和特别刑事法庭（第41页）工作效率低下也就不令人惊讶了。司法机构在打击海关、家庭暴力和家庭问题方面的犯罪行为中常常表现出对妇女的歧视态度。需要协同努力，提高和加强对妇女权利的认识和教育，修订《刑法典》和《民法典》，消除其中对妇女的歧视性条款。</w:t>
      </w:r>
    </w:p>
    <w:p w:rsidR="00880957" w:rsidRDefault="00880957">
      <w:pPr>
        <w:pStyle w:val="DualTxt"/>
        <w:spacing w:line="330" w:lineRule="exact"/>
        <w:rPr>
          <w:rFonts w:hint="eastAsia"/>
        </w:rPr>
      </w:pPr>
      <w:r>
        <w:rPr>
          <w:rFonts w:hint="eastAsia"/>
        </w:rPr>
        <w:t>37.</w:t>
      </w:r>
      <w:r>
        <w:rPr>
          <w:rFonts w:hint="eastAsia"/>
        </w:rPr>
        <w:tab/>
      </w:r>
      <w:r>
        <w:rPr>
          <w:rFonts w:ascii="SimHei" w:eastAsia="SimHei" w:hint="eastAsia"/>
          <w:b/>
          <w:bCs/>
          <w:color w:val="FF0000"/>
        </w:rPr>
        <w:t>Gaspard</w:t>
      </w:r>
      <w:r>
        <w:rPr>
          <w:rFonts w:ascii="SimHei" w:eastAsia="SimHei" w:hint="eastAsia"/>
          <w:color w:val="FF0000"/>
        </w:rPr>
        <w:t>女士</w:t>
      </w:r>
      <w:r>
        <w:rPr>
          <w:rFonts w:hint="eastAsia"/>
        </w:rPr>
        <w:t>提到新《刑法典》中关于婚姻的条款。她说，男孩和女孩的法定结婚年龄仍然不同，这是违反《公约》的。</w:t>
      </w:r>
    </w:p>
    <w:p w:rsidR="00880957" w:rsidRDefault="00880957">
      <w:pPr>
        <w:pStyle w:val="DualTxt"/>
        <w:spacing w:line="330" w:lineRule="exact"/>
        <w:rPr>
          <w:rFonts w:hint="eastAsia"/>
        </w:rPr>
      </w:pPr>
      <w:r>
        <w:rPr>
          <w:rFonts w:hint="eastAsia"/>
        </w:rPr>
        <w:t>38.</w:t>
      </w:r>
      <w:r>
        <w:rPr>
          <w:rFonts w:hint="eastAsia"/>
        </w:rPr>
        <w:tab/>
      </w:r>
      <w:r>
        <w:rPr>
          <w:rFonts w:ascii="SimHei" w:eastAsia="SimHei" w:hint="eastAsia"/>
          <w:b/>
          <w:bCs/>
          <w:color w:val="FF0000"/>
        </w:rPr>
        <w:t>Flinterman</w:t>
      </w:r>
      <w:r>
        <w:rPr>
          <w:rFonts w:ascii="SimHei" w:eastAsia="SimHei" w:hint="eastAsia"/>
          <w:color w:val="FF0000"/>
        </w:rPr>
        <w:t>先生</w:t>
      </w:r>
      <w:r>
        <w:rPr>
          <w:rFonts w:hint="eastAsia"/>
        </w:rPr>
        <w:t>欢迎改革《刑法典》，但说对妇女的歧视条款仍然存在，例如男孩和女孩法定结婚年龄和婚姻权利问题。政府有责任使《民法典》与《公约》相符。</w:t>
      </w:r>
    </w:p>
    <w:p w:rsidR="00880957" w:rsidRDefault="00880957">
      <w:pPr>
        <w:pStyle w:val="DualTxt"/>
        <w:spacing w:line="326" w:lineRule="exact"/>
        <w:rPr>
          <w:rFonts w:hint="eastAsia"/>
        </w:rPr>
      </w:pPr>
      <w:r>
        <w:rPr>
          <w:rFonts w:hint="eastAsia"/>
        </w:rPr>
        <w:t>39.</w:t>
      </w:r>
      <w:r>
        <w:rPr>
          <w:rFonts w:hint="eastAsia"/>
        </w:rPr>
        <w:tab/>
      </w:r>
      <w:r>
        <w:rPr>
          <w:rFonts w:ascii="SimHei" w:eastAsia="SimHei" w:hint="eastAsia"/>
          <w:b/>
          <w:bCs/>
          <w:color w:val="FF0000"/>
        </w:rPr>
        <w:t>Kwaku</w:t>
      </w:r>
      <w:r>
        <w:rPr>
          <w:rFonts w:ascii="SimHei" w:eastAsia="SimHei" w:hint="eastAsia"/>
          <w:color w:val="FF0000"/>
        </w:rPr>
        <w:t>女士</w:t>
      </w:r>
      <w:r>
        <w:rPr>
          <w:rFonts w:hint="eastAsia"/>
        </w:rPr>
        <w:t>指出，根据报告（第197页），如果订婚者不到16岁，那么只有法官才能批准结婚。如果涉及到女童，她想知道在什么情况下才可以批准？曾有过多少这样的案子？这种女孩子有多大？这样年轻结婚对健康有什么影响？这种女童能得到什么样的社会支助？以及她的受教育状况如何？</w:t>
      </w:r>
    </w:p>
    <w:p w:rsidR="00880957" w:rsidRDefault="00880957">
      <w:pPr>
        <w:pStyle w:val="DualTxt"/>
        <w:spacing w:line="326" w:lineRule="exact"/>
        <w:rPr>
          <w:rFonts w:hint="eastAsia"/>
        </w:rPr>
      </w:pPr>
      <w:r>
        <w:rPr>
          <w:rFonts w:hint="eastAsia"/>
        </w:rPr>
        <w:t>40.</w:t>
      </w:r>
      <w:r>
        <w:rPr>
          <w:rFonts w:hint="eastAsia"/>
        </w:rPr>
        <w:tab/>
      </w:r>
      <w:r>
        <w:rPr>
          <w:rFonts w:ascii="SimHei" w:eastAsia="SimHei" w:hint="eastAsia"/>
          <w:b/>
          <w:bCs/>
          <w:color w:val="FF0000"/>
        </w:rPr>
        <w:t>Gonz</w:t>
      </w:r>
      <w:r>
        <w:rPr>
          <w:rFonts w:ascii="Times New Roman" w:eastAsia="SimHei"/>
          <w:b/>
          <w:bCs/>
          <w:color w:val="FF0000"/>
        </w:rPr>
        <w:t>á</w:t>
      </w:r>
      <w:r>
        <w:rPr>
          <w:rFonts w:ascii="SimHei" w:eastAsia="SimHei" w:hint="eastAsia"/>
          <w:b/>
          <w:bCs/>
          <w:color w:val="FF0000"/>
        </w:rPr>
        <w:t>lez Mart</w:t>
      </w:r>
      <w:r>
        <w:rPr>
          <w:rFonts w:ascii="Times New Roman" w:eastAsia="SimHei"/>
          <w:b/>
          <w:bCs/>
          <w:color w:val="FF0000"/>
        </w:rPr>
        <w:t>í</w:t>
      </w:r>
      <w:r>
        <w:rPr>
          <w:rFonts w:ascii="SimHei" w:eastAsia="SimHei" w:hint="eastAsia"/>
          <w:b/>
          <w:bCs/>
          <w:color w:val="FF0000"/>
        </w:rPr>
        <w:t>nez</w:t>
      </w:r>
      <w:r>
        <w:rPr>
          <w:rFonts w:ascii="SimHei" w:eastAsia="SimHei" w:hint="eastAsia"/>
          <w:color w:val="FF0000"/>
        </w:rPr>
        <w:t>女士</w:t>
      </w:r>
      <w:r>
        <w:rPr>
          <w:rFonts w:hint="eastAsia"/>
        </w:rPr>
        <w:t>欢迎《民法典》改革。但对《民法典》没有尽力消除对妇女的歧视表示遗憾。她想知道是否有可能做进一步的修订，例如对第1520条，该条允许男人与未成年人发生性关系，只要他与这个女童结婚就可以不受惩罚；或第1522条，该条要求离婚者或寡妇要等10个月才能再婚。《刑法典》也应予以修订，消除“诚实妇女”的概念，以及对男女适用双重道德标准。</w:t>
      </w:r>
    </w:p>
    <w:p w:rsidR="00880957" w:rsidRDefault="00880957">
      <w:pPr>
        <w:pStyle w:val="DualTxt"/>
        <w:spacing w:line="330" w:lineRule="exact"/>
        <w:rPr>
          <w:rFonts w:hint="eastAsia"/>
        </w:rPr>
      </w:pPr>
      <w:r>
        <w:rPr>
          <w:rFonts w:hint="eastAsia"/>
        </w:rPr>
        <w:t>41.</w:t>
      </w:r>
      <w:r>
        <w:rPr>
          <w:rFonts w:hint="eastAsia"/>
        </w:rPr>
        <w:tab/>
      </w:r>
      <w:r>
        <w:rPr>
          <w:rFonts w:ascii="SimHei" w:eastAsia="SimHei" w:hint="eastAsia"/>
          <w:b/>
          <w:bCs/>
          <w:color w:val="FF0000"/>
        </w:rPr>
        <w:t>Belmihoub-Zerdani</w:t>
      </w:r>
      <w:r>
        <w:rPr>
          <w:rFonts w:ascii="SimHei" w:eastAsia="SimHei" w:hint="eastAsia"/>
          <w:color w:val="FF0000"/>
        </w:rPr>
        <w:t>女士</w:t>
      </w:r>
      <w:r>
        <w:rPr>
          <w:rFonts w:hint="eastAsia"/>
        </w:rPr>
        <w:t>提到《刑法典》的改革。他请求提供详细资料，说明男女离婚后在遗产、财产权以及子女监护权和子女抚养方面的权利和责任问题。她希望了解妇女是否与男人一样有获得和管理财产的权利。最后，对违背《宪法》、不充分实施保护妇女权利法律的州实施哪些制裁？</w:t>
      </w:r>
    </w:p>
    <w:p w:rsidR="00880957" w:rsidRDefault="00880957">
      <w:pPr>
        <w:pStyle w:val="DualTxt"/>
        <w:rPr>
          <w:rFonts w:hint="eastAsia"/>
        </w:rPr>
      </w:pPr>
      <w:r>
        <w:br w:type="column"/>
      </w:r>
      <w:r>
        <w:rPr>
          <w:rFonts w:hint="eastAsia"/>
        </w:rPr>
        <w:t>42.</w:t>
      </w:r>
      <w:r>
        <w:rPr>
          <w:rFonts w:hint="eastAsia"/>
        </w:rPr>
        <w:tab/>
      </w:r>
      <w:r>
        <w:rPr>
          <w:rFonts w:ascii="SimHei" w:eastAsia="SimHei" w:hint="eastAsia"/>
          <w:b/>
          <w:bCs/>
          <w:color w:val="FF0000"/>
        </w:rPr>
        <w:t>Patten</w:t>
      </w:r>
      <w:r>
        <w:rPr>
          <w:rFonts w:ascii="SimHei" w:eastAsia="SimHei" w:hint="eastAsia"/>
          <w:color w:val="FF0000"/>
        </w:rPr>
        <w:t>女士</w:t>
      </w:r>
      <w:r>
        <w:rPr>
          <w:rFonts w:hint="eastAsia"/>
        </w:rPr>
        <w:t>欢迎缔约国撤回对《公约》第16条的保留。她要求提供更多的资料，说明对《民法典》的改革情况。《民法典》中仍有很多歧视性条款。她指出，18岁以下未成年人结婚违反了《儿童权利公约》。她问缔约国是否批准了《儿童权利公约》，并要求提供按性别分列的未成年人结婚的资料。</w:t>
      </w:r>
    </w:p>
    <w:p w:rsidR="00880957" w:rsidRDefault="00880957">
      <w:pPr>
        <w:pStyle w:val="DualTxt"/>
        <w:spacing w:line="326" w:lineRule="exact"/>
        <w:rPr>
          <w:rFonts w:hint="eastAsia"/>
          <w:spacing w:val="2"/>
        </w:rPr>
      </w:pPr>
      <w:r>
        <w:rPr>
          <w:rFonts w:hint="eastAsia"/>
          <w:spacing w:val="2"/>
        </w:rPr>
        <w:t>43.</w:t>
      </w:r>
      <w:r>
        <w:rPr>
          <w:rFonts w:hint="eastAsia"/>
          <w:spacing w:val="2"/>
        </w:rPr>
        <w:tab/>
        <w:t>妇女常常因其性别和种族或族裔成为双重歧视的受害者。她想知道新的《刑法典》能否消除这些歧视。她对印度人结婚必须提供嫁妆的传统表示关切。她希望了解是否发生过因嫁妆引起的暴力，《刑法典》能否惩罚这种暴力。她还想了解逼婚的数字，特别是涉及印度和非洲妇女的婚姻。还欢迎提供更多的资料，说明《民法典》对家务劳动者实施暴力、子女监护权的规定以及司法系统对子女监护权的态度。</w:t>
      </w:r>
    </w:p>
    <w:p w:rsidR="00880957" w:rsidRDefault="00880957">
      <w:pPr>
        <w:pStyle w:val="DualTxt"/>
        <w:rPr>
          <w:rFonts w:hint="eastAsia"/>
        </w:rPr>
      </w:pPr>
      <w:r>
        <w:rPr>
          <w:rFonts w:hint="eastAsia"/>
        </w:rPr>
        <w:t>44.</w:t>
      </w:r>
      <w:r>
        <w:rPr>
          <w:rFonts w:hint="eastAsia"/>
        </w:rPr>
        <w:tab/>
      </w:r>
      <w:r>
        <w:rPr>
          <w:rFonts w:ascii="SimHei" w:eastAsia="SimHei" w:hint="eastAsia"/>
          <w:b/>
          <w:bCs/>
          <w:color w:val="FF0000"/>
        </w:rPr>
        <w:t>Gnacadja</w:t>
      </w:r>
      <w:r>
        <w:rPr>
          <w:rFonts w:ascii="SimHei" w:eastAsia="SimHei" w:hint="eastAsia"/>
          <w:color w:val="FF0000"/>
        </w:rPr>
        <w:t>女士</w:t>
      </w:r>
      <w:r>
        <w:rPr>
          <w:rFonts w:hint="eastAsia"/>
        </w:rPr>
        <w:t>希望了解所列保护妇女权利的法律、例如报告第18至24页所列各项法律是否符合《公约》第16条及其适用性，尤其是涉及私生子、同居和子女抚养费等问题的法律。</w:t>
      </w:r>
    </w:p>
    <w:p w:rsidR="00880957" w:rsidRDefault="00880957">
      <w:pPr>
        <w:pStyle w:val="DualTxt"/>
        <w:rPr>
          <w:rFonts w:hint="eastAsia"/>
        </w:rPr>
      </w:pPr>
      <w:r>
        <w:rPr>
          <w:rFonts w:hint="eastAsia"/>
        </w:rPr>
        <w:tab/>
      </w:r>
      <w:r>
        <w:rPr>
          <w:rFonts w:ascii="KaiTi_GB2312" w:eastAsia="KaiTi_GB2312" w:hint="eastAsia"/>
          <w:color w:val="0000FF"/>
        </w:rPr>
        <w:t>下午5时5分散会</w:t>
      </w:r>
    </w:p>
    <w:sectPr w:rsidR="00880957">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880957" w:rsidRDefault="00880957">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NO&gt;&gt;N0341494C&lt;&lt;ODS JOB NO&gt;&gt;</w:t>
      </w:r>
    </w:p>
    <w:p w:rsidR="00880957" w:rsidRDefault="00880957">
      <w:pPr>
        <w:pStyle w:val="CommentText"/>
      </w:pPr>
      <w:r>
        <w:t>&lt;&lt;ODS DOC SYMBOL1&gt;&gt;CEDAW/C/SR.611&lt;&lt;ODS DOC SYMBOL1&gt;&gt;</w:t>
      </w:r>
    </w:p>
    <w:p w:rsidR="00880957" w:rsidRDefault="0088095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95973">
      <w:pPr>
        <w:spacing w:line="240" w:lineRule="auto"/>
      </w:pPr>
      <w:r>
        <w:separator/>
      </w:r>
    </w:p>
  </w:endnote>
  <w:endnote w:type="continuationSeparator" w:id="0">
    <w:p w:rsidR="00000000" w:rsidRDefault="008959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Arial Unicode MS"/>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80957">
      <w:tblPrEx>
        <w:tblCellMar>
          <w:top w:w="0" w:type="dxa"/>
          <w:bottom w:w="0" w:type="dxa"/>
        </w:tblCellMar>
      </w:tblPrEx>
      <w:tc>
        <w:tcPr>
          <w:tcW w:w="5034" w:type="dxa"/>
          <w:vAlign w:val="bottom"/>
        </w:tcPr>
        <w:p w:rsidR="00880957" w:rsidRDefault="00880957">
          <w:pPr>
            <w:pStyle w:val="Footer"/>
          </w:pPr>
          <w:r>
            <w:fldChar w:fldCharType="begin"/>
          </w:r>
          <w:r>
            <w:instrText xml:space="preserve"> PAGE  \* MERGEFORMAT </w:instrText>
          </w:r>
          <w:r>
            <w:fldChar w:fldCharType="separate"/>
          </w:r>
          <w:r>
            <w:t>2</w:t>
          </w:r>
          <w:r>
            <w:fldChar w:fldCharType="end"/>
          </w:r>
        </w:p>
      </w:tc>
      <w:tc>
        <w:tcPr>
          <w:tcW w:w="5034" w:type="dxa"/>
          <w:vAlign w:val="bottom"/>
        </w:tcPr>
        <w:p w:rsidR="00880957" w:rsidRDefault="00880957">
          <w:pPr>
            <w:pStyle w:val="Footer"/>
            <w:jc w:val="right"/>
          </w:pPr>
        </w:p>
      </w:tc>
    </w:tr>
  </w:tbl>
  <w:p w:rsidR="00880957" w:rsidRDefault="0088095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880957">
      <w:tblPrEx>
        <w:tblCellMar>
          <w:top w:w="0" w:type="dxa"/>
          <w:bottom w:w="0" w:type="dxa"/>
        </w:tblCellMar>
      </w:tblPrEx>
      <w:tc>
        <w:tcPr>
          <w:tcW w:w="5034" w:type="dxa"/>
          <w:vAlign w:val="bottom"/>
        </w:tcPr>
        <w:p w:rsidR="00880957" w:rsidRDefault="00880957">
          <w:pPr>
            <w:pStyle w:val="Footer"/>
          </w:pPr>
        </w:p>
      </w:tc>
      <w:tc>
        <w:tcPr>
          <w:tcW w:w="5034" w:type="dxa"/>
          <w:vAlign w:val="bottom"/>
        </w:tcPr>
        <w:p w:rsidR="00880957" w:rsidRDefault="00880957">
          <w:pPr>
            <w:pStyle w:val="Footer"/>
            <w:jc w:val="right"/>
          </w:pPr>
          <w:r>
            <w:fldChar w:fldCharType="begin"/>
          </w:r>
          <w:r>
            <w:instrText xml:space="preserve"> PAGE  \* MERGEFORMAT </w:instrText>
          </w:r>
          <w:r>
            <w:fldChar w:fldCharType="separate"/>
          </w:r>
          <w:r>
            <w:t>5</w:t>
          </w:r>
          <w:r>
            <w:fldChar w:fldCharType="end"/>
          </w:r>
        </w:p>
      </w:tc>
    </w:tr>
  </w:tbl>
  <w:p w:rsidR="00880957" w:rsidRDefault="0088095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957" w:rsidRDefault="00880957">
    <w:pPr>
      <w:pStyle w:val="Footer"/>
    </w:pPr>
  </w:p>
  <w:p w:rsidR="00880957" w:rsidRDefault="00880957">
    <w:pPr>
      <w:pStyle w:val="Footer"/>
      <w:pBdr>
        <w:top w:val="single" w:sz="2" w:space="0" w:color="000000"/>
      </w:pBdr>
      <w:rPr>
        <w:sz w:val="2"/>
      </w:rPr>
    </w:pPr>
  </w:p>
  <w:p w:rsidR="00880957" w:rsidRDefault="00880957">
    <w:pPr>
      <w:spacing w:after="120" w:line="240" w:lineRule="auto"/>
      <w:ind w:left="1267" w:right="1267"/>
      <w:jc w:val="both"/>
      <w:rPr>
        <w:snapToGrid w:val="0"/>
        <w:spacing w:val="5"/>
        <w:w w:val="104"/>
        <w:sz w:val="17"/>
      </w:rPr>
    </w:pPr>
    <w:r>
      <w:rPr>
        <w:rFonts w:hint="eastAsia"/>
        <w:snapToGrid w:val="0"/>
        <w:spacing w:val="5"/>
        <w:w w:val="104"/>
        <w:sz w:val="17"/>
      </w:rPr>
      <w:t>本记录可以更正。</w:t>
    </w:r>
  </w:p>
  <w:p w:rsidR="00880957" w:rsidRDefault="00880957">
    <w:pPr>
      <w:spacing w:after="120" w:line="240" w:lineRule="auto"/>
      <w:ind w:left="1267" w:right="1267"/>
      <w:jc w:val="both"/>
      <w:rPr>
        <w:rFonts w:hint="eastAsia"/>
        <w:snapToGrid w:val="0"/>
        <w:spacing w:val="5"/>
        <w:w w:val="104"/>
        <w:sz w:val="17"/>
      </w:rPr>
    </w:pPr>
    <w:r>
      <w:rPr>
        <w:rFonts w:hint="eastAsia"/>
        <w:snapToGrid w:val="0"/>
        <w:spacing w:val="5"/>
        <w:w w:val="104"/>
        <w:sz w:val="17"/>
      </w:rPr>
      <w:t>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DC2-750</w:t>
    </w:r>
    <w:r>
      <w:rPr>
        <w:rFonts w:hint="eastAsia"/>
        <w:snapToGrid w:val="0"/>
        <w:spacing w:val="5"/>
        <w:w w:val="104"/>
        <w:sz w:val="17"/>
      </w:rPr>
      <w:t>室）。</w:t>
    </w:r>
  </w:p>
  <w:p w:rsidR="00880957" w:rsidRDefault="00880957">
    <w:pPr>
      <w:pStyle w:val="FootnoteText"/>
      <w:spacing w:after="140"/>
      <w:ind w:left="1267" w:right="1267" w:firstLine="0"/>
      <w:rPr>
        <w:rFonts w:hint="eastAsia"/>
        <w:noProof w:val="0"/>
        <w:snapToGrid w:val="0"/>
        <w:spacing w:val="5"/>
        <w:w w:val="104"/>
        <w:sz w:val="17"/>
      </w:rPr>
    </w:pPr>
    <w:r>
      <w:rPr>
        <w:rFonts w:hint="eastAsia"/>
        <w:noProof w:val="0"/>
        <w:snapToGrid w:val="0"/>
        <w:spacing w:val="5"/>
        <w:w w:val="104"/>
        <w:sz w:val="17"/>
      </w:rPr>
      <w:t>对本届会议各次会议记录的任何更正将并入一份更正汇编，在届会结束后不久印发。</w:t>
    </w:r>
  </w:p>
  <w:p w:rsidR="00880957" w:rsidRDefault="00880957">
    <w:pPr>
      <w:pStyle w:val="Footer"/>
      <w:rPr>
        <w:b w:val="0"/>
        <w:snapToGrid w:val="0"/>
        <w:sz w:val="21"/>
      </w:rPr>
    </w:pPr>
    <w:r>
      <w:rPr>
        <w:b w:val="0"/>
        <w:snapToGrid w:val="0"/>
        <w:sz w:val="21"/>
      </w:rPr>
      <w:t>03-41494 (C)</w:t>
    </w:r>
  </w:p>
  <w:p w:rsidR="00880957" w:rsidRDefault="00880957">
    <w:pPr>
      <w:spacing w:before="60" w:line="200" w:lineRule="exact"/>
      <w:rPr>
        <w:rFonts w:ascii="Barcode 3 of 9 by request" w:hAnsi="Barcode 3 of 9 by request" w:hint="eastAsia"/>
        <w:b/>
        <w:snapToGrid w:val="0"/>
      </w:rPr>
    </w:pPr>
    <w:r>
      <w:rPr>
        <w:rFonts w:ascii="Barcode 3 of 9 by request" w:hAnsi="Barcode 3 of 9 by request"/>
        <w:b/>
        <w:snapToGrid w:val="0"/>
      </w:rPr>
      <w:t>*0341494*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95973">
      <w:pPr>
        <w:spacing w:line="240" w:lineRule="auto"/>
      </w:pPr>
      <w:r>
        <w:separator/>
      </w:r>
    </w:p>
  </w:footnote>
  <w:footnote w:type="continuationSeparator" w:id="0">
    <w:p w:rsidR="00000000" w:rsidRDefault="00895973">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957" w:rsidRDefault="00880957">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80957">
                  <w:tblPrEx>
                    <w:tblCellMar>
                      <w:top w:w="0" w:type="dxa"/>
                      <w:bottom w:w="0" w:type="dxa"/>
                    </w:tblCellMar>
                  </w:tblPrEx>
                  <w:trPr>
                    <w:trHeight w:hRule="exact" w:val="864"/>
                  </w:trPr>
                  <w:tc>
                    <w:tcPr>
                      <w:tcW w:w="4838" w:type="dxa"/>
                      <w:vAlign w:val="bottom"/>
                    </w:tcPr>
                    <w:p w:rsidR="00880957" w:rsidRDefault="00880957">
                      <w:pPr>
                        <w:pStyle w:val="Header"/>
                        <w:spacing w:after="80"/>
                        <w:rPr>
                          <w:b/>
                          <w:sz w:val="17"/>
                        </w:rPr>
                      </w:pPr>
                      <w:r>
                        <w:rPr>
                          <w:b/>
                          <w:sz w:val="17"/>
                        </w:rPr>
                        <w:t>CEDAW/C/SR.611</w:t>
                      </w:r>
                    </w:p>
                  </w:tc>
                  <w:tc>
                    <w:tcPr>
                      <w:tcW w:w="5048" w:type="dxa"/>
                      <w:vAlign w:val="bottom"/>
                    </w:tcPr>
                    <w:p w:rsidR="00880957" w:rsidRDefault="00880957">
                      <w:pPr>
                        <w:pStyle w:val="Header"/>
                      </w:pPr>
                    </w:p>
                  </w:tc>
                </w:tr>
              </w:tbl>
              <w:p w:rsidR="00880957" w:rsidRDefault="00880957"/>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0957" w:rsidRDefault="00880957">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880957">
                  <w:tblPrEx>
                    <w:tblCellMar>
                      <w:top w:w="0" w:type="dxa"/>
                      <w:bottom w:w="0" w:type="dxa"/>
                    </w:tblCellMar>
                  </w:tblPrEx>
                  <w:trPr>
                    <w:trHeight w:hRule="exact" w:val="864"/>
                  </w:trPr>
                  <w:tc>
                    <w:tcPr>
                      <w:tcW w:w="4838" w:type="dxa"/>
                      <w:vAlign w:val="bottom"/>
                    </w:tcPr>
                    <w:p w:rsidR="00880957" w:rsidRDefault="00880957">
                      <w:pPr>
                        <w:pStyle w:val="Header"/>
                      </w:pPr>
                    </w:p>
                  </w:tc>
                  <w:tc>
                    <w:tcPr>
                      <w:tcW w:w="5048" w:type="dxa"/>
                      <w:vAlign w:val="bottom"/>
                    </w:tcPr>
                    <w:p w:rsidR="00880957" w:rsidRDefault="00880957">
                      <w:pPr>
                        <w:pStyle w:val="Header"/>
                        <w:spacing w:after="80"/>
                        <w:jc w:val="right"/>
                        <w:rPr>
                          <w:b/>
                          <w:sz w:val="17"/>
                        </w:rPr>
                      </w:pPr>
                      <w:r>
                        <w:rPr>
                          <w:b/>
                          <w:sz w:val="17"/>
                        </w:rPr>
                        <w:t>CEDAW/C/SR.611</w:t>
                      </w:r>
                    </w:p>
                  </w:tc>
                </w:tr>
              </w:tbl>
              <w:p w:rsidR="00880957" w:rsidRDefault="00880957"/>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880957">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880957" w:rsidRDefault="00880957">
          <w:pPr>
            <w:pStyle w:val="Header"/>
            <w:spacing w:after="120"/>
          </w:pPr>
        </w:p>
      </w:tc>
      <w:tc>
        <w:tcPr>
          <w:tcW w:w="1872" w:type="dxa"/>
          <w:tcBorders>
            <w:top w:val="nil"/>
            <w:left w:val="nil"/>
            <w:bottom w:val="single" w:sz="4" w:space="0" w:color="auto"/>
            <w:right w:val="nil"/>
          </w:tcBorders>
          <w:vAlign w:val="bottom"/>
        </w:tcPr>
        <w:p w:rsidR="00880957" w:rsidRDefault="00880957">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880957" w:rsidRDefault="00880957">
          <w:pPr>
            <w:pStyle w:val="Header"/>
            <w:spacing w:after="120"/>
          </w:pPr>
        </w:p>
      </w:tc>
      <w:tc>
        <w:tcPr>
          <w:tcW w:w="6523" w:type="dxa"/>
          <w:gridSpan w:val="3"/>
          <w:tcBorders>
            <w:top w:val="nil"/>
            <w:left w:val="nil"/>
            <w:bottom w:val="single" w:sz="4" w:space="0" w:color="auto"/>
            <w:right w:val="nil"/>
          </w:tcBorders>
          <w:vAlign w:val="bottom"/>
        </w:tcPr>
        <w:p w:rsidR="00880957" w:rsidRDefault="00880957">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/C/SR.611</w:t>
          </w:r>
        </w:p>
      </w:tc>
    </w:tr>
    <w:tr w:rsidR="00880957">
      <w:tblPrEx>
        <w:tblCellMar>
          <w:top w:w="0" w:type="dxa"/>
          <w:bottom w:w="0" w:type="dxa"/>
        </w:tblCellMar>
      </w:tblPrEx>
      <w:trPr>
        <w:trHeight w:hRule="exact" w:val="2880"/>
      </w:trPr>
      <w:tc>
        <w:tcPr>
          <w:tcW w:w="1267" w:type="dxa"/>
          <w:tcBorders>
            <w:left w:val="nil"/>
            <w:bottom w:val="single" w:sz="12" w:space="0" w:color="auto"/>
            <w:right w:val="nil"/>
          </w:tcBorders>
        </w:tcPr>
        <w:p w:rsidR="00880957" w:rsidRDefault="00880957">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80957" w:rsidRDefault="00880957">
          <w:pPr>
            <w:pStyle w:val="Header"/>
            <w:spacing w:before="109"/>
            <w:ind w:left="-72"/>
          </w:pPr>
        </w:p>
      </w:tc>
      <w:tc>
        <w:tcPr>
          <w:tcW w:w="5227" w:type="dxa"/>
          <w:gridSpan w:val="3"/>
          <w:tcBorders>
            <w:left w:val="nil"/>
            <w:bottom w:val="single" w:sz="12" w:space="0" w:color="auto"/>
            <w:right w:val="nil"/>
          </w:tcBorders>
        </w:tcPr>
        <w:p w:rsidR="00880957" w:rsidRDefault="00880957">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880957" w:rsidRDefault="00880957">
          <w:pPr>
            <w:pStyle w:val="Header"/>
            <w:spacing w:before="109"/>
          </w:pPr>
        </w:p>
      </w:tc>
      <w:tc>
        <w:tcPr>
          <w:tcW w:w="3180" w:type="dxa"/>
          <w:gridSpan w:val="2"/>
          <w:tcBorders>
            <w:left w:val="nil"/>
            <w:bottom w:val="single" w:sz="12" w:space="0" w:color="auto"/>
            <w:right w:val="nil"/>
          </w:tcBorders>
        </w:tcPr>
        <w:p w:rsidR="00880957" w:rsidRDefault="00880957">
          <w:pPr>
            <w:spacing w:before="240" w:line="240" w:lineRule="exact"/>
            <w:rPr>
              <w:rFonts w:ascii="Times New Roman"/>
            </w:rPr>
          </w:pPr>
          <w:r>
            <w:rPr>
              <w:rFonts w:ascii="Times New Roman"/>
            </w:rPr>
            <w:t>Distr.: General</w:t>
          </w:r>
        </w:p>
        <w:p w:rsidR="00880957" w:rsidRDefault="00880957">
          <w:pPr>
            <w:spacing w:line="240" w:lineRule="exact"/>
            <w:rPr>
              <w:rFonts w:ascii="Times New Roman"/>
            </w:rPr>
          </w:pPr>
          <w:r>
            <w:rPr>
              <w:rFonts w:ascii="Times New Roman"/>
            </w:rPr>
            <w:t>23 February 2004</w:t>
          </w:r>
        </w:p>
        <w:p w:rsidR="00880957" w:rsidRDefault="00880957">
          <w:pPr>
            <w:spacing w:line="240" w:lineRule="exact"/>
            <w:rPr>
              <w:rFonts w:ascii="Times New Roman"/>
            </w:rPr>
          </w:pPr>
          <w:r>
            <w:rPr>
              <w:rFonts w:ascii="Times New Roman"/>
            </w:rPr>
            <w:t>Chinese</w:t>
          </w:r>
        </w:p>
        <w:p w:rsidR="00880957" w:rsidRDefault="00880957">
          <w:pPr>
            <w:spacing w:line="240" w:lineRule="exact"/>
            <w:rPr>
              <w:rFonts w:ascii="Times New Roman"/>
            </w:rPr>
          </w:pPr>
          <w:r>
            <w:rPr>
              <w:rFonts w:ascii="Times New Roman"/>
            </w:rPr>
            <w:t>Original: English</w:t>
          </w:r>
        </w:p>
      </w:tc>
    </w:tr>
  </w:tbl>
  <w:p w:rsidR="00880957" w:rsidRDefault="0088095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2/2004 2:54: PM"/>
    <w:docVar w:name="DocCategory" w:val="SROthers"/>
    <w:docVar w:name="DocType" w:val="Final"/>
    <w:docVar w:name="JobNo" w:val="0341494C"/>
    <w:docVar w:name="OandT" w:val=" "/>
    <w:docVar w:name="Symbol1" w:val="CEDAW/C/SR.611"/>
    <w:docVar w:name="Symbol2" w:val="-"/>
  </w:docVars>
  <w:rsids>
    <w:rsidRoot w:val="00880957"/>
    <w:rsid w:val="00880957"/>
    <w:rsid w:val="008959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sid w:val="0088095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100</TotalTime>
  <Pages>3</Pages>
  <Words>1068</Words>
  <Characters>6089</Characters>
  <Application>Microsoft Office Word</Application>
  <DocSecurity>4</DocSecurity>
  <Lines>50</Lines>
  <Paragraphs>14</Paragraphs>
  <ScaleCrop>false</ScaleCrop>
  <HeadingPairs>
    <vt:vector size="4" baseType="variant">
      <vt:variant>
        <vt:lpstr>Title</vt:lpstr>
      </vt:variant>
      <vt:variant>
        <vt:i4>1</vt:i4>
      </vt:variant>
      <vt:variant>
        <vt:lpstr>题目</vt:lpstr>
      </vt:variant>
      <vt:variant>
        <vt:i4>1</vt:i4>
      </vt:variant>
    </vt:vector>
  </HeadingPairs>
  <TitlesOfParts>
    <vt:vector size="2" baseType="lpstr">
      <vt:lpstr> </vt:lpstr>
      <vt:lpstr> </vt:lpstr>
    </vt:vector>
  </TitlesOfParts>
  <Company>United Nations</Company>
  <LinksUpToDate>false</LinksUpToDate>
  <CharactersWithSpaces>7143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Dezuo CAO</cp:lastModifiedBy>
  <cp:revision>13</cp:revision>
  <cp:lastPrinted>2004-02-23T11:43:00Z</cp:lastPrinted>
  <dcterms:created xsi:type="dcterms:W3CDTF">2004-02-20T12:54:00Z</dcterms:created>
  <dcterms:modified xsi:type="dcterms:W3CDTF">2004-02-23T12:03:00Z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0341494</vt:lpwstr>
  </property>
  <property fmtid="{D5CDD505-2E9C-101B-9397-08002B2CF9AE}" pid="3" name="Symbol1">
    <vt:lpwstr>CEDAW/C/SR.611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