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5D697D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F33585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F33585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2256F" w:rsidP="0002256F">
            <w:pPr>
              <w:jc w:val="right"/>
            </w:pPr>
            <w:r w:rsidRPr="0002256F">
              <w:rPr>
                <w:sz w:val="40"/>
              </w:rPr>
              <w:t>A</w:t>
            </w:r>
            <w:r>
              <w:t>/HRC/RES/23/15</w:t>
            </w:r>
          </w:p>
        </w:tc>
      </w:tr>
      <w:tr w:rsidR="002D5AAC" w:rsidTr="005D697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F33585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BD33EE" w:rsidRDefault="008308A6" w:rsidP="00F33585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0328F5"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2256F" w:rsidRDefault="0002256F" w:rsidP="00AB05F9">
            <w:pPr>
              <w:spacing w:before="240"/>
            </w:pPr>
            <w:r>
              <w:t>Distr. general</w:t>
            </w:r>
          </w:p>
          <w:p w:rsidR="0002256F" w:rsidRDefault="0002256F" w:rsidP="0002256F">
            <w:pPr>
              <w:spacing w:line="240" w:lineRule="exact"/>
            </w:pPr>
            <w:r>
              <w:t>24 de junio de 2013</w:t>
            </w:r>
          </w:p>
          <w:p w:rsidR="0002256F" w:rsidRDefault="0002256F" w:rsidP="0002256F">
            <w:pPr>
              <w:spacing w:line="240" w:lineRule="exact"/>
            </w:pPr>
            <w:r>
              <w:t>Español</w:t>
            </w:r>
          </w:p>
          <w:p w:rsidR="002D5AAC" w:rsidRDefault="0002256F" w:rsidP="0002256F">
            <w:pPr>
              <w:spacing w:line="240" w:lineRule="exact"/>
            </w:pPr>
            <w:r>
              <w:t>Original: inglés</w:t>
            </w:r>
          </w:p>
        </w:tc>
      </w:tr>
    </w:tbl>
    <w:p w:rsidR="005D697D" w:rsidRPr="00E42DB9" w:rsidRDefault="005D697D" w:rsidP="009F4C0C">
      <w:pPr>
        <w:spacing w:before="120" w:line="240" w:lineRule="auto"/>
        <w:rPr>
          <w:b/>
          <w:sz w:val="24"/>
          <w:szCs w:val="24"/>
        </w:rPr>
      </w:pPr>
      <w:r w:rsidRPr="00E42DB9">
        <w:rPr>
          <w:b/>
          <w:sz w:val="24"/>
          <w:szCs w:val="24"/>
        </w:rPr>
        <w:t>Consejo de Derechos Humanos</w:t>
      </w:r>
    </w:p>
    <w:p w:rsidR="005D697D" w:rsidRPr="00E87F81" w:rsidRDefault="005D697D" w:rsidP="005D697D">
      <w:pPr>
        <w:spacing w:line="240" w:lineRule="auto"/>
        <w:rPr>
          <w:b/>
        </w:rPr>
      </w:pPr>
      <w:r w:rsidRPr="00E87F81">
        <w:rPr>
          <w:b/>
        </w:rPr>
        <w:t>23º período de sesiones</w:t>
      </w:r>
    </w:p>
    <w:p w:rsidR="005D697D" w:rsidRPr="00E87F81" w:rsidRDefault="005D697D" w:rsidP="005D697D">
      <w:pPr>
        <w:spacing w:line="240" w:lineRule="auto"/>
      </w:pPr>
      <w:r w:rsidRPr="00E87F81">
        <w:t>Tema 4 de la agenda</w:t>
      </w:r>
    </w:p>
    <w:p w:rsidR="005D697D" w:rsidRPr="00E87F81" w:rsidRDefault="005D697D" w:rsidP="005D697D">
      <w:pPr>
        <w:spacing w:after="120" w:line="240" w:lineRule="auto"/>
        <w:rPr>
          <w:b/>
        </w:rPr>
      </w:pPr>
      <w:r w:rsidRPr="00E87F81">
        <w:rPr>
          <w:b/>
        </w:rPr>
        <w:t>Situaciones de derechos humanos</w:t>
      </w:r>
      <w:r w:rsidR="009F4C0C">
        <w:rPr>
          <w:b/>
        </w:rPr>
        <w:t xml:space="preserve"> </w:t>
      </w:r>
      <w:r w:rsidRPr="00E87F81">
        <w:rPr>
          <w:b/>
        </w:rPr>
        <w:t>que</w:t>
      </w:r>
      <w:r w:rsidR="009F4C0C">
        <w:rPr>
          <w:b/>
        </w:rPr>
        <w:br/>
      </w:r>
      <w:r w:rsidRPr="00E87F81">
        <w:rPr>
          <w:b/>
        </w:rPr>
        <w:t>requieren la atención del Consejo</w:t>
      </w:r>
    </w:p>
    <w:p w:rsidR="005D697D" w:rsidRPr="00E42DB9" w:rsidRDefault="005D697D" w:rsidP="005D697D">
      <w:pPr>
        <w:pStyle w:val="HChG"/>
      </w:pPr>
      <w:r w:rsidRPr="00E42DB9">
        <w:tab/>
      </w:r>
      <w:r>
        <w:tab/>
      </w:r>
      <w:r w:rsidRPr="00E42DB9">
        <w:t>Resolución apro</w:t>
      </w:r>
      <w:r>
        <w:t>bada por el Consejo de Derechos</w:t>
      </w:r>
      <w:r w:rsidR="009F4C0C">
        <w:t xml:space="preserve"> </w:t>
      </w:r>
      <w:r w:rsidRPr="00E42DB9">
        <w:t>Humanos</w:t>
      </w:r>
      <w:r w:rsidRPr="00E87F81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5D697D" w:rsidRPr="00E42DB9" w:rsidRDefault="005D697D" w:rsidP="005D697D">
      <w:pPr>
        <w:pStyle w:val="H1G"/>
        <w:tabs>
          <w:tab w:val="left" w:pos="1900"/>
        </w:tabs>
      </w:pPr>
      <w:r>
        <w:tab/>
      </w:r>
      <w:r>
        <w:tab/>
      </w:r>
      <w:r w:rsidRPr="00E42DB9">
        <w:t>23/15.</w:t>
      </w:r>
      <w:r>
        <w:tab/>
      </w:r>
      <w:r w:rsidRPr="00E42DB9">
        <w:t>Situación de los derechos humanos en Belarús</w:t>
      </w:r>
    </w:p>
    <w:p w:rsidR="005D697D" w:rsidRPr="00E42DB9" w:rsidRDefault="005D697D" w:rsidP="005D697D">
      <w:pPr>
        <w:pStyle w:val="SingleTxtG"/>
        <w:rPr>
          <w:rFonts w:eastAsia="SimSun"/>
          <w:i/>
          <w:kern w:val="1"/>
          <w:lang w:eastAsia="hi-IN" w:bidi="hi-IN"/>
        </w:rPr>
      </w:pPr>
      <w:r w:rsidRPr="00E42DB9">
        <w:rPr>
          <w:rFonts w:eastAsia="SimSun"/>
          <w:lang w:eastAsia="ar-SA"/>
        </w:rPr>
        <w:tab/>
      </w:r>
      <w:r w:rsidRPr="00E42DB9">
        <w:rPr>
          <w:rFonts w:eastAsia="SimSun"/>
          <w:i/>
          <w:kern w:val="1"/>
          <w:lang w:eastAsia="hi-IN" w:bidi="hi-IN"/>
        </w:rPr>
        <w:t>El Consejo de Derechos Humanos</w:t>
      </w:r>
      <w:r w:rsidRPr="00E42DB9">
        <w:rPr>
          <w:rFonts w:eastAsia="SimSun"/>
          <w:kern w:val="1"/>
          <w:lang w:eastAsia="hi-IN" w:bidi="hi-IN"/>
        </w:rPr>
        <w:t>,</w:t>
      </w:r>
    </w:p>
    <w:p w:rsidR="005D697D" w:rsidRPr="00E42DB9" w:rsidRDefault="005D697D" w:rsidP="005D697D">
      <w:pPr>
        <w:pStyle w:val="SingleTxtG"/>
        <w:rPr>
          <w:lang w:bidi="hi-IN"/>
        </w:rPr>
      </w:pPr>
      <w:r w:rsidRPr="00E42DB9">
        <w:rPr>
          <w:lang w:bidi="hi-IN"/>
        </w:rPr>
        <w:tab/>
      </w:r>
      <w:r w:rsidRPr="00E42DB9">
        <w:rPr>
          <w:i/>
          <w:lang w:bidi="hi-IN"/>
        </w:rPr>
        <w:t xml:space="preserve">Guiado </w:t>
      </w:r>
      <w:r w:rsidRPr="00E42DB9">
        <w:rPr>
          <w:lang w:bidi="hi-IN"/>
        </w:rPr>
        <w:t>por los propósitos y principios de la Carta de las Naciones Unidas, las disposiciones de la Declaración Universal de Derechos Humanos, los pactos internacionales de derechos humanos y otros instrumentos pertinentes de derechos humanos,</w:t>
      </w:r>
    </w:p>
    <w:p w:rsidR="005D697D" w:rsidRPr="00E42DB9" w:rsidRDefault="005D697D" w:rsidP="005D697D">
      <w:pPr>
        <w:pStyle w:val="SingleTxtG"/>
        <w:rPr>
          <w:lang w:bidi="hi-IN"/>
        </w:rPr>
      </w:pPr>
      <w:r w:rsidRPr="00E42DB9">
        <w:rPr>
          <w:lang w:bidi="hi-IN"/>
        </w:rPr>
        <w:tab/>
      </w:r>
      <w:r w:rsidRPr="00E42DB9">
        <w:rPr>
          <w:i/>
          <w:lang w:bidi="hi-IN"/>
        </w:rPr>
        <w:t xml:space="preserve">Recordando </w:t>
      </w:r>
      <w:r w:rsidRPr="00E42DB9">
        <w:rPr>
          <w:lang w:bidi="hi-IN"/>
        </w:rPr>
        <w:t xml:space="preserve">todas las resoluciones aprobadas por la Comisión de Derechos Humanos, la Asamblea General y el Consejo de Derechos Humanos sobre la situación de los derechos humanos en Belarús, incluidas las resoluciones del Consejo 17/24 y </w:t>
      </w:r>
      <w:r w:rsidR="009F4C0C">
        <w:rPr>
          <w:lang w:bidi="hi-IN"/>
        </w:rPr>
        <w:t>20/13, de </w:t>
      </w:r>
      <w:r w:rsidRPr="00E42DB9">
        <w:rPr>
          <w:lang w:bidi="hi-IN"/>
        </w:rPr>
        <w:t>17 de junio de 2011 y 5 de julio de 2012, respectivamente, y deplorando la respuesta insuficiente del Gobierno de Belarús a las peticiones formuladas por el Consejo en esas resoluciones, incluida la denegación de acceso al país al Relator Especial sobre la situación de los derechos humanos en Belarús y a otros titulares de mandatos de los procedimientos especiales,</w:t>
      </w:r>
    </w:p>
    <w:p w:rsidR="005D697D" w:rsidRPr="00E42DB9" w:rsidRDefault="005D697D" w:rsidP="005D697D">
      <w:pPr>
        <w:pStyle w:val="SingleTxtG"/>
        <w:rPr>
          <w:lang w:bidi="hi-IN"/>
        </w:rPr>
      </w:pPr>
      <w:r w:rsidRPr="00E42DB9">
        <w:rPr>
          <w:lang w:bidi="hi-IN"/>
        </w:rPr>
        <w:tab/>
      </w:r>
      <w:r w:rsidRPr="00E42DB9">
        <w:rPr>
          <w:i/>
          <w:lang w:bidi="hi-IN"/>
        </w:rPr>
        <w:t xml:space="preserve">Recordando también </w:t>
      </w:r>
      <w:r w:rsidRPr="00E42DB9">
        <w:rPr>
          <w:lang w:bidi="hi-IN"/>
        </w:rPr>
        <w:t>las resoluciones del Consejo de Derechos Humanos 5/1 y 5/2, de 18 de junio de 2007,</w:t>
      </w:r>
    </w:p>
    <w:p w:rsidR="005D697D" w:rsidRPr="00E42DB9" w:rsidRDefault="005D697D" w:rsidP="005D697D">
      <w:pPr>
        <w:pStyle w:val="SingleTxtG"/>
        <w:rPr>
          <w:lang w:bidi="hi-IN"/>
        </w:rPr>
      </w:pPr>
      <w:r w:rsidRPr="00E42DB9">
        <w:rPr>
          <w:lang w:bidi="hi-IN"/>
        </w:rPr>
        <w:tab/>
        <w:t>1.</w:t>
      </w:r>
      <w:r w:rsidRPr="00E42DB9">
        <w:rPr>
          <w:lang w:bidi="hi-IN"/>
        </w:rPr>
        <w:tab/>
      </w:r>
      <w:r w:rsidRPr="00E42DB9">
        <w:rPr>
          <w:i/>
          <w:lang w:bidi="hi-IN"/>
        </w:rPr>
        <w:t>Acoge con beneplácito</w:t>
      </w:r>
      <w:r w:rsidRPr="00E42DB9">
        <w:rPr>
          <w:lang w:bidi="hi-IN"/>
        </w:rPr>
        <w:t xml:space="preserve"> el informe del Relator Especial sobre la situación de los derechos humanos en Belarús</w:t>
      </w:r>
      <w:r w:rsidRPr="00F93569">
        <w:rPr>
          <w:rStyle w:val="FootnoteReference"/>
          <w:szCs w:val="18"/>
          <w:lang w:bidi="hi-IN"/>
        </w:rPr>
        <w:footnoteReference w:id="2"/>
      </w:r>
      <w:r>
        <w:rPr>
          <w:lang w:bidi="hi-IN"/>
        </w:rPr>
        <w:t>;</w:t>
      </w:r>
    </w:p>
    <w:p w:rsidR="005D697D" w:rsidRPr="00E42DB9" w:rsidRDefault="005D697D" w:rsidP="005D697D">
      <w:pPr>
        <w:pStyle w:val="SingleTxtG"/>
        <w:rPr>
          <w:lang w:bidi="hi-IN"/>
        </w:rPr>
      </w:pPr>
      <w:r w:rsidRPr="00E42DB9">
        <w:rPr>
          <w:lang w:bidi="hi-IN"/>
        </w:rPr>
        <w:tab/>
        <w:t>2.</w:t>
      </w:r>
      <w:r w:rsidRPr="00E42DB9">
        <w:rPr>
          <w:lang w:bidi="hi-IN"/>
        </w:rPr>
        <w:tab/>
      </w:r>
      <w:r w:rsidRPr="00E42DB9">
        <w:rPr>
          <w:i/>
          <w:lang w:bidi="hi-IN"/>
        </w:rPr>
        <w:t xml:space="preserve">Expresa su profunda preocupación </w:t>
      </w:r>
      <w:r w:rsidRPr="00E42DB9">
        <w:rPr>
          <w:lang w:bidi="hi-IN"/>
        </w:rPr>
        <w:t>por las persistentes violaciones de los derechos humanos en Belarús, que son de carácter estructural y endémico, y por las restricciones sistémicas y sistemáticas de los derechos humanos, en particular en el caso de la libertad de asociación, de reunión y de opinión y de expresión, así como de las debidas garantías procesales y el derecho a un juicio imparcial, y expresa especial preocupación por el empleo de la tortura y los malos tratos durante la privación de libertad; la falta de respuesta del Gobierno ante los casos de desaparición forzada de opositores políticos; las violaciones de los derechos laborales que equivalen a trabajo forzoso; las considerables lagunas en la legislación contra la discriminación; la impunidad de los autores de violaciones y abusos de los derechos humanos; el acoso a las organizaciones de la sociedad civil, los defensores de los derechos humanos, los periodistas y los opositores políticos; la presión ejercida sobre los abogados defensores; la falta de participación de los partidos políticos de la oposición en el Parlamento, y el hecho de que la mayoría de los observadores internacionales considerasen las elecciones parlamentarias que tuvieron lugar el 23 de septiembre de 2012 incompatibles con las normas básicas relativas a la celebración de elecciones competitivas, libres e imparciales;</w:t>
      </w:r>
    </w:p>
    <w:p w:rsidR="005D697D" w:rsidRPr="00E42DB9" w:rsidRDefault="005D697D" w:rsidP="005D697D">
      <w:pPr>
        <w:pStyle w:val="SingleTxtG"/>
        <w:rPr>
          <w:lang w:bidi="hi-IN"/>
        </w:rPr>
      </w:pPr>
      <w:r w:rsidRPr="00E42DB9">
        <w:rPr>
          <w:lang w:bidi="hi-IN"/>
        </w:rPr>
        <w:tab/>
        <w:t>3.</w:t>
      </w:r>
      <w:r w:rsidRPr="00E42DB9">
        <w:rPr>
          <w:lang w:bidi="hi-IN"/>
        </w:rPr>
        <w:tab/>
      </w:r>
      <w:r w:rsidRPr="00E42DB9">
        <w:rPr>
          <w:i/>
          <w:lang w:bidi="hi-IN"/>
        </w:rPr>
        <w:t xml:space="preserve">Exhorta </w:t>
      </w:r>
      <w:r w:rsidRPr="00E42DB9">
        <w:rPr>
          <w:lang w:bidi="hi-IN"/>
        </w:rPr>
        <w:t>al Gobierno de Belarús a que lleve a cabo una revisión exhaustiva de la legislación, las políticas, las estrategias y las prácticas pertinentes para garantizar que las disposiciones estén definidas con claridad, se ajusten al derecho internacional de los derechos humanos y sus compromisos en materia de derechos humanos, y no se utilicen para impedir o restringir indebidamente el ejercicio de ningún derecho humano, en particular la libertad de expresión, de asociación y de reunión pacífica, o la libertad de los medios de comunicación;</w:t>
      </w:r>
    </w:p>
    <w:p w:rsidR="005D697D" w:rsidRPr="00E42DB9" w:rsidRDefault="005D697D" w:rsidP="005D697D">
      <w:pPr>
        <w:pStyle w:val="SingleTxtG"/>
        <w:rPr>
          <w:lang w:bidi="hi-IN"/>
        </w:rPr>
      </w:pPr>
      <w:r w:rsidRPr="00E42DB9">
        <w:rPr>
          <w:lang w:bidi="hi-IN"/>
        </w:rPr>
        <w:tab/>
        <w:t>4.</w:t>
      </w:r>
      <w:r w:rsidRPr="00E42DB9">
        <w:rPr>
          <w:lang w:bidi="hi-IN"/>
        </w:rPr>
        <w:tab/>
      </w:r>
      <w:r w:rsidRPr="00E42DB9">
        <w:rPr>
          <w:i/>
          <w:lang w:bidi="hi-IN"/>
        </w:rPr>
        <w:t xml:space="preserve">Observa </w:t>
      </w:r>
      <w:r w:rsidRPr="00E42DB9">
        <w:rPr>
          <w:lang w:bidi="hi-IN"/>
        </w:rPr>
        <w:t>la atención prestada por el Relator Especial a la cuestión de la pena de muerte en Belarús y toma nota del restablecimiento del grupo de trabajo parlamentario sobre la pena de muerte, y lo alienta a que agilice su labor;</w:t>
      </w:r>
    </w:p>
    <w:p w:rsidR="005D697D" w:rsidRPr="00E42DB9" w:rsidRDefault="005D697D" w:rsidP="005D697D">
      <w:pPr>
        <w:pStyle w:val="SingleTxtG"/>
        <w:rPr>
          <w:lang w:bidi="hi-IN"/>
        </w:rPr>
      </w:pPr>
      <w:r w:rsidRPr="00E42DB9">
        <w:rPr>
          <w:lang w:bidi="hi-IN"/>
        </w:rPr>
        <w:tab/>
        <w:t>5.</w:t>
      </w:r>
      <w:r w:rsidRPr="00E42DB9">
        <w:rPr>
          <w:lang w:bidi="hi-IN"/>
        </w:rPr>
        <w:tab/>
      </w:r>
      <w:r w:rsidRPr="00E42DB9">
        <w:rPr>
          <w:i/>
          <w:lang w:bidi="hi-IN"/>
        </w:rPr>
        <w:t xml:space="preserve">Exhorta </w:t>
      </w:r>
      <w:r w:rsidRPr="00E42DB9">
        <w:rPr>
          <w:lang w:bidi="hi-IN"/>
        </w:rPr>
        <w:t>al Gobierno de Belarús a que emprenda una reforma integral del sector de la justicia y de los colegios de abogados, a fin de garantizar la independencia e imparcialidad del poder judicial, la presunción de inocencia, la imparcialidad de los juicios, el derecho a la revisión efectiva de las sentencias y condenas por un tribunal de rango superior establecido por la ley y a la representación letrada libremente elegida a lo largo de todo el proceso, así como la disponibilidad de información sobre la ejecución de todas las condenas;</w:t>
      </w:r>
    </w:p>
    <w:p w:rsidR="005D697D" w:rsidRPr="00E42DB9" w:rsidRDefault="005D697D" w:rsidP="005D697D">
      <w:pPr>
        <w:pStyle w:val="SingleTxtG"/>
        <w:rPr>
          <w:lang w:bidi="hi-IN"/>
        </w:rPr>
      </w:pPr>
      <w:r w:rsidRPr="00E42DB9">
        <w:rPr>
          <w:lang w:bidi="hi-IN"/>
        </w:rPr>
        <w:tab/>
        <w:t>6.</w:t>
      </w:r>
      <w:r w:rsidRPr="00E42DB9">
        <w:rPr>
          <w:lang w:bidi="hi-IN"/>
        </w:rPr>
        <w:tab/>
      </w:r>
      <w:r w:rsidRPr="00E42DB9">
        <w:rPr>
          <w:i/>
          <w:lang w:bidi="hi-IN"/>
        </w:rPr>
        <w:t xml:space="preserve">Insta encarecidamente </w:t>
      </w:r>
      <w:r w:rsidRPr="00E42DB9">
        <w:rPr>
          <w:lang w:bidi="hi-IN"/>
        </w:rPr>
        <w:t>al Gobierno de Belarús a que libere inmediata e incondicionalmente a todos los presos políticos y los rehabilite, incluidos los que ya han sido puestos en libertad, a que aborde, mediante investigaciones exhaustivas, transparentes y creíbles, las denuncias de torturas y malos tratos a manos de funcionarios encargados del cumplimiento de la ley, y a que ponga fin de inmediato a las detenciones arbitrarias de defensores de los derechos humanos y opositores políticos, a la imposición arbitraria de prohibiciones de viajar y a otras políticas destinadas a intimidar a los representantes de la oposición política y los medios de comunicación, así como a los defensores de los derechos humanos y la sociedad civil;</w:t>
      </w:r>
    </w:p>
    <w:p w:rsidR="005D697D" w:rsidRPr="00E42DB9" w:rsidRDefault="005D697D" w:rsidP="005D697D">
      <w:pPr>
        <w:pStyle w:val="SingleTxtG"/>
        <w:rPr>
          <w:lang w:bidi="hi-IN"/>
        </w:rPr>
      </w:pPr>
      <w:r w:rsidRPr="00E42DB9">
        <w:rPr>
          <w:lang w:bidi="hi-IN"/>
        </w:rPr>
        <w:tab/>
        <w:t>7.</w:t>
      </w:r>
      <w:r w:rsidRPr="00E42DB9">
        <w:rPr>
          <w:lang w:bidi="hi-IN"/>
        </w:rPr>
        <w:tab/>
      </w:r>
      <w:r w:rsidRPr="00E42DB9">
        <w:rPr>
          <w:i/>
          <w:lang w:bidi="hi-IN"/>
        </w:rPr>
        <w:t xml:space="preserve">Alienta </w:t>
      </w:r>
      <w:r w:rsidRPr="00E42DB9">
        <w:rPr>
          <w:lang w:bidi="hi-IN"/>
        </w:rPr>
        <w:t>al Gobierno de Belarús a que considere la posibilidad de agilizar la iniciativa de establecer una institución nacional de derechos humanos de conformidad con los Principios de París y a seguir avanzando en pro de la consecución de los Objetivos de Desarrollo del Milenio;</w:t>
      </w:r>
    </w:p>
    <w:p w:rsidR="005D697D" w:rsidRPr="00E42DB9" w:rsidRDefault="005D697D" w:rsidP="005D697D">
      <w:pPr>
        <w:pStyle w:val="SingleTxtG"/>
        <w:rPr>
          <w:lang w:bidi="hi-IN"/>
        </w:rPr>
      </w:pPr>
      <w:r w:rsidRPr="00E42DB9">
        <w:rPr>
          <w:lang w:bidi="hi-IN"/>
        </w:rPr>
        <w:tab/>
        <w:t>8.</w:t>
      </w:r>
      <w:r w:rsidRPr="00E42DB9">
        <w:rPr>
          <w:lang w:bidi="hi-IN"/>
        </w:rPr>
        <w:tab/>
      </w:r>
      <w:r w:rsidRPr="00E42DB9">
        <w:rPr>
          <w:i/>
          <w:lang w:bidi="hi-IN"/>
        </w:rPr>
        <w:t xml:space="preserve">Decide </w:t>
      </w:r>
      <w:r w:rsidRPr="00E42DB9">
        <w:rPr>
          <w:lang w:bidi="hi-IN"/>
        </w:rPr>
        <w:t>prorrogar por un año el mandato del Relator Especial sobre la situación de los derechos humanos en Belarús, y le pide que presente un informe sobre la situación de los derechos humanos en ese país al Consejo de Derechos Humanos en su 26º período de sesiones y a la Asamblea General en su sexagésimo noveno período de sesiones;</w:t>
      </w:r>
    </w:p>
    <w:p w:rsidR="005D697D" w:rsidRPr="00E42DB9" w:rsidRDefault="005D697D" w:rsidP="005D697D">
      <w:pPr>
        <w:pStyle w:val="SingleTxtG"/>
        <w:rPr>
          <w:lang w:bidi="hi-IN"/>
        </w:rPr>
      </w:pPr>
      <w:r w:rsidRPr="00E42DB9">
        <w:rPr>
          <w:lang w:bidi="hi-IN"/>
        </w:rPr>
        <w:tab/>
        <w:t>9.</w:t>
      </w:r>
      <w:r w:rsidRPr="00E42DB9">
        <w:rPr>
          <w:lang w:bidi="hi-IN"/>
        </w:rPr>
        <w:tab/>
      </w:r>
      <w:r w:rsidRPr="00E42DB9">
        <w:rPr>
          <w:i/>
          <w:lang w:bidi="hi-IN"/>
        </w:rPr>
        <w:t xml:space="preserve">Insta </w:t>
      </w:r>
      <w:r w:rsidRPr="00E42DB9">
        <w:rPr>
          <w:lang w:bidi="hi-IN"/>
        </w:rPr>
        <w:t>al Gobierno de Belarús a que coopere plenamente con el Relator Especial, en particular otorgándole acceso al país para que lo visite, así como la información necesaria para facilitar el cumplimiento de su mandato;</w:t>
      </w:r>
    </w:p>
    <w:p w:rsidR="005D697D" w:rsidRPr="00E42DB9" w:rsidRDefault="005D697D" w:rsidP="009F4C0C">
      <w:pPr>
        <w:pStyle w:val="SingleTxtG"/>
        <w:keepNext/>
        <w:rPr>
          <w:lang w:bidi="hi-IN"/>
        </w:rPr>
      </w:pPr>
      <w:r w:rsidRPr="00E42DB9">
        <w:rPr>
          <w:lang w:bidi="hi-IN"/>
        </w:rPr>
        <w:tab/>
        <w:t>10.</w:t>
      </w:r>
      <w:r w:rsidRPr="00E42DB9">
        <w:rPr>
          <w:lang w:bidi="hi-IN"/>
        </w:rPr>
        <w:tab/>
      </w:r>
      <w:r w:rsidRPr="00E42DB9">
        <w:rPr>
          <w:i/>
          <w:lang w:bidi="hi-IN"/>
        </w:rPr>
        <w:t xml:space="preserve">Solicita </w:t>
      </w:r>
      <w:r w:rsidRPr="00E42DB9">
        <w:rPr>
          <w:lang w:bidi="hi-IN"/>
        </w:rPr>
        <w:t>a la Oficina del Alto Comisionado de las Naciones Unidas para los Derechos Humanos que proporcione al Relator Especial la asistencia y los recursos necesarios para el cumplimiento de su mandato.</w:t>
      </w:r>
    </w:p>
    <w:p w:rsidR="005D697D" w:rsidRPr="00E42DB9" w:rsidRDefault="005D697D" w:rsidP="009F4C0C">
      <w:pPr>
        <w:pStyle w:val="SingleTxtG"/>
        <w:keepNext/>
        <w:spacing w:after="0"/>
        <w:jc w:val="right"/>
        <w:rPr>
          <w:i/>
          <w:lang w:bidi="hi-IN"/>
        </w:rPr>
      </w:pPr>
      <w:r w:rsidRPr="00E42DB9">
        <w:rPr>
          <w:i/>
          <w:lang w:bidi="hi-IN"/>
        </w:rPr>
        <w:t>38ª sesión</w:t>
      </w:r>
    </w:p>
    <w:p w:rsidR="005D697D" w:rsidRPr="00E42DB9" w:rsidRDefault="005D697D" w:rsidP="005D697D">
      <w:pPr>
        <w:pStyle w:val="SingleTxtG"/>
        <w:jc w:val="right"/>
        <w:rPr>
          <w:i/>
          <w:lang w:bidi="hi-IN"/>
        </w:rPr>
      </w:pPr>
      <w:r w:rsidRPr="00E42DB9">
        <w:rPr>
          <w:i/>
          <w:lang w:bidi="hi-IN"/>
        </w:rPr>
        <w:t>13 de junio de 2013</w:t>
      </w:r>
    </w:p>
    <w:p w:rsidR="005D697D" w:rsidRPr="00E42DB9" w:rsidRDefault="005D697D" w:rsidP="005D697D">
      <w:pPr>
        <w:pStyle w:val="SingleTxtG"/>
        <w:rPr>
          <w:lang w:bidi="hi-IN"/>
        </w:rPr>
      </w:pPr>
      <w:r w:rsidRPr="00E42DB9">
        <w:rPr>
          <w:lang w:bidi="hi-IN"/>
        </w:rPr>
        <w:t>[Aprobada en votación registrada de 26 votos contra 3 y 18 abstenciones. El resultado de la votación es el siguiente:</w:t>
      </w:r>
    </w:p>
    <w:p w:rsidR="005D697D" w:rsidRPr="00E42DB9" w:rsidRDefault="005D697D" w:rsidP="005D697D">
      <w:pPr>
        <w:pStyle w:val="SingleTxtG"/>
        <w:spacing w:after="0"/>
        <w:rPr>
          <w:i/>
          <w:lang w:bidi="hi-IN"/>
        </w:rPr>
      </w:pPr>
      <w:r>
        <w:rPr>
          <w:i/>
          <w:lang w:bidi="hi-IN"/>
        </w:rPr>
        <w:tab/>
      </w:r>
      <w:r w:rsidRPr="00E42DB9">
        <w:rPr>
          <w:i/>
          <w:lang w:bidi="hi-IN"/>
        </w:rPr>
        <w:t>Votos a favor:</w:t>
      </w:r>
    </w:p>
    <w:p w:rsidR="005D697D" w:rsidRPr="00E42DB9" w:rsidRDefault="005D697D" w:rsidP="005D697D">
      <w:pPr>
        <w:pStyle w:val="SingleTxtG"/>
        <w:ind w:left="2268"/>
        <w:rPr>
          <w:lang w:bidi="hi-IN"/>
        </w:rPr>
      </w:pPr>
      <w:r w:rsidRPr="00E42DB9">
        <w:rPr>
          <w:lang w:bidi="hi-IN"/>
        </w:rPr>
        <w:t>Alemania, Argentina, Austria, Benin, Botswana, Brasil, Burkina Faso, Chile, Congo, Costa Rica, España, Estados Unidos de América</w:t>
      </w:r>
      <w:r>
        <w:rPr>
          <w:lang w:bidi="hi-IN"/>
        </w:rPr>
        <w:t>,</w:t>
      </w:r>
      <w:r w:rsidRPr="00E42DB9">
        <w:rPr>
          <w:lang w:bidi="hi-IN"/>
        </w:rPr>
        <w:t xml:space="preserve"> Estonia, Gabón, Guatemala, Irlanda, Italia, Japón, Maldivas, Montenegro, Perú, Polonia, República Checa, República de Corea, Rumania, Suiza</w:t>
      </w:r>
      <w:r>
        <w:rPr>
          <w:lang w:bidi="hi-IN"/>
        </w:rPr>
        <w:t>.</w:t>
      </w:r>
    </w:p>
    <w:p w:rsidR="005D697D" w:rsidRPr="00E42DB9" w:rsidRDefault="005D697D" w:rsidP="005D697D">
      <w:pPr>
        <w:pStyle w:val="SingleTxtG"/>
        <w:spacing w:after="0"/>
        <w:rPr>
          <w:i/>
          <w:lang w:bidi="hi-IN"/>
        </w:rPr>
      </w:pPr>
      <w:r>
        <w:rPr>
          <w:i/>
          <w:lang w:bidi="hi-IN"/>
        </w:rPr>
        <w:tab/>
      </w:r>
      <w:r w:rsidRPr="00E42DB9">
        <w:rPr>
          <w:i/>
          <w:lang w:bidi="hi-IN"/>
        </w:rPr>
        <w:t>Votos en contra:</w:t>
      </w:r>
    </w:p>
    <w:p w:rsidR="005D697D" w:rsidRPr="00E42DB9" w:rsidRDefault="005D697D" w:rsidP="005D697D">
      <w:pPr>
        <w:pStyle w:val="SingleTxtG"/>
        <w:ind w:left="2268"/>
        <w:rPr>
          <w:lang w:bidi="hi-IN"/>
        </w:rPr>
      </w:pPr>
      <w:r w:rsidRPr="00E42DB9">
        <w:rPr>
          <w:lang w:bidi="hi-IN"/>
        </w:rPr>
        <w:t>India, Kazajstán, Venezuela (República Bolivariana de)</w:t>
      </w:r>
      <w:r>
        <w:rPr>
          <w:lang w:bidi="hi-IN"/>
        </w:rPr>
        <w:t>.</w:t>
      </w:r>
    </w:p>
    <w:p w:rsidR="005D697D" w:rsidRPr="00E42DB9" w:rsidRDefault="005D697D" w:rsidP="005D697D">
      <w:pPr>
        <w:pStyle w:val="SingleTxtG"/>
        <w:spacing w:after="0"/>
        <w:rPr>
          <w:i/>
          <w:lang w:bidi="hi-IN"/>
        </w:rPr>
      </w:pPr>
      <w:r>
        <w:rPr>
          <w:i/>
          <w:lang w:bidi="hi-IN"/>
        </w:rPr>
        <w:tab/>
      </w:r>
      <w:r w:rsidRPr="00E42DB9">
        <w:rPr>
          <w:i/>
          <w:lang w:bidi="hi-IN"/>
        </w:rPr>
        <w:t>Abstenciones:</w:t>
      </w:r>
    </w:p>
    <w:p w:rsidR="005D697D" w:rsidRDefault="005D697D" w:rsidP="005D697D">
      <w:pPr>
        <w:pStyle w:val="SingleTxtG"/>
        <w:ind w:left="2268"/>
        <w:rPr>
          <w:lang w:bidi="hi-IN"/>
        </w:rPr>
      </w:pPr>
      <w:r w:rsidRPr="00E42DB9">
        <w:rPr>
          <w:lang w:bidi="hi-IN"/>
        </w:rPr>
        <w:t>Ango</w:t>
      </w:r>
      <w:r>
        <w:rPr>
          <w:lang w:bidi="hi-IN"/>
        </w:rPr>
        <w:t>la, Côte d'</w:t>
      </w:r>
      <w:r w:rsidRPr="00E42DB9">
        <w:rPr>
          <w:lang w:bidi="hi-IN"/>
        </w:rPr>
        <w:t>Ivoire, Ecuador, Emiratos Árabes Unidos</w:t>
      </w:r>
      <w:r>
        <w:rPr>
          <w:lang w:bidi="hi-IN"/>
        </w:rPr>
        <w:t>,</w:t>
      </w:r>
      <w:r w:rsidRPr="00E42DB9">
        <w:rPr>
          <w:lang w:bidi="hi-IN"/>
        </w:rPr>
        <w:t xml:space="preserve"> Etiopía, Filipinas, Indonesia, Kenya, Kuwait, Libia, Malasia, Mauritania, Pakistán, Qatar, República de Moldova, Sierra Leona, Tailandia, Uganda</w:t>
      </w:r>
      <w:r>
        <w:rPr>
          <w:lang w:bidi="hi-IN"/>
        </w:rPr>
        <w:t>.</w:t>
      </w:r>
      <w:r w:rsidRPr="00E42DB9">
        <w:rPr>
          <w:lang w:bidi="hi-IN"/>
        </w:rPr>
        <w:t>]</w:t>
      </w:r>
    </w:p>
    <w:p w:rsidR="0002256F" w:rsidRPr="005D697D" w:rsidRDefault="005D697D" w:rsidP="005D697D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1075E9" w:rsidRDefault="00381C24" w:rsidP="0002256F">
      <w:pPr>
        <w:pStyle w:val="SingleTxtG"/>
      </w:pPr>
    </w:p>
    <w:sectPr w:rsidR="00381C24" w:rsidRPr="001075E9" w:rsidSect="0002256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93C" w:rsidRDefault="002A393C">
      <w:r>
        <w:separator/>
      </w:r>
    </w:p>
  </w:endnote>
  <w:endnote w:type="continuationSeparator" w:id="0">
    <w:p w:rsidR="002A393C" w:rsidRDefault="002A39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56F" w:rsidRPr="0002256F" w:rsidRDefault="0002256F" w:rsidP="0002256F">
    <w:pPr>
      <w:pStyle w:val="Footer"/>
      <w:tabs>
        <w:tab w:val="right" w:pos="9638"/>
      </w:tabs>
    </w:pPr>
    <w:r w:rsidRPr="0002256F">
      <w:rPr>
        <w:b/>
        <w:sz w:val="18"/>
      </w:rPr>
      <w:fldChar w:fldCharType="begin"/>
    </w:r>
    <w:r w:rsidRPr="0002256F">
      <w:rPr>
        <w:b/>
        <w:sz w:val="18"/>
      </w:rPr>
      <w:instrText xml:space="preserve"> PAGE  \* MERGEFORMAT </w:instrText>
    </w:r>
    <w:r w:rsidRPr="0002256F">
      <w:rPr>
        <w:b/>
        <w:sz w:val="18"/>
      </w:rPr>
      <w:fldChar w:fldCharType="separate"/>
    </w:r>
    <w:r w:rsidR="00E82198">
      <w:rPr>
        <w:b/>
        <w:noProof/>
        <w:sz w:val="18"/>
      </w:rPr>
      <w:t>2</w:t>
    </w:r>
    <w:r w:rsidRPr="0002256F">
      <w:rPr>
        <w:b/>
        <w:sz w:val="18"/>
      </w:rPr>
      <w:fldChar w:fldCharType="end"/>
    </w:r>
    <w:r>
      <w:rPr>
        <w:b/>
        <w:sz w:val="18"/>
      </w:rPr>
      <w:tab/>
    </w:r>
    <w:r>
      <w:t>GE.13-15066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56F" w:rsidRPr="0002256F" w:rsidRDefault="0002256F" w:rsidP="0002256F">
    <w:pPr>
      <w:pStyle w:val="Footer"/>
      <w:tabs>
        <w:tab w:val="right" w:pos="9638"/>
      </w:tabs>
      <w:rPr>
        <w:b/>
        <w:sz w:val="18"/>
      </w:rPr>
    </w:pPr>
    <w:r>
      <w:t>GE.13-15066</w:t>
    </w:r>
    <w:r>
      <w:tab/>
    </w:r>
    <w:r w:rsidRPr="0002256F">
      <w:rPr>
        <w:b/>
        <w:sz w:val="18"/>
      </w:rPr>
      <w:fldChar w:fldCharType="begin"/>
    </w:r>
    <w:r w:rsidRPr="0002256F">
      <w:rPr>
        <w:b/>
        <w:sz w:val="18"/>
      </w:rPr>
      <w:instrText xml:space="preserve"> PAGE  \* MERGEFORMAT </w:instrText>
    </w:r>
    <w:r w:rsidRPr="0002256F">
      <w:rPr>
        <w:b/>
        <w:sz w:val="18"/>
      </w:rPr>
      <w:fldChar w:fldCharType="separate"/>
    </w:r>
    <w:r w:rsidR="00E82198">
      <w:rPr>
        <w:b/>
        <w:noProof/>
        <w:sz w:val="18"/>
      </w:rPr>
      <w:t>3</w:t>
    </w:r>
    <w:r w:rsidRPr="0002256F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9EC" w:rsidRPr="0002256F" w:rsidRDefault="0002256F">
    <w:pPr>
      <w:pStyle w:val="Footer"/>
      <w:rPr>
        <w:sz w:val="20"/>
      </w:rPr>
    </w:pPr>
    <w:r>
      <w:rPr>
        <w:sz w:val="20"/>
      </w:rPr>
      <w:t>GE.</w:t>
    </w:r>
    <w:r w:rsidR="00E839E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8.75pt;margin-top:742.05pt;width:85.5pt;height:18pt;z-index:1;mso-position-horizontal-relative:margin;mso-position-vertical-relative:page" wrapcoords="18189 0 0 9900 -189 12600 -189 17100 758 19800 19516 19800 20274 19800 21032 14400 21600 14400 21600 8100 20653 0 18189 0">
          <v:imagedata r:id="rId1" o:title="recycle_Spanish"/>
          <w10:wrap anchorx="margin" anchory="page"/>
          <w10:anchorlock/>
        </v:shape>
      </w:pict>
    </w:r>
    <w:r>
      <w:rPr>
        <w:sz w:val="20"/>
      </w:rPr>
      <w:t>13-15066  (S)</w:t>
    </w:r>
    <w:r w:rsidR="009F4C0C">
      <w:rPr>
        <w:sz w:val="20"/>
      </w:rPr>
      <w:t xml:space="preserve">    280613    020713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93C" w:rsidRPr="001075E9" w:rsidRDefault="002A393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A393C" w:rsidRDefault="002A393C" w:rsidP="0088227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5D697D" w:rsidRPr="00E87F81" w:rsidRDefault="005D697D" w:rsidP="005D697D">
      <w:pPr>
        <w:pStyle w:val="FootnoteText"/>
        <w:rPr>
          <w:sz w:val="20"/>
        </w:rPr>
      </w:pPr>
      <w:r>
        <w:tab/>
      </w:r>
      <w:r w:rsidRPr="00E87F81">
        <w:rPr>
          <w:rStyle w:val="FootnoteReference"/>
          <w:sz w:val="20"/>
          <w:vertAlign w:val="baseline"/>
        </w:rPr>
        <w:t>*</w:t>
      </w:r>
      <w:r w:rsidRPr="00E87F81">
        <w:tab/>
      </w:r>
      <w:r w:rsidRPr="00E87F81">
        <w:rPr>
          <w:rFonts w:eastAsia="SimSun"/>
          <w:szCs w:val="18"/>
          <w:lang w:val="es-ES_tradnl" w:eastAsia="zh-CN"/>
        </w:rPr>
        <w:t>Las resoluciones y decisiones aprobadas por el Consejo de Derechos Humanos se publicarán en el informe del Consejo sobre su 23º período de sesiones (A/HRC/23/2), cap.</w:t>
      </w:r>
      <w:r w:rsidRPr="00E87F81">
        <w:rPr>
          <w:rFonts w:eastAsia="SimSun"/>
          <w:szCs w:val="18"/>
          <w:lang w:eastAsia="zh-CN"/>
        </w:rPr>
        <w:t xml:space="preserve"> </w:t>
      </w:r>
      <w:r w:rsidRPr="00E87F81">
        <w:rPr>
          <w:rFonts w:eastAsia="SimSun"/>
          <w:szCs w:val="18"/>
          <w:lang w:val="es-ES_tradnl" w:eastAsia="zh-CN"/>
        </w:rPr>
        <w:t>I.</w:t>
      </w:r>
    </w:p>
  </w:footnote>
  <w:footnote w:id="2">
    <w:p w:rsidR="005D697D" w:rsidRPr="00E87F81" w:rsidRDefault="005D697D" w:rsidP="009F4C0C">
      <w:pPr>
        <w:pStyle w:val="FootnoteText"/>
        <w:spacing w:after="120" w:line="240" w:lineRule="auto"/>
        <w:ind w:left="0" w:right="0" w:firstLine="0"/>
        <w:rPr>
          <w:szCs w:val="18"/>
        </w:rPr>
      </w:pPr>
      <w:r w:rsidRPr="009F28A7">
        <w:rPr>
          <w:sz w:val="24"/>
          <w:szCs w:val="24"/>
        </w:rPr>
        <w:tab/>
      </w:r>
      <w:r w:rsidRPr="00E87F81">
        <w:rPr>
          <w:rStyle w:val="FootnoteReference"/>
          <w:szCs w:val="18"/>
        </w:rPr>
        <w:footnoteRef/>
      </w:r>
      <w:r w:rsidRPr="00E87F81">
        <w:rPr>
          <w:szCs w:val="18"/>
        </w:rPr>
        <w:tab/>
      </w:r>
      <w:r w:rsidRPr="00E87F81">
        <w:rPr>
          <w:szCs w:val="18"/>
          <w:lang w:val="es-ES_tradnl"/>
        </w:rPr>
        <w:t>A/HRC/23/52.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56F" w:rsidRPr="0002256F" w:rsidRDefault="0002256F">
    <w:pPr>
      <w:pStyle w:val="Header"/>
    </w:pPr>
    <w:r>
      <w:t>A/HRC/RES/23/15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56F" w:rsidRPr="0002256F" w:rsidRDefault="0002256F" w:rsidP="0002256F">
    <w:pPr>
      <w:pStyle w:val="Header"/>
      <w:jc w:val="right"/>
    </w:pPr>
    <w:r>
      <w:t>A/HRC/RES/23/15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39EC"/>
    <w:rsid w:val="0002256F"/>
    <w:rsid w:val="0008650D"/>
    <w:rsid w:val="000B57E7"/>
    <w:rsid w:val="000F09DF"/>
    <w:rsid w:val="000F0DA4"/>
    <w:rsid w:val="000F61B2"/>
    <w:rsid w:val="0010219A"/>
    <w:rsid w:val="001075E9"/>
    <w:rsid w:val="001414AD"/>
    <w:rsid w:val="00177CBA"/>
    <w:rsid w:val="00180183"/>
    <w:rsid w:val="00196389"/>
    <w:rsid w:val="001C7A89"/>
    <w:rsid w:val="002A2EFC"/>
    <w:rsid w:val="002A393C"/>
    <w:rsid w:val="002D16F0"/>
    <w:rsid w:val="002D5AAC"/>
    <w:rsid w:val="00301299"/>
    <w:rsid w:val="00313431"/>
    <w:rsid w:val="00322004"/>
    <w:rsid w:val="003402C2"/>
    <w:rsid w:val="00381C24"/>
    <w:rsid w:val="003958D0"/>
    <w:rsid w:val="003D064D"/>
    <w:rsid w:val="00403A7C"/>
    <w:rsid w:val="0041031F"/>
    <w:rsid w:val="00454E07"/>
    <w:rsid w:val="004B19F2"/>
    <w:rsid w:val="004E2655"/>
    <w:rsid w:val="0050108D"/>
    <w:rsid w:val="005016AF"/>
    <w:rsid w:val="005076AF"/>
    <w:rsid w:val="0052159C"/>
    <w:rsid w:val="005567D9"/>
    <w:rsid w:val="00572E19"/>
    <w:rsid w:val="005A4166"/>
    <w:rsid w:val="005D697D"/>
    <w:rsid w:val="005F0B42"/>
    <w:rsid w:val="0064421C"/>
    <w:rsid w:val="006F35EE"/>
    <w:rsid w:val="00710CF8"/>
    <w:rsid w:val="00716C6F"/>
    <w:rsid w:val="007464CC"/>
    <w:rsid w:val="007D6339"/>
    <w:rsid w:val="00802199"/>
    <w:rsid w:val="008308A6"/>
    <w:rsid w:val="00830923"/>
    <w:rsid w:val="00834B71"/>
    <w:rsid w:val="0085022A"/>
    <w:rsid w:val="0086445C"/>
    <w:rsid w:val="00882271"/>
    <w:rsid w:val="008A08D7"/>
    <w:rsid w:val="00906890"/>
    <w:rsid w:val="00951972"/>
    <w:rsid w:val="009E78C4"/>
    <w:rsid w:val="009F4C0C"/>
    <w:rsid w:val="00A00CB2"/>
    <w:rsid w:val="00A500CE"/>
    <w:rsid w:val="00A917B3"/>
    <w:rsid w:val="00AB05F9"/>
    <w:rsid w:val="00AB4B51"/>
    <w:rsid w:val="00AB4EB2"/>
    <w:rsid w:val="00AF5B56"/>
    <w:rsid w:val="00B10CC7"/>
    <w:rsid w:val="00B62458"/>
    <w:rsid w:val="00B6350A"/>
    <w:rsid w:val="00BC161C"/>
    <w:rsid w:val="00BD33EE"/>
    <w:rsid w:val="00BD6E50"/>
    <w:rsid w:val="00BE734D"/>
    <w:rsid w:val="00C3580D"/>
    <w:rsid w:val="00C60F0C"/>
    <w:rsid w:val="00C805C9"/>
    <w:rsid w:val="00CA1679"/>
    <w:rsid w:val="00CE34F5"/>
    <w:rsid w:val="00D565B1"/>
    <w:rsid w:val="00D738F9"/>
    <w:rsid w:val="00D90138"/>
    <w:rsid w:val="00D97076"/>
    <w:rsid w:val="00E66A25"/>
    <w:rsid w:val="00E73F76"/>
    <w:rsid w:val="00E82198"/>
    <w:rsid w:val="00E839EC"/>
    <w:rsid w:val="00EF1360"/>
    <w:rsid w:val="00EF3220"/>
    <w:rsid w:val="00F22CAE"/>
    <w:rsid w:val="00F33585"/>
    <w:rsid w:val="00FB6CD8"/>
    <w:rsid w:val="00FD2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3431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FB6CD8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313431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3134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134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1343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31343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313431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313431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31343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31343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313431"/>
  </w:style>
  <w:style w:type="character" w:styleId="FootnoteReference">
    <w:name w:val="footnote reference"/>
    <w:aliases w:val="4_G"/>
    <w:basedOn w:val="DefaultParagraphFont"/>
    <w:rsid w:val="0031343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H1GChar">
    <w:name w:val="_ H_1_G Char"/>
    <w:link w:val="H1G"/>
    <w:rsid w:val="005D697D"/>
    <w:rPr>
      <w:b/>
      <w:sz w:val="24"/>
      <w:lang w:val="es-ES" w:eastAsia="es-ES" w:bidi="ar-SA"/>
    </w:rPr>
  </w:style>
  <w:style w:type="character" w:customStyle="1" w:styleId="SingleTxtGChar">
    <w:name w:val="_ Single Txt_G Char"/>
    <w:link w:val="SingleTxtG"/>
    <w:rsid w:val="005D697D"/>
    <w:rPr>
      <w:lang w:val="es-ES" w:eastAsia="es-ES" w:bidi="ar-SA"/>
    </w:rPr>
  </w:style>
  <w:style w:type="paragraph" w:customStyle="1" w:styleId="H1G">
    <w:name w:val="_ H_1_G"/>
    <w:basedOn w:val="Normal"/>
    <w:next w:val="Normal"/>
    <w:link w:val="H1GChar"/>
    <w:rsid w:val="00313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D9707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rsid w:val="00313431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31343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1343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1343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313431"/>
    <w:rPr>
      <w:sz w:val="16"/>
    </w:rPr>
  </w:style>
  <w:style w:type="paragraph" w:customStyle="1" w:styleId="XLargeG">
    <w:name w:val="__XLarge_G"/>
    <w:basedOn w:val="Normal"/>
    <w:next w:val="Normal"/>
    <w:rsid w:val="0031343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31343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313431"/>
    <w:pPr>
      <w:numPr>
        <w:numId w:val="3"/>
      </w:numPr>
    </w:pPr>
  </w:style>
  <w:style w:type="numbering" w:styleId="1ai">
    <w:name w:val="Outline List 1"/>
    <w:basedOn w:val="NoList"/>
    <w:semiHidden/>
    <w:rsid w:val="00313431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313431"/>
  </w:style>
  <w:style w:type="numbering" w:styleId="ArticleSection">
    <w:name w:val="Outline List 3"/>
    <w:basedOn w:val="NoList"/>
    <w:semiHidden/>
    <w:rsid w:val="00313431"/>
    <w:pPr>
      <w:numPr>
        <w:numId w:val="5"/>
      </w:numPr>
    </w:pPr>
  </w:style>
  <w:style w:type="paragraph" w:styleId="Closing">
    <w:name w:val="Closing"/>
    <w:basedOn w:val="Normal"/>
    <w:semiHidden/>
    <w:rsid w:val="00313431"/>
    <w:pPr>
      <w:ind w:left="4252"/>
    </w:pPr>
  </w:style>
  <w:style w:type="character" w:styleId="HTMLCite">
    <w:name w:val="HTML Cite"/>
    <w:basedOn w:val="DefaultParagraphFont"/>
    <w:semiHidden/>
    <w:rsid w:val="00313431"/>
    <w:rPr>
      <w:i/>
      <w:iCs/>
    </w:rPr>
  </w:style>
  <w:style w:type="character" w:styleId="HTMLCode">
    <w:name w:val="HTML Code"/>
    <w:basedOn w:val="DefaultParagraphFont"/>
    <w:semiHidden/>
    <w:rsid w:val="00313431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313431"/>
    <w:pPr>
      <w:spacing w:after="120"/>
      <w:ind w:left="283"/>
    </w:pPr>
  </w:style>
  <w:style w:type="paragraph" w:styleId="ListContinue2">
    <w:name w:val="List Continue 2"/>
    <w:basedOn w:val="Normal"/>
    <w:semiHidden/>
    <w:rsid w:val="00313431"/>
    <w:pPr>
      <w:spacing w:after="120"/>
      <w:ind w:left="566"/>
    </w:pPr>
  </w:style>
  <w:style w:type="paragraph" w:styleId="ListContinue3">
    <w:name w:val="List Continue 3"/>
    <w:basedOn w:val="Normal"/>
    <w:semiHidden/>
    <w:rsid w:val="00313431"/>
    <w:pPr>
      <w:spacing w:after="120"/>
      <w:ind w:left="849"/>
    </w:pPr>
  </w:style>
  <w:style w:type="paragraph" w:styleId="ListContinue4">
    <w:name w:val="List Continue 4"/>
    <w:basedOn w:val="Normal"/>
    <w:semiHidden/>
    <w:rsid w:val="00313431"/>
    <w:pPr>
      <w:spacing w:after="120"/>
      <w:ind w:left="1132"/>
    </w:pPr>
  </w:style>
  <w:style w:type="paragraph" w:styleId="ListContinue5">
    <w:name w:val="List Continue 5"/>
    <w:basedOn w:val="Normal"/>
    <w:semiHidden/>
    <w:rsid w:val="00313431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313431"/>
    <w:rPr>
      <w:i/>
      <w:iCs/>
    </w:rPr>
  </w:style>
  <w:style w:type="paragraph" w:styleId="HTMLAddress">
    <w:name w:val="HTML Address"/>
    <w:basedOn w:val="Normal"/>
    <w:semiHidden/>
    <w:rsid w:val="00313431"/>
    <w:rPr>
      <w:i/>
      <w:iCs/>
    </w:rPr>
  </w:style>
  <w:style w:type="paragraph" w:styleId="EnvelopeAddress">
    <w:name w:val="envelope address"/>
    <w:basedOn w:val="Normal"/>
    <w:semiHidden/>
    <w:rsid w:val="0031343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313431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3134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313431"/>
  </w:style>
  <w:style w:type="character" w:styleId="Emphasis">
    <w:name w:val="Emphasis"/>
    <w:basedOn w:val="DefaultParagraphFont"/>
    <w:qFormat/>
    <w:rsid w:val="00313431"/>
    <w:rPr>
      <w:i/>
      <w:iCs/>
    </w:rPr>
  </w:style>
  <w:style w:type="paragraph" w:styleId="Date">
    <w:name w:val="Date"/>
    <w:basedOn w:val="Normal"/>
    <w:next w:val="Normal"/>
    <w:semiHidden/>
    <w:rsid w:val="00313431"/>
  </w:style>
  <w:style w:type="paragraph" w:styleId="Signature">
    <w:name w:val="Signature"/>
    <w:basedOn w:val="Normal"/>
    <w:semiHidden/>
    <w:rsid w:val="00313431"/>
    <w:pPr>
      <w:ind w:left="4252"/>
    </w:pPr>
  </w:style>
  <w:style w:type="paragraph" w:styleId="E-mailSignature">
    <w:name w:val="E-mail Signature"/>
    <w:basedOn w:val="Normal"/>
    <w:semiHidden/>
    <w:rsid w:val="00313431"/>
  </w:style>
  <w:style w:type="character" w:styleId="Hyperlink">
    <w:name w:val="Hyperlink"/>
    <w:basedOn w:val="DefaultParagraphFont"/>
    <w:semiHidden/>
    <w:rsid w:val="00313431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313431"/>
    <w:rPr>
      <w:color w:val="800080"/>
      <w:u w:val="single"/>
    </w:rPr>
  </w:style>
  <w:style w:type="paragraph" w:styleId="HTMLPreformatted">
    <w:name w:val="HTML Preformatted"/>
    <w:basedOn w:val="Normal"/>
    <w:semiHidden/>
    <w:rsid w:val="00313431"/>
    <w:rPr>
      <w:rFonts w:ascii="Courier New" w:hAnsi="Courier New" w:cs="Courier New"/>
    </w:rPr>
  </w:style>
  <w:style w:type="paragraph" w:styleId="List">
    <w:name w:val="List"/>
    <w:basedOn w:val="Normal"/>
    <w:semiHidden/>
    <w:rsid w:val="00313431"/>
    <w:pPr>
      <w:ind w:left="283" w:hanging="283"/>
    </w:pPr>
  </w:style>
  <w:style w:type="paragraph" w:styleId="List2">
    <w:name w:val="List 2"/>
    <w:basedOn w:val="Normal"/>
    <w:semiHidden/>
    <w:rsid w:val="00313431"/>
    <w:pPr>
      <w:ind w:left="566" w:hanging="283"/>
    </w:pPr>
  </w:style>
  <w:style w:type="paragraph" w:styleId="List3">
    <w:name w:val="List 3"/>
    <w:basedOn w:val="Normal"/>
    <w:semiHidden/>
    <w:rsid w:val="00313431"/>
    <w:pPr>
      <w:ind w:left="849" w:hanging="283"/>
    </w:pPr>
  </w:style>
  <w:style w:type="paragraph" w:styleId="List4">
    <w:name w:val="List 4"/>
    <w:basedOn w:val="Normal"/>
    <w:semiHidden/>
    <w:rsid w:val="00313431"/>
    <w:pPr>
      <w:ind w:left="1132" w:hanging="283"/>
    </w:pPr>
  </w:style>
  <w:style w:type="paragraph" w:styleId="List5">
    <w:name w:val="List 5"/>
    <w:basedOn w:val="Normal"/>
    <w:semiHidden/>
    <w:rsid w:val="00313431"/>
    <w:pPr>
      <w:ind w:left="1415" w:hanging="283"/>
    </w:pPr>
  </w:style>
  <w:style w:type="paragraph" w:styleId="ListNumber">
    <w:name w:val="List Number"/>
    <w:basedOn w:val="Normal"/>
    <w:semiHidden/>
    <w:rsid w:val="00313431"/>
    <w:pPr>
      <w:numPr>
        <w:numId w:val="6"/>
      </w:numPr>
    </w:pPr>
  </w:style>
  <w:style w:type="paragraph" w:styleId="ListNumber2">
    <w:name w:val="List Number 2"/>
    <w:basedOn w:val="Normal"/>
    <w:semiHidden/>
    <w:rsid w:val="00313431"/>
    <w:pPr>
      <w:numPr>
        <w:numId w:val="7"/>
      </w:numPr>
    </w:pPr>
  </w:style>
  <w:style w:type="paragraph" w:styleId="ListNumber3">
    <w:name w:val="List Number 3"/>
    <w:basedOn w:val="Normal"/>
    <w:semiHidden/>
    <w:rsid w:val="00313431"/>
    <w:pPr>
      <w:numPr>
        <w:numId w:val="8"/>
      </w:numPr>
    </w:pPr>
  </w:style>
  <w:style w:type="paragraph" w:styleId="ListNumber4">
    <w:name w:val="List Number 4"/>
    <w:basedOn w:val="Normal"/>
    <w:semiHidden/>
    <w:rsid w:val="00313431"/>
    <w:pPr>
      <w:numPr>
        <w:numId w:val="9"/>
      </w:numPr>
    </w:pPr>
  </w:style>
  <w:style w:type="paragraph" w:styleId="ListNumber5">
    <w:name w:val="List Number 5"/>
    <w:basedOn w:val="Normal"/>
    <w:semiHidden/>
    <w:rsid w:val="00313431"/>
    <w:pPr>
      <w:numPr>
        <w:numId w:val="10"/>
      </w:numPr>
    </w:pPr>
  </w:style>
  <w:style w:type="paragraph" w:styleId="ListBullet">
    <w:name w:val="List Bullet"/>
    <w:basedOn w:val="Normal"/>
    <w:semiHidden/>
    <w:rsid w:val="00313431"/>
    <w:pPr>
      <w:numPr>
        <w:numId w:val="11"/>
      </w:numPr>
    </w:pPr>
  </w:style>
  <w:style w:type="paragraph" w:styleId="ListBullet2">
    <w:name w:val="List Bullet 2"/>
    <w:basedOn w:val="Normal"/>
    <w:semiHidden/>
    <w:rsid w:val="00313431"/>
    <w:pPr>
      <w:numPr>
        <w:numId w:val="12"/>
      </w:numPr>
    </w:pPr>
  </w:style>
  <w:style w:type="paragraph" w:styleId="ListBullet3">
    <w:name w:val="List Bullet 3"/>
    <w:basedOn w:val="Normal"/>
    <w:semiHidden/>
    <w:rsid w:val="00313431"/>
    <w:pPr>
      <w:numPr>
        <w:numId w:val="13"/>
      </w:numPr>
    </w:pPr>
  </w:style>
  <w:style w:type="paragraph" w:styleId="ListBullet4">
    <w:name w:val="List Bullet 4"/>
    <w:basedOn w:val="Normal"/>
    <w:semiHidden/>
    <w:rsid w:val="00313431"/>
    <w:pPr>
      <w:numPr>
        <w:numId w:val="14"/>
      </w:numPr>
    </w:pPr>
  </w:style>
  <w:style w:type="paragraph" w:styleId="ListBullet5">
    <w:name w:val="List Bullet 5"/>
    <w:basedOn w:val="Normal"/>
    <w:semiHidden/>
    <w:rsid w:val="00313431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31343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313431"/>
    <w:rPr>
      <w:sz w:val="24"/>
      <w:szCs w:val="24"/>
    </w:rPr>
  </w:style>
  <w:style w:type="character" w:styleId="LineNumber">
    <w:name w:val="line number"/>
    <w:basedOn w:val="DefaultParagraphFont"/>
    <w:semiHidden/>
    <w:rsid w:val="00313431"/>
  </w:style>
  <w:style w:type="character" w:styleId="PageNumber">
    <w:name w:val="page number"/>
    <w:aliases w:val="7_G"/>
    <w:basedOn w:val="DefaultParagraphFont"/>
    <w:rsid w:val="00313431"/>
    <w:rPr>
      <w:b/>
      <w:sz w:val="18"/>
    </w:rPr>
  </w:style>
  <w:style w:type="character" w:styleId="EndnoteReference">
    <w:name w:val="endnote reference"/>
    <w:aliases w:val="1_G"/>
    <w:basedOn w:val="FootnoteReference"/>
    <w:rsid w:val="00313431"/>
  </w:style>
  <w:style w:type="paragraph" w:styleId="EnvelopeReturn">
    <w:name w:val="envelope return"/>
    <w:basedOn w:val="Normal"/>
    <w:semiHidden/>
    <w:rsid w:val="00313431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313431"/>
  </w:style>
  <w:style w:type="paragraph" w:styleId="BodyTextIndent2">
    <w:name w:val="Body Text Indent 2"/>
    <w:basedOn w:val="Normal"/>
    <w:semiHidden/>
    <w:rsid w:val="00313431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313431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313431"/>
    <w:pPr>
      <w:spacing w:after="120"/>
      <w:ind w:left="283"/>
    </w:pPr>
  </w:style>
  <w:style w:type="paragraph" w:styleId="NormalIndent">
    <w:name w:val="Normal Indent"/>
    <w:basedOn w:val="Normal"/>
    <w:semiHidden/>
    <w:rsid w:val="00313431"/>
    <w:pPr>
      <w:ind w:left="567"/>
    </w:pPr>
  </w:style>
  <w:style w:type="paragraph" w:styleId="Subtitle">
    <w:name w:val="Subtitle"/>
    <w:basedOn w:val="Normal"/>
    <w:qFormat/>
    <w:rsid w:val="0031343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313431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313431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313431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313431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313431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313431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313431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313431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313431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313431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313431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313431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313431"/>
    <w:rPr>
      <w:b/>
      <w:bCs/>
    </w:rPr>
  </w:style>
  <w:style w:type="paragraph" w:styleId="BodyText">
    <w:name w:val="Body Text"/>
    <w:basedOn w:val="Normal"/>
    <w:semiHidden/>
    <w:rsid w:val="00313431"/>
    <w:pPr>
      <w:spacing w:after="120"/>
    </w:pPr>
  </w:style>
  <w:style w:type="paragraph" w:styleId="BodyText2">
    <w:name w:val="Body Text 2"/>
    <w:basedOn w:val="Normal"/>
    <w:semiHidden/>
    <w:rsid w:val="00313431"/>
    <w:pPr>
      <w:spacing w:after="120" w:line="480" w:lineRule="auto"/>
    </w:pPr>
  </w:style>
  <w:style w:type="paragraph" w:styleId="BodyText3">
    <w:name w:val="Body Text 3"/>
    <w:basedOn w:val="Normal"/>
    <w:semiHidden/>
    <w:rsid w:val="00313431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313431"/>
    <w:pPr>
      <w:ind w:firstLine="210"/>
    </w:pPr>
  </w:style>
  <w:style w:type="paragraph" w:styleId="BodyTextFirstIndent2">
    <w:name w:val="Body Text First Indent 2"/>
    <w:basedOn w:val="BodyTextIndent"/>
    <w:semiHidden/>
    <w:rsid w:val="00313431"/>
    <w:pPr>
      <w:ind w:firstLine="210"/>
    </w:pPr>
  </w:style>
  <w:style w:type="paragraph" w:styleId="EndnoteText">
    <w:name w:val="endnote text"/>
    <w:aliases w:val="2_G"/>
    <w:basedOn w:val="FootnoteText"/>
    <w:rsid w:val="00313431"/>
  </w:style>
  <w:style w:type="paragraph" w:styleId="PlainText">
    <w:name w:val="Plain Text"/>
    <w:basedOn w:val="Normal"/>
    <w:semiHidden/>
    <w:rsid w:val="00313431"/>
    <w:rPr>
      <w:rFonts w:ascii="Courier New" w:hAnsi="Courier New" w:cs="Courier New"/>
    </w:rPr>
  </w:style>
  <w:style w:type="paragraph" w:styleId="Title">
    <w:name w:val="Title"/>
    <w:basedOn w:val="Normal"/>
    <w:qFormat/>
    <w:rsid w:val="0031343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313431"/>
    <w:rPr>
      <w:i/>
      <w:iCs/>
    </w:rPr>
  </w:style>
  <w:style w:type="paragraph" w:customStyle="1" w:styleId="Bullet1G">
    <w:name w:val="_Bullet 1_G"/>
    <w:basedOn w:val="Normal"/>
    <w:rsid w:val="00313431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313431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6</TotalTime>
  <Pages>3</Pages>
  <Words>1055</Words>
  <Characters>5659</Characters>
  <Application>Microsoft Office Outlook</Application>
  <DocSecurity>4</DocSecurity>
  <Lines>104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A/HRC/RES/23/15</vt:lpstr>
    </vt:vector>
  </TitlesOfParts>
  <Company/>
  <LinksUpToDate>false</LinksUpToDate>
  <CharactersWithSpaces>6672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A/HRC/RES/23/15</dc:title>
  <dc:subject>13-15066 (FINAL)</dc:subject>
  <dc:creator>Ruth</dc:creator>
  <cp:keywords/>
  <dc:description/>
  <cp:lastModifiedBy>Ruth</cp:lastModifiedBy>
  <cp:revision>2</cp:revision>
  <cp:lastPrinted>2013-07-02T13:03:00Z</cp:lastPrinted>
  <dcterms:created xsi:type="dcterms:W3CDTF">2013-07-02T13:18:00Z</dcterms:created>
  <dcterms:modified xsi:type="dcterms:W3CDTF">2013-07-02T13:18:00Z</dcterms:modified>
</cp:coreProperties>
</file>