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D6781" w:rsidRPr="00F124C6" w:rsidTr="00076866">
        <w:trPr>
          <w:trHeight w:hRule="exact" w:val="851"/>
        </w:trPr>
        <w:tc>
          <w:tcPr>
            <w:tcW w:w="1280" w:type="dxa"/>
            <w:tcBorders>
              <w:bottom w:val="single" w:sz="4" w:space="0" w:color="auto"/>
            </w:tcBorders>
          </w:tcPr>
          <w:p w:rsidR="007D6781" w:rsidRPr="00F124C6" w:rsidRDefault="007D6781" w:rsidP="00076866">
            <w:pPr>
              <w:spacing w:before="360" w:after="240"/>
            </w:pPr>
          </w:p>
        </w:tc>
        <w:tc>
          <w:tcPr>
            <w:tcW w:w="2273" w:type="dxa"/>
            <w:tcBorders>
              <w:bottom w:val="single" w:sz="4" w:space="0" w:color="auto"/>
            </w:tcBorders>
            <w:vAlign w:val="bottom"/>
          </w:tcPr>
          <w:p w:rsidR="007D6781" w:rsidRPr="007D6781" w:rsidRDefault="007D6781" w:rsidP="00076866">
            <w:pPr>
              <w:spacing w:after="80" w:line="300" w:lineRule="exact"/>
              <w:rPr>
                <w:rFonts w:ascii="Time New Roman" w:eastAsia="黑体" w:hAnsi="Time New Roman" w:hint="eastAsia"/>
                <w:spacing w:val="30"/>
                <w:sz w:val="28"/>
              </w:rPr>
            </w:pPr>
            <w:r w:rsidRPr="007D6781">
              <w:rPr>
                <w:rFonts w:ascii="宋体" w:eastAsia="黑体" w:hAnsi="宋体" w:cs="宋体" w:hint="eastAsia"/>
                <w:spacing w:val="30"/>
                <w:sz w:val="28"/>
              </w:rPr>
              <w:t>联</w:t>
            </w:r>
            <w:r w:rsidRPr="007D6781">
              <w:rPr>
                <w:rFonts w:ascii="Time New Roman" w:eastAsia="黑体" w:hAnsi="Time New Roman" w:hint="eastAsia"/>
                <w:spacing w:val="30"/>
                <w:sz w:val="28"/>
              </w:rPr>
              <w:t xml:space="preserve"> </w:t>
            </w:r>
            <w:r w:rsidRPr="007D6781">
              <w:rPr>
                <w:rFonts w:ascii="宋体" w:eastAsia="黑体" w:hAnsi="宋体" w:cs="宋体" w:hint="eastAsia"/>
                <w:spacing w:val="30"/>
                <w:sz w:val="28"/>
              </w:rPr>
              <w:t>合</w:t>
            </w:r>
            <w:r w:rsidRPr="007D6781">
              <w:rPr>
                <w:rFonts w:ascii="Time New Roman" w:eastAsia="黑体" w:hAnsi="Time New Roman" w:hint="eastAsia"/>
                <w:spacing w:val="30"/>
                <w:sz w:val="28"/>
              </w:rPr>
              <w:t xml:space="preserve"> </w:t>
            </w:r>
            <w:r w:rsidRPr="007D6781">
              <w:rPr>
                <w:rFonts w:ascii="宋体" w:eastAsia="黑体" w:hAnsi="宋体" w:cs="宋体" w:hint="eastAsia"/>
                <w:spacing w:val="30"/>
                <w:sz w:val="28"/>
              </w:rPr>
              <w:t>国</w:t>
            </w:r>
          </w:p>
        </w:tc>
        <w:tc>
          <w:tcPr>
            <w:tcW w:w="6086" w:type="dxa"/>
            <w:gridSpan w:val="2"/>
            <w:tcBorders>
              <w:bottom w:val="single" w:sz="4" w:space="0" w:color="auto"/>
            </w:tcBorders>
            <w:vAlign w:val="bottom"/>
          </w:tcPr>
          <w:p w:rsidR="007D6781" w:rsidRPr="002F4EA7" w:rsidRDefault="007D6781" w:rsidP="00076866">
            <w:pPr>
              <w:jc w:val="right"/>
              <w:rPr>
                <w:szCs w:val="21"/>
              </w:rPr>
            </w:pPr>
            <w:r w:rsidRPr="002F4EA7">
              <w:rPr>
                <w:sz w:val="40"/>
                <w:szCs w:val="21"/>
              </w:rPr>
              <w:t>A</w:t>
            </w:r>
            <w:r>
              <w:rPr>
                <w:szCs w:val="21"/>
              </w:rPr>
              <w:t>/</w:t>
            </w:r>
            <w:proofErr w:type="spellStart"/>
            <w:r>
              <w:rPr>
                <w:szCs w:val="21"/>
              </w:rPr>
              <w:t>HRC</w:t>
            </w:r>
            <w:proofErr w:type="spellEnd"/>
            <w:r>
              <w:rPr>
                <w:szCs w:val="21"/>
              </w:rPr>
              <w:t>/29/28/</w:t>
            </w:r>
            <w:proofErr w:type="spellStart"/>
            <w:r>
              <w:rPr>
                <w:szCs w:val="21"/>
              </w:rPr>
              <w:t>Add.1</w:t>
            </w:r>
            <w:proofErr w:type="spellEnd"/>
          </w:p>
        </w:tc>
      </w:tr>
      <w:tr w:rsidR="007D6781" w:rsidRPr="00F124C6" w:rsidTr="00076866">
        <w:trPr>
          <w:trHeight w:hRule="exact" w:val="2835"/>
        </w:trPr>
        <w:tc>
          <w:tcPr>
            <w:tcW w:w="1280" w:type="dxa"/>
            <w:tcBorders>
              <w:top w:val="single" w:sz="4" w:space="0" w:color="auto"/>
              <w:bottom w:val="single" w:sz="12" w:space="0" w:color="auto"/>
            </w:tcBorders>
          </w:tcPr>
          <w:p w:rsidR="007D6781" w:rsidRPr="00F124C6" w:rsidRDefault="007D6781" w:rsidP="00076866">
            <w:pPr>
              <w:spacing w:line="120" w:lineRule="atLeast"/>
              <w:rPr>
                <w:sz w:val="10"/>
                <w:szCs w:val="10"/>
              </w:rPr>
            </w:pPr>
          </w:p>
          <w:p w:rsidR="007D6781" w:rsidRPr="00F124C6" w:rsidRDefault="007D6781" w:rsidP="00076866">
            <w:pPr>
              <w:spacing w:line="120" w:lineRule="atLeast"/>
              <w:rPr>
                <w:sz w:val="10"/>
                <w:szCs w:val="10"/>
              </w:rPr>
            </w:pPr>
            <w:r>
              <w:rPr>
                <w:rFonts w:hint="eastAsia"/>
                <w:noProof/>
                <w:lang w:val="en-US" w:eastAsia="zh-CN"/>
              </w:rPr>
              <w:drawing>
                <wp:inline distT="0" distB="0" distL="0" distR="0" wp14:anchorId="6473BDCA" wp14:editId="4744D09D">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D6781" w:rsidRPr="007D6781" w:rsidRDefault="007D6781" w:rsidP="00076866">
            <w:pPr>
              <w:spacing w:before="240" w:line="420" w:lineRule="exact"/>
              <w:rPr>
                <w:rFonts w:ascii="Time New Roman" w:eastAsia="黑体" w:hAnsi="Time New Roman" w:hint="eastAsia"/>
                <w:spacing w:val="60"/>
                <w:sz w:val="40"/>
                <w:szCs w:val="40"/>
              </w:rPr>
            </w:pPr>
            <w:r w:rsidRPr="007D6781">
              <w:rPr>
                <w:rFonts w:ascii="宋体" w:eastAsia="黑体" w:hAnsi="宋体" w:cs="宋体" w:hint="eastAsia"/>
                <w:spacing w:val="60"/>
                <w:sz w:val="40"/>
                <w:szCs w:val="40"/>
              </w:rPr>
              <w:t>大</w:t>
            </w:r>
            <w:r w:rsidRPr="007D6781">
              <w:rPr>
                <w:rFonts w:ascii="Time New Roman" w:eastAsia="黑体" w:hAnsi="Time New Roman" w:hint="eastAsia"/>
                <w:spacing w:val="60"/>
                <w:sz w:val="40"/>
                <w:szCs w:val="40"/>
              </w:rPr>
              <w:t xml:space="preserve">  </w:t>
            </w:r>
            <w:r w:rsidRPr="007D6781">
              <w:rPr>
                <w:rFonts w:ascii="宋体" w:eastAsia="黑体" w:hAnsi="宋体" w:cs="宋体" w:hint="eastAsia"/>
                <w:spacing w:val="60"/>
                <w:sz w:val="40"/>
                <w:szCs w:val="40"/>
              </w:rPr>
              <w:t>会</w:t>
            </w:r>
            <w:bookmarkStart w:id="0" w:name="_GoBack"/>
            <w:bookmarkEnd w:id="0"/>
          </w:p>
        </w:tc>
        <w:tc>
          <w:tcPr>
            <w:tcW w:w="2819" w:type="dxa"/>
            <w:tcBorders>
              <w:top w:val="single" w:sz="4" w:space="0" w:color="auto"/>
              <w:bottom w:val="single" w:sz="12" w:space="0" w:color="auto"/>
            </w:tcBorders>
          </w:tcPr>
          <w:p w:rsidR="007D6781" w:rsidRPr="00F124C6" w:rsidRDefault="007D6781" w:rsidP="00076866">
            <w:pPr>
              <w:spacing w:before="240"/>
            </w:pPr>
            <w:r>
              <w:t xml:space="preserve">Distr.: </w:t>
            </w:r>
            <w:r w:rsidRPr="002F4EA7">
              <w:t>General</w:t>
            </w:r>
          </w:p>
          <w:p w:rsidR="007D6781" w:rsidRPr="00F124C6" w:rsidRDefault="007D6781" w:rsidP="00076866">
            <w:r w:rsidRPr="002F4EA7">
              <w:t xml:space="preserve">3 June </w:t>
            </w:r>
            <w:r>
              <w:t>201</w:t>
            </w:r>
            <w:r>
              <w:rPr>
                <w:rFonts w:hint="eastAsia"/>
              </w:rPr>
              <w:t>5</w:t>
            </w:r>
          </w:p>
          <w:p w:rsidR="007D6781" w:rsidRPr="00F124C6" w:rsidRDefault="007D6781" w:rsidP="00076866">
            <w:r w:rsidRPr="00F124C6">
              <w:t xml:space="preserve">Chinese </w:t>
            </w:r>
          </w:p>
          <w:p w:rsidR="007D6781" w:rsidRPr="00F124C6" w:rsidRDefault="007D6781" w:rsidP="00076866">
            <w:r w:rsidRPr="00F124C6">
              <w:t>Original: English</w:t>
            </w:r>
          </w:p>
        </w:tc>
      </w:tr>
    </w:tbl>
    <w:p w:rsidR="007D6781" w:rsidRPr="007D6781" w:rsidRDefault="007D6781" w:rsidP="007D6781">
      <w:pPr>
        <w:tabs>
          <w:tab w:val="left" w:pos="431"/>
        </w:tabs>
        <w:suppressAutoHyphens w:val="0"/>
        <w:overflowPunct w:val="0"/>
        <w:adjustRightInd w:val="0"/>
        <w:snapToGrid w:val="0"/>
        <w:spacing w:before="120" w:line="320" w:lineRule="exact"/>
        <w:jc w:val="both"/>
        <w:rPr>
          <w:rFonts w:eastAsia="黑体"/>
          <w:snapToGrid w:val="0"/>
          <w:sz w:val="24"/>
          <w:szCs w:val="24"/>
          <w:lang w:val="fr-CH" w:eastAsia="zh-CN"/>
        </w:rPr>
      </w:pPr>
      <w:r w:rsidRPr="007D6781">
        <w:rPr>
          <w:rFonts w:eastAsia="黑体" w:hint="eastAsia"/>
          <w:snapToGrid w:val="0"/>
          <w:sz w:val="24"/>
          <w:szCs w:val="24"/>
          <w:lang w:val="fr-CH" w:eastAsia="zh-CN"/>
        </w:rPr>
        <w:t>人权理事会</w:t>
      </w:r>
    </w:p>
    <w:p w:rsidR="007D6781" w:rsidRPr="007D6781" w:rsidRDefault="007D6781" w:rsidP="007D6781">
      <w:pPr>
        <w:tabs>
          <w:tab w:val="left" w:pos="431"/>
        </w:tabs>
        <w:suppressAutoHyphens w:val="0"/>
        <w:overflowPunct w:val="0"/>
        <w:adjustRightInd w:val="0"/>
        <w:snapToGrid w:val="0"/>
        <w:spacing w:line="320" w:lineRule="exact"/>
        <w:jc w:val="both"/>
        <w:rPr>
          <w:rFonts w:eastAsia="黑体"/>
          <w:snapToGrid w:val="0"/>
          <w:sz w:val="21"/>
          <w:szCs w:val="21"/>
          <w:lang w:val="fr-CH" w:eastAsia="zh-CN"/>
        </w:rPr>
      </w:pPr>
      <w:r w:rsidRPr="007D6781">
        <w:rPr>
          <w:rFonts w:eastAsia="黑体" w:hint="eastAsia"/>
          <w:snapToGrid w:val="0"/>
          <w:sz w:val="21"/>
          <w:szCs w:val="21"/>
          <w:lang w:val="fr-CH" w:eastAsia="zh-CN"/>
        </w:rPr>
        <w:t>第二十九届会议</w:t>
      </w:r>
    </w:p>
    <w:p w:rsidR="007D6781" w:rsidRPr="007D6781" w:rsidRDefault="007D6781" w:rsidP="007D6781">
      <w:pPr>
        <w:tabs>
          <w:tab w:val="left" w:pos="431"/>
        </w:tabs>
        <w:suppressAutoHyphens w:val="0"/>
        <w:overflowPunct w:val="0"/>
        <w:adjustRightInd w:val="0"/>
        <w:snapToGrid w:val="0"/>
        <w:spacing w:line="320" w:lineRule="exact"/>
        <w:jc w:val="both"/>
        <w:rPr>
          <w:rFonts w:eastAsia="宋体"/>
          <w:snapToGrid w:val="0"/>
          <w:sz w:val="21"/>
          <w:szCs w:val="21"/>
          <w:lang w:val="fr-CH" w:eastAsia="zh-CN"/>
        </w:rPr>
      </w:pPr>
      <w:r w:rsidRPr="007D6781">
        <w:rPr>
          <w:rFonts w:eastAsia="宋体" w:hint="eastAsia"/>
          <w:snapToGrid w:val="0"/>
          <w:sz w:val="21"/>
          <w:szCs w:val="21"/>
          <w:lang w:val="fr-CH" w:eastAsia="zh-CN"/>
        </w:rPr>
        <w:t>议程项目</w:t>
      </w:r>
      <w:r w:rsidRPr="007D6781">
        <w:rPr>
          <w:rFonts w:eastAsia="宋体" w:hint="eastAsia"/>
          <w:snapToGrid w:val="0"/>
          <w:sz w:val="21"/>
          <w:szCs w:val="21"/>
          <w:lang w:val="fr-CH" w:eastAsia="zh-CN"/>
        </w:rPr>
        <w:t>3</w:t>
      </w:r>
    </w:p>
    <w:p w:rsidR="007D6781" w:rsidRPr="007D6781" w:rsidRDefault="007D6781" w:rsidP="007D6781">
      <w:pPr>
        <w:tabs>
          <w:tab w:val="left" w:pos="431"/>
        </w:tabs>
        <w:suppressAutoHyphens w:val="0"/>
        <w:overflowPunct w:val="0"/>
        <w:adjustRightInd w:val="0"/>
        <w:snapToGrid w:val="0"/>
        <w:spacing w:line="320" w:lineRule="exact"/>
        <w:rPr>
          <w:rFonts w:eastAsia="黑体"/>
          <w:snapToGrid w:val="0"/>
          <w:sz w:val="21"/>
          <w:lang w:val="fr-CH" w:eastAsia="zh-CN"/>
        </w:rPr>
      </w:pPr>
      <w:r w:rsidRPr="007D6781">
        <w:rPr>
          <w:rFonts w:eastAsia="黑体" w:hint="eastAsia"/>
          <w:snapToGrid w:val="0"/>
          <w:sz w:val="21"/>
          <w:lang w:val="fr-CH" w:eastAsia="zh-CN"/>
        </w:rPr>
        <w:t>增进和保护所有人权</w:t>
      </w:r>
      <w:r w:rsidRPr="002F4EA7">
        <w:rPr>
          <w:rFonts w:eastAsia="黑体" w:hint="eastAsia"/>
          <w:spacing w:val="-50"/>
          <w:lang w:val="fr-CH" w:eastAsia="zh-CN"/>
        </w:rPr>
        <w:t>―</w:t>
      </w:r>
      <w:r w:rsidRPr="002F4EA7">
        <w:rPr>
          <w:rFonts w:eastAsia="黑体" w:hint="eastAsia"/>
          <w:lang w:val="fr-CH" w:eastAsia="zh-CN"/>
        </w:rPr>
        <w:t>―</w:t>
      </w:r>
      <w:r w:rsidRPr="007D6781">
        <w:rPr>
          <w:rFonts w:eastAsia="黑体" w:hint="eastAsia"/>
          <w:snapToGrid w:val="0"/>
          <w:sz w:val="21"/>
          <w:lang w:val="fr-CH" w:eastAsia="zh-CN"/>
        </w:rPr>
        <w:t>公民权利、政治权利、</w:t>
      </w:r>
      <w:r w:rsidRPr="007D6781">
        <w:rPr>
          <w:rFonts w:eastAsia="黑体"/>
          <w:snapToGrid w:val="0"/>
          <w:sz w:val="21"/>
          <w:lang w:val="fr-CH" w:eastAsia="zh-CN"/>
        </w:rPr>
        <w:br/>
      </w:r>
      <w:r w:rsidRPr="007D6781">
        <w:rPr>
          <w:rFonts w:eastAsia="黑体" w:hint="eastAsia"/>
          <w:snapToGrid w:val="0"/>
          <w:sz w:val="21"/>
          <w:lang w:val="fr-CH" w:eastAsia="zh-CN"/>
        </w:rPr>
        <w:t>经济、社会和文化权利，包括发展权</w:t>
      </w:r>
    </w:p>
    <w:p w:rsidR="007D6781" w:rsidRPr="002F4EA7" w:rsidRDefault="007D6781" w:rsidP="00606253">
      <w:pPr>
        <w:pStyle w:val="HChGC"/>
        <w:spacing w:before="240"/>
        <w:rPr>
          <w:lang w:val="fr-CH"/>
        </w:rPr>
      </w:pPr>
      <w:r w:rsidRPr="002F4EA7">
        <w:rPr>
          <w:rFonts w:hint="eastAsia"/>
          <w:lang w:val="fr-CH"/>
        </w:rPr>
        <w:tab/>
      </w:r>
      <w:r w:rsidRPr="002F4EA7">
        <w:rPr>
          <w:rFonts w:hint="eastAsia"/>
          <w:lang w:val="fr-CH"/>
        </w:rPr>
        <w:tab/>
      </w:r>
      <w:r w:rsidRPr="002F4EA7">
        <w:rPr>
          <w:rFonts w:hint="eastAsia"/>
          <w:lang w:val="fr-CH"/>
        </w:rPr>
        <w:t>人权与跨国公司和其他工商企业问题工作组的报告</w:t>
      </w:r>
    </w:p>
    <w:p w:rsidR="007D6781" w:rsidRPr="002F4EA7" w:rsidRDefault="007D6781" w:rsidP="00076866">
      <w:pPr>
        <w:pStyle w:val="H23GC"/>
        <w:rPr>
          <w:lang w:val="fr-CH"/>
        </w:rPr>
      </w:pPr>
      <w:r w:rsidRPr="002F4EA7">
        <w:rPr>
          <w:rFonts w:hint="eastAsia"/>
          <w:lang w:val="fr-CH"/>
        </w:rPr>
        <w:tab/>
      </w:r>
      <w:r w:rsidRPr="002F4EA7">
        <w:rPr>
          <w:rFonts w:hint="eastAsia"/>
          <w:lang w:val="fr-CH"/>
        </w:rPr>
        <w:tab/>
      </w:r>
      <w:r w:rsidRPr="002F4EA7">
        <w:rPr>
          <w:rFonts w:hint="eastAsia"/>
          <w:lang w:val="fr-CH"/>
        </w:rPr>
        <w:t>增编</w:t>
      </w:r>
    </w:p>
    <w:p w:rsidR="007D6781" w:rsidRPr="002F4EA7" w:rsidRDefault="007D6781" w:rsidP="00606253">
      <w:pPr>
        <w:pStyle w:val="H1GC"/>
        <w:spacing w:before="240"/>
        <w:rPr>
          <w:lang w:val="fr-CH"/>
        </w:rPr>
      </w:pPr>
      <w:r w:rsidRPr="002F4EA7">
        <w:rPr>
          <w:rFonts w:hint="eastAsia"/>
          <w:lang w:val="fr-CH"/>
        </w:rPr>
        <w:tab/>
      </w:r>
      <w:r w:rsidRPr="002F4EA7">
        <w:rPr>
          <w:rFonts w:hint="eastAsia"/>
          <w:lang w:val="fr-CH"/>
        </w:rPr>
        <w:tab/>
      </w:r>
      <w:r w:rsidRPr="002F4EA7">
        <w:rPr>
          <w:rFonts w:hint="eastAsia"/>
          <w:lang w:val="fr-CH"/>
        </w:rPr>
        <w:t>对阿塞拜疆的访问</w:t>
      </w:r>
      <w:r w:rsidRPr="007D6781">
        <w:rPr>
          <w:rStyle w:val="a3"/>
          <w:color w:val="0000FF"/>
          <w:sz w:val="24"/>
          <w:vertAlign w:val="baseline"/>
          <w:lang w:val="fr-CH"/>
        </w:rPr>
        <w:footnoteReference w:customMarkFollows="1" w:id="2"/>
        <w:t>*</w:t>
      </w:r>
      <w:r w:rsidRPr="007D6781">
        <w:rPr>
          <w:rFonts w:hint="eastAsia"/>
          <w:color w:val="0000FF"/>
          <w:lang w:val="fr-CH"/>
        </w:rPr>
        <w:t xml:space="preserve"> </w:t>
      </w:r>
      <w:r w:rsidRPr="007D6781">
        <w:rPr>
          <w:rStyle w:val="a3"/>
          <w:color w:val="0000FF"/>
          <w:sz w:val="24"/>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606253" w:rsidRPr="00E82040" w:rsidTr="00076866">
        <w:tc>
          <w:tcPr>
            <w:tcW w:w="9639" w:type="dxa"/>
            <w:tcBorders>
              <w:top w:val="single" w:sz="4" w:space="0" w:color="auto"/>
              <w:left w:val="single" w:sz="4" w:space="0" w:color="auto"/>
              <w:bottom w:val="nil"/>
              <w:right w:val="single" w:sz="4" w:space="0" w:color="auto"/>
            </w:tcBorders>
            <w:noWrap/>
            <w:tcMar>
              <w:left w:w="0" w:type="dxa"/>
              <w:right w:w="0" w:type="dxa"/>
            </w:tcMar>
          </w:tcPr>
          <w:p w:rsidR="00606253" w:rsidRPr="00EF406B" w:rsidRDefault="00606253" w:rsidP="00076866">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606253" w:rsidRPr="00E82040" w:rsidTr="00076866">
        <w:tc>
          <w:tcPr>
            <w:tcW w:w="9639" w:type="dxa"/>
            <w:tcBorders>
              <w:top w:val="nil"/>
              <w:left w:val="single" w:sz="4" w:space="0" w:color="auto"/>
              <w:bottom w:val="nil"/>
              <w:right w:val="single" w:sz="4" w:space="0" w:color="auto"/>
            </w:tcBorders>
            <w:noWrap/>
            <w:tcMar>
              <w:left w:w="0" w:type="dxa"/>
              <w:right w:w="0" w:type="dxa"/>
            </w:tcMar>
          </w:tcPr>
          <w:p w:rsidR="00606253" w:rsidRPr="00C231DB" w:rsidRDefault="00606253" w:rsidP="00076866">
            <w:pPr>
              <w:pStyle w:val="SingleTxtGC"/>
              <w:tabs>
                <w:tab w:val="clear" w:pos="1996"/>
                <w:tab w:val="clear" w:pos="2427"/>
              </w:tabs>
              <w:rPr>
                <w:lang w:val="es-ES"/>
              </w:rPr>
            </w:pPr>
            <w:r w:rsidRPr="00BC306D">
              <w:rPr>
                <w:rFonts w:hint="eastAsia"/>
                <w:lang w:val="es-ES"/>
              </w:rPr>
              <w:tab/>
            </w:r>
            <w:r w:rsidRPr="00BC306D">
              <w:rPr>
                <w:rFonts w:hint="eastAsia"/>
                <w:lang w:val="es-ES"/>
              </w:rPr>
              <w:t>本报告系依据人权理事会第</w:t>
            </w:r>
            <w:r w:rsidRPr="00BC306D">
              <w:rPr>
                <w:rFonts w:hint="eastAsia"/>
                <w:lang w:val="es-ES"/>
              </w:rPr>
              <w:t>26/22</w:t>
            </w:r>
            <w:r w:rsidRPr="00BC306D">
              <w:rPr>
                <w:rFonts w:hint="eastAsia"/>
                <w:lang w:val="es-ES"/>
              </w:rPr>
              <w:t>号决议提交。在报告中，人权与跨国公司和其他工商企业问题工作组介绍了</w:t>
            </w:r>
            <w:r w:rsidRPr="00BC306D">
              <w:rPr>
                <w:rFonts w:hint="eastAsia"/>
                <w:lang w:val="es-ES"/>
              </w:rPr>
              <w:t>2014</w:t>
            </w:r>
            <w:r w:rsidRPr="00BC306D">
              <w:rPr>
                <w:rFonts w:hint="eastAsia"/>
                <w:lang w:val="es-ES"/>
              </w:rPr>
              <w:t>年</w:t>
            </w:r>
            <w:r w:rsidRPr="00BC306D">
              <w:rPr>
                <w:rFonts w:hint="eastAsia"/>
                <w:lang w:val="es-ES"/>
              </w:rPr>
              <w:t>8</w:t>
            </w:r>
            <w:r w:rsidRPr="00BC306D">
              <w:rPr>
                <w:rFonts w:hint="eastAsia"/>
                <w:lang w:val="es-ES"/>
              </w:rPr>
              <w:t>月</w:t>
            </w:r>
            <w:r w:rsidRPr="00BC306D">
              <w:rPr>
                <w:rFonts w:hint="eastAsia"/>
                <w:lang w:val="es-ES"/>
              </w:rPr>
              <w:t>18</w:t>
            </w:r>
            <w:r w:rsidRPr="00BC306D">
              <w:rPr>
                <w:rFonts w:hint="eastAsia"/>
                <w:lang w:val="es-ES"/>
              </w:rPr>
              <w:t>日至</w:t>
            </w:r>
            <w:r w:rsidRPr="00BC306D">
              <w:rPr>
                <w:rFonts w:hint="eastAsia"/>
                <w:lang w:val="es-ES"/>
              </w:rPr>
              <w:t>27</w:t>
            </w:r>
            <w:r w:rsidRPr="00BC306D">
              <w:rPr>
                <w:rFonts w:hint="eastAsia"/>
                <w:lang w:val="es-ES"/>
              </w:rPr>
              <w:t>日对阿塞拜疆进行访问期间得出的结论。访问期间，工作组着重了解了该国政府和在该国运营的公司按照《工商业与人权指导原则》为预防企业犯下侵犯人权行为、保护人们免遭此类行为和对此类行为进行补救而开展的工作。工作组对总体情况及法律和政策框架</w:t>
            </w:r>
            <w:r w:rsidRPr="00BC306D">
              <w:rPr>
                <w:rFonts w:hint="eastAsia"/>
                <w:lang w:val="es-ES"/>
              </w:rPr>
              <w:t>(</w:t>
            </w:r>
            <w:r w:rsidRPr="00BC306D">
              <w:rPr>
                <w:rFonts w:hint="eastAsia"/>
                <w:lang w:val="es-ES"/>
              </w:rPr>
              <w:t>第二章和第三章</w:t>
            </w:r>
            <w:r w:rsidRPr="00BC306D">
              <w:rPr>
                <w:rFonts w:hint="eastAsia"/>
                <w:lang w:val="es-ES"/>
              </w:rPr>
              <w:t>)</w:t>
            </w:r>
            <w:r w:rsidRPr="00BC306D">
              <w:rPr>
                <w:rFonts w:hint="eastAsia"/>
                <w:lang w:val="es-ES"/>
              </w:rPr>
              <w:t>以及人们对工商业与人权的关系以及《指导原则》中规定的框架</w:t>
            </w:r>
            <w:r w:rsidRPr="00BC306D">
              <w:rPr>
                <w:rFonts w:hint="eastAsia"/>
                <w:lang w:val="es-ES"/>
              </w:rPr>
              <w:t>(</w:t>
            </w:r>
            <w:r w:rsidRPr="00BC306D">
              <w:rPr>
                <w:rFonts w:hint="eastAsia"/>
                <w:lang w:val="es-ES"/>
              </w:rPr>
              <w:t>第四章</w:t>
            </w:r>
            <w:r w:rsidRPr="00BC306D">
              <w:rPr>
                <w:rFonts w:hint="eastAsia"/>
                <w:lang w:val="es-ES"/>
              </w:rPr>
              <w:t>)</w:t>
            </w:r>
            <w:r w:rsidRPr="00BC306D">
              <w:rPr>
                <w:rFonts w:hint="eastAsia"/>
                <w:lang w:val="es-ES"/>
              </w:rPr>
              <w:t>发表了评论意见。随后，工作组突出强调了对该国尤其重要的一些问题，亦即：参与民间社会的空间、打击腐败问题和滥用公职的工作、石油和天然气部门及建筑业、劳工权利</w:t>
            </w:r>
            <w:r w:rsidRPr="00BC306D">
              <w:rPr>
                <w:rFonts w:hint="eastAsia"/>
                <w:lang w:val="es-ES"/>
              </w:rPr>
              <w:t>(</w:t>
            </w:r>
            <w:r w:rsidRPr="00BC306D">
              <w:rPr>
                <w:rFonts w:hint="eastAsia"/>
                <w:lang w:val="es-ES"/>
              </w:rPr>
              <w:t>第五章</w:t>
            </w:r>
            <w:r w:rsidRPr="00BC306D">
              <w:rPr>
                <w:rFonts w:hint="eastAsia"/>
                <w:lang w:val="es-ES"/>
              </w:rPr>
              <w:t>)</w:t>
            </w:r>
            <w:r w:rsidRPr="00BC306D">
              <w:rPr>
                <w:rFonts w:hint="eastAsia"/>
                <w:lang w:val="es-ES"/>
              </w:rPr>
              <w:t>。工作组还就获得补救、《指导原则》第三支柱</w:t>
            </w:r>
            <w:r w:rsidRPr="00BC306D">
              <w:rPr>
                <w:rFonts w:hint="eastAsia"/>
                <w:lang w:val="es-ES"/>
              </w:rPr>
              <w:t>(</w:t>
            </w:r>
            <w:r w:rsidRPr="00BC306D">
              <w:rPr>
                <w:rFonts w:hint="eastAsia"/>
                <w:lang w:val="es-ES"/>
              </w:rPr>
              <w:t>第六章</w:t>
            </w:r>
            <w:r w:rsidRPr="00BC306D">
              <w:rPr>
                <w:rFonts w:hint="eastAsia"/>
                <w:lang w:val="es-ES"/>
              </w:rPr>
              <w:t>)</w:t>
            </w:r>
            <w:r w:rsidRPr="00BC306D">
              <w:rPr>
                <w:rFonts w:hint="eastAsia"/>
                <w:lang w:val="es-ES"/>
              </w:rPr>
              <w:t>以及加强国家政策框架的办法</w:t>
            </w:r>
            <w:r w:rsidRPr="00BC306D">
              <w:rPr>
                <w:rFonts w:hint="eastAsia"/>
                <w:lang w:val="es-ES"/>
              </w:rPr>
              <w:t>(</w:t>
            </w:r>
            <w:r w:rsidRPr="00BC306D">
              <w:rPr>
                <w:rFonts w:hint="eastAsia"/>
                <w:lang w:val="es-ES"/>
              </w:rPr>
              <w:t>第七章</w:t>
            </w:r>
            <w:r w:rsidRPr="00BC306D">
              <w:rPr>
                <w:rFonts w:hint="eastAsia"/>
                <w:lang w:val="es-ES"/>
              </w:rPr>
              <w:t>)</w:t>
            </w:r>
            <w:r w:rsidRPr="00BC306D">
              <w:rPr>
                <w:rFonts w:hint="eastAsia"/>
                <w:lang w:val="es-ES"/>
              </w:rPr>
              <w:t>发表了评论意见。最后，工作组就进一步行动提出了具体建议。</w:t>
            </w:r>
          </w:p>
        </w:tc>
      </w:tr>
      <w:tr w:rsidR="00606253" w:rsidRPr="00E82040" w:rsidTr="00076866">
        <w:tc>
          <w:tcPr>
            <w:tcW w:w="9639" w:type="dxa"/>
            <w:tcBorders>
              <w:top w:val="nil"/>
              <w:left w:val="single" w:sz="4" w:space="0" w:color="auto"/>
              <w:bottom w:val="single" w:sz="4" w:space="0" w:color="auto"/>
              <w:right w:val="single" w:sz="4" w:space="0" w:color="auto"/>
            </w:tcBorders>
            <w:noWrap/>
            <w:tcMar>
              <w:left w:w="0" w:type="dxa"/>
              <w:right w:w="0" w:type="dxa"/>
            </w:tcMar>
          </w:tcPr>
          <w:p w:rsidR="00606253" w:rsidRPr="00E82040" w:rsidRDefault="00606253" w:rsidP="00076866">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rsidR="001809D1" w:rsidRDefault="00C02714" w:rsidP="001809D1">
      <w:pPr>
        <w:pStyle w:val="HChG"/>
      </w:pPr>
      <w:r w:rsidRPr="00DD13AC">
        <w:rPr>
          <w:lang w:eastAsia="zh-CN"/>
        </w:rPr>
        <w:br w:type="page"/>
      </w:r>
      <w:r w:rsidR="001809D1" w:rsidRPr="00DD13AC">
        <w:lastRenderedPageBreak/>
        <w:t>Annex</w:t>
      </w:r>
    </w:p>
    <w:p w:rsidR="001809D1" w:rsidRDefault="001809D1" w:rsidP="001809D1">
      <w:pPr>
        <w:pStyle w:val="H4G"/>
        <w:ind w:right="0"/>
        <w:jc w:val="right"/>
      </w:pPr>
      <w:r w:rsidRPr="00DD13AC">
        <w:t>[English only]</w:t>
      </w:r>
    </w:p>
    <w:p w:rsidR="00284C1A" w:rsidRPr="009918EE" w:rsidRDefault="00284C1A" w:rsidP="00284C1A">
      <w:pPr>
        <w:pStyle w:val="HChG"/>
        <w:rPr>
          <w:color w:val="000000"/>
        </w:rPr>
      </w:pPr>
      <w:r w:rsidRPr="009918EE">
        <w:rPr>
          <w:color w:val="000000"/>
        </w:rPr>
        <w:tab/>
      </w:r>
      <w:r w:rsidRPr="009918EE">
        <w:rPr>
          <w:color w:val="000000"/>
        </w:rPr>
        <w:tab/>
        <w:t>Report of the Working Group on the issue of human rights and transnational corporations and other business enterprises on its visit to Azerbaijan (18 – 27 August 2014)</w:t>
      </w:r>
    </w:p>
    <w:p w:rsidR="00284C1A" w:rsidRPr="00284C1A" w:rsidRDefault="00284C1A" w:rsidP="00284C1A">
      <w:pPr>
        <w:spacing w:after="120"/>
        <w:rPr>
          <w:color w:val="000000"/>
          <w:sz w:val="28"/>
          <w:lang w:val="fr-CH"/>
        </w:rPr>
      </w:pPr>
      <w:r w:rsidRPr="00284C1A">
        <w:rPr>
          <w:color w:val="000000"/>
          <w:sz w:val="28"/>
          <w:lang w:val="fr-CH"/>
        </w:rPr>
        <w:t>Contents</w:t>
      </w:r>
    </w:p>
    <w:p w:rsidR="00284C1A" w:rsidRPr="00284C1A" w:rsidRDefault="00284C1A" w:rsidP="00284C1A">
      <w:pPr>
        <w:tabs>
          <w:tab w:val="right" w:pos="8929"/>
          <w:tab w:val="right" w:pos="9638"/>
        </w:tabs>
        <w:spacing w:after="120"/>
        <w:ind w:left="283"/>
        <w:rPr>
          <w:color w:val="000000"/>
          <w:lang w:val="fr-CH"/>
        </w:rPr>
      </w:pPr>
      <w:r w:rsidRPr="00284C1A">
        <w:rPr>
          <w:i/>
          <w:color w:val="000000"/>
          <w:sz w:val="18"/>
          <w:lang w:val="fr-CH"/>
        </w:rPr>
        <w:tab/>
      </w:r>
      <w:proofErr w:type="spellStart"/>
      <w:r w:rsidRPr="00284C1A">
        <w:rPr>
          <w:i/>
          <w:color w:val="000000"/>
          <w:sz w:val="18"/>
          <w:lang w:val="fr-CH"/>
        </w:rPr>
        <w:t>Paragraphs</w:t>
      </w:r>
      <w:proofErr w:type="spellEnd"/>
      <w:r w:rsidRPr="00284C1A">
        <w:rPr>
          <w:i/>
          <w:color w:val="000000"/>
          <w:sz w:val="18"/>
          <w:lang w:val="fr-CH"/>
        </w:rPr>
        <w:tab/>
        <w:t>Page</w:t>
      </w:r>
    </w:p>
    <w:p w:rsidR="00284C1A" w:rsidRPr="007D6781" w:rsidRDefault="00284C1A" w:rsidP="00284C1A">
      <w:pPr>
        <w:tabs>
          <w:tab w:val="right" w:pos="850"/>
          <w:tab w:val="left" w:pos="1134"/>
          <w:tab w:val="left" w:pos="1559"/>
          <w:tab w:val="left" w:pos="1984"/>
          <w:tab w:val="left" w:leader="dot" w:pos="7654"/>
          <w:tab w:val="right" w:pos="8929"/>
          <w:tab w:val="right" w:pos="9638"/>
        </w:tabs>
        <w:spacing w:after="120"/>
        <w:rPr>
          <w:color w:val="000000"/>
          <w:lang w:val="fr-FR"/>
        </w:rPr>
      </w:pPr>
      <w:r w:rsidRPr="00284C1A">
        <w:rPr>
          <w:color w:val="000000"/>
          <w:lang w:val="fr-CH"/>
        </w:rPr>
        <w:tab/>
      </w:r>
      <w:r w:rsidRPr="007D6781">
        <w:rPr>
          <w:color w:val="000000"/>
          <w:lang w:val="fr-FR"/>
        </w:rPr>
        <w:t>I.</w:t>
      </w:r>
      <w:r w:rsidRPr="007D6781">
        <w:rPr>
          <w:color w:val="000000"/>
          <w:lang w:val="fr-FR"/>
        </w:rPr>
        <w:tab/>
        <w:t xml:space="preserve">Introduction </w:t>
      </w:r>
      <w:r w:rsidRPr="007D6781">
        <w:rPr>
          <w:color w:val="000000"/>
          <w:lang w:val="fr-FR"/>
        </w:rPr>
        <w:tab/>
      </w:r>
      <w:r w:rsidRPr="007D6781">
        <w:rPr>
          <w:color w:val="000000"/>
          <w:lang w:val="fr-FR"/>
        </w:rPr>
        <w:tab/>
        <w:t>1 – 5</w:t>
      </w:r>
      <w:r w:rsidRPr="007D6781">
        <w:rPr>
          <w:color w:val="000000"/>
          <w:lang w:val="fr-FR"/>
        </w:rPr>
        <w:tab/>
      </w:r>
      <w:r w:rsidR="000F71BA" w:rsidRPr="007D6781">
        <w:rPr>
          <w:color w:val="000000"/>
          <w:lang w:val="fr-FR"/>
        </w:rPr>
        <w:t>3</w:t>
      </w:r>
    </w:p>
    <w:p w:rsidR="00284C1A" w:rsidRPr="009918EE" w:rsidRDefault="00284C1A" w:rsidP="00284C1A">
      <w:pPr>
        <w:tabs>
          <w:tab w:val="right" w:pos="850"/>
          <w:tab w:val="left" w:pos="1134"/>
          <w:tab w:val="left" w:pos="1559"/>
          <w:tab w:val="left" w:pos="1843"/>
          <w:tab w:val="left" w:leader="dot" w:pos="7654"/>
          <w:tab w:val="right" w:pos="8929"/>
          <w:tab w:val="right" w:pos="9638"/>
        </w:tabs>
        <w:spacing w:after="120"/>
        <w:rPr>
          <w:color w:val="000000"/>
        </w:rPr>
      </w:pPr>
      <w:r w:rsidRPr="007D6781">
        <w:rPr>
          <w:color w:val="000000"/>
          <w:lang w:val="fr-FR"/>
        </w:rPr>
        <w:tab/>
      </w:r>
      <w:r w:rsidRPr="009918EE">
        <w:rPr>
          <w:color w:val="000000"/>
        </w:rPr>
        <w:t>II.</w:t>
      </w:r>
      <w:r w:rsidRPr="009918EE">
        <w:rPr>
          <w:color w:val="000000"/>
        </w:rPr>
        <w:tab/>
        <w:t>General context</w:t>
      </w:r>
      <w:r w:rsidRPr="009918EE">
        <w:rPr>
          <w:color w:val="000000"/>
        </w:rPr>
        <w:tab/>
      </w:r>
      <w:r w:rsidRPr="009918EE">
        <w:rPr>
          <w:color w:val="000000"/>
        </w:rPr>
        <w:tab/>
        <w:t>6 – 12</w:t>
      </w:r>
      <w:r w:rsidRPr="009918EE">
        <w:rPr>
          <w:color w:val="000000"/>
        </w:rPr>
        <w:tab/>
      </w:r>
      <w:r w:rsidR="000F71BA">
        <w:rPr>
          <w:color w:val="000000"/>
        </w:rPr>
        <w:t>3</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III.</w:t>
      </w:r>
      <w:r w:rsidRPr="009918EE">
        <w:rPr>
          <w:color w:val="000000"/>
        </w:rPr>
        <w:tab/>
        <w:t>Legislative and policy framework</w:t>
      </w:r>
      <w:r w:rsidRPr="009918EE">
        <w:rPr>
          <w:color w:val="000000"/>
        </w:rPr>
        <w:tab/>
      </w:r>
      <w:r w:rsidRPr="009918EE">
        <w:rPr>
          <w:color w:val="000000"/>
        </w:rPr>
        <w:tab/>
        <w:t>13 – 17</w:t>
      </w:r>
      <w:r w:rsidRPr="009918EE">
        <w:rPr>
          <w:color w:val="000000"/>
        </w:rPr>
        <w:tab/>
      </w:r>
      <w:r w:rsidR="000F71BA">
        <w:rPr>
          <w:color w:val="000000"/>
        </w:rPr>
        <w:t>5</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IV.</w:t>
      </w:r>
      <w:r w:rsidRPr="009918EE">
        <w:rPr>
          <w:color w:val="000000"/>
        </w:rPr>
        <w:tab/>
        <w:t>Awareness of business and human rights</w:t>
      </w:r>
      <w:r w:rsidRPr="009918EE">
        <w:rPr>
          <w:color w:val="000000"/>
        </w:rPr>
        <w:tab/>
      </w:r>
      <w:r w:rsidRPr="009918EE">
        <w:rPr>
          <w:color w:val="000000"/>
        </w:rPr>
        <w:tab/>
        <w:t>18 – 30</w:t>
      </w:r>
      <w:r w:rsidRPr="009918EE">
        <w:rPr>
          <w:color w:val="000000"/>
        </w:rPr>
        <w:tab/>
      </w:r>
      <w:r w:rsidR="000F71BA">
        <w:rPr>
          <w:color w:val="000000"/>
        </w:rPr>
        <w:t>6</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w:t>
      </w:r>
      <w:r w:rsidRPr="009918EE">
        <w:rPr>
          <w:color w:val="000000"/>
        </w:rPr>
        <w:tab/>
        <w:t xml:space="preserve">Issues in specific contexts </w:t>
      </w:r>
      <w:r w:rsidRPr="009918EE">
        <w:rPr>
          <w:color w:val="000000"/>
        </w:rPr>
        <w:tab/>
      </w:r>
      <w:r w:rsidRPr="009918EE">
        <w:rPr>
          <w:color w:val="000000"/>
        </w:rPr>
        <w:tab/>
        <w:t>31 – 79</w:t>
      </w:r>
      <w:r w:rsidRPr="009918EE">
        <w:rPr>
          <w:color w:val="000000"/>
        </w:rPr>
        <w:tab/>
      </w:r>
      <w:r w:rsidR="000F71BA">
        <w:rPr>
          <w:color w:val="000000"/>
        </w:rPr>
        <w:t>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r>
      <w:r w:rsidRPr="009918EE">
        <w:rPr>
          <w:color w:val="000000"/>
        </w:rPr>
        <w:tab/>
        <w:t xml:space="preserve">A. </w:t>
      </w:r>
      <w:r w:rsidRPr="009918EE">
        <w:rPr>
          <w:color w:val="000000"/>
        </w:rPr>
        <w:tab/>
        <w:t>Inclusiveness and participation</w:t>
      </w:r>
      <w:r w:rsidRPr="009918EE">
        <w:rPr>
          <w:color w:val="000000"/>
        </w:rPr>
        <w:tab/>
      </w:r>
      <w:r w:rsidRPr="009918EE">
        <w:rPr>
          <w:color w:val="000000"/>
        </w:rPr>
        <w:tab/>
        <w:t>31 – 45</w:t>
      </w:r>
      <w:r w:rsidRPr="009918EE">
        <w:rPr>
          <w:color w:val="000000"/>
        </w:rPr>
        <w:tab/>
      </w:r>
      <w:r w:rsidR="000F71BA">
        <w:rPr>
          <w:color w:val="000000"/>
        </w:rPr>
        <w:t>8</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B.</w:t>
      </w:r>
      <w:r w:rsidRPr="009918EE">
        <w:rPr>
          <w:color w:val="000000"/>
        </w:rPr>
        <w:tab/>
        <w:t xml:space="preserve">Tackling corruption and ensuring accountability </w:t>
      </w:r>
      <w:r w:rsidRPr="009918EE">
        <w:rPr>
          <w:color w:val="000000"/>
        </w:rPr>
        <w:tab/>
      </w:r>
      <w:r w:rsidRPr="009918EE">
        <w:rPr>
          <w:color w:val="000000"/>
        </w:rPr>
        <w:tab/>
        <w:t>46 – 52</w:t>
      </w:r>
      <w:r w:rsidRPr="009918EE">
        <w:rPr>
          <w:color w:val="000000"/>
        </w:rPr>
        <w:tab/>
      </w:r>
      <w:r w:rsidR="000F71BA">
        <w:rPr>
          <w:color w:val="000000"/>
        </w:rPr>
        <w:t>11</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C.</w:t>
      </w:r>
      <w:r w:rsidRPr="009918EE">
        <w:rPr>
          <w:color w:val="000000"/>
        </w:rPr>
        <w:tab/>
        <w:t>Oil and gas sector</w:t>
      </w:r>
      <w:r w:rsidRPr="009918EE">
        <w:rPr>
          <w:color w:val="000000"/>
        </w:rPr>
        <w:tab/>
      </w:r>
      <w:r w:rsidRPr="009918EE">
        <w:rPr>
          <w:color w:val="000000"/>
        </w:rPr>
        <w:tab/>
        <w:t>53 – 65</w:t>
      </w:r>
      <w:r w:rsidRPr="009918EE">
        <w:rPr>
          <w:color w:val="000000"/>
        </w:rPr>
        <w:tab/>
      </w:r>
      <w:r w:rsidR="000F71BA">
        <w:rPr>
          <w:color w:val="000000"/>
        </w:rPr>
        <w:t>12</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D.</w:t>
      </w:r>
      <w:r w:rsidRPr="009918EE">
        <w:rPr>
          <w:color w:val="000000"/>
        </w:rPr>
        <w:tab/>
        <w:t>Construction industry</w:t>
      </w:r>
      <w:r w:rsidRPr="009918EE">
        <w:rPr>
          <w:color w:val="000000"/>
        </w:rPr>
        <w:tab/>
      </w:r>
      <w:r w:rsidRPr="009918EE">
        <w:rPr>
          <w:color w:val="000000"/>
        </w:rPr>
        <w:tab/>
        <w:t>66 – 70</w:t>
      </w:r>
      <w:r w:rsidRPr="009918EE">
        <w:rPr>
          <w:color w:val="000000"/>
        </w:rPr>
        <w:tab/>
      </w:r>
      <w:r w:rsidR="000F71BA">
        <w:rPr>
          <w:color w:val="000000"/>
        </w:rPr>
        <w:t>14</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r>
      <w:r w:rsidRPr="009918EE">
        <w:rPr>
          <w:color w:val="000000"/>
        </w:rPr>
        <w:tab/>
        <w:t>E.</w:t>
      </w:r>
      <w:r w:rsidRPr="009918EE">
        <w:rPr>
          <w:color w:val="000000"/>
        </w:rPr>
        <w:tab/>
        <w:t>Labour rights</w:t>
      </w:r>
      <w:r w:rsidRPr="009918EE">
        <w:rPr>
          <w:color w:val="000000"/>
        </w:rPr>
        <w:tab/>
      </w:r>
      <w:r w:rsidRPr="009918EE">
        <w:rPr>
          <w:color w:val="000000"/>
        </w:rPr>
        <w:tab/>
        <w:t>71 – 79</w:t>
      </w:r>
      <w:r w:rsidRPr="009918EE">
        <w:rPr>
          <w:color w:val="000000"/>
        </w:rPr>
        <w:tab/>
      </w:r>
      <w:r w:rsidR="000F71BA">
        <w:rPr>
          <w:color w:val="000000"/>
        </w:rPr>
        <w:t>15</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VI.</w:t>
      </w:r>
      <w:r w:rsidRPr="009918EE">
        <w:rPr>
          <w:color w:val="000000"/>
        </w:rPr>
        <w:tab/>
        <w:t>Access to remedy</w:t>
      </w:r>
      <w:r w:rsidRPr="009918EE">
        <w:rPr>
          <w:color w:val="000000"/>
        </w:rPr>
        <w:tab/>
      </w:r>
      <w:r w:rsidRPr="009918EE">
        <w:rPr>
          <w:color w:val="000000"/>
        </w:rPr>
        <w:tab/>
        <w:t>80 – 86</w:t>
      </w:r>
      <w:r w:rsidR="000F71BA">
        <w:rPr>
          <w:color w:val="000000"/>
        </w:rPr>
        <w:tab/>
        <w:t>17</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State-based judicial mechanisms</w:t>
      </w:r>
      <w:r w:rsidRPr="009918EE">
        <w:rPr>
          <w:color w:val="000000"/>
        </w:rPr>
        <w:tab/>
      </w:r>
      <w:r w:rsidRPr="009918EE">
        <w:rPr>
          <w:color w:val="000000"/>
        </w:rPr>
        <w:tab/>
        <w:t>80 – 82</w:t>
      </w:r>
      <w:r w:rsidR="000F71BA">
        <w:rPr>
          <w:color w:val="000000"/>
        </w:rPr>
        <w:tab/>
        <w:t>17</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t>State-based non-judicial grievance mechanisms</w:t>
      </w:r>
      <w:r w:rsidRPr="009918EE">
        <w:tab/>
      </w:r>
      <w:r w:rsidRPr="009918EE">
        <w:tab/>
        <w:t>83 – 85</w:t>
      </w:r>
      <w:r w:rsidR="000F71BA">
        <w:tab/>
        <w:t>18</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t>Non-State-based grievance mechanisms</w:t>
      </w:r>
      <w:r w:rsidRPr="009918EE">
        <w:tab/>
      </w:r>
      <w:r w:rsidRPr="009918EE">
        <w:tab/>
        <w:t>86</w:t>
      </w:r>
      <w:r w:rsidR="000F71BA">
        <w:tab/>
        <w:t>18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VII.</w:t>
      </w:r>
      <w:r w:rsidRPr="009918EE">
        <w:rPr>
          <w:color w:val="000000"/>
        </w:rPr>
        <w:tab/>
        <w:t>Strengthening the policy framework</w:t>
      </w:r>
      <w:r w:rsidRPr="009918EE">
        <w:rPr>
          <w:color w:val="000000"/>
        </w:rPr>
        <w:tab/>
      </w:r>
      <w:r w:rsidRPr="009918EE">
        <w:rPr>
          <w:color w:val="000000"/>
        </w:rPr>
        <w:tab/>
        <w:t>87 – 89</w:t>
      </w:r>
      <w:r w:rsidRPr="009918EE">
        <w:rPr>
          <w:color w:val="000000"/>
        </w:rPr>
        <w:tab/>
      </w:r>
      <w:r w:rsidR="000F71BA">
        <w:rPr>
          <w:color w:val="000000"/>
        </w:rPr>
        <w:t>18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 xml:space="preserve">VIII. </w:t>
      </w:r>
      <w:r w:rsidRPr="009918EE">
        <w:rPr>
          <w:color w:val="000000"/>
        </w:rPr>
        <w:tab/>
        <w:t xml:space="preserve">Conclusions and recommendations </w:t>
      </w:r>
      <w:r w:rsidRPr="009918EE">
        <w:rPr>
          <w:color w:val="000000"/>
        </w:rPr>
        <w:tab/>
      </w:r>
      <w:r w:rsidRPr="009918EE">
        <w:rPr>
          <w:color w:val="000000"/>
        </w:rPr>
        <w:tab/>
        <w:t>90 – 98</w:t>
      </w:r>
      <w:r w:rsidRPr="009918EE">
        <w:rPr>
          <w:color w:val="000000"/>
        </w:rPr>
        <w:tab/>
      </w:r>
      <w:r w:rsidR="000F71BA">
        <w:rPr>
          <w:color w:val="000000"/>
        </w:rPr>
        <w:t>19</w:t>
      </w:r>
    </w:p>
    <w:p w:rsidR="00284C1A" w:rsidRPr="00284C1A" w:rsidRDefault="00284C1A" w:rsidP="00284C1A">
      <w:pPr>
        <w:pStyle w:val="HChG"/>
        <w:ind w:left="567"/>
      </w:pPr>
      <w:r w:rsidRPr="009918EE">
        <w:tab/>
      </w:r>
      <w:r w:rsidRPr="009918EE">
        <w:br w:type="page"/>
      </w:r>
      <w:r>
        <w:lastRenderedPageBreak/>
        <w:tab/>
      </w:r>
      <w:r w:rsidRPr="00284C1A">
        <w:t>I.</w:t>
      </w:r>
      <w:r>
        <w:tab/>
      </w:r>
      <w:r w:rsidRPr="00284C1A">
        <w:t>Introduction</w:t>
      </w:r>
    </w:p>
    <w:p w:rsidR="00284C1A" w:rsidRPr="009918EE" w:rsidRDefault="00284C1A" w:rsidP="00E1495F">
      <w:pPr>
        <w:pStyle w:val="SingleTxtG"/>
        <w:numPr>
          <w:ilvl w:val="0"/>
          <w:numId w:val="3"/>
        </w:numPr>
        <w:ind w:left="1134"/>
        <w:rPr>
          <w:color w:val="000000"/>
        </w:rPr>
      </w:pPr>
      <w:r w:rsidRPr="009918EE">
        <w:rPr>
          <w:color w:val="000000"/>
        </w:rPr>
        <w:t xml:space="preserve">At the invitation of the Government of Azerbaijan, two members of the Working Group on the issue of human rights and transnational corporations and other business enterprises, </w:t>
      </w:r>
      <w:proofErr w:type="spellStart"/>
      <w:r w:rsidRPr="009918EE">
        <w:rPr>
          <w:color w:val="000000"/>
        </w:rPr>
        <w:t>Puvan</w:t>
      </w:r>
      <w:proofErr w:type="spellEnd"/>
      <w:r w:rsidRPr="009918EE">
        <w:rPr>
          <w:color w:val="000000"/>
        </w:rPr>
        <w:t xml:space="preserve"> </w:t>
      </w:r>
      <w:proofErr w:type="spellStart"/>
      <w:r w:rsidRPr="009918EE">
        <w:rPr>
          <w:color w:val="000000"/>
        </w:rPr>
        <w:t>Selvanathan</w:t>
      </w:r>
      <w:proofErr w:type="spellEnd"/>
      <w:r w:rsidRPr="009918EE">
        <w:rPr>
          <w:color w:val="000000"/>
        </w:rPr>
        <w:t xml:space="preserve"> and Pavel </w:t>
      </w:r>
      <w:proofErr w:type="spellStart"/>
      <w:r w:rsidRPr="009918EE">
        <w:rPr>
          <w:color w:val="000000"/>
        </w:rPr>
        <w:t>Sulyandziga</w:t>
      </w:r>
      <w:proofErr w:type="spellEnd"/>
      <w:r w:rsidRPr="009918EE">
        <w:rPr>
          <w:color w:val="000000"/>
        </w:rPr>
        <w:t xml:space="preserve">,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284C1A" w:rsidRPr="009918EE" w:rsidRDefault="00284C1A" w:rsidP="00E1495F">
      <w:pPr>
        <w:pStyle w:val="SingleTxtG"/>
        <w:numPr>
          <w:ilvl w:val="0"/>
          <w:numId w:val="3"/>
        </w:numPr>
        <w:ind w:left="1134"/>
        <w:rPr>
          <w:color w:val="000000"/>
        </w:rPr>
      </w:pPr>
      <w:r w:rsidRPr="009918EE">
        <w:rPr>
          <w:color w:val="000000"/>
        </w:rPr>
        <w:t xml:space="preserve">The experts met with government authorities </w:t>
      </w:r>
      <w:r w:rsidRPr="009918EE">
        <w:rPr>
          <w:color w:val="000000"/>
          <w:lang w:eastAsia="en-GB"/>
        </w:rPr>
        <w:t xml:space="preserve">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w:t>
      </w:r>
      <w:proofErr w:type="spellStart"/>
      <w:r w:rsidRPr="009918EE">
        <w:rPr>
          <w:color w:val="000000"/>
          <w:lang w:eastAsia="en-GB"/>
        </w:rPr>
        <w:t>Ganja</w:t>
      </w:r>
      <w:proofErr w:type="spellEnd"/>
      <w:r w:rsidRPr="009918EE">
        <w:rPr>
          <w:color w:val="000000"/>
          <w:lang w:eastAsia="en-GB"/>
        </w:rPr>
        <w:t xml:space="preserve">, the second-largest city, where they met with local public authorities and </w:t>
      </w:r>
      <w:proofErr w:type="gramStart"/>
      <w:r w:rsidRPr="009918EE">
        <w:rPr>
          <w:color w:val="000000"/>
          <w:lang w:eastAsia="en-GB"/>
        </w:rPr>
        <w:t>representatives</w:t>
      </w:r>
      <w:proofErr w:type="gramEnd"/>
      <w:r w:rsidRPr="009918EE">
        <w:rPr>
          <w:color w:val="000000"/>
          <w:lang w:eastAsia="en-GB"/>
        </w:rPr>
        <w:t xml:space="preserve"> of civil society and businesses, including workers and managers.</w:t>
      </w:r>
      <w:r w:rsidRPr="009918EE">
        <w:rPr>
          <w:color w:val="000000"/>
        </w:rPr>
        <w:t xml:space="preserve"> </w:t>
      </w:r>
    </w:p>
    <w:p w:rsidR="00284C1A" w:rsidRPr="009918EE" w:rsidRDefault="00284C1A" w:rsidP="00E1495F">
      <w:pPr>
        <w:pStyle w:val="SingleTxtG"/>
        <w:numPr>
          <w:ilvl w:val="0"/>
          <w:numId w:val="3"/>
        </w:numPr>
        <w:ind w:left="1134"/>
        <w:rPr>
          <w:color w:val="000000"/>
        </w:rPr>
      </w:pPr>
      <w:r w:rsidRPr="009918EE">
        <w:rPr>
          <w:color w:val="000000"/>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284C1A" w:rsidRPr="009918EE" w:rsidRDefault="00284C1A" w:rsidP="00E1495F">
      <w:pPr>
        <w:pStyle w:val="SingleTxtG"/>
        <w:numPr>
          <w:ilvl w:val="0"/>
          <w:numId w:val="3"/>
        </w:numPr>
        <w:ind w:left="1134"/>
        <w:rPr>
          <w:color w:val="000000"/>
        </w:rPr>
      </w:pPr>
      <w:r w:rsidRPr="009918EE">
        <w:rPr>
          <w:color w:val="000000"/>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284C1A" w:rsidRPr="009918EE" w:rsidRDefault="00284C1A" w:rsidP="00E1495F">
      <w:pPr>
        <w:pStyle w:val="SingleTxtG"/>
        <w:numPr>
          <w:ilvl w:val="0"/>
          <w:numId w:val="3"/>
        </w:numPr>
        <w:ind w:left="1134"/>
        <w:rPr>
          <w:color w:val="000000"/>
        </w:rPr>
      </w:pPr>
      <w:r w:rsidRPr="009918EE">
        <w:rPr>
          <w:color w:val="000000"/>
        </w:rPr>
        <w:t>In the present report, the Working Group describes its findings and makes recommendations for actions that may assist in addressing and remedying the challenges identified.</w:t>
      </w:r>
    </w:p>
    <w:p w:rsidR="00284C1A" w:rsidRPr="009918EE" w:rsidRDefault="00284C1A" w:rsidP="00284C1A">
      <w:pPr>
        <w:pStyle w:val="HChG"/>
        <w:spacing w:line="240" w:lineRule="atLeast"/>
        <w:rPr>
          <w:color w:val="000000"/>
        </w:rPr>
      </w:pPr>
      <w:r w:rsidRPr="009918EE">
        <w:rPr>
          <w:color w:val="000000"/>
        </w:rPr>
        <w:tab/>
        <w:t>II.</w:t>
      </w:r>
      <w:r w:rsidRPr="009918EE">
        <w:rPr>
          <w:color w:val="000000"/>
        </w:rPr>
        <w:tab/>
        <w:t>General context</w:t>
      </w:r>
    </w:p>
    <w:p w:rsidR="00284C1A" w:rsidRPr="009918EE" w:rsidRDefault="00284C1A" w:rsidP="00E1495F">
      <w:pPr>
        <w:pStyle w:val="SingleTxtG"/>
        <w:numPr>
          <w:ilvl w:val="0"/>
          <w:numId w:val="3"/>
        </w:numPr>
        <w:suppressAutoHyphens w:val="0"/>
        <w:autoSpaceDE w:val="0"/>
        <w:autoSpaceDN w:val="0"/>
        <w:adjustRightInd w:val="0"/>
        <w:rPr>
          <w:color w:val="000000"/>
        </w:rPr>
      </w:pPr>
      <w:r w:rsidRPr="009918EE">
        <w:rPr>
          <w:color w:val="000000"/>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w:t>
      </w:r>
      <w:proofErr w:type="spellStart"/>
      <w:r w:rsidRPr="009918EE">
        <w:rPr>
          <w:color w:val="000000"/>
        </w:rPr>
        <w:t>Ilham</w:t>
      </w:r>
      <w:proofErr w:type="spellEnd"/>
      <w:r w:rsidRPr="009918EE">
        <w:rPr>
          <w:color w:val="000000"/>
        </w:rPr>
        <w:t xml:space="preserve"> </w:t>
      </w:r>
      <w:proofErr w:type="spellStart"/>
      <w:r w:rsidRPr="009918EE">
        <w:rPr>
          <w:color w:val="000000"/>
        </w:rPr>
        <w:t>Aliyev</w:t>
      </w:r>
      <w:proofErr w:type="spellEnd"/>
      <w:r w:rsidRPr="009918EE">
        <w:rPr>
          <w:color w:val="000000"/>
        </w:rPr>
        <w:t xml:space="preserve">. </w:t>
      </w:r>
      <w:r w:rsidRPr="009918EE">
        <w:rPr>
          <w:color w:val="000000"/>
          <w:lang w:eastAsia="en-GB"/>
        </w:rPr>
        <w:t xml:space="preserve">The country’s first Parliament, the </w:t>
      </w:r>
      <w:proofErr w:type="spellStart"/>
      <w:r w:rsidRPr="009918EE">
        <w:rPr>
          <w:i/>
          <w:color w:val="000000"/>
          <w:lang w:eastAsia="en-GB"/>
        </w:rPr>
        <w:t>Milli</w:t>
      </w:r>
      <w:proofErr w:type="spellEnd"/>
      <w:r w:rsidRPr="009918EE">
        <w:rPr>
          <w:i/>
          <w:color w:val="000000"/>
          <w:lang w:eastAsia="en-GB"/>
        </w:rPr>
        <w:t xml:space="preserve"> </w:t>
      </w:r>
      <w:proofErr w:type="spellStart"/>
      <w:r w:rsidRPr="009918EE">
        <w:rPr>
          <w:i/>
          <w:color w:val="000000"/>
          <w:lang w:eastAsia="en-GB"/>
        </w:rPr>
        <w:t>Majlis</w:t>
      </w:r>
      <w:proofErr w:type="spellEnd"/>
      <w:r w:rsidRPr="009918EE">
        <w:rPr>
          <w:color w:val="000000"/>
          <w:lang w:eastAsia="en-GB"/>
        </w:rPr>
        <w:t>, was elected in 1995 and consists of 125 deputies. The judiciary is structured as a three-tiered court system that consists of trial courts of general and special jurisdiction, appellate courts, the Supreme Court and the Constitutional Court.</w:t>
      </w:r>
    </w:p>
    <w:p w:rsidR="00284C1A" w:rsidRPr="009918EE" w:rsidRDefault="00284C1A" w:rsidP="00E1495F">
      <w:pPr>
        <w:pStyle w:val="SingleTxtG"/>
        <w:numPr>
          <w:ilvl w:val="0"/>
          <w:numId w:val="3"/>
        </w:numPr>
        <w:suppressAutoHyphens w:val="0"/>
        <w:autoSpaceDE w:val="0"/>
        <w:autoSpaceDN w:val="0"/>
        <w:adjustRightInd w:val="0"/>
        <w:rPr>
          <w:color w:val="000000"/>
        </w:rPr>
      </w:pPr>
      <w:r w:rsidRPr="009918EE">
        <w:rPr>
          <w:color w:val="000000"/>
        </w:rPr>
        <w:t xml:space="preserve">An unresolved armed conflict in and around the Nagorno-Karabakh region of Azerbaijan </w:t>
      </w:r>
      <w:r w:rsidRPr="009918EE">
        <w:rPr>
          <w:color w:val="000000"/>
          <w:lang w:eastAsia="en-GB"/>
        </w:rPr>
        <w:t xml:space="preserve">has resulted in more than 600,000 internally displaced persons today and </w:t>
      </w:r>
      <w:r w:rsidRPr="009918EE">
        <w:rPr>
          <w:color w:val="000000"/>
          <w:lang w:eastAsia="en-GB"/>
        </w:rPr>
        <w:lastRenderedPageBreak/>
        <w:t>thousands more refugees.</w:t>
      </w:r>
      <w:r w:rsidRPr="009918EE">
        <w:rPr>
          <w:rStyle w:val="a3"/>
          <w:color w:val="000000"/>
          <w:lang w:eastAsia="en-GB"/>
        </w:rPr>
        <w:footnoteReference w:id="4"/>
      </w:r>
      <w:r w:rsidRPr="009918EE">
        <w:rPr>
          <w:color w:val="000000"/>
          <w:lang w:eastAsia="en-GB"/>
        </w:rPr>
        <w:t xml:space="preserve"> A ceasefire signed in 1994 remains fragile, with reports of sporadic violations. Some of the interlocutors with whom the Working Group met described the situation as a “frozen conflict”; when discussing business and human rights, interlocutors repeatedly raised the issue of internally displaced persons as one of the main human rights issues affecting the country. </w:t>
      </w:r>
    </w:p>
    <w:p w:rsidR="00284C1A" w:rsidRPr="009918EE" w:rsidRDefault="00284C1A" w:rsidP="00E1495F">
      <w:pPr>
        <w:pStyle w:val="SingleTxtG"/>
        <w:numPr>
          <w:ilvl w:val="0"/>
          <w:numId w:val="3"/>
        </w:numPr>
        <w:rPr>
          <w:color w:val="000000"/>
        </w:rPr>
      </w:pPr>
      <w:r w:rsidRPr="009918EE">
        <w:rPr>
          <w:color w:val="000000"/>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284C1A" w:rsidRPr="009918EE" w:rsidRDefault="00284C1A" w:rsidP="00E1495F">
      <w:pPr>
        <w:pStyle w:val="SingleTxtG"/>
        <w:numPr>
          <w:ilvl w:val="0"/>
          <w:numId w:val="3"/>
        </w:numPr>
        <w:rPr>
          <w:color w:val="000000"/>
        </w:rPr>
      </w:pPr>
      <w:r w:rsidRPr="009918EE">
        <w:rPr>
          <w:color w:val="000000"/>
        </w:rPr>
        <w:t xml:space="preserve">Oil and gas </w:t>
      </w:r>
      <w:proofErr w:type="gramStart"/>
      <w:r w:rsidRPr="009918EE">
        <w:rPr>
          <w:color w:val="000000"/>
        </w:rPr>
        <w:t>have</w:t>
      </w:r>
      <w:proofErr w:type="gramEnd"/>
      <w:r w:rsidRPr="009918EE">
        <w:rPr>
          <w:color w:val="000000"/>
        </w:rPr>
        <w:t xml:space="preser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w:t>
      </w:r>
      <w:proofErr w:type="spellStart"/>
      <w:r w:rsidRPr="009918EE">
        <w:rPr>
          <w:color w:val="000000"/>
        </w:rPr>
        <w:t>SOCAR</w:t>
      </w:r>
      <w:proofErr w:type="spellEnd"/>
      <w:r w:rsidRPr="009918EE">
        <w:rPr>
          <w:color w:val="000000"/>
        </w:rPr>
        <w:t>,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Pr="009918EE">
        <w:rPr>
          <w:rStyle w:val="a3"/>
          <w:color w:val="000000"/>
          <w:sz w:val="20"/>
        </w:rPr>
        <w:footnoteReference w:id="5"/>
      </w:r>
      <w:r w:rsidRPr="009918EE">
        <w:rPr>
          <w:color w:val="000000"/>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284C1A" w:rsidRPr="009918EE" w:rsidRDefault="00284C1A" w:rsidP="00E1495F">
      <w:pPr>
        <w:pStyle w:val="SingleTxtG"/>
        <w:numPr>
          <w:ilvl w:val="0"/>
          <w:numId w:val="3"/>
        </w:numPr>
        <w:rPr>
          <w:color w:val="000000"/>
        </w:rPr>
      </w:pPr>
      <w:r w:rsidRPr="009918EE">
        <w:rPr>
          <w:color w:val="000000"/>
        </w:rPr>
        <w:t xml:space="preserve">High economic growth in the </w:t>
      </w:r>
      <w:proofErr w:type="spellStart"/>
      <w:r w:rsidRPr="009918EE">
        <w:rPr>
          <w:color w:val="000000"/>
        </w:rPr>
        <w:t>2000s</w:t>
      </w:r>
      <w:proofErr w:type="spellEnd"/>
      <w:r w:rsidRPr="009918EE">
        <w:rPr>
          <w:color w:val="000000"/>
        </w:rPr>
        <w:t xml:space="preserve">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Pr="009918EE">
        <w:rPr>
          <w:rStyle w:val="a3"/>
          <w:color w:val="000000"/>
        </w:rPr>
        <w:footnoteReference w:id="6"/>
      </w:r>
      <w:r w:rsidRPr="009918EE">
        <w:rPr>
          <w:color w:val="000000"/>
        </w:rPr>
        <w:t xml:space="preserve"> the World Bank estimated that poverty stood at 6 per cent of the population in 2012.</w:t>
      </w:r>
      <w:r w:rsidRPr="009918EE">
        <w:rPr>
          <w:rStyle w:val="a3"/>
          <w:color w:val="000000"/>
          <w:sz w:val="20"/>
        </w:rPr>
        <w:footnoteReference w:id="7"/>
      </w:r>
      <w:r w:rsidRPr="009918EE">
        <w:rPr>
          <w:color w:val="000000"/>
        </w:rPr>
        <w:t xml:space="preserve"> </w:t>
      </w:r>
      <w:r w:rsidRPr="009918EE">
        <w:rPr>
          <w:color w:val="000000"/>
          <w:lang w:eastAsia="en-GB"/>
        </w:rPr>
        <w:t xml:space="preserve">The average monthly nominal wage of workers increased from 44.3 Azerbaijani </w:t>
      </w:r>
      <w:proofErr w:type="spellStart"/>
      <w:r w:rsidRPr="009918EE">
        <w:rPr>
          <w:color w:val="000000"/>
          <w:lang w:eastAsia="en-GB"/>
        </w:rPr>
        <w:t>manats</w:t>
      </w:r>
      <w:proofErr w:type="spellEnd"/>
      <w:r w:rsidRPr="009918EE">
        <w:rPr>
          <w:color w:val="000000"/>
          <w:lang w:eastAsia="en-GB"/>
        </w:rPr>
        <w:t xml:space="preserve"> (AZN) in 2000 to 444.3 AZN in 2014. </w:t>
      </w:r>
    </w:p>
    <w:p w:rsidR="00284C1A" w:rsidRPr="009918EE" w:rsidRDefault="00284C1A" w:rsidP="00E1495F">
      <w:pPr>
        <w:pStyle w:val="SingleTxtG"/>
        <w:numPr>
          <w:ilvl w:val="0"/>
          <w:numId w:val="3"/>
        </w:numPr>
        <w:rPr>
          <w:color w:val="000000"/>
        </w:rPr>
      </w:pPr>
      <w:r w:rsidRPr="009918EE">
        <w:rPr>
          <w:color w:val="000000"/>
          <w:lang w:eastAsia="en-GB"/>
        </w:rPr>
        <w:t>The proportion of low-wage earners has, however, increased since 2000, reaching 40 per cent of the population in 2010.</w:t>
      </w:r>
      <w:r w:rsidRPr="009918EE">
        <w:rPr>
          <w:rStyle w:val="a3"/>
          <w:color w:val="000000"/>
          <w:sz w:val="20"/>
          <w:lang w:eastAsia="en-GB"/>
        </w:rPr>
        <w:footnoteReference w:id="8"/>
      </w:r>
      <w:r w:rsidRPr="009918EE">
        <w:rPr>
          <w:color w:val="000000"/>
          <w:lang w:eastAsia="en-GB"/>
        </w:rPr>
        <w:t xml:space="preserve"> </w:t>
      </w:r>
      <w:r w:rsidRPr="009918EE">
        <w:rPr>
          <w:bCs/>
          <w:color w:val="000000"/>
        </w:rPr>
        <w:t xml:space="preserve">Inequality remains high, especially in urban areas and between genders. </w:t>
      </w:r>
      <w:r w:rsidRPr="009918EE">
        <w:rPr>
          <w:color w:val="000000"/>
        </w:rPr>
        <w:t>The 2008 Living Standards Measurement Survey showed the country-wide Gini coefficient to be 31, with inequality in cities higher at 32.8 and lower in rural areas at 27.1.</w:t>
      </w:r>
      <w:r w:rsidRPr="009918EE">
        <w:rPr>
          <w:rStyle w:val="a3"/>
          <w:color w:val="000000"/>
        </w:rPr>
        <w:footnoteReference w:id="9"/>
      </w:r>
      <w:r w:rsidRPr="009918EE">
        <w:rPr>
          <w:color w:val="000000"/>
        </w:rPr>
        <w:t xml:space="preserve"> Azerbaijan ranked 62 out of 149 countries in the 2013 </w:t>
      </w:r>
      <w:proofErr w:type="spellStart"/>
      <w:r w:rsidRPr="009918EE">
        <w:rPr>
          <w:color w:val="000000"/>
        </w:rPr>
        <w:t>UNDP</w:t>
      </w:r>
      <w:proofErr w:type="spellEnd"/>
      <w:r w:rsidRPr="009918EE">
        <w:rPr>
          <w:color w:val="000000"/>
        </w:rPr>
        <w:t xml:space="preserve"> Gender Inequality Index. Women’s average wages are less than half those of men (56.8 per cent in 2009 – a steady increase since data were first collected in 2003), despite the fact that women make up almost half of the labour force</w:t>
      </w:r>
      <w:r w:rsidRPr="009918EE">
        <w:rPr>
          <w:color w:val="000000"/>
          <w:lang w:eastAsia="en-GB"/>
        </w:rPr>
        <w:t xml:space="preserve">. The labour market is also heavily gender segregated, even though the educational qualifications of women and men are almost equivalent. Women tend to work in low-wage sectors and do not move far up the pay </w:t>
      </w:r>
      <w:r w:rsidRPr="009918EE">
        <w:rPr>
          <w:color w:val="000000"/>
          <w:lang w:eastAsia="en-GB"/>
        </w:rPr>
        <w:lastRenderedPageBreak/>
        <w:t>ladder. The proportion of women in executive positions has stagnated at around 10 per cent over the past decade.</w:t>
      </w:r>
      <w:r w:rsidRPr="009918EE">
        <w:rPr>
          <w:rStyle w:val="a3"/>
          <w:color w:val="000000"/>
          <w:lang w:eastAsia="en-GB"/>
        </w:rPr>
        <w:footnoteReference w:id="10"/>
      </w:r>
    </w:p>
    <w:p w:rsidR="00284C1A" w:rsidRPr="009918EE" w:rsidRDefault="00284C1A" w:rsidP="00E1495F">
      <w:pPr>
        <w:pStyle w:val="SingleTxtG"/>
        <w:numPr>
          <w:ilvl w:val="0"/>
          <w:numId w:val="3"/>
        </w:numPr>
        <w:rPr>
          <w:color w:val="000000"/>
        </w:rPr>
      </w:pPr>
      <w:r w:rsidRPr="009918EE">
        <w:rPr>
          <w:color w:val="000000"/>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employment continue, however, to pose a challenge. The country has a young population: 40 per cent are younger than 24 years of age. Important advances have, however, been made to address </w:t>
      </w:r>
      <w:r w:rsidRPr="009918EE">
        <w:rPr>
          <w:color w:val="000000"/>
          <w:lang w:eastAsia="en-GB"/>
        </w:rPr>
        <w:t>youth unemployment</w:t>
      </w:r>
      <w:r w:rsidRPr="009918EE">
        <w:rPr>
          <w:color w:val="000000"/>
        </w:rPr>
        <w:t>, which dropped to 29 per cent in 2012 from 42 per cent in 1999.</w:t>
      </w:r>
      <w:r w:rsidRPr="009918EE">
        <w:rPr>
          <w:rStyle w:val="a3"/>
          <w:color w:val="000000"/>
          <w:szCs w:val="18"/>
        </w:rPr>
        <w:footnoteReference w:id="11"/>
      </w:r>
      <w:r w:rsidRPr="009918EE">
        <w:rPr>
          <w:color w:val="000000"/>
        </w:rPr>
        <w:t xml:space="preserve"> The share of people working without formal labour contracts has stood consistently at 67 per cent in recent years, a problem that particularly affects women and workers in regions outside Baku.</w:t>
      </w:r>
      <w:r w:rsidRPr="009918EE">
        <w:rPr>
          <w:rStyle w:val="a3"/>
          <w:color w:val="000000"/>
          <w:szCs w:val="18"/>
        </w:rPr>
        <w:footnoteReference w:id="12"/>
      </w:r>
      <w:r w:rsidRPr="009918EE">
        <w:rPr>
          <w:color w:val="000000"/>
        </w:rPr>
        <w:t xml:space="preserve"> </w:t>
      </w:r>
    </w:p>
    <w:p w:rsidR="00284C1A" w:rsidRPr="009918EE" w:rsidRDefault="00284C1A" w:rsidP="00284C1A">
      <w:pPr>
        <w:pStyle w:val="HChG"/>
        <w:spacing w:line="240" w:lineRule="atLeast"/>
        <w:rPr>
          <w:color w:val="000000"/>
        </w:rPr>
      </w:pPr>
      <w:r w:rsidRPr="009918EE">
        <w:rPr>
          <w:color w:val="000000"/>
        </w:rPr>
        <w:tab/>
        <w:t>III.</w:t>
      </w:r>
      <w:r w:rsidRPr="009918EE">
        <w:rPr>
          <w:color w:val="000000"/>
        </w:rPr>
        <w:tab/>
        <w:t>Legislative and policy framework</w:t>
      </w:r>
    </w:p>
    <w:p w:rsidR="00284C1A" w:rsidRPr="009918EE" w:rsidRDefault="00284C1A" w:rsidP="00E1495F">
      <w:pPr>
        <w:pStyle w:val="SingleTxtG"/>
        <w:numPr>
          <w:ilvl w:val="0"/>
          <w:numId w:val="3"/>
        </w:numPr>
        <w:ind w:left="1134"/>
        <w:rPr>
          <w:color w:val="000000"/>
        </w:rPr>
      </w:pPr>
      <w:r w:rsidRPr="009918EE">
        <w:rPr>
          <w:color w:val="000000"/>
        </w:rPr>
        <w:t>Azerbaijan has signed all nine of the core international human rights treaties and has ratified or acceded to eight of them.</w:t>
      </w:r>
      <w:r w:rsidRPr="009918EE">
        <w:rPr>
          <w:rStyle w:val="a3"/>
          <w:color w:val="000000"/>
        </w:rPr>
        <w:footnoteReference w:id="13"/>
      </w:r>
      <w:r w:rsidRPr="009918EE">
        <w:rPr>
          <w:color w:val="000000"/>
        </w:rPr>
        <w:t xml:space="preserve"> It has also signed, and in some cases ratified, all Optional Protocols, with the exception of two.</w:t>
      </w:r>
      <w:r w:rsidRPr="009918EE">
        <w:rPr>
          <w:rStyle w:val="a3"/>
          <w:color w:val="000000"/>
        </w:rPr>
        <w:footnoteReference w:id="14"/>
      </w:r>
      <w:r w:rsidRPr="009918EE">
        <w:rPr>
          <w:color w:val="000000"/>
        </w:rPr>
        <w:t xml:space="preserve"> In addition, Azerbaijan has ratified all eight core conventions of the International Labour Organization (</w:t>
      </w:r>
      <w:proofErr w:type="spellStart"/>
      <w:r w:rsidRPr="009918EE">
        <w:rPr>
          <w:color w:val="000000"/>
        </w:rPr>
        <w:t>ILO</w:t>
      </w:r>
      <w:proofErr w:type="spellEnd"/>
      <w:r w:rsidRPr="009918EE">
        <w:rPr>
          <w:color w:val="000000"/>
        </w:rPr>
        <w:t xml:space="preserve">)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w:t>
      </w:r>
      <w:proofErr w:type="spellStart"/>
      <w:r w:rsidRPr="009918EE">
        <w:rPr>
          <w:color w:val="000000"/>
        </w:rPr>
        <w:t>ILO</w:t>
      </w:r>
      <w:proofErr w:type="spellEnd"/>
      <w:r w:rsidRPr="009918EE">
        <w:rPr>
          <w:color w:val="000000"/>
        </w:rPr>
        <w:t xml:space="preserve"> technical conventions and four </w:t>
      </w:r>
      <w:proofErr w:type="spellStart"/>
      <w:r w:rsidRPr="009918EE">
        <w:rPr>
          <w:color w:val="000000"/>
        </w:rPr>
        <w:t>ILO</w:t>
      </w:r>
      <w:proofErr w:type="spellEnd"/>
      <w:r w:rsidRPr="009918EE">
        <w:rPr>
          <w:color w:val="000000"/>
        </w:rPr>
        <w:t xml:space="preserve"> governance </w:t>
      </w:r>
      <w:r w:rsidRPr="009918EE">
        <w:t>conventions relating to labour inspection, employment policy and tripartite consultations</w:t>
      </w:r>
      <w:r w:rsidRPr="009918EE">
        <w:rPr>
          <w:color w:val="000000"/>
        </w:rPr>
        <w:t>.</w:t>
      </w:r>
    </w:p>
    <w:p w:rsidR="00284C1A" w:rsidRPr="009918EE" w:rsidRDefault="00284C1A" w:rsidP="00E1495F">
      <w:pPr>
        <w:pStyle w:val="SingleTxtG"/>
        <w:numPr>
          <w:ilvl w:val="0"/>
          <w:numId w:val="3"/>
        </w:numPr>
        <w:ind w:left="1134"/>
        <w:rPr>
          <w:color w:val="000000"/>
        </w:rPr>
      </w:pPr>
      <w:r w:rsidRPr="009918EE">
        <w:rPr>
          <w:color w:val="000000"/>
        </w:rPr>
        <w:t>The country has a monist legal system. The Constitution,</w:t>
      </w:r>
      <w:r w:rsidRPr="009918EE">
        <w:rPr>
          <w:rStyle w:val="a3"/>
          <w:color w:val="000000"/>
        </w:rPr>
        <w:footnoteReference w:id="15"/>
      </w:r>
      <w:r w:rsidRPr="009918EE">
        <w:rPr>
          <w:color w:val="000000"/>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w:t>
      </w:r>
      <w:proofErr w:type="gramStart"/>
      <w:r w:rsidRPr="009918EE">
        <w:rPr>
          <w:color w:val="000000"/>
        </w:rPr>
        <w:t>except</w:t>
      </w:r>
      <w:proofErr w:type="gramEnd"/>
      <w:r w:rsidRPr="009918EE">
        <w:rPr>
          <w:color w:val="000000"/>
        </w:rPr>
        <w:t xml:space="preserve"> the Constitution and acts accepted by referendum), the provisions of international agreements take precedence.</w:t>
      </w:r>
    </w:p>
    <w:p w:rsidR="00284C1A" w:rsidRPr="009918EE" w:rsidRDefault="00284C1A" w:rsidP="00E1495F">
      <w:pPr>
        <w:pStyle w:val="SingleTxtG"/>
        <w:numPr>
          <w:ilvl w:val="0"/>
          <w:numId w:val="3"/>
        </w:numPr>
        <w:ind w:left="1134"/>
        <w:rPr>
          <w:color w:val="000000"/>
        </w:rPr>
      </w:pPr>
      <w:r w:rsidRPr="009918EE">
        <w:rPr>
          <w:color w:val="000000"/>
        </w:rPr>
        <w:t xml:space="preserve">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activity or work of </w:t>
      </w:r>
      <w:r w:rsidRPr="009918EE">
        <w:rPr>
          <w:color w:val="000000"/>
        </w:rPr>
        <w:lastRenderedPageBreak/>
        <w:t>State bodies, their officials, political parties, trade unions or other public organizations, and also the activity or work of individuals (art. 57).</w:t>
      </w:r>
    </w:p>
    <w:p w:rsidR="00284C1A" w:rsidRPr="009918EE" w:rsidRDefault="00284C1A" w:rsidP="00E1495F">
      <w:pPr>
        <w:pStyle w:val="SingleTxtG"/>
        <w:numPr>
          <w:ilvl w:val="0"/>
          <w:numId w:val="3"/>
        </w:numPr>
        <w:ind w:left="1134"/>
        <w:rPr>
          <w:color w:val="000000"/>
        </w:rPr>
      </w:pPr>
      <w:r w:rsidRPr="009918EE">
        <w:rPr>
          <w:color w:val="000000"/>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284C1A" w:rsidRPr="009918EE" w:rsidRDefault="00284C1A" w:rsidP="00E1495F">
      <w:pPr>
        <w:pStyle w:val="SingleTxtG"/>
        <w:numPr>
          <w:ilvl w:val="0"/>
          <w:numId w:val="3"/>
        </w:numPr>
        <w:ind w:left="1134"/>
        <w:rPr>
          <w:color w:val="000000"/>
        </w:rPr>
      </w:pPr>
      <w:r w:rsidRPr="009918EE">
        <w:rPr>
          <w:color w:val="000000"/>
        </w:rPr>
        <w:t>The “Azerbaijan 2020: Look into the Future” development concept,</w:t>
      </w:r>
      <w:r w:rsidRPr="009918EE">
        <w:rPr>
          <w:rStyle w:val="a3"/>
          <w:color w:val="000000"/>
        </w:rPr>
        <w:footnoteReference w:id="16"/>
      </w:r>
      <w:r w:rsidRPr="009918EE">
        <w:rPr>
          <w:color w:val="000000"/>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284C1A" w:rsidRPr="009918EE" w:rsidRDefault="00284C1A" w:rsidP="00284C1A">
      <w:pPr>
        <w:pStyle w:val="HChG"/>
        <w:spacing w:line="240" w:lineRule="atLeast"/>
        <w:rPr>
          <w:color w:val="000000"/>
        </w:rPr>
      </w:pPr>
      <w:r w:rsidRPr="009918EE">
        <w:rPr>
          <w:color w:val="000000"/>
        </w:rPr>
        <w:tab/>
        <w:t>IV.</w:t>
      </w:r>
      <w:r w:rsidRPr="009918EE">
        <w:rPr>
          <w:color w:val="000000"/>
        </w:rPr>
        <w:tab/>
        <w:t>Awareness of business and human rights</w:t>
      </w:r>
    </w:p>
    <w:p w:rsidR="00284C1A" w:rsidRPr="009918EE" w:rsidRDefault="00284C1A" w:rsidP="00E1495F">
      <w:pPr>
        <w:pStyle w:val="SingleTxtG"/>
        <w:numPr>
          <w:ilvl w:val="0"/>
          <w:numId w:val="3"/>
        </w:numPr>
        <w:ind w:left="1134"/>
        <w:rPr>
          <w:color w:val="000000"/>
        </w:rPr>
      </w:pPr>
      <w:r w:rsidRPr="009918EE">
        <w:rPr>
          <w:color w:val="000000"/>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284C1A" w:rsidRPr="009918EE" w:rsidRDefault="00284C1A" w:rsidP="00E1495F">
      <w:pPr>
        <w:pStyle w:val="SingleTxtG"/>
        <w:numPr>
          <w:ilvl w:val="0"/>
          <w:numId w:val="3"/>
        </w:numPr>
        <w:rPr>
          <w:color w:val="000000"/>
        </w:rPr>
      </w:pPr>
      <w:r w:rsidRPr="009918EE">
        <w:rPr>
          <w:color w:val="000000"/>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284C1A" w:rsidRPr="009918EE" w:rsidRDefault="00284C1A" w:rsidP="00E1495F">
      <w:pPr>
        <w:pStyle w:val="SingleTxtG"/>
        <w:numPr>
          <w:ilvl w:val="0"/>
          <w:numId w:val="3"/>
        </w:numPr>
        <w:rPr>
          <w:color w:val="000000"/>
        </w:rPr>
      </w:pPr>
      <w:r w:rsidRPr="009918EE">
        <w:rPr>
          <w:color w:val="000000"/>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284C1A" w:rsidRPr="009918EE" w:rsidRDefault="00284C1A" w:rsidP="00E1495F">
      <w:pPr>
        <w:pStyle w:val="SingleTxtG"/>
        <w:numPr>
          <w:ilvl w:val="0"/>
          <w:numId w:val="3"/>
        </w:numPr>
        <w:rPr>
          <w:color w:val="000000"/>
        </w:rPr>
      </w:pPr>
      <w:r w:rsidRPr="009918EE">
        <w:rPr>
          <w:color w:val="000000"/>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employers, and civil society organizations. Also, in 2013, the Ombudsman facilitated the </w:t>
      </w:r>
      <w:r w:rsidRPr="009918EE">
        <w:rPr>
          <w:color w:val="000000"/>
        </w:rPr>
        <w:lastRenderedPageBreak/>
        <w:t xml:space="preserve">establishment of a working group composed of relevant State bodies and non-governmental organizations. At the initiative of the Office, </w:t>
      </w:r>
      <w:r w:rsidRPr="009918EE">
        <w:t>the Guiding Principles on Business and Human Rights</w:t>
      </w:r>
      <w:r w:rsidRPr="009918EE">
        <w:rPr>
          <w:b/>
        </w:rPr>
        <w:t xml:space="preserve"> </w:t>
      </w:r>
      <w:r w:rsidRPr="009918EE">
        <w:rPr>
          <w:color w:val="000000"/>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284C1A" w:rsidRPr="009918EE" w:rsidRDefault="00284C1A" w:rsidP="00E1495F">
      <w:pPr>
        <w:pStyle w:val="SingleTxtG"/>
        <w:numPr>
          <w:ilvl w:val="0"/>
          <w:numId w:val="3"/>
        </w:numPr>
        <w:rPr>
          <w:color w:val="000000"/>
        </w:rPr>
      </w:pPr>
      <w:r w:rsidRPr="009918EE">
        <w:rPr>
          <w:color w:val="000000"/>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284C1A" w:rsidRPr="009918EE" w:rsidRDefault="00284C1A" w:rsidP="00E1495F">
      <w:pPr>
        <w:pStyle w:val="SingleTxtG"/>
        <w:numPr>
          <w:ilvl w:val="0"/>
          <w:numId w:val="3"/>
        </w:numPr>
        <w:rPr>
          <w:color w:val="000000"/>
        </w:rPr>
      </w:pPr>
      <w:r w:rsidRPr="009918EE">
        <w:rPr>
          <w:color w:val="000000"/>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State and the responsibility of business enterprises to prevent and protect against business-related abuse of human rights. </w:t>
      </w:r>
    </w:p>
    <w:p w:rsidR="00284C1A" w:rsidRPr="009918EE" w:rsidRDefault="00284C1A" w:rsidP="00E1495F">
      <w:pPr>
        <w:pStyle w:val="SingleTxtG"/>
        <w:numPr>
          <w:ilvl w:val="0"/>
          <w:numId w:val="3"/>
        </w:numPr>
        <w:rPr>
          <w:color w:val="000000"/>
        </w:rPr>
      </w:pPr>
      <w:r w:rsidRPr="009918EE">
        <w:rPr>
          <w:color w:val="000000"/>
        </w:rPr>
        <w:t xml:space="preserve">Company programmes o assist internally displaced persons were mentioned as examples of corporate social responsibility, not of how companies implemented their responsibility to protect human rights throughout their operations. </w:t>
      </w:r>
    </w:p>
    <w:p w:rsidR="00284C1A" w:rsidRPr="009918EE" w:rsidRDefault="00284C1A" w:rsidP="00E1495F">
      <w:pPr>
        <w:pStyle w:val="SingleTxtG"/>
        <w:numPr>
          <w:ilvl w:val="0"/>
          <w:numId w:val="3"/>
        </w:numPr>
        <w:rPr>
          <w:color w:val="000000"/>
        </w:rPr>
      </w:pPr>
      <w:r w:rsidRPr="009918EE">
        <w:rPr>
          <w:color w:val="000000"/>
        </w:rPr>
        <w:t>The concept of the “right of entrepreneurs” is set out in a specific law, backed also by policies such as the “National Fund for Entrepreneurship Support”</w:t>
      </w:r>
      <w:r w:rsidRPr="009918EE">
        <w:rPr>
          <w:rStyle w:val="a3"/>
          <w:color w:val="000000"/>
        </w:rPr>
        <w:footnoteReference w:id="17"/>
      </w:r>
      <w:r w:rsidRPr="009918EE">
        <w:rPr>
          <w:color w:val="000000"/>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284C1A" w:rsidRPr="009918EE" w:rsidRDefault="00284C1A" w:rsidP="00E1495F">
      <w:pPr>
        <w:pStyle w:val="SingleTxtG"/>
        <w:numPr>
          <w:ilvl w:val="0"/>
          <w:numId w:val="3"/>
        </w:numPr>
        <w:rPr>
          <w:color w:val="000000"/>
        </w:rPr>
      </w:pPr>
      <w:r w:rsidRPr="009918EE">
        <w:rPr>
          <w:color w:val="000000"/>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284C1A" w:rsidRPr="009918EE" w:rsidRDefault="00284C1A" w:rsidP="00E1495F">
      <w:pPr>
        <w:pStyle w:val="SingleTxtG"/>
        <w:numPr>
          <w:ilvl w:val="0"/>
          <w:numId w:val="3"/>
        </w:numPr>
        <w:rPr>
          <w:color w:val="000000"/>
        </w:rPr>
      </w:pPr>
      <w:r w:rsidRPr="009918EE">
        <w:rPr>
          <w:color w:val="000000"/>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284C1A" w:rsidRPr="009918EE" w:rsidRDefault="00284C1A" w:rsidP="00E1495F">
      <w:pPr>
        <w:pStyle w:val="SingleTxtG"/>
        <w:numPr>
          <w:ilvl w:val="0"/>
          <w:numId w:val="3"/>
        </w:numPr>
        <w:rPr>
          <w:color w:val="000000"/>
        </w:rPr>
      </w:pPr>
      <w:r w:rsidRPr="009918EE">
        <w:rPr>
          <w:color w:val="000000"/>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284C1A" w:rsidRPr="009918EE" w:rsidRDefault="00284C1A" w:rsidP="00E1495F">
      <w:pPr>
        <w:pStyle w:val="SingleTxtG"/>
        <w:numPr>
          <w:ilvl w:val="0"/>
          <w:numId w:val="3"/>
        </w:numPr>
        <w:rPr>
          <w:color w:val="000000"/>
        </w:rPr>
      </w:pPr>
      <w:r w:rsidRPr="009918EE">
        <w:rPr>
          <w:color w:val="000000"/>
        </w:rPr>
        <w:t xml:space="preserve">The State’s steady economic growth and diversification poses both opportunities and challenges related to the impact of business on human rights. As previously noted by the </w:t>
      </w:r>
      <w:r w:rsidRPr="009918EE">
        <w:rPr>
          <w:color w:val="000000"/>
        </w:rPr>
        <w:lastRenderedPageBreak/>
        <w:t>Working Group, all countries, particularly those undergoing economic development, need 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Pr="009918EE">
        <w:t>A/</w:t>
      </w:r>
      <w:proofErr w:type="spellStart"/>
      <w:r w:rsidRPr="009918EE">
        <w:t>HRC</w:t>
      </w:r>
      <w:proofErr w:type="spellEnd"/>
      <w:r w:rsidRPr="009918EE">
        <w:t>/23/32/</w:t>
      </w:r>
      <w:proofErr w:type="spellStart"/>
      <w:r w:rsidRPr="009918EE">
        <w:t>Add.1</w:t>
      </w:r>
      <w:proofErr w:type="spellEnd"/>
      <w:r w:rsidRPr="009918EE">
        <w:t>, para. 4)</w:t>
      </w:r>
      <w:r w:rsidRPr="009918EE">
        <w:rPr>
          <w:color w:val="000000"/>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284C1A" w:rsidRPr="009918EE" w:rsidRDefault="00284C1A" w:rsidP="00E1495F">
      <w:pPr>
        <w:pStyle w:val="SingleTxtG"/>
        <w:numPr>
          <w:ilvl w:val="0"/>
          <w:numId w:val="3"/>
        </w:numPr>
        <w:rPr>
          <w:color w:val="000000"/>
        </w:rPr>
      </w:pPr>
      <w:r w:rsidRPr="009918EE">
        <w:rPr>
          <w:color w:val="000000"/>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284C1A" w:rsidRPr="003979F3" w:rsidRDefault="00284C1A" w:rsidP="003979F3">
      <w:pPr>
        <w:pStyle w:val="HChG"/>
      </w:pPr>
      <w:r w:rsidRPr="003979F3">
        <w:tab/>
        <w:t>V.</w:t>
      </w:r>
      <w:r w:rsidRPr="003979F3">
        <w:tab/>
        <w:t>Issues in specific contexts</w:t>
      </w:r>
    </w:p>
    <w:p w:rsidR="00284C1A" w:rsidRPr="003979F3" w:rsidRDefault="003979F3" w:rsidP="003979F3">
      <w:pPr>
        <w:pStyle w:val="H1G"/>
      </w:pPr>
      <w:r>
        <w:tab/>
      </w:r>
      <w:r w:rsidRPr="003979F3">
        <w:t>A.</w:t>
      </w:r>
      <w:r>
        <w:tab/>
      </w:r>
      <w:r w:rsidR="00284C1A" w:rsidRPr="003979F3">
        <w:t>Inclusiveness and participation</w:t>
      </w:r>
    </w:p>
    <w:p w:rsidR="00284C1A" w:rsidRPr="009918EE" w:rsidRDefault="00284C1A" w:rsidP="00E1495F">
      <w:pPr>
        <w:pStyle w:val="SingleTxtG"/>
        <w:numPr>
          <w:ilvl w:val="0"/>
          <w:numId w:val="3"/>
        </w:numPr>
        <w:rPr>
          <w:color w:val="000000"/>
        </w:rPr>
      </w:pPr>
      <w:r w:rsidRPr="009918EE">
        <w:rPr>
          <w:color w:val="000000"/>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284C1A" w:rsidRPr="009918EE" w:rsidRDefault="00284C1A" w:rsidP="00E1495F">
      <w:pPr>
        <w:pStyle w:val="SingleTxtG"/>
        <w:numPr>
          <w:ilvl w:val="0"/>
          <w:numId w:val="3"/>
        </w:numPr>
        <w:rPr>
          <w:color w:val="000000"/>
        </w:rPr>
      </w:pPr>
      <w:r w:rsidRPr="009918EE">
        <w:rPr>
          <w:color w:val="000000"/>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284C1A" w:rsidRPr="003979F3" w:rsidRDefault="00284C1A" w:rsidP="003133C1">
      <w:pPr>
        <w:pStyle w:val="H23G"/>
        <w:numPr>
          <w:ilvl w:val="0"/>
          <w:numId w:val="10"/>
        </w:numPr>
      </w:pPr>
      <w:r w:rsidRPr="003979F3">
        <w:t>Space for civil society participation</w:t>
      </w:r>
    </w:p>
    <w:p w:rsidR="00284C1A" w:rsidRPr="009918EE" w:rsidRDefault="00284C1A" w:rsidP="00E1495F">
      <w:pPr>
        <w:pStyle w:val="SingleTxtG"/>
        <w:numPr>
          <w:ilvl w:val="0"/>
          <w:numId w:val="3"/>
        </w:numPr>
        <w:rPr>
          <w:color w:val="000000"/>
        </w:rPr>
      </w:pPr>
      <w:r w:rsidRPr="009918EE">
        <w:rPr>
          <w:color w:val="000000"/>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w:t>
      </w:r>
      <w:proofErr w:type="gramStart"/>
      <w:r w:rsidRPr="009918EE">
        <w:rPr>
          <w:color w:val="000000"/>
        </w:rPr>
        <w:t>conducive</w:t>
      </w:r>
      <w:proofErr w:type="gramEnd"/>
      <w:r w:rsidRPr="009918EE">
        <w:rPr>
          <w:color w:val="000000"/>
        </w:rPr>
        <w:t xml:space="preserve"> environment and financial support for civil society; (b) leads to the creation of “non-governmental organization houses” and education centres; and (c) increases civil society participation in the development of State programmes and public </w:t>
      </w:r>
      <w:r w:rsidRPr="009918EE">
        <w:rPr>
          <w:color w:val="000000"/>
        </w:rPr>
        <w:lastRenderedPageBreak/>
        <w:t xml:space="preserve">commissions. The Development Concept also underlines the importance of greater inclusion of civil society in policymaking and in promoting freedom of speech and information, including by improving the regulation of information and mass media in compliance with international standards. </w:t>
      </w:r>
    </w:p>
    <w:p w:rsidR="00284C1A" w:rsidRPr="009918EE" w:rsidRDefault="00284C1A" w:rsidP="00E1495F">
      <w:pPr>
        <w:pStyle w:val="SingleTxtG"/>
        <w:numPr>
          <w:ilvl w:val="0"/>
          <w:numId w:val="3"/>
        </w:numPr>
        <w:rPr>
          <w:color w:val="000000"/>
        </w:rPr>
      </w:pPr>
      <w:r w:rsidRPr="009918EE">
        <w:rPr>
          <w:color w:val="000000"/>
        </w:rPr>
        <w:t xml:space="preserve">At the same time, the Working Group noted with concern signs that the space for independent civil society appears to be contracting. In this regard, it regrets that it was unable to engage with some civil society actors who had been placed in </w:t>
      </w:r>
      <w:proofErr w:type="spellStart"/>
      <w:r w:rsidRPr="009918EE">
        <w:rPr>
          <w:color w:val="000000"/>
        </w:rPr>
        <w:t>pretrial</w:t>
      </w:r>
      <w:proofErr w:type="spellEnd"/>
      <w:r w:rsidRPr="009918EE">
        <w:rPr>
          <w:color w:val="000000"/>
        </w:rPr>
        <w:t xml:space="preserve">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284C1A" w:rsidRPr="009918EE" w:rsidRDefault="00284C1A" w:rsidP="00E1495F">
      <w:pPr>
        <w:pStyle w:val="SingleTxtG"/>
        <w:numPr>
          <w:ilvl w:val="0"/>
          <w:numId w:val="3"/>
        </w:numPr>
        <w:rPr>
          <w:color w:val="000000"/>
        </w:rPr>
      </w:pPr>
      <w:r w:rsidRPr="009918EE">
        <w:rPr>
          <w:color w:val="000000"/>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Pr="009918EE">
        <w:rPr>
          <w:rStyle w:val="a3"/>
          <w:color w:val="000000"/>
          <w:szCs w:val="18"/>
        </w:rPr>
        <w:footnoteReference w:id="18"/>
      </w:r>
      <w:r w:rsidRPr="009918EE">
        <w:rPr>
          <w:color w:val="000000"/>
          <w:sz w:val="18"/>
          <w:szCs w:val="18"/>
        </w:rPr>
        <w:t xml:space="preserve"> </w:t>
      </w:r>
      <w:r w:rsidRPr="009918EE">
        <w:rPr>
          <w:color w:val="000000"/>
        </w:rPr>
        <w:t>Similar observations were made by the Commissioner for Human Rights of the Council of Europe after a two-day visit to the country in October 2014.</w:t>
      </w:r>
      <w:r w:rsidRPr="009918EE">
        <w:rPr>
          <w:rStyle w:val="a3"/>
          <w:color w:val="000000"/>
        </w:rPr>
        <w:footnoteReference w:id="19"/>
      </w:r>
    </w:p>
    <w:p w:rsidR="00284C1A" w:rsidRPr="009918EE" w:rsidRDefault="00284C1A" w:rsidP="00E1495F">
      <w:pPr>
        <w:pStyle w:val="SingleTxtG"/>
        <w:numPr>
          <w:ilvl w:val="0"/>
          <w:numId w:val="3"/>
        </w:numPr>
        <w:rPr>
          <w:color w:val="000000"/>
        </w:rPr>
      </w:pPr>
      <w:r w:rsidRPr="009918EE">
        <w:rPr>
          <w:color w:val="000000"/>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284C1A" w:rsidRPr="009918EE" w:rsidRDefault="00284C1A" w:rsidP="00E1495F">
      <w:pPr>
        <w:pStyle w:val="SingleTxtG"/>
        <w:numPr>
          <w:ilvl w:val="0"/>
          <w:numId w:val="3"/>
        </w:numPr>
        <w:rPr>
          <w:color w:val="000000"/>
        </w:rPr>
      </w:pPr>
      <w:r w:rsidRPr="009918EE">
        <w:rPr>
          <w:color w:val="000000"/>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284C1A" w:rsidRPr="009918EE" w:rsidRDefault="00284C1A" w:rsidP="00E1495F">
      <w:pPr>
        <w:pStyle w:val="SingleTxtG"/>
        <w:numPr>
          <w:ilvl w:val="0"/>
          <w:numId w:val="3"/>
        </w:numPr>
        <w:rPr>
          <w:color w:val="000000"/>
        </w:rPr>
      </w:pPr>
      <w:r w:rsidRPr="009918EE">
        <w:rPr>
          <w:color w:val="000000"/>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284C1A" w:rsidRPr="009918EE" w:rsidRDefault="00284C1A" w:rsidP="00E1495F">
      <w:pPr>
        <w:pStyle w:val="SingleTxtG"/>
        <w:numPr>
          <w:ilvl w:val="0"/>
          <w:numId w:val="3"/>
        </w:numPr>
        <w:rPr>
          <w:color w:val="000000"/>
        </w:rPr>
      </w:pPr>
      <w:r w:rsidRPr="009918EE">
        <w:rPr>
          <w:color w:val="000000"/>
        </w:rPr>
        <w:t xml:space="preserve">During its visit, the Working Group encouraged the Government to proceed with measures to simplify grant registrations. It urged the Government to ensure that </w:t>
      </w:r>
      <w:r w:rsidRPr="009918EE">
        <w:rPr>
          <w:color w:val="000000"/>
          <w:lang w:eastAsia="en-GB"/>
        </w:rPr>
        <w:t xml:space="preserve">the </w:t>
      </w:r>
      <w:r w:rsidRPr="009918EE">
        <w:rPr>
          <w:color w:val="000000"/>
          <w:lang w:eastAsia="en-GB"/>
        </w:rPr>
        <w:lastRenderedPageBreak/>
        <w:t>legitimate activities of human rights defenders are not obstructed</w:t>
      </w:r>
      <w:r w:rsidRPr="009918EE">
        <w:rPr>
          <w:color w:val="000000"/>
        </w:rPr>
        <w:t xml:space="preserve"> and that procedures pertaining to the process of registration and approval of grants are transparent, avoid any perception of bias and are conducted in an efficient and timely manner. The Government informed the Working Group that work was being carried out to improve regulations regarding the registration of grants.</w:t>
      </w:r>
    </w:p>
    <w:p w:rsidR="00284C1A" w:rsidRPr="009918EE" w:rsidRDefault="00284C1A" w:rsidP="00E1495F">
      <w:pPr>
        <w:pStyle w:val="SingleTxtG"/>
        <w:numPr>
          <w:ilvl w:val="0"/>
          <w:numId w:val="3"/>
        </w:numPr>
        <w:rPr>
          <w:b/>
          <w:color w:val="000000"/>
        </w:rPr>
      </w:pPr>
      <w:r w:rsidRPr="009918EE">
        <w:rPr>
          <w:color w:val="000000"/>
          <w:lang w:eastAsia="en-GB"/>
        </w:rPr>
        <w:t>T</w:t>
      </w:r>
      <w:r w:rsidRPr="009918EE">
        <w:rPr>
          <w:color w:val="000000"/>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w:t>
      </w:r>
      <w:proofErr w:type="spellStart"/>
      <w:r w:rsidRPr="009918EE">
        <w:rPr>
          <w:color w:val="000000"/>
        </w:rPr>
        <w:t>pretrial</w:t>
      </w:r>
      <w:proofErr w:type="spellEnd"/>
      <w:r w:rsidRPr="009918EE">
        <w:rPr>
          <w:color w:val="000000"/>
        </w:rPr>
        <w:t xml:space="preserve"> detention. The Working Group is deeply concerned that actions such as these may interpreted as reprisals against individuals working to expose corruption by a privileged few, thereby undermining the broader agenda for development. </w:t>
      </w:r>
    </w:p>
    <w:p w:rsidR="00284C1A" w:rsidRPr="003979F3" w:rsidRDefault="00284C1A" w:rsidP="003133C1">
      <w:pPr>
        <w:pStyle w:val="H23G"/>
        <w:numPr>
          <w:ilvl w:val="0"/>
          <w:numId w:val="10"/>
        </w:numPr>
      </w:pPr>
      <w:r w:rsidRPr="003979F3">
        <w:rPr>
          <w:rStyle w:val="af6"/>
          <w:i w:val="0"/>
          <w:iCs w:val="0"/>
        </w:rPr>
        <w:t>Extractive Industries Transparency Initiative</w:t>
      </w:r>
    </w:p>
    <w:p w:rsidR="00284C1A" w:rsidRPr="009918EE" w:rsidRDefault="00284C1A" w:rsidP="00E1495F">
      <w:pPr>
        <w:pStyle w:val="SingleTxtG"/>
        <w:numPr>
          <w:ilvl w:val="0"/>
          <w:numId w:val="3"/>
        </w:numPr>
        <w:rPr>
          <w:color w:val="000000"/>
        </w:rPr>
      </w:pPr>
      <w:r w:rsidRPr="009918EE">
        <w:rPr>
          <w:color w:val="000000"/>
        </w:rPr>
        <w:t xml:space="preserve">The difficulties faced by independent civil society organizations are reflected in concerns about the State’s compliance with its commitments made under the </w:t>
      </w:r>
      <w:r w:rsidRPr="009918EE">
        <w:rPr>
          <w:rStyle w:val="af6"/>
          <w:color w:val="000000"/>
        </w:rPr>
        <w:t>Extractive Industries Transparency Initiative</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 xml:space="preserve">Azerbaijan is a founding and governing board member of the </w:t>
      </w:r>
      <w:proofErr w:type="spellStart"/>
      <w:r w:rsidRPr="009918EE">
        <w:rPr>
          <w:color w:val="000000"/>
        </w:rPr>
        <w:t>EITI</w:t>
      </w:r>
      <w:proofErr w:type="spellEnd"/>
      <w:r w:rsidRPr="009918EE">
        <w:rPr>
          <w:color w:val="000000"/>
        </w:rPr>
        <w:t xml:space="preserve">, an international coalition of Governments, companies and non-governmental groups that promotes government openness in natural resources management. The </w:t>
      </w:r>
      <w:proofErr w:type="spellStart"/>
      <w:r w:rsidRPr="009918EE">
        <w:rPr>
          <w:color w:val="000000"/>
        </w:rPr>
        <w:t>EITI</w:t>
      </w:r>
      <w:proofErr w:type="spellEnd"/>
      <w:r w:rsidRPr="009918EE">
        <w:rPr>
          <w:color w:val="000000"/>
        </w:rPr>
        <w:t xml:space="preserve"> collects and publishes data on government revenues from oil, gas and mining with the objective of fostering open public debate about how revenues are used. A key </w:t>
      </w:r>
      <w:proofErr w:type="spellStart"/>
      <w:r w:rsidRPr="009918EE">
        <w:rPr>
          <w:color w:val="000000"/>
        </w:rPr>
        <w:t>EITI</w:t>
      </w:r>
      <w:proofErr w:type="spellEnd"/>
      <w:r w:rsidRPr="009918EE">
        <w:rPr>
          <w:color w:val="000000"/>
        </w:rPr>
        <w:t xml:space="preserve"> requirement is “effective multi-stakeholder oversight, including a functioning multi-stakeholder group that involves the government, companies, and the full, independent, active and effective participation of civil society.” </w:t>
      </w:r>
    </w:p>
    <w:p w:rsidR="00284C1A" w:rsidRPr="009918EE" w:rsidRDefault="00284C1A" w:rsidP="00E1495F">
      <w:pPr>
        <w:pStyle w:val="SingleTxtG"/>
        <w:numPr>
          <w:ilvl w:val="0"/>
          <w:numId w:val="3"/>
        </w:numPr>
        <w:rPr>
          <w:color w:val="000000"/>
        </w:rPr>
      </w:pPr>
      <w:r w:rsidRPr="009918EE">
        <w:rPr>
          <w:color w:val="000000"/>
        </w:rPr>
        <w:t xml:space="preserve">The discussions held by the Working Group with representatives of the civil society mechanism of the </w:t>
      </w:r>
      <w:proofErr w:type="spellStart"/>
      <w:r w:rsidRPr="009918EE">
        <w:rPr>
          <w:color w:val="000000"/>
        </w:rPr>
        <w:t>EITI</w:t>
      </w:r>
      <w:proofErr w:type="spellEnd"/>
      <w:r w:rsidRPr="009918EE">
        <w:rPr>
          <w:color w:val="000000"/>
        </w:rPr>
        <w:t xml:space="preserve"> strengthened the impression that its process is a greatly valued opportunity to engage in direct dialogue with the Government and the representatives of the oil and gas sector. The Working Group was informed that some member organizations were currently unable to function or contribute to the </w:t>
      </w:r>
      <w:proofErr w:type="spellStart"/>
      <w:r w:rsidRPr="009918EE">
        <w:rPr>
          <w:color w:val="000000"/>
        </w:rPr>
        <w:t>EITI</w:t>
      </w:r>
      <w:proofErr w:type="spellEnd"/>
      <w:r w:rsidRPr="009918EE">
        <w:rPr>
          <w:color w:val="000000"/>
        </w:rPr>
        <w:t xml:space="preserve"> given that their bank accounts had been frozen. Despite these difficulties, those with whom the Working Group met disagreed with calls made by some international human rights organizations that the </w:t>
      </w:r>
      <w:proofErr w:type="spellStart"/>
      <w:r w:rsidRPr="009918EE">
        <w:rPr>
          <w:color w:val="000000"/>
        </w:rPr>
        <w:t>EITI</w:t>
      </w:r>
      <w:proofErr w:type="spellEnd"/>
      <w:r w:rsidRPr="009918EE">
        <w:rPr>
          <w:color w:val="000000"/>
        </w:rPr>
        <w:t xml:space="preserve"> should suspend Azerbaijan’s membership because of its restrictive new laws regulating non-governmental organizations.</w:t>
      </w:r>
      <w:r w:rsidRPr="009918EE">
        <w:rPr>
          <w:rStyle w:val="a3"/>
          <w:color w:val="000000"/>
        </w:rPr>
        <w:footnoteReference w:id="20"/>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 xml:space="preserve">The Working Group notes that concerns over the State’s treatment of civil society organization had led the </w:t>
      </w:r>
      <w:proofErr w:type="spellStart"/>
      <w:r w:rsidRPr="009918EE">
        <w:rPr>
          <w:color w:val="000000"/>
        </w:rPr>
        <w:t>EITI</w:t>
      </w:r>
      <w:proofErr w:type="spellEnd"/>
      <w:r w:rsidRPr="009918EE">
        <w:rPr>
          <w:color w:val="000000"/>
        </w:rPr>
        <w:t xml:space="preserve"> to send a mission to Azerbaijan in September 2014 to examine the extent to which civil society representatives could play their role in it. Following the mission and a meeting of the </w:t>
      </w:r>
      <w:proofErr w:type="spellStart"/>
      <w:r w:rsidRPr="009918EE">
        <w:rPr>
          <w:color w:val="000000"/>
        </w:rPr>
        <w:t>EITI</w:t>
      </w:r>
      <w:proofErr w:type="spellEnd"/>
      <w:r w:rsidRPr="009918EE">
        <w:rPr>
          <w:color w:val="000000"/>
        </w:rPr>
        <w:t xml:space="preserve"> International Board in Myanmar in October 2014, the Board adopted a decision on Azerbaijan in which it, inter alia, called upon the Government to ensure that civil society representatives substantively involved in the </w:t>
      </w:r>
      <w:proofErr w:type="spellStart"/>
      <w:r w:rsidRPr="009918EE">
        <w:rPr>
          <w:color w:val="000000"/>
        </w:rPr>
        <w:t>EITI</w:t>
      </w:r>
      <w:proofErr w:type="spellEnd"/>
      <w:r w:rsidRPr="009918EE">
        <w:rPr>
          <w:color w:val="000000"/>
        </w:rPr>
        <w:t xml:space="preserve"> process are able to “freely access and use funding to carry out their activities” and “speak freely about the </w:t>
      </w:r>
      <w:proofErr w:type="spellStart"/>
      <w:r w:rsidRPr="009918EE">
        <w:rPr>
          <w:color w:val="000000"/>
        </w:rPr>
        <w:t>EITI</w:t>
      </w:r>
      <w:proofErr w:type="spellEnd"/>
      <w:r w:rsidRPr="009918EE">
        <w:rPr>
          <w:color w:val="000000"/>
        </w:rPr>
        <w:t xml:space="preserve"> process and express views on natural resource governance without fear or threat of reprisal or harassment”.</w:t>
      </w:r>
      <w:r w:rsidRPr="009918EE">
        <w:rPr>
          <w:rStyle w:val="a3"/>
          <w:color w:val="000000"/>
        </w:rPr>
        <w:footnoteReference w:id="21"/>
      </w:r>
      <w:r w:rsidRPr="009918EE">
        <w:rPr>
          <w:color w:val="000000"/>
        </w:rPr>
        <w:t xml:space="preserve"> The Board agreed that progress on these actions would be assessed through an early </w:t>
      </w:r>
      <w:hyperlink r:id="rId10" w:anchor="Validation" w:history="1">
        <w:r w:rsidRPr="009918EE">
          <w:rPr>
            <w:rStyle w:val="a7"/>
            <w:color w:val="000000"/>
          </w:rPr>
          <w:t>validation</w:t>
        </w:r>
      </w:hyperlink>
      <w:r w:rsidRPr="009918EE">
        <w:rPr>
          <w:color w:val="000000"/>
        </w:rPr>
        <w:t xml:space="preserve"> (by an external, independent evaluation mechanism) to begin on 1 January and completed early in February 2015. Based on the validation, the Board would decide whether Azerbaijan could keep its current status </w:t>
      </w:r>
      <w:r w:rsidRPr="009918EE">
        <w:rPr>
          <w:color w:val="000000"/>
        </w:rPr>
        <w:lastRenderedPageBreak/>
        <w:t xml:space="preserve">as </w:t>
      </w:r>
      <w:proofErr w:type="spellStart"/>
      <w:r w:rsidRPr="009918EE">
        <w:rPr>
          <w:color w:val="000000"/>
        </w:rPr>
        <w:t>EITI</w:t>
      </w:r>
      <w:proofErr w:type="spellEnd"/>
      <w:r w:rsidRPr="009918EE">
        <w:rPr>
          <w:color w:val="000000"/>
        </w:rPr>
        <w:t xml:space="preserve">-compliant, should be downgraded to “candidate” or, in the case that no meaningful progress had been made with </w:t>
      </w:r>
      <w:proofErr w:type="spellStart"/>
      <w:r w:rsidRPr="009918EE">
        <w:rPr>
          <w:color w:val="000000"/>
        </w:rPr>
        <w:t>EITI</w:t>
      </w:r>
      <w:proofErr w:type="spellEnd"/>
      <w:r w:rsidRPr="009918EE">
        <w:rPr>
          <w:color w:val="000000"/>
        </w:rPr>
        <w:t xml:space="preserve"> implementation, be delisted. </w:t>
      </w:r>
    </w:p>
    <w:p w:rsidR="00284C1A" w:rsidRPr="009918EE" w:rsidRDefault="00284C1A" w:rsidP="00E1495F">
      <w:pPr>
        <w:pStyle w:val="SingleTxtG"/>
        <w:numPr>
          <w:ilvl w:val="0"/>
          <w:numId w:val="3"/>
        </w:numPr>
        <w:rPr>
          <w:color w:val="000000"/>
        </w:rPr>
      </w:pPr>
      <w:r w:rsidRPr="009918EE">
        <w:rPr>
          <w:color w:val="000000"/>
        </w:rPr>
        <w:t xml:space="preserve">The Working Group encourages the Government to work with its partners in the </w:t>
      </w:r>
      <w:proofErr w:type="spellStart"/>
      <w:r w:rsidRPr="009918EE">
        <w:rPr>
          <w:color w:val="000000"/>
        </w:rPr>
        <w:t>EITI</w:t>
      </w:r>
      <w:proofErr w:type="spellEnd"/>
      <w:r w:rsidRPr="009918EE">
        <w:rPr>
          <w:color w:val="000000"/>
        </w:rPr>
        <w:t xml:space="preserve">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284C1A" w:rsidRPr="009918EE" w:rsidRDefault="00284C1A" w:rsidP="003979F3">
      <w:pPr>
        <w:pStyle w:val="H1G"/>
      </w:pPr>
      <w:r w:rsidRPr="009918EE">
        <w:tab/>
        <w:t>B.</w:t>
      </w:r>
      <w:r w:rsidRPr="009918EE">
        <w:tab/>
        <w:t>Tackling corruption and ensuring accountability</w:t>
      </w:r>
    </w:p>
    <w:p w:rsidR="00284C1A" w:rsidRPr="009918EE" w:rsidRDefault="00284C1A" w:rsidP="00E1495F">
      <w:pPr>
        <w:pStyle w:val="SingleTxtG"/>
        <w:numPr>
          <w:ilvl w:val="0"/>
          <w:numId w:val="3"/>
        </w:numPr>
        <w:rPr>
          <w:color w:val="000000"/>
        </w:rPr>
      </w:pPr>
      <w:r w:rsidRPr="009918EE">
        <w:rPr>
          <w:color w:val="000000"/>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284C1A" w:rsidRPr="009918EE" w:rsidRDefault="00284C1A" w:rsidP="00E1495F">
      <w:pPr>
        <w:pStyle w:val="SingleTxtG"/>
        <w:numPr>
          <w:ilvl w:val="0"/>
          <w:numId w:val="3"/>
        </w:numPr>
        <w:rPr>
          <w:color w:val="000000"/>
        </w:rPr>
      </w:pPr>
      <w:r w:rsidRPr="009918EE">
        <w:rPr>
          <w:color w:val="000000"/>
        </w:rPr>
        <w:t xml:space="preserve">As also evidenced by the emphasis given to the “rights of entrepreneurs” in various policy documents, the effort to combat corruption is high on the political agenda. </w:t>
      </w:r>
      <w:r w:rsidRPr="009918EE">
        <w:rPr>
          <w:color w:val="000000"/>
          <w:lang w:eastAsia="en-GB"/>
        </w:rPr>
        <w:t xml:space="preserve">The Azerbaijan 2020 development concept highlights the need to scale up the fight against corruption. The Government has taken a set of measures to combat corruption and abuse of public positions. In 2004, it adopted the </w:t>
      </w:r>
      <w:r w:rsidRPr="009918EE">
        <w:rPr>
          <w:iCs/>
          <w:color w:val="000000"/>
          <w:lang w:eastAsia="en-GB"/>
        </w:rPr>
        <w:t>Law on Combating Corruption</w:t>
      </w:r>
      <w:r w:rsidRPr="009918EE">
        <w:rPr>
          <w:color w:val="000000"/>
          <w:lang w:eastAsia="en-GB"/>
        </w:rPr>
        <w:t xml:space="preserve"> and established the </w:t>
      </w:r>
      <w:r w:rsidRPr="009918EE">
        <w:rPr>
          <w:iCs/>
          <w:color w:val="000000"/>
          <w:lang w:eastAsia="en-GB"/>
        </w:rPr>
        <w:t>Commission on Combatting Corruption;</w:t>
      </w:r>
      <w:r w:rsidRPr="009918EE">
        <w:rPr>
          <w:color w:val="000000"/>
          <w:lang w:eastAsia="en-GB"/>
        </w:rPr>
        <w:t xml:space="preserve"> in 2005, it ratified the </w:t>
      </w:r>
      <w:r w:rsidRPr="009918EE">
        <w:rPr>
          <w:iCs/>
          <w:color w:val="000000"/>
          <w:lang w:eastAsia="en-GB"/>
        </w:rPr>
        <w:t>United Nations Convention against Corruption</w:t>
      </w:r>
      <w:r w:rsidRPr="009918EE">
        <w:rPr>
          <w:color w:val="000000"/>
          <w:lang w:eastAsia="en-GB"/>
        </w:rPr>
        <w:t>. The second n</w:t>
      </w:r>
      <w:r w:rsidRPr="009918EE">
        <w:rPr>
          <w:iCs/>
          <w:color w:val="000000"/>
          <w:lang w:eastAsia="en-GB"/>
        </w:rPr>
        <w:t>ational anti-corruption plan (2012-2015), endorsed by presidential decree of 4 September 2012,</w:t>
      </w:r>
      <w:r w:rsidRPr="009918EE">
        <w:rPr>
          <w:color w:val="000000"/>
          <w:lang w:eastAsia="en-GB"/>
        </w:rPr>
        <w:t xml:space="preserve"> also includes new provisions to improve the protection of whistle-blowers in corruption-related cases and to limit the immunity of judges accused of corruption. Also, one of the aims of the </w:t>
      </w:r>
      <w:r w:rsidRPr="009918EE">
        <w:rPr>
          <w:iCs/>
          <w:color w:val="000000"/>
          <w:lang w:eastAsia="en-GB"/>
        </w:rPr>
        <w:t>Azerbaijan Service and Assessment Network (</w:t>
      </w:r>
      <w:proofErr w:type="spellStart"/>
      <w:r w:rsidRPr="009918EE">
        <w:rPr>
          <w:iCs/>
          <w:color w:val="000000"/>
          <w:lang w:eastAsia="en-GB"/>
        </w:rPr>
        <w:t>ASAN</w:t>
      </w:r>
      <w:proofErr w:type="spellEnd"/>
      <w:r w:rsidRPr="009918EE">
        <w:rPr>
          <w:iCs/>
          <w:color w:val="000000"/>
          <w:lang w:eastAsia="en-GB"/>
        </w:rPr>
        <w:t>), established in 2012,</w:t>
      </w:r>
      <w:r w:rsidRPr="009918EE" w:rsidDel="0044735D">
        <w:rPr>
          <w:color w:val="000000"/>
          <w:lang w:eastAsia="en-GB"/>
        </w:rPr>
        <w:t xml:space="preserve"> </w:t>
      </w:r>
      <w:r w:rsidRPr="009918EE">
        <w:rPr>
          <w:color w:val="000000"/>
          <w:lang w:eastAsia="en-GB"/>
        </w:rPr>
        <w:t xml:space="preserve">is to reduce petty corruption across the public administration by providing citizens with access to a range of public and private services through dedicated service centres and mobile buses. </w:t>
      </w:r>
    </w:p>
    <w:p w:rsidR="00284C1A" w:rsidRPr="009918EE" w:rsidRDefault="00284C1A" w:rsidP="00E1495F">
      <w:pPr>
        <w:pStyle w:val="SingleTxtG"/>
        <w:numPr>
          <w:ilvl w:val="0"/>
          <w:numId w:val="3"/>
        </w:numPr>
        <w:rPr>
          <w:color w:val="000000"/>
        </w:rPr>
      </w:pPr>
      <w:r w:rsidRPr="009918EE">
        <w:rPr>
          <w:color w:val="000000"/>
          <w:lang w:eastAsia="en-GB"/>
        </w:rPr>
        <w:t xml:space="preserve">According to information received, corruption is linked to monopolies and a lack of transparency in certain sectors of the economy. In some cases, there have also been irregularities in public bidding processes. </w:t>
      </w:r>
      <w:r w:rsidRPr="009918EE">
        <w:rPr>
          <w:color w:val="000000"/>
        </w:rPr>
        <w:t>Transparency International ranked Azerbaijan 126th out of 175 countries on its 2014 Corruption Perceptions Index.</w:t>
      </w:r>
    </w:p>
    <w:p w:rsidR="00284C1A" w:rsidRPr="009918EE" w:rsidRDefault="00284C1A" w:rsidP="00E1495F">
      <w:pPr>
        <w:pStyle w:val="SingleTxtG"/>
        <w:numPr>
          <w:ilvl w:val="0"/>
          <w:numId w:val="3"/>
        </w:numPr>
        <w:rPr>
          <w:color w:val="000000"/>
        </w:rPr>
      </w:pPr>
      <w:r w:rsidRPr="009918EE">
        <w:rPr>
          <w:color w:val="000000"/>
          <w:lang w:eastAsia="en-GB"/>
        </w:rPr>
        <w:t>The Working Group notes that a wide range of measures are envisaged under the second n</w:t>
      </w:r>
      <w:r w:rsidRPr="009918EE">
        <w:rPr>
          <w:iCs/>
          <w:color w:val="000000"/>
          <w:lang w:eastAsia="en-GB"/>
        </w:rPr>
        <w:t xml:space="preserve">ational anti-corruption plan </w:t>
      </w:r>
      <w:r w:rsidRPr="009918EE">
        <w:rPr>
          <w:color w:val="000000"/>
          <w:lang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284C1A" w:rsidRPr="009918EE" w:rsidRDefault="00284C1A" w:rsidP="00E1495F">
      <w:pPr>
        <w:pStyle w:val="SingleTxtG"/>
        <w:numPr>
          <w:ilvl w:val="0"/>
          <w:numId w:val="3"/>
        </w:numPr>
        <w:rPr>
          <w:color w:val="000000"/>
        </w:rPr>
      </w:pPr>
      <w:r w:rsidRPr="009918EE">
        <w:rPr>
          <w:color w:val="000000"/>
          <w:lang w:eastAsia="en-GB"/>
        </w:rPr>
        <w:t>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w:t>
      </w:r>
      <w:proofErr w:type="spellStart"/>
      <w:r w:rsidRPr="009918EE">
        <w:rPr>
          <w:color w:val="000000"/>
          <w:lang w:eastAsia="en-GB"/>
        </w:rPr>
        <w:t>UNCITRAL</w:t>
      </w:r>
      <w:proofErr w:type="spellEnd"/>
      <w:r w:rsidRPr="009918EE">
        <w:rPr>
          <w:color w:val="000000"/>
          <w:lang w:eastAsia="en-GB"/>
        </w:rPr>
        <w:t xml:space="preserve">) Model Law on Public Procurement. The Working Group underlines the importance of States using commercial transactions with business enterprises to promote </w:t>
      </w:r>
      <w:r w:rsidRPr="009918EE">
        <w:rPr>
          <w:color w:val="000000"/>
          <w:lang w:eastAsia="en-GB"/>
        </w:rPr>
        <w:lastRenderedPageBreak/>
        <w:t xml:space="preserve">awareness of and respect for human rights by those enterprises, including through the terms of contracts, as prescribed in Guiding Principle 6. Developing guidelines for public procurement offer an ideal opportunity to do so. As also described in the Guide to Enactment of the </w:t>
      </w:r>
      <w:proofErr w:type="spellStart"/>
      <w:r w:rsidRPr="009918EE">
        <w:rPr>
          <w:color w:val="000000"/>
          <w:lang w:eastAsia="en-GB"/>
        </w:rPr>
        <w:t>UNCITRAL</w:t>
      </w:r>
      <w:proofErr w:type="spellEnd"/>
      <w:r w:rsidRPr="009918EE">
        <w:rPr>
          <w:color w:val="000000"/>
          <w:lang w:eastAsia="en-GB"/>
        </w:rPr>
        <w:t xml:space="preserve"> Model Law on Public Procurement,</w:t>
      </w:r>
      <w:r w:rsidRPr="009918EE">
        <w:rPr>
          <w:rStyle w:val="a3"/>
          <w:color w:val="000000"/>
          <w:lang w:eastAsia="en-GB"/>
        </w:rPr>
        <w:footnoteReference w:id="22"/>
      </w:r>
      <w:r w:rsidRPr="009918EE">
        <w:rPr>
          <w:color w:val="000000"/>
          <w:lang w:eastAsia="en-GB"/>
        </w:rPr>
        <w:t xml:space="preserve"> the concept of sustainable procurement allows for States to impose international labour law and human rights standards</w:t>
      </w:r>
      <w:r w:rsidRPr="009918EE">
        <w:rPr>
          <w:color w:val="000000"/>
        </w:rPr>
        <w:t>.</w:t>
      </w:r>
    </w:p>
    <w:p w:rsidR="00284C1A" w:rsidRPr="009918EE" w:rsidRDefault="00284C1A" w:rsidP="00E1495F">
      <w:pPr>
        <w:pStyle w:val="SingleTxtG"/>
        <w:numPr>
          <w:ilvl w:val="0"/>
          <w:numId w:val="3"/>
        </w:numPr>
        <w:rPr>
          <w:color w:val="000000"/>
        </w:rPr>
      </w:pPr>
      <w:r w:rsidRPr="009918EE">
        <w:rPr>
          <w:color w:val="000000"/>
          <w:lang w:eastAsia="en-GB"/>
        </w:rPr>
        <w:t xml:space="preserve">The Working Group notes that, pursuant to the amendments to the </w:t>
      </w:r>
      <w:r w:rsidRPr="009918EE">
        <w:rPr>
          <w:iCs/>
          <w:color w:val="000000"/>
          <w:lang w:eastAsia="en-GB"/>
        </w:rPr>
        <w:t>Law on the Right to Obtain Information</w:t>
      </w:r>
      <w:r w:rsidRPr="009918EE">
        <w:rPr>
          <w:color w:val="000000"/>
          <w:lang w:eastAsia="en-GB"/>
        </w:rPr>
        <w:t xml:space="preserve">, passed in 2012, together with amendments to the </w:t>
      </w:r>
      <w:r w:rsidRPr="009918EE">
        <w:rPr>
          <w:iCs/>
          <w:color w:val="000000"/>
          <w:lang w:eastAsia="en-GB"/>
        </w:rPr>
        <w:t>State Law on Registration of Legal Entities</w:t>
      </w:r>
      <w:r w:rsidRPr="009918EE">
        <w:rPr>
          <w:color w:val="000000"/>
          <w:lang w:eastAsia="en-GB"/>
        </w:rPr>
        <w:t xml:space="preserve"> and the </w:t>
      </w:r>
      <w:r w:rsidRPr="009918EE">
        <w:rPr>
          <w:iCs/>
          <w:color w:val="000000"/>
          <w:lang w:eastAsia="en-GB"/>
        </w:rPr>
        <w:t>Law on Commercial Secrets,</w:t>
      </w:r>
      <w:r w:rsidRPr="009918EE">
        <w:rPr>
          <w:color w:val="000000"/>
          <w:lang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Pr="009918EE">
        <w:rPr>
          <w:b/>
          <w:i/>
          <w:color w:val="000000"/>
          <w:lang w:eastAsia="en-GB"/>
        </w:rPr>
        <w:t>.</w:t>
      </w:r>
      <w:r w:rsidRPr="009918EE">
        <w:rPr>
          <w:color w:val="000000"/>
          <w:lang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284C1A" w:rsidRPr="009918EE" w:rsidRDefault="00284C1A" w:rsidP="00E1495F">
      <w:pPr>
        <w:pStyle w:val="SingleTxtG"/>
        <w:numPr>
          <w:ilvl w:val="0"/>
          <w:numId w:val="3"/>
        </w:numPr>
        <w:rPr>
          <w:color w:val="000000"/>
        </w:rPr>
      </w:pPr>
      <w:r w:rsidRPr="009918EE">
        <w:rPr>
          <w:color w:val="000000"/>
        </w:rPr>
        <w:t xml:space="preserve">The Working Group took note of recent reports alleging a lack of transparency and apparent irregularities in the trading of oil. Notably, a report issued in 2013 noted a lack of information on the ownership of private companies partnered with </w:t>
      </w:r>
      <w:proofErr w:type="spellStart"/>
      <w:r w:rsidRPr="009918EE">
        <w:rPr>
          <w:color w:val="000000"/>
        </w:rPr>
        <w:t>SOCAR</w:t>
      </w:r>
      <w:proofErr w:type="spellEnd"/>
      <w:r w:rsidRPr="009918EE">
        <w:rPr>
          <w:color w:val="000000"/>
        </w:rPr>
        <w:t xml:space="preserve"> and on bidding processes or public tenders.</w:t>
      </w:r>
      <w:r w:rsidRPr="009918EE">
        <w:rPr>
          <w:rStyle w:val="a3"/>
          <w:color w:val="000000"/>
        </w:rPr>
        <w:footnoteReference w:id="23"/>
      </w:r>
      <w:r w:rsidRPr="009918EE">
        <w:rPr>
          <w:color w:val="000000"/>
        </w:rPr>
        <w:t xml:space="preserve"> The Working Group also noted that an ongoing </w:t>
      </w:r>
      <w:proofErr w:type="spellStart"/>
      <w:r w:rsidRPr="009918EE">
        <w:rPr>
          <w:color w:val="000000"/>
        </w:rPr>
        <w:t>EITI</w:t>
      </w:r>
      <w:proofErr w:type="spellEnd"/>
      <w:r w:rsidRPr="009918EE">
        <w:rPr>
          <w:color w:val="000000"/>
        </w:rPr>
        <w:t xml:space="preserve">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284C1A" w:rsidRPr="009918EE" w:rsidRDefault="00284C1A" w:rsidP="003979F3">
      <w:pPr>
        <w:pStyle w:val="H1G"/>
      </w:pPr>
      <w:r w:rsidRPr="009918EE">
        <w:tab/>
        <w:t>C.</w:t>
      </w:r>
      <w:r w:rsidRPr="009918EE">
        <w:tab/>
        <w:t>Oil and gas sector</w:t>
      </w:r>
    </w:p>
    <w:p w:rsidR="00284C1A" w:rsidRPr="009918EE" w:rsidRDefault="00284C1A" w:rsidP="00E1495F">
      <w:pPr>
        <w:pStyle w:val="SingleTxtG"/>
        <w:numPr>
          <w:ilvl w:val="0"/>
          <w:numId w:val="3"/>
        </w:numPr>
        <w:rPr>
          <w:color w:val="000000"/>
        </w:rPr>
      </w:pPr>
      <w:r w:rsidRPr="009918EE">
        <w:rPr>
          <w:color w:val="000000"/>
        </w:rPr>
        <w:t>The Working Group held a number of meetings that concern the State’s extractive industries, notably the dominant oil and gas sectors and others, such as the aluminium industry. Besides meeting with representatives of the Ministry of Energy, the State Oil Fund (</w:t>
      </w:r>
      <w:proofErr w:type="spellStart"/>
      <w:r w:rsidRPr="009918EE">
        <w:rPr>
          <w:color w:val="000000"/>
        </w:rPr>
        <w:t>SOFAZ</w:t>
      </w:r>
      <w:proofErr w:type="spellEnd"/>
      <w:r w:rsidRPr="009918EE">
        <w:rPr>
          <w:color w:val="000000"/>
        </w:rPr>
        <w:t>) and the State Oil Company of Azerbaijan Republic (</w:t>
      </w:r>
      <w:proofErr w:type="spellStart"/>
      <w:r w:rsidRPr="009918EE">
        <w:rPr>
          <w:color w:val="000000"/>
        </w:rPr>
        <w:t>SOCAR</w:t>
      </w:r>
      <w:proofErr w:type="spellEnd"/>
      <w:r w:rsidRPr="009918EE">
        <w:rPr>
          <w:color w:val="000000"/>
        </w:rPr>
        <w:t xml:space="preserve">),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w:t>
      </w:r>
      <w:proofErr w:type="spellStart"/>
      <w:r w:rsidRPr="009918EE">
        <w:rPr>
          <w:color w:val="000000"/>
        </w:rPr>
        <w:t>Ganja</w:t>
      </w:r>
      <w:proofErr w:type="spellEnd"/>
      <w:r w:rsidRPr="009918EE">
        <w:rPr>
          <w:color w:val="000000"/>
        </w:rPr>
        <w:t xml:space="preserve">, where it discussed environmental issues with the manager and witnessed the factory’s labour standards. </w:t>
      </w:r>
    </w:p>
    <w:p w:rsidR="00284C1A" w:rsidRPr="009918EE" w:rsidRDefault="00284C1A" w:rsidP="00E1495F">
      <w:pPr>
        <w:pStyle w:val="SingleTxtG"/>
        <w:numPr>
          <w:ilvl w:val="0"/>
          <w:numId w:val="3"/>
        </w:numPr>
        <w:rPr>
          <w:color w:val="000000"/>
        </w:rPr>
      </w:pPr>
      <w:proofErr w:type="spellStart"/>
      <w:r w:rsidRPr="009918EE">
        <w:rPr>
          <w:color w:val="000000"/>
        </w:rPr>
        <w:t>SOCAR</w:t>
      </w:r>
      <w:proofErr w:type="spellEnd"/>
      <w:r w:rsidRPr="009918EE">
        <w:rPr>
          <w:color w:val="000000"/>
        </w:rPr>
        <w:t xml:space="preserve">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284C1A" w:rsidRPr="009918EE" w:rsidRDefault="00284C1A" w:rsidP="00E1495F">
      <w:pPr>
        <w:pStyle w:val="SingleTxtG"/>
        <w:numPr>
          <w:ilvl w:val="0"/>
          <w:numId w:val="3"/>
        </w:numPr>
        <w:rPr>
          <w:color w:val="000000"/>
        </w:rPr>
      </w:pPr>
      <w:r w:rsidRPr="009918EE">
        <w:rPr>
          <w:color w:val="000000"/>
        </w:rPr>
        <w:t xml:space="preserve">In meetings with </w:t>
      </w:r>
      <w:proofErr w:type="spellStart"/>
      <w:r w:rsidRPr="009918EE">
        <w:rPr>
          <w:color w:val="000000"/>
        </w:rPr>
        <w:t>SOCAR</w:t>
      </w:r>
      <w:proofErr w:type="spellEnd"/>
      <w:r w:rsidRPr="009918EE">
        <w:rPr>
          <w:color w:val="000000"/>
        </w:rPr>
        <w:t xml:space="preserve"> officials, the Working Group noted the poor degree of understanding of the company’s human rights responsibilities, particularly when measured against the Guiding Principles. Although officials referred to a number of social </w:t>
      </w:r>
      <w:r w:rsidRPr="009918EE">
        <w:rPr>
          <w:color w:val="000000"/>
        </w:rPr>
        <w:lastRenderedPageBreak/>
        <w:t xml:space="preserve">responsibility projects, such as a number of </w:t>
      </w:r>
      <w:proofErr w:type="spellStart"/>
      <w:r w:rsidRPr="009918EE">
        <w:rPr>
          <w:color w:val="000000"/>
        </w:rPr>
        <w:t>SOCAR</w:t>
      </w:r>
      <w:proofErr w:type="spellEnd"/>
      <w:r w:rsidRPr="009918EE">
        <w:rPr>
          <w:color w:val="000000"/>
        </w:rPr>
        <w:t xml:space="preserve">-sponsored cultural centres, the company did not have any specific policy on human rights nor mechanisms for carrying out human rights due diligence. </w:t>
      </w:r>
    </w:p>
    <w:p w:rsidR="00284C1A" w:rsidRPr="009918EE" w:rsidRDefault="00284C1A" w:rsidP="00E1495F">
      <w:pPr>
        <w:pStyle w:val="SingleTxtG"/>
        <w:numPr>
          <w:ilvl w:val="0"/>
          <w:numId w:val="3"/>
        </w:numPr>
        <w:rPr>
          <w:color w:val="000000"/>
        </w:rPr>
      </w:pPr>
      <w:r w:rsidRPr="009918EE">
        <w:rPr>
          <w:color w:val="000000"/>
        </w:rPr>
        <w:t xml:space="preserve">Equally, in meetings with officials at the Ministry of Energy, which regulates the activities of </w:t>
      </w:r>
      <w:proofErr w:type="spellStart"/>
      <w:r w:rsidRPr="009918EE">
        <w:rPr>
          <w:color w:val="000000"/>
        </w:rPr>
        <w:t>SOCAR</w:t>
      </w:r>
      <w:proofErr w:type="spellEnd"/>
      <w:r w:rsidRPr="009918EE">
        <w:rPr>
          <w:color w:val="000000"/>
        </w:rPr>
        <w:t xml:space="preserve"> and other companies in the energy sector (including </w:t>
      </w:r>
      <w:proofErr w:type="spellStart"/>
      <w:r w:rsidRPr="009918EE">
        <w:rPr>
          <w:color w:val="000000"/>
        </w:rPr>
        <w:t>AzerEnergy</w:t>
      </w:r>
      <w:proofErr w:type="spellEnd"/>
      <w:r w:rsidRPr="009918EE">
        <w:rPr>
          <w:color w:val="000000"/>
        </w:rPr>
        <w:t xml:space="preserve"> and </w:t>
      </w:r>
      <w:proofErr w:type="spellStart"/>
      <w:r w:rsidRPr="009918EE">
        <w:rPr>
          <w:color w:val="000000"/>
        </w:rPr>
        <w:t>Azerigaz</w:t>
      </w:r>
      <w:proofErr w:type="spellEnd"/>
      <w:r w:rsidRPr="009918EE">
        <w:rPr>
          <w:color w:val="000000"/>
        </w:rPr>
        <w:t>), the Working Group found that there was very limited awareness of the State’s particular responsibility to exercise scrutiny and oversight of State-owned and -controlled companies and to ensure that they conduct effective human rights due diligence.</w:t>
      </w:r>
    </w:p>
    <w:p w:rsidR="00284C1A" w:rsidRPr="009918EE" w:rsidRDefault="00284C1A" w:rsidP="00E1495F">
      <w:pPr>
        <w:pStyle w:val="SingleTxtG"/>
        <w:numPr>
          <w:ilvl w:val="0"/>
          <w:numId w:val="3"/>
        </w:numPr>
        <w:rPr>
          <w:color w:val="000000"/>
        </w:rPr>
      </w:pPr>
      <w:r w:rsidRPr="009918EE">
        <w:rPr>
          <w:color w:val="000000"/>
        </w:rPr>
        <w:t xml:space="preserve">The Working Group was informed that there had been many cases of complaints in the context of projects in which </w:t>
      </w:r>
      <w:proofErr w:type="spellStart"/>
      <w:r w:rsidRPr="009918EE">
        <w:rPr>
          <w:color w:val="000000"/>
        </w:rPr>
        <w:t>SOCAR</w:t>
      </w:r>
      <w:proofErr w:type="spellEnd"/>
      <w:r w:rsidRPr="009918EE">
        <w:rPr>
          <w:color w:val="000000"/>
        </w:rPr>
        <w:t xml:space="preserve"> was involved, in particular by people whose property had been affected by the construction of plants and pipelines. </w:t>
      </w:r>
      <w:proofErr w:type="spellStart"/>
      <w:r w:rsidRPr="009918EE">
        <w:rPr>
          <w:color w:val="000000"/>
        </w:rPr>
        <w:t>SOCAR</w:t>
      </w:r>
      <w:proofErr w:type="spellEnd"/>
      <w:r w:rsidRPr="009918EE">
        <w:rPr>
          <w:color w:val="000000"/>
        </w:rPr>
        <w:t xml:space="preserve">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284C1A" w:rsidRPr="009918EE" w:rsidRDefault="00284C1A" w:rsidP="00E1495F">
      <w:pPr>
        <w:pStyle w:val="SingleTxtG"/>
        <w:numPr>
          <w:ilvl w:val="0"/>
          <w:numId w:val="3"/>
        </w:numPr>
        <w:rPr>
          <w:color w:val="000000"/>
          <w:sz w:val="18"/>
          <w:szCs w:val="18"/>
        </w:rPr>
      </w:pPr>
      <w:r w:rsidRPr="009918EE">
        <w:rPr>
          <w:color w:val="000000"/>
        </w:rPr>
        <w:t xml:space="preserve">The Working Group was encouraged to learn that </w:t>
      </w:r>
      <w:proofErr w:type="spellStart"/>
      <w:r w:rsidRPr="009918EE">
        <w:rPr>
          <w:color w:val="000000"/>
        </w:rPr>
        <w:t>SOCAR</w:t>
      </w:r>
      <w:proofErr w:type="spellEnd"/>
      <w:r w:rsidRPr="009918EE">
        <w:rPr>
          <w:color w:val="000000"/>
        </w:rPr>
        <w:t xml:space="preserve">, together with an international partner, is carrying out a social impact study in advance of a planned construction project to mitigate adverse human rights impact to the community. The Working Group, however, received no specific information on </w:t>
      </w:r>
      <w:proofErr w:type="spellStart"/>
      <w:r w:rsidRPr="009918EE">
        <w:rPr>
          <w:color w:val="000000"/>
        </w:rPr>
        <w:t>SOCAR</w:t>
      </w:r>
      <w:proofErr w:type="spellEnd"/>
      <w:r w:rsidRPr="009918EE">
        <w:rPr>
          <w:color w:val="000000"/>
        </w:rPr>
        <w:t xml:space="preserve">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284C1A" w:rsidRPr="009918EE" w:rsidRDefault="00284C1A" w:rsidP="00E1495F">
      <w:pPr>
        <w:pStyle w:val="SingleTxtG"/>
        <w:numPr>
          <w:ilvl w:val="0"/>
          <w:numId w:val="3"/>
        </w:numPr>
        <w:rPr>
          <w:rStyle w:val="a3"/>
          <w:color w:val="000000"/>
          <w:sz w:val="20"/>
          <w:vertAlign w:val="baseline"/>
        </w:rPr>
      </w:pPr>
      <w:r w:rsidRPr="009918EE">
        <w:rPr>
          <w:color w:val="000000"/>
        </w:rPr>
        <w:t xml:space="preserve">The human rights risks and impact of large-scale development projects in the oil and gas sectors have been illustrated by the </w:t>
      </w:r>
      <w:proofErr w:type="spellStart"/>
      <w:r w:rsidRPr="009918EE">
        <w:rPr>
          <w:color w:val="000000"/>
        </w:rPr>
        <w:t>Bakz</w:t>
      </w:r>
      <w:proofErr w:type="spellEnd"/>
      <w:r w:rsidRPr="009918EE">
        <w:rPr>
          <w:color w:val="000000"/>
        </w:rPr>
        <w:t>-Tbilisi-Ceyhan (</w:t>
      </w:r>
      <w:proofErr w:type="spellStart"/>
      <w:r w:rsidRPr="009918EE">
        <w:rPr>
          <w:color w:val="000000"/>
        </w:rPr>
        <w:t>BTC</w:t>
      </w:r>
      <w:proofErr w:type="spellEnd"/>
      <w:r w:rsidRPr="009918EE">
        <w:rPr>
          <w:color w:val="000000"/>
        </w:rPr>
        <w:t xml:space="preserve">) oil pipeline, built from 2003 to 2005, crossing through Azerbaijan, Georgia and Turkey. The pipeline is owned and operated by a consortium of 11 energy companies, managed by BP, the largest shareholder (30 per cent); </w:t>
      </w:r>
      <w:proofErr w:type="spellStart"/>
      <w:r w:rsidRPr="009918EE">
        <w:rPr>
          <w:color w:val="000000"/>
        </w:rPr>
        <w:t>SOCAR</w:t>
      </w:r>
      <w:proofErr w:type="spellEnd"/>
      <w:r w:rsidRPr="009918EE">
        <w:rPr>
          <w:color w:val="000000"/>
        </w:rPr>
        <w:t xml:space="preserve"> is the second largest shareholder (25 per cent). In the face of criticism levelled by civil society groups about a possible negative impact on human rights, BP set up an independent external panel to assess the economic, social and environmental impact of the </w:t>
      </w:r>
      <w:proofErr w:type="spellStart"/>
      <w:r w:rsidRPr="009918EE">
        <w:rPr>
          <w:color w:val="000000"/>
        </w:rPr>
        <w:t>BTC</w:t>
      </w:r>
      <w:proofErr w:type="spellEnd"/>
      <w:r w:rsidRPr="009918EE">
        <w:rPr>
          <w:color w:val="000000"/>
        </w:rPr>
        <w:t xml:space="preserve"> pipeline project. BP also took initiative to issue a “human rights undertaking”, which guaranteed that the host government agreements entered into with the </w:t>
      </w:r>
      <w:proofErr w:type="spellStart"/>
      <w:r w:rsidRPr="009918EE">
        <w:rPr>
          <w:color w:val="000000"/>
        </w:rPr>
        <w:t>BTC</w:t>
      </w:r>
      <w:proofErr w:type="spellEnd"/>
      <w:r w:rsidRPr="009918EE">
        <w:rPr>
          <w:color w:val="000000"/>
        </w:rPr>
        <w:t xml:space="preserve"> consortium would not limit the ability of host Governments to comply with their obligations under international human rights treaties.</w:t>
      </w:r>
    </w:p>
    <w:p w:rsidR="00284C1A" w:rsidRPr="009918EE" w:rsidRDefault="00284C1A" w:rsidP="00E1495F">
      <w:pPr>
        <w:pStyle w:val="SingleTxtG"/>
        <w:numPr>
          <w:ilvl w:val="0"/>
          <w:numId w:val="3"/>
        </w:numPr>
        <w:rPr>
          <w:rStyle w:val="a3"/>
          <w:color w:val="000000"/>
          <w:sz w:val="20"/>
          <w:vertAlign w:val="baseline"/>
        </w:rPr>
      </w:pPr>
      <w:r w:rsidRPr="009918EE">
        <w:rPr>
          <w:color w:val="000000"/>
        </w:rPr>
        <w:t xml:space="preserve">Lessons from the </w:t>
      </w:r>
      <w:proofErr w:type="spellStart"/>
      <w:r w:rsidRPr="009918EE">
        <w:rPr>
          <w:color w:val="000000"/>
        </w:rPr>
        <w:t>BTC</w:t>
      </w:r>
      <w:proofErr w:type="spellEnd"/>
      <w:r w:rsidRPr="009918EE">
        <w:rPr>
          <w:color w:val="000000"/>
        </w:rPr>
        <w:t xml:space="preserve">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w:t>
      </w:r>
      <w:proofErr w:type="spellStart"/>
      <w:r w:rsidRPr="009918EE">
        <w:rPr>
          <w:color w:val="000000"/>
        </w:rPr>
        <w:t>Sangachel</w:t>
      </w:r>
      <w:proofErr w:type="spellEnd"/>
      <w:r w:rsidRPr="009918EE">
        <w:rPr>
          <w:color w:val="000000"/>
        </w:rPr>
        <w:t xml:space="preserve"> terminal (operated by a BP-led consortium), where the pipelines start, one of the largest oil and gas processing plants in world. </w:t>
      </w:r>
    </w:p>
    <w:p w:rsidR="00284C1A" w:rsidRPr="009918EE" w:rsidRDefault="00284C1A" w:rsidP="00E1495F">
      <w:pPr>
        <w:pStyle w:val="SingleTxtG"/>
        <w:numPr>
          <w:ilvl w:val="0"/>
          <w:numId w:val="3"/>
        </w:numPr>
        <w:rPr>
          <w:rStyle w:val="a3"/>
          <w:color w:val="000000"/>
          <w:sz w:val="20"/>
          <w:vertAlign w:val="baseline"/>
        </w:rPr>
      </w:pPr>
      <w:r w:rsidRPr="009918EE">
        <w:rPr>
          <w:color w:val="000000"/>
        </w:rPr>
        <w:t>The pipeline will be made up of three main parts: the South Caucasus Pipeline (SCP) passing through Azerbaijan and Georgia; the</w:t>
      </w:r>
      <w:r w:rsidRPr="009918EE">
        <w:t xml:space="preserve"> </w:t>
      </w:r>
      <w:r w:rsidRPr="009918EE">
        <w:rPr>
          <w:color w:val="000000"/>
        </w:rPr>
        <w:t>Trans-Anatolian Pipeline (</w:t>
      </w:r>
      <w:proofErr w:type="spellStart"/>
      <w:r w:rsidRPr="009918EE">
        <w:rPr>
          <w:color w:val="000000"/>
        </w:rPr>
        <w:t>TANAP</w:t>
      </w:r>
      <w:proofErr w:type="spellEnd"/>
      <w:r w:rsidRPr="009918EE">
        <w:rPr>
          <w:color w:val="000000"/>
        </w:rPr>
        <w:t xml:space="preserve">) through Turkey; and the Trans-Adriatic Pipeline (TAP), through Greece, Albania and Italy. Each part will be constructed and operated by different business consortiums. </w:t>
      </w:r>
    </w:p>
    <w:p w:rsidR="00284C1A" w:rsidRPr="009918EE" w:rsidRDefault="00284C1A" w:rsidP="00E1495F">
      <w:pPr>
        <w:pStyle w:val="SingleTxtG"/>
        <w:numPr>
          <w:ilvl w:val="0"/>
          <w:numId w:val="3"/>
        </w:numPr>
        <w:rPr>
          <w:rStyle w:val="a3"/>
          <w:color w:val="000000"/>
          <w:sz w:val="20"/>
          <w:vertAlign w:val="baseline"/>
        </w:rPr>
      </w:pPr>
      <w:r w:rsidRPr="009918EE">
        <w:rPr>
          <w:color w:val="000000"/>
        </w:rPr>
        <w:t xml:space="preserve">In Azerbaijan, the construction project involves the expansion of an already existing pipeline operated by a consortium of seven major companies, headquartered in seven different States: BP (United Kingdom, 28.8 per cent), Statoil (Norway, 15.5 per cent), Lukoil (Russian Federation, 10 per cent), NICO (Islamic Republic of Iran, 10 per cent), </w:t>
      </w:r>
      <w:proofErr w:type="spellStart"/>
      <w:r w:rsidRPr="009918EE">
        <w:rPr>
          <w:color w:val="000000"/>
        </w:rPr>
        <w:t>TPAO</w:t>
      </w:r>
      <w:proofErr w:type="spellEnd"/>
      <w:r w:rsidRPr="009918EE">
        <w:rPr>
          <w:color w:val="000000"/>
        </w:rPr>
        <w:t xml:space="preserve"> (Turkey, 19 per cent) and two Azerbaijani companies: Azerbaijan South Caucasus </w:t>
      </w:r>
      <w:r w:rsidRPr="009918EE">
        <w:rPr>
          <w:color w:val="000000"/>
        </w:rPr>
        <w:lastRenderedPageBreak/>
        <w:t>Pipeline, Ltd. (</w:t>
      </w:r>
      <w:proofErr w:type="spellStart"/>
      <w:r w:rsidRPr="009918EE">
        <w:rPr>
          <w:color w:val="000000"/>
        </w:rPr>
        <w:t>AzSCP</w:t>
      </w:r>
      <w:proofErr w:type="spellEnd"/>
      <w:r w:rsidRPr="009918EE">
        <w:rPr>
          <w:color w:val="000000"/>
        </w:rPr>
        <w:t xml:space="preserve">) (10 per cent) and </w:t>
      </w:r>
      <w:proofErr w:type="spellStart"/>
      <w:r w:rsidRPr="009918EE">
        <w:rPr>
          <w:color w:val="000000"/>
        </w:rPr>
        <w:t>SGC</w:t>
      </w:r>
      <w:proofErr w:type="spellEnd"/>
      <w:r w:rsidRPr="009918EE">
        <w:rPr>
          <w:color w:val="000000"/>
        </w:rPr>
        <w:t xml:space="preserve"> Midstream (6.7 per cent). </w:t>
      </w:r>
      <w:proofErr w:type="spellStart"/>
      <w:r w:rsidRPr="009918EE">
        <w:rPr>
          <w:color w:val="000000"/>
        </w:rPr>
        <w:t>AzSCP</w:t>
      </w:r>
      <w:proofErr w:type="spellEnd"/>
      <w:r w:rsidRPr="009918EE">
        <w:rPr>
          <w:color w:val="000000"/>
        </w:rPr>
        <w:t xml:space="preserve"> is a commercial affiliated company of </w:t>
      </w:r>
      <w:proofErr w:type="spellStart"/>
      <w:r w:rsidRPr="009918EE">
        <w:rPr>
          <w:color w:val="000000"/>
        </w:rPr>
        <w:t>SOCAR</w:t>
      </w:r>
      <w:proofErr w:type="spellEnd"/>
      <w:r w:rsidRPr="009918EE">
        <w:rPr>
          <w:color w:val="000000"/>
        </w:rPr>
        <w:t xml:space="preserve"> incorporated under the laws of the Cayman Islands, while </w:t>
      </w:r>
      <w:proofErr w:type="spellStart"/>
      <w:r w:rsidRPr="009918EE">
        <w:rPr>
          <w:color w:val="000000"/>
        </w:rPr>
        <w:t>SGC</w:t>
      </w:r>
      <w:proofErr w:type="spellEnd"/>
      <w:r w:rsidRPr="009918EE">
        <w:rPr>
          <w:color w:val="000000"/>
        </w:rPr>
        <w:t xml:space="preserve"> Midstream was established by </w:t>
      </w:r>
      <w:proofErr w:type="spellStart"/>
      <w:r w:rsidRPr="009918EE">
        <w:rPr>
          <w:color w:val="000000"/>
        </w:rPr>
        <w:t>SOCAR</w:t>
      </w:r>
      <w:proofErr w:type="spellEnd"/>
      <w:r w:rsidRPr="009918EE">
        <w:rPr>
          <w:color w:val="000000"/>
        </w:rPr>
        <w:t xml:space="preserve"> as part of the Southern Gas Corridor project. </w:t>
      </w:r>
    </w:p>
    <w:p w:rsidR="00284C1A" w:rsidRPr="009918EE" w:rsidRDefault="00284C1A" w:rsidP="00E1495F">
      <w:pPr>
        <w:pStyle w:val="SingleTxtG"/>
        <w:numPr>
          <w:ilvl w:val="0"/>
          <w:numId w:val="3"/>
        </w:numPr>
        <w:rPr>
          <w:rStyle w:val="a3"/>
          <w:color w:val="000000"/>
          <w:sz w:val="20"/>
          <w:vertAlign w:val="baseline"/>
        </w:rPr>
      </w:pPr>
      <w:r w:rsidRPr="009918EE">
        <w:rPr>
          <w:color w:val="000000"/>
        </w:rPr>
        <w:t xml:space="preserve">The State’s responsibility to ensure adequate human rights due diligence in the construction of the Southern gas corridor extends beyond its own borders, given that </w:t>
      </w:r>
      <w:proofErr w:type="spellStart"/>
      <w:r w:rsidRPr="009918EE">
        <w:rPr>
          <w:color w:val="000000"/>
        </w:rPr>
        <w:t>SOCAR</w:t>
      </w:r>
      <w:proofErr w:type="spellEnd"/>
      <w:r w:rsidRPr="009918EE">
        <w:rPr>
          <w:color w:val="000000"/>
        </w:rPr>
        <w:t xml:space="preserve"> is the operator and majority shareholder of the </w:t>
      </w:r>
      <w:proofErr w:type="spellStart"/>
      <w:r w:rsidRPr="009918EE">
        <w:rPr>
          <w:color w:val="000000"/>
        </w:rPr>
        <w:t>TANAP</w:t>
      </w:r>
      <w:proofErr w:type="spellEnd"/>
      <w:r w:rsidRPr="009918EE">
        <w:rPr>
          <w:color w:val="000000"/>
        </w:rPr>
        <w:t xml:space="preserve"> consortium that will construct the 2,000 km-long pipeline through Turkey, and also holds a 20 per cent stake in the TAP consortium. </w:t>
      </w:r>
    </w:p>
    <w:p w:rsidR="00284C1A" w:rsidRPr="009918EE" w:rsidRDefault="00284C1A" w:rsidP="00E1495F">
      <w:pPr>
        <w:pStyle w:val="SingleTxtG"/>
        <w:numPr>
          <w:ilvl w:val="0"/>
          <w:numId w:val="3"/>
        </w:numPr>
        <w:rPr>
          <w:color w:val="000000"/>
        </w:rPr>
      </w:pPr>
      <w:r w:rsidRPr="009918EE">
        <w:rPr>
          <w:color w:val="000000"/>
        </w:rPr>
        <w:t xml:space="preserve">In December 1999, a presidential decree established the </w:t>
      </w:r>
      <w:r w:rsidRPr="009918EE">
        <w:rPr>
          <w:color w:val="000000"/>
          <w:lang w:eastAsia="en-GB"/>
        </w:rPr>
        <w:t>State Oil Fund of the Republic of Azerbaijan (</w:t>
      </w:r>
      <w:proofErr w:type="spellStart"/>
      <w:r w:rsidRPr="009918EE">
        <w:rPr>
          <w:color w:val="000000"/>
          <w:lang w:eastAsia="en-GB"/>
        </w:rPr>
        <w:t>SOFAZ</w:t>
      </w:r>
      <w:proofErr w:type="spellEnd"/>
      <w:r w:rsidRPr="009918EE">
        <w:rPr>
          <w:color w:val="000000"/>
          <w:lang w:eastAsia="en-GB"/>
        </w:rPr>
        <w:t xml:space="preserve">),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w:t>
      </w:r>
      <w:proofErr w:type="spellStart"/>
      <w:r w:rsidRPr="009918EE">
        <w:rPr>
          <w:color w:val="000000"/>
          <w:lang w:eastAsia="en-GB"/>
        </w:rPr>
        <w:t>SOFAZ</w:t>
      </w:r>
      <w:proofErr w:type="spellEnd"/>
      <w:r w:rsidRPr="009918EE">
        <w:rPr>
          <w:color w:val="000000"/>
          <w:lang w:eastAsia="en-GB"/>
        </w:rPr>
        <w:t>, which operates as a sovereign wealth fund, is also a component of the annual budget.</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284C1A" w:rsidRPr="009918EE" w:rsidRDefault="003979F3" w:rsidP="003979F3">
      <w:pPr>
        <w:pStyle w:val="H1G"/>
      </w:pPr>
      <w:r>
        <w:tab/>
      </w:r>
      <w:r w:rsidR="00284C1A" w:rsidRPr="009918EE">
        <w:t>D.</w:t>
      </w:r>
      <w:r w:rsidR="00284C1A" w:rsidRPr="009918EE">
        <w:tab/>
        <w:t>Construction industry</w:t>
      </w:r>
    </w:p>
    <w:p w:rsidR="00284C1A" w:rsidRPr="009918EE" w:rsidRDefault="00284C1A" w:rsidP="00E1495F">
      <w:pPr>
        <w:pStyle w:val="SingleTxtG"/>
        <w:numPr>
          <w:ilvl w:val="0"/>
          <w:numId w:val="3"/>
        </w:numPr>
        <w:rPr>
          <w:color w:val="000000"/>
        </w:rPr>
      </w:pPr>
      <w:r w:rsidRPr="009918EE">
        <w:rPr>
          <w:color w:val="000000"/>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284C1A" w:rsidRPr="009918EE" w:rsidRDefault="00284C1A" w:rsidP="00E1495F">
      <w:pPr>
        <w:pStyle w:val="SingleTxtG"/>
        <w:numPr>
          <w:ilvl w:val="0"/>
          <w:numId w:val="3"/>
        </w:numPr>
        <w:rPr>
          <w:color w:val="000000"/>
        </w:rPr>
      </w:pPr>
      <w:r w:rsidRPr="009918EE">
        <w:rPr>
          <w:color w:val="000000"/>
        </w:rPr>
        <w:t xml:space="preserve">Owing to the brevity of its visit, the Working Group </w:t>
      </w:r>
      <w:proofErr w:type="gramStart"/>
      <w:r w:rsidRPr="009918EE">
        <w:rPr>
          <w:color w:val="000000"/>
        </w:rPr>
        <w:t>was unable</w:t>
      </w:r>
      <w:proofErr w:type="gramEnd"/>
      <w:r w:rsidRPr="009918EE">
        <w:rPr>
          <w:color w:val="000000"/>
        </w:rPr>
        <w:t xml:space="preserv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284C1A" w:rsidRPr="009918EE" w:rsidRDefault="00284C1A" w:rsidP="00E1495F">
      <w:pPr>
        <w:pStyle w:val="SingleTxtG"/>
        <w:numPr>
          <w:ilvl w:val="0"/>
          <w:numId w:val="3"/>
        </w:numPr>
        <w:rPr>
          <w:color w:val="000000"/>
        </w:rPr>
      </w:pPr>
      <w:r w:rsidRPr="009918EE">
        <w:rPr>
          <w:color w:val="000000"/>
        </w:rPr>
        <w:t>In this regard, the Working Group recalls the recommendations made by the Committee on Economic, Social and Cultural Rights in 2013 concerning information on cases of forced evictions, unlawful expropriations and demolitions with little or no notice (E/</w:t>
      </w:r>
      <w:proofErr w:type="spellStart"/>
      <w:r w:rsidRPr="009918EE">
        <w:rPr>
          <w:color w:val="000000"/>
        </w:rPr>
        <w:t>C.12</w:t>
      </w:r>
      <w:proofErr w:type="spellEnd"/>
      <w:r w:rsidRPr="009918EE">
        <w:rPr>
          <w:color w:val="000000"/>
        </w:rPr>
        <w:t>/</w:t>
      </w:r>
      <w:proofErr w:type="spellStart"/>
      <w:r w:rsidRPr="009918EE">
        <w:rPr>
          <w:color w:val="000000"/>
        </w:rPr>
        <w:t>AZE</w:t>
      </w:r>
      <w:proofErr w:type="spellEnd"/>
      <w:r w:rsidRPr="009918EE">
        <w:rPr>
          <w:color w:val="000000"/>
        </w:rPr>
        <w:t xml:space="preserve">/CO/3, para. 22). The Working Groups also notes that the European Court of Human Rights, in the case of </w:t>
      </w:r>
      <w:proofErr w:type="spellStart"/>
      <w:r w:rsidRPr="009918EE">
        <w:rPr>
          <w:i/>
          <w:color w:val="000000"/>
        </w:rPr>
        <w:t>Akhverdiyev</w:t>
      </w:r>
      <w:proofErr w:type="spellEnd"/>
      <w:r w:rsidRPr="009918EE">
        <w:rPr>
          <w:i/>
          <w:color w:val="000000"/>
        </w:rPr>
        <w:t xml:space="preserve"> v. Azerbaijan</w:t>
      </w:r>
      <w:r w:rsidRPr="009918EE">
        <w:rPr>
          <w:color w:val="000000"/>
        </w:rPr>
        <w:t xml:space="preserve"> of 29 January 2015, found a violation relating to unlawful forced relocation and the demolition of property.</w:t>
      </w:r>
    </w:p>
    <w:p w:rsidR="00284C1A" w:rsidRPr="009918EE" w:rsidRDefault="00284C1A" w:rsidP="00E1495F">
      <w:pPr>
        <w:pStyle w:val="SingleTxtG"/>
        <w:numPr>
          <w:ilvl w:val="0"/>
          <w:numId w:val="3"/>
        </w:numPr>
        <w:rPr>
          <w:color w:val="000000"/>
        </w:rPr>
      </w:pPr>
      <w:r w:rsidRPr="009918EE">
        <w:rPr>
          <w:color w:val="000000"/>
        </w:rPr>
        <w:t>According to another report, a number of construction projects had entailed expropriation, evictions and demolitions carried out in a way that was inconsistent with both national and international human rights law.</w:t>
      </w:r>
      <w:r w:rsidRPr="009918EE">
        <w:rPr>
          <w:rStyle w:val="a3"/>
          <w:color w:val="000000"/>
        </w:rPr>
        <w:footnoteReference w:id="24"/>
      </w:r>
      <w:r w:rsidRPr="009918EE">
        <w:rPr>
          <w:color w:val="000000"/>
        </w:rPr>
        <w:t xml:space="preserve"> It looked at four areas in Baku, including the </w:t>
      </w:r>
      <w:proofErr w:type="spellStart"/>
      <w:r w:rsidRPr="009918EE">
        <w:rPr>
          <w:color w:val="000000"/>
        </w:rPr>
        <w:t>Bayil</w:t>
      </w:r>
      <w:proofErr w:type="spellEnd"/>
      <w:r w:rsidRPr="009918EE">
        <w:rPr>
          <w:color w:val="000000"/>
        </w:rPr>
        <w:t xml:space="preserve"> neighbourhood where the </w:t>
      </w:r>
      <w:r w:rsidRPr="009918EE">
        <w:rPr>
          <w:color w:val="000000"/>
          <w:lang w:eastAsia="en-GB"/>
        </w:rPr>
        <w:t xml:space="preserve">Baku Crystal Hall was constructed before the Eurovision song contest in 2012. The authors reported that the Government’s programme of urban renewal, comprising new parks, roads, a shopping centre and luxury residential </w:t>
      </w:r>
      <w:r w:rsidRPr="009918EE">
        <w:rPr>
          <w:color w:val="000000"/>
          <w:lang w:eastAsia="en-GB"/>
        </w:rPr>
        <w:lastRenderedPageBreak/>
        <w:t>buildings, entailed the illegal expropriation of hundreds of properties, the forcible evictions of homeowners and the refusal to provide fair compensation based on market values.</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Pr="009918EE">
        <w:t xml:space="preserve"> A/</w:t>
      </w:r>
      <w:proofErr w:type="spellStart"/>
      <w:r w:rsidRPr="009918EE">
        <w:t>HRC</w:t>
      </w:r>
      <w:proofErr w:type="spellEnd"/>
      <w:r w:rsidRPr="009918EE">
        <w:t>/4/18, annex I)</w:t>
      </w:r>
      <w:r w:rsidRPr="009918EE">
        <w:rPr>
          <w:color w:val="000000"/>
        </w:rPr>
        <w:t xml:space="preserve">. </w:t>
      </w:r>
    </w:p>
    <w:p w:rsidR="00284C1A" w:rsidRPr="009918EE" w:rsidRDefault="00284C1A" w:rsidP="003979F3">
      <w:pPr>
        <w:pStyle w:val="H1G"/>
      </w:pPr>
      <w:r w:rsidRPr="009918EE">
        <w:tab/>
        <w:t>E.</w:t>
      </w:r>
      <w:r w:rsidRPr="009918EE">
        <w:tab/>
        <w:t>Labour rights</w:t>
      </w:r>
    </w:p>
    <w:p w:rsidR="00284C1A" w:rsidRPr="009918EE" w:rsidRDefault="00284C1A" w:rsidP="00E1495F">
      <w:pPr>
        <w:pStyle w:val="SingleTxtG"/>
        <w:numPr>
          <w:ilvl w:val="0"/>
          <w:numId w:val="3"/>
        </w:numPr>
        <w:rPr>
          <w:color w:val="000000"/>
        </w:rPr>
      </w:pPr>
      <w:r w:rsidRPr="009918EE">
        <w:rPr>
          <w:color w:val="000000"/>
          <w:lang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w:t>
      </w:r>
      <w:proofErr w:type="gramStart"/>
      <w:r w:rsidRPr="009918EE">
        <w:rPr>
          <w:color w:val="000000"/>
          <w:lang w:eastAsia="en-GB"/>
        </w:rPr>
        <w:t>fall</w:t>
      </w:r>
      <w:proofErr w:type="gramEnd"/>
      <w:r w:rsidRPr="009918EE">
        <w:rPr>
          <w:color w:val="000000"/>
          <w:lang w:eastAsia="en-GB"/>
        </w:rPr>
        <w:t xml:space="preserve"> outside the protection of the Labour Code. The situation of women in the workplace also requires special attention. It is estimated that only one third of women are in salaried employment and a significant disparity exists between the incomes of men and women. </w:t>
      </w:r>
    </w:p>
    <w:p w:rsidR="00284C1A" w:rsidRPr="009918EE" w:rsidRDefault="00284C1A" w:rsidP="00E1495F">
      <w:pPr>
        <w:pStyle w:val="SingleTxtG"/>
        <w:numPr>
          <w:ilvl w:val="0"/>
          <w:numId w:val="3"/>
        </w:numPr>
        <w:rPr>
          <w:b/>
          <w:i/>
          <w:color w:val="000000"/>
        </w:rPr>
      </w:pPr>
      <w:r w:rsidRPr="009918EE">
        <w:rPr>
          <w:color w:val="000000"/>
          <w:lang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Pr="009918EE">
        <w:rPr>
          <w:i/>
          <w:color w:val="000000"/>
          <w:lang w:eastAsia="en-GB"/>
        </w:rPr>
        <w:t>.</w:t>
      </w:r>
      <w:r w:rsidRPr="009918EE">
        <w:rPr>
          <w:b/>
          <w:i/>
          <w:color w:val="000000"/>
          <w:lang w:eastAsia="en-GB"/>
        </w:rPr>
        <w:t xml:space="preserve"> </w:t>
      </w:r>
      <w:r w:rsidRPr="009918EE">
        <w:rPr>
          <w:color w:val="000000"/>
          <w:lang w:eastAsia="en-GB"/>
        </w:rPr>
        <w:t xml:space="preserve">It noted that the current minimum wage is below the national poverty line. In this regard, it also notes the observations of the </w:t>
      </w:r>
      <w:proofErr w:type="spellStart"/>
      <w:r w:rsidRPr="009918EE">
        <w:rPr>
          <w:color w:val="000000"/>
          <w:lang w:eastAsia="en-GB"/>
        </w:rPr>
        <w:t>ILO</w:t>
      </w:r>
      <w:proofErr w:type="spellEnd"/>
      <w:r w:rsidRPr="009918EE">
        <w:rPr>
          <w:color w:val="000000"/>
          <w:lang w:eastAsia="en-GB"/>
        </w:rPr>
        <w:t xml:space="preserve"> Committee of Experts on the Application of Conventions and Recommendations, in which it requested the Government to indicate the measures it intended to take so that the national minimum wage could provide low-paid workers with a decent standard of living.</w:t>
      </w:r>
      <w:r w:rsidRPr="009918EE">
        <w:rPr>
          <w:rStyle w:val="a3"/>
          <w:color w:val="000000"/>
          <w:lang w:eastAsia="en-GB"/>
        </w:rPr>
        <w:footnoteReference w:id="25"/>
      </w:r>
      <w:r w:rsidRPr="009918EE">
        <w:rPr>
          <w:color w:val="000000"/>
          <w:lang w:eastAsia="en-GB"/>
        </w:rPr>
        <w:t xml:space="preserve"> </w:t>
      </w:r>
    </w:p>
    <w:p w:rsidR="00284C1A" w:rsidRPr="009918EE" w:rsidRDefault="00284C1A" w:rsidP="00E1495F">
      <w:pPr>
        <w:pStyle w:val="SingleTxtG"/>
        <w:numPr>
          <w:ilvl w:val="0"/>
          <w:numId w:val="3"/>
        </w:numPr>
        <w:rPr>
          <w:b/>
          <w:i/>
          <w:color w:val="000000"/>
        </w:rPr>
      </w:pPr>
      <w:r w:rsidRPr="009918EE">
        <w:rPr>
          <w:color w:val="000000"/>
        </w:rPr>
        <w:t>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Child in its concluding observations in 2006 (CRC/C/</w:t>
      </w:r>
      <w:proofErr w:type="spellStart"/>
      <w:r w:rsidRPr="009918EE">
        <w:rPr>
          <w:color w:val="000000"/>
        </w:rPr>
        <w:t>AZE</w:t>
      </w:r>
      <w:proofErr w:type="spellEnd"/>
      <w:r w:rsidRPr="009918EE">
        <w:rPr>
          <w:color w:val="000000"/>
        </w:rPr>
        <w:t xml:space="preserve">/CO/2) and a study by the Statistical Committee of Azerbaijan and </w:t>
      </w:r>
      <w:proofErr w:type="spellStart"/>
      <w:r w:rsidRPr="009918EE">
        <w:rPr>
          <w:color w:val="000000"/>
        </w:rPr>
        <w:t>ILO-IPEC</w:t>
      </w:r>
      <w:proofErr w:type="spellEnd"/>
      <w:r w:rsidRPr="009918EE">
        <w:rPr>
          <w:color w:val="000000"/>
        </w:rPr>
        <w:t xml:space="preserve"> in which it was estimated that more than 156,000 children under the age of 18 were engaged in some form of economic activity.</w:t>
      </w:r>
      <w:r w:rsidRPr="009918EE">
        <w:rPr>
          <w:rStyle w:val="a3"/>
          <w:color w:val="000000"/>
        </w:rPr>
        <w:footnoteReference w:id="26"/>
      </w:r>
    </w:p>
    <w:p w:rsidR="00284C1A" w:rsidRPr="009918EE" w:rsidRDefault="00284C1A" w:rsidP="00E1495F">
      <w:pPr>
        <w:pStyle w:val="SingleTxtG"/>
        <w:numPr>
          <w:ilvl w:val="0"/>
          <w:numId w:val="3"/>
        </w:numPr>
        <w:rPr>
          <w:color w:val="000000"/>
        </w:rPr>
      </w:pPr>
      <w:r w:rsidRPr="009918EE">
        <w:rPr>
          <w:color w:val="000000"/>
          <w:lang w:eastAsia="en-GB"/>
        </w:rPr>
        <w:lastRenderedPageBreak/>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Pr="009918EE">
        <w:t xml:space="preserve">social protection needs and who would otherwise have difficulty in finding employment </w:t>
      </w:r>
      <w:r w:rsidRPr="009918EE">
        <w:rPr>
          <w:color w:val="000000"/>
          <w:lang w:eastAsia="en-GB"/>
        </w:rPr>
        <w:t>(</w:t>
      </w:r>
      <w:r w:rsidRPr="009918EE">
        <w:t>decree no. 212 of 23 November 2005)</w:t>
      </w:r>
      <w:r w:rsidRPr="009918EE">
        <w:rPr>
          <w:color w:val="000000"/>
          <w:lang w:eastAsia="en-GB"/>
        </w:rPr>
        <w:t>. D</w:t>
      </w:r>
      <w:r w:rsidRPr="009918EE">
        <w:t xml:space="preserve">epending on their number of employees, companies must reserve between 3 and 5 per cent of workplaces for such persons, including people with disabilities. Despite such measures, however, the </w:t>
      </w:r>
      <w:proofErr w:type="spellStart"/>
      <w:r w:rsidRPr="009918EE">
        <w:rPr>
          <w:color w:val="000000"/>
          <w:lang w:eastAsia="en-GB"/>
        </w:rPr>
        <w:t>ILO</w:t>
      </w:r>
      <w:proofErr w:type="spellEnd"/>
      <w:r w:rsidRPr="009918EE">
        <w:rPr>
          <w:color w:val="000000"/>
          <w:lang w:eastAsia="en-GB"/>
        </w:rPr>
        <w:t xml:space="preserve"> reports that the proportion of disabled persons involved in labour activity has declined over the past decade.</w:t>
      </w:r>
      <w:r w:rsidRPr="009918EE">
        <w:rPr>
          <w:rStyle w:val="a3"/>
          <w:color w:val="000000"/>
          <w:lang w:eastAsia="en-GB"/>
        </w:rPr>
        <w:footnoteReference w:id="27"/>
      </w:r>
      <w:r w:rsidRPr="009918EE">
        <w:rPr>
          <w:color w:val="000000"/>
          <w:lang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proofErr w:type="spellStart"/>
      <w:r w:rsidRPr="009918EE">
        <w:t>CRPD</w:t>
      </w:r>
      <w:proofErr w:type="spellEnd"/>
      <w:r w:rsidRPr="009918EE">
        <w:t>/C/</w:t>
      </w:r>
      <w:proofErr w:type="spellStart"/>
      <w:r w:rsidRPr="009918EE">
        <w:t>AZE</w:t>
      </w:r>
      <w:proofErr w:type="spellEnd"/>
      <w:r w:rsidRPr="009918EE">
        <w:t>/CO/1, paras. 42-43)</w:t>
      </w:r>
      <w:r w:rsidRPr="009918EE">
        <w:rPr>
          <w:color w:val="000000"/>
          <w:lang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284C1A" w:rsidRPr="009918EE" w:rsidRDefault="00284C1A" w:rsidP="00E1495F">
      <w:pPr>
        <w:pStyle w:val="SingleTxtG"/>
        <w:numPr>
          <w:ilvl w:val="0"/>
          <w:numId w:val="3"/>
        </w:numPr>
        <w:rPr>
          <w:color w:val="000000"/>
        </w:rPr>
      </w:pPr>
      <w:r w:rsidRPr="009918EE">
        <w:rPr>
          <w:color w:val="000000"/>
          <w:lang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284C1A" w:rsidRPr="009918EE" w:rsidRDefault="00284C1A" w:rsidP="00E1495F">
      <w:pPr>
        <w:pStyle w:val="SingleTxtG"/>
        <w:numPr>
          <w:ilvl w:val="0"/>
          <w:numId w:val="3"/>
        </w:numPr>
        <w:rPr>
          <w:color w:val="000000"/>
        </w:rPr>
      </w:pPr>
      <w:r w:rsidRPr="009918EE">
        <w:rPr>
          <w:color w:val="000000"/>
          <w:lang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w:t>
      </w:r>
      <w:proofErr w:type="spellStart"/>
      <w:r w:rsidRPr="009918EE">
        <w:rPr>
          <w:color w:val="000000"/>
          <w:lang w:eastAsia="en-GB"/>
        </w:rPr>
        <w:t>Ganja</w:t>
      </w:r>
      <w:proofErr w:type="spellEnd"/>
      <w:r w:rsidRPr="009918EE">
        <w:rPr>
          <w:color w:val="000000"/>
          <w:lang w:eastAsia="en-GB"/>
        </w:rPr>
        <w:t xml:space="preserve">,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284C1A" w:rsidRPr="009918EE" w:rsidRDefault="00284C1A" w:rsidP="00E1495F">
      <w:pPr>
        <w:pStyle w:val="SingleTxtG"/>
        <w:numPr>
          <w:ilvl w:val="0"/>
          <w:numId w:val="3"/>
        </w:numPr>
        <w:rPr>
          <w:b/>
          <w:i/>
          <w:color w:val="000000"/>
        </w:rPr>
      </w:pPr>
      <w:r w:rsidRPr="009918EE">
        <w:rPr>
          <w:color w:val="000000"/>
          <w:lang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284C1A" w:rsidRPr="009918EE" w:rsidRDefault="00284C1A" w:rsidP="00E1495F">
      <w:pPr>
        <w:pStyle w:val="SingleTxtG"/>
        <w:numPr>
          <w:ilvl w:val="0"/>
          <w:numId w:val="3"/>
        </w:numPr>
        <w:rPr>
          <w:b/>
          <w:i/>
          <w:color w:val="000000"/>
        </w:rPr>
      </w:pPr>
      <w:r w:rsidRPr="009918EE">
        <w:rPr>
          <w:color w:val="000000"/>
          <w:lang w:eastAsia="en-GB"/>
        </w:rPr>
        <w:t xml:space="preserve">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w:t>
      </w:r>
      <w:proofErr w:type="spellStart"/>
      <w:r w:rsidRPr="009918EE">
        <w:rPr>
          <w:color w:val="000000"/>
          <w:lang w:eastAsia="en-GB"/>
        </w:rPr>
        <w:t>ILO</w:t>
      </w:r>
      <w:proofErr w:type="spellEnd"/>
      <w:r w:rsidRPr="009918EE">
        <w:rPr>
          <w:color w:val="000000"/>
          <w:lang w:eastAsia="en-GB"/>
        </w:rPr>
        <w:t xml:space="preserve"> Committee of Experts on the Application of Conventions and Recommendations, on the need for additional measures to encourage and promote collective bargaining between trade unions and employers and their organizations, without interference by the public authority.</w:t>
      </w:r>
      <w:r w:rsidRPr="009918EE">
        <w:rPr>
          <w:rStyle w:val="a3"/>
          <w:color w:val="000000"/>
          <w:lang w:eastAsia="en-GB"/>
        </w:rPr>
        <w:footnoteReference w:id="28"/>
      </w:r>
    </w:p>
    <w:p w:rsidR="00284C1A" w:rsidRPr="009918EE" w:rsidRDefault="00284C1A" w:rsidP="00E1495F">
      <w:pPr>
        <w:pStyle w:val="SingleTxtG"/>
        <w:numPr>
          <w:ilvl w:val="0"/>
          <w:numId w:val="3"/>
        </w:numPr>
        <w:rPr>
          <w:b/>
          <w:i/>
          <w:color w:val="000000"/>
        </w:rPr>
      </w:pPr>
      <w:r w:rsidRPr="009918EE">
        <w:rPr>
          <w:color w:val="000000"/>
        </w:rPr>
        <w:lastRenderedPageBreak/>
        <w:t xml:space="preserve">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unions within the said companies. Similar concerns were raised with </w:t>
      </w:r>
      <w:proofErr w:type="spellStart"/>
      <w:r w:rsidRPr="009918EE">
        <w:rPr>
          <w:color w:val="000000"/>
        </w:rPr>
        <w:t>ILO</w:t>
      </w:r>
      <w:proofErr w:type="spellEnd"/>
      <w:r w:rsidRPr="009918EE">
        <w:rPr>
          <w:color w:val="000000"/>
        </w:rPr>
        <w:t xml:space="preserve">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Pr="009918EE">
        <w:rPr>
          <w:rStyle w:val="a3"/>
          <w:color w:val="000000"/>
        </w:rPr>
        <w:footnoteReference w:id="29"/>
      </w:r>
    </w:p>
    <w:p w:rsidR="00284C1A" w:rsidRPr="003979F3" w:rsidRDefault="00284C1A" w:rsidP="003979F3">
      <w:pPr>
        <w:pStyle w:val="HChG"/>
      </w:pPr>
      <w:bookmarkStart w:id="1" w:name="_Toc379312058"/>
      <w:r w:rsidRPr="003979F3">
        <w:tab/>
        <w:t>VI.</w:t>
      </w:r>
      <w:r w:rsidRPr="003979F3">
        <w:tab/>
        <w:t>Access to remedy</w:t>
      </w:r>
    </w:p>
    <w:p w:rsidR="00284C1A" w:rsidRPr="009918EE" w:rsidRDefault="00284C1A" w:rsidP="00E1495F">
      <w:pPr>
        <w:pStyle w:val="H1G"/>
        <w:numPr>
          <w:ilvl w:val="0"/>
          <w:numId w:val="9"/>
        </w:numPr>
      </w:pPr>
      <w:r w:rsidRPr="009918EE">
        <w:t>State-based judicial mechanisms</w:t>
      </w:r>
    </w:p>
    <w:p w:rsidR="00284C1A" w:rsidRPr="009918EE" w:rsidRDefault="00284C1A" w:rsidP="00E1495F">
      <w:pPr>
        <w:numPr>
          <w:ilvl w:val="0"/>
          <w:numId w:val="3"/>
        </w:numPr>
        <w:tabs>
          <w:tab w:val="left" w:pos="9781"/>
        </w:tabs>
        <w:spacing w:after="120"/>
        <w:ind w:left="1134" w:right="1134"/>
        <w:jc w:val="both"/>
      </w:pPr>
      <w:r w:rsidRPr="009918EE">
        <w:t xml:space="preserve">Ensuring access to effective judicial mechanisms is an essential component of the requirements set out in the Guiding Principles. In dealing with business-related human rights abuses, accessible and effective judicial remedies are particularly important in the light of the imbalances between the parties to business-related human rights claims. </w:t>
      </w:r>
    </w:p>
    <w:p w:rsidR="00284C1A" w:rsidRPr="009918EE" w:rsidRDefault="00284C1A" w:rsidP="00E1495F">
      <w:pPr>
        <w:numPr>
          <w:ilvl w:val="0"/>
          <w:numId w:val="3"/>
        </w:numPr>
        <w:tabs>
          <w:tab w:val="left" w:pos="9781"/>
        </w:tabs>
        <w:spacing w:after="120"/>
        <w:ind w:left="1134" w:right="1134"/>
        <w:jc w:val="both"/>
      </w:pPr>
      <w:r w:rsidRPr="009918EE">
        <w:t xml:space="preserve">In discussions on the challenges faced with regard to access to remedies for business-related human rights abuses, government officials highlighted the various judicial mechanisms in place to address such grievances, including the labour inspectorate and the accessibility of courts throughout the country. The Ministry of Justice informed the Working Group that a system was in place to provide free legal aid to needy families. At the same time, it was clear from the Working Group’s meetings with a range of civil society actors that there were also concerns about the effectiveness of the court system in some cases. Such concerns are also reflected in the </w:t>
      </w:r>
      <w:r w:rsidRPr="009918EE">
        <w:rPr>
          <w:color w:val="000000"/>
          <w:lang w:eastAsia="en-GB"/>
        </w:rPr>
        <w:t>National Anti-Corruption Action Plan (2012-2015), which includes the preparation of proposals “on limiting the scope of immunity of judges from criminal prosecution in the context of combating corruption”.</w:t>
      </w:r>
    </w:p>
    <w:p w:rsidR="00284C1A" w:rsidRPr="009918EE" w:rsidRDefault="00284C1A" w:rsidP="00E1495F">
      <w:pPr>
        <w:numPr>
          <w:ilvl w:val="0"/>
          <w:numId w:val="3"/>
        </w:numPr>
        <w:tabs>
          <w:tab w:val="left" w:pos="9781"/>
        </w:tabs>
        <w:ind w:right="1134"/>
        <w:jc w:val="both"/>
      </w:pPr>
      <w:r w:rsidRPr="009918EE">
        <w:t>The Guiding Principles highlight how corruption can block access to effective remedies for human rights abuses by business enterprises. The commentary to Guiding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284C1A" w:rsidRPr="009918EE" w:rsidRDefault="00284C1A" w:rsidP="00E1495F">
      <w:pPr>
        <w:pStyle w:val="H1G"/>
        <w:numPr>
          <w:ilvl w:val="0"/>
          <w:numId w:val="9"/>
        </w:numPr>
      </w:pPr>
      <w:r w:rsidRPr="009918EE">
        <w:t>State-based non-judicial grievance mechanisms</w:t>
      </w:r>
    </w:p>
    <w:p w:rsidR="00284C1A" w:rsidRPr="009918EE" w:rsidRDefault="00284C1A" w:rsidP="00E1495F">
      <w:pPr>
        <w:numPr>
          <w:ilvl w:val="0"/>
          <w:numId w:val="3"/>
        </w:numPr>
        <w:tabs>
          <w:tab w:val="left" w:pos="9781"/>
        </w:tabs>
        <w:spacing w:after="120"/>
        <w:ind w:left="1134" w:right="1134"/>
        <w:jc w:val="both"/>
      </w:pPr>
      <w:r w:rsidRPr="009918EE">
        <w:t>In addition to courts and administrative tribunals, non-judicial mechanisms also play an important role in ensuring access to remedy for business-related abuses. In particular, national human rights institutions are often empowered to examine complaints on human rights violations. This is also the case of the Ombudsman.</w:t>
      </w:r>
    </w:p>
    <w:p w:rsidR="00284C1A" w:rsidRPr="009918EE" w:rsidRDefault="00284C1A" w:rsidP="00E1495F">
      <w:pPr>
        <w:numPr>
          <w:ilvl w:val="0"/>
          <w:numId w:val="3"/>
        </w:numPr>
        <w:tabs>
          <w:tab w:val="left" w:pos="9781"/>
        </w:tabs>
        <w:spacing w:after="120"/>
        <w:ind w:left="1134" w:right="1134"/>
        <w:jc w:val="both"/>
      </w:pPr>
      <w:r w:rsidRPr="009918EE">
        <w:lastRenderedPageBreak/>
        <w:t>According to the annual report of the Ombudsman, in 2013, the Office of the Ombudsman, including four regional centres, received 13,670 appeals, of which 75.8 per cent were complaints. The complaints typically concerned issues such as delivery of identity cards, registration, responses to information queries, land and property, damage caused by natural disasters, pensions and allowances, social aid, restoring the work place, the execution of court decisions, and payment of alimony and loans. A total of 709 complaints concerned violations of labour rights, in particular failure of the employer to pay (or to pay when due</w:t>
      </w:r>
      <w:proofErr w:type="gramStart"/>
      <w:r w:rsidRPr="009918EE">
        <w:t>)wages</w:t>
      </w:r>
      <w:proofErr w:type="gramEnd"/>
      <w:r w:rsidRPr="009918EE">
        <w:t xml:space="preserve">, employment without a regular work contract, long-term leave or dismissal without payment. According to the Ombudsman, in most cases, the rights of citizens were upheld following due investigation. </w:t>
      </w:r>
    </w:p>
    <w:p w:rsidR="00284C1A" w:rsidRPr="009918EE" w:rsidRDefault="00284C1A" w:rsidP="00E1495F">
      <w:pPr>
        <w:numPr>
          <w:ilvl w:val="0"/>
          <w:numId w:val="3"/>
        </w:numPr>
        <w:tabs>
          <w:tab w:val="left" w:pos="9781"/>
        </w:tabs>
        <w:ind w:right="1134"/>
        <w:jc w:val="both"/>
        <w:rPr>
          <w:b/>
        </w:rPr>
      </w:pPr>
      <w:r w:rsidRPr="009918EE">
        <w:t xml:space="preserve">The Working Group was informed that the Ombudsman is not empowered to consider complaints concerning business enterprises. The Ombudsman may, however, cooperate with State authorities to investigate complaints about business stakeholders. The Ombudsman has in fact established a working group on business and human rights with the objective of promoting corporate social responsibility. According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labour rights, set-up of a hot-line service, and strengthening measures to eliminate discrimination in labour relations. To date, the Working Group has held discussions on such themes as “Child rights and business”, “Observing ecological requirements in the realization of business”, “Business and women’s rights” and “Protection of rights of persons with disabilities from the context of business and human rights”. </w:t>
      </w:r>
    </w:p>
    <w:p w:rsidR="00284C1A" w:rsidRPr="009918EE" w:rsidRDefault="00284C1A" w:rsidP="00E1495F">
      <w:pPr>
        <w:pStyle w:val="H1G"/>
        <w:numPr>
          <w:ilvl w:val="0"/>
          <w:numId w:val="9"/>
        </w:numPr>
      </w:pPr>
      <w:r w:rsidRPr="009918EE">
        <w:t>Non-State-based grievance mechanisms</w:t>
      </w:r>
    </w:p>
    <w:p w:rsidR="00284C1A" w:rsidRPr="009918EE" w:rsidRDefault="00284C1A" w:rsidP="00E1495F">
      <w:pPr>
        <w:numPr>
          <w:ilvl w:val="0"/>
          <w:numId w:val="3"/>
        </w:numPr>
        <w:tabs>
          <w:tab w:val="left" w:pos="9781"/>
        </w:tabs>
        <w:ind w:right="1134"/>
        <w:jc w:val="both"/>
      </w:pPr>
      <w:r w:rsidRPr="009918EE">
        <w:t xml:space="preserve">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explained in Guiding Principle 29. </w:t>
      </w:r>
    </w:p>
    <w:p w:rsidR="00284C1A" w:rsidRPr="003979F3" w:rsidRDefault="00284C1A" w:rsidP="003979F3">
      <w:pPr>
        <w:pStyle w:val="HChG"/>
      </w:pPr>
      <w:r w:rsidRPr="003979F3">
        <w:tab/>
        <w:t>VI.</w:t>
      </w:r>
      <w:r w:rsidRPr="003979F3">
        <w:tab/>
        <w:t>Strengthening the policy framework</w:t>
      </w:r>
    </w:p>
    <w:p w:rsidR="00284C1A" w:rsidRPr="009918EE" w:rsidRDefault="00284C1A" w:rsidP="00E1495F">
      <w:pPr>
        <w:pStyle w:val="SingleTxtG"/>
        <w:numPr>
          <w:ilvl w:val="0"/>
          <w:numId w:val="3"/>
        </w:numPr>
        <w:rPr>
          <w:color w:val="000000"/>
        </w:rPr>
      </w:pPr>
      <w:r w:rsidRPr="009918EE">
        <w:rPr>
          <w:color w:val="000000"/>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dialogue conducted through the </w:t>
      </w:r>
      <w:r w:rsidRPr="009918EE">
        <w:rPr>
          <w:rStyle w:val="af6"/>
          <w:color w:val="000000"/>
        </w:rPr>
        <w:t>Extractive Industries Transparency Initiative</w:t>
      </w:r>
      <w:r w:rsidRPr="009918EE">
        <w:rPr>
          <w:color w:val="000000"/>
        </w:rPr>
        <w:t xml:space="preserve">, national councils and State committees. </w:t>
      </w:r>
    </w:p>
    <w:p w:rsidR="00284C1A" w:rsidRPr="009918EE" w:rsidRDefault="00284C1A" w:rsidP="00E1495F">
      <w:pPr>
        <w:pStyle w:val="SingleTxtG"/>
        <w:numPr>
          <w:ilvl w:val="0"/>
          <w:numId w:val="3"/>
        </w:numPr>
        <w:rPr>
          <w:color w:val="000000"/>
        </w:rPr>
      </w:pPr>
      <w:r w:rsidRPr="009918EE">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w:t>
      </w:r>
      <w:r w:rsidRPr="009918EE">
        <w:lastRenderedPageBreak/>
        <w:t xml:space="preserve">identify national priorities and concrete policy measures and action; (c) transparency and predictability for interested domestic and international stakeholders; (d) a process of the continuous monitoring and evaluation of implementation; (e) a platform for ongoing multi-stakeholder dialogue. </w:t>
      </w:r>
    </w:p>
    <w:p w:rsidR="00284C1A" w:rsidRPr="009918EE" w:rsidRDefault="00284C1A" w:rsidP="00E1495F">
      <w:pPr>
        <w:numPr>
          <w:ilvl w:val="0"/>
          <w:numId w:val="3"/>
        </w:numPr>
        <w:tabs>
          <w:tab w:val="left" w:pos="9781"/>
        </w:tabs>
        <w:ind w:right="1134"/>
        <w:jc w:val="both"/>
      </w:pPr>
      <w:r w:rsidRPr="009918EE">
        <w:t>The process of developing a national action plan on business and human rights should also involve the identification of ways to improve access to remedy for victims of adverse business-related human rights impact through both State-based and non-State-based grievance mechanisms, in accordance with Guiding Principles 25 to 31.</w:t>
      </w:r>
    </w:p>
    <w:p w:rsidR="00284C1A" w:rsidRPr="009918EE" w:rsidRDefault="00284C1A" w:rsidP="00284C1A">
      <w:pPr>
        <w:pStyle w:val="HChG"/>
        <w:spacing w:line="240" w:lineRule="atLeast"/>
        <w:rPr>
          <w:color w:val="000000"/>
        </w:rPr>
      </w:pPr>
      <w:r w:rsidRPr="009918EE">
        <w:rPr>
          <w:color w:val="000000"/>
        </w:rPr>
        <w:tab/>
        <w:t>VII.</w:t>
      </w:r>
      <w:r w:rsidRPr="009918EE">
        <w:rPr>
          <w:color w:val="000000"/>
        </w:rPr>
        <w:tab/>
        <w:t>Conclusions and recommendations</w:t>
      </w:r>
    </w:p>
    <w:bookmarkEnd w:id="1"/>
    <w:p w:rsidR="00284C1A" w:rsidRPr="009918EE" w:rsidRDefault="00284C1A" w:rsidP="00E1495F">
      <w:pPr>
        <w:pStyle w:val="SingleTxtG"/>
        <w:numPr>
          <w:ilvl w:val="0"/>
          <w:numId w:val="3"/>
        </w:numPr>
        <w:rPr>
          <w:color w:val="000000"/>
        </w:rPr>
      </w:pPr>
      <w:r w:rsidRPr="009918EE">
        <w:rPr>
          <w:b/>
          <w:color w:val="000000"/>
        </w:rPr>
        <w:t>The Working Group notes the political commitment of the Government of Azerbaijan to the Guiding Principles on Business and Human Rights, and its pledge to develop a national action plan to implement them.</w:t>
      </w:r>
    </w:p>
    <w:p w:rsidR="00284C1A" w:rsidRPr="009918EE" w:rsidRDefault="00284C1A" w:rsidP="00E1495F">
      <w:pPr>
        <w:pStyle w:val="SingleTxtG"/>
        <w:numPr>
          <w:ilvl w:val="0"/>
          <w:numId w:val="3"/>
        </w:numPr>
        <w:rPr>
          <w:color w:val="000000"/>
        </w:rPr>
      </w:pPr>
      <w:r w:rsidRPr="009918EE">
        <w:rPr>
          <w:b/>
          <w:color w:val="000000"/>
        </w:rPr>
        <w:t>The meetings held during the visit with Government officials and local business enterprises revealed that issues concerning business and rights are not well understood or known about.</w:t>
      </w:r>
    </w:p>
    <w:p w:rsidR="00284C1A" w:rsidRPr="009918EE" w:rsidRDefault="00284C1A" w:rsidP="00E1495F">
      <w:pPr>
        <w:pStyle w:val="SingleTxtG"/>
        <w:numPr>
          <w:ilvl w:val="0"/>
          <w:numId w:val="3"/>
        </w:numPr>
        <w:rPr>
          <w:color w:val="000000"/>
        </w:rPr>
      </w:pPr>
      <w:r w:rsidRPr="009918EE">
        <w:rPr>
          <w:b/>
          <w:color w:val="000000"/>
          <w:lang w:eastAsia="en-GB"/>
        </w:rPr>
        <w:t xml:space="preserve">Free and vibrant social dialogue is critically important to the promotion of business and human rights. Consequently, </w:t>
      </w:r>
      <w:r w:rsidRPr="009918EE">
        <w:rPr>
          <w:b/>
          <w:color w:val="000000"/>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Pr="009918EE">
        <w:rPr>
          <w:b/>
          <w:color w:val="000000"/>
          <w:lang w:eastAsia="en-GB"/>
        </w:rPr>
        <w:t xml:space="preserve">. </w:t>
      </w:r>
    </w:p>
    <w:p w:rsidR="00284C1A" w:rsidRPr="009918EE" w:rsidRDefault="00284C1A" w:rsidP="00E1495F">
      <w:pPr>
        <w:pStyle w:val="SingleTxtG"/>
        <w:numPr>
          <w:ilvl w:val="0"/>
          <w:numId w:val="3"/>
        </w:numPr>
        <w:rPr>
          <w:b/>
          <w:color w:val="000000"/>
        </w:rPr>
      </w:pPr>
      <w:r w:rsidRPr="009918EE">
        <w:rPr>
          <w:b/>
          <w:color w:val="000000"/>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284C1A" w:rsidRPr="009918EE" w:rsidRDefault="00284C1A" w:rsidP="00E1495F">
      <w:pPr>
        <w:pStyle w:val="SingleTxtG"/>
        <w:numPr>
          <w:ilvl w:val="0"/>
          <w:numId w:val="3"/>
        </w:numPr>
        <w:rPr>
          <w:b/>
          <w:color w:val="000000"/>
        </w:rPr>
      </w:pPr>
      <w:r w:rsidRPr="009918EE">
        <w:rPr>
          <w:b/>
          <w:color w:val="000000"/>
        </w:rPr>
        <w:t>The Working Group recommends that the Government:</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Raise awareness and build the capacity of civil servants and lawmakers on issues concerning businesses and human rights from the perspective of the Guiding Principles; </w:t>
      </w:r>
    </w:p>
    <w:p w:rsidR="00284C1A" w:rsidRPr="009918EE" w:rsidRDefault="00284C1A" w:rsidP="00E1495F">
      <w:pPr>
        <w:pStyle w:val="SingleTxtG"/>
        <w:numPr>
          <w:ilvl w:val="0"/>
          <w:numId w:val="4"/>
        </w:numPr>
        <w:ind w:left="1134" w:firstLine="720"/>
        <w:rPr>
          <w:b/>
          <w:color w:val="000000"/>
        </w:rPr>
      </w:pPr>
      <w:r w:rsidRPr="009918EE">
        <w:rPr>
          <w:b/>
          <w:color w:val="000000"/>
        </w:rPr>
        <w:t>Set out clear expectations in government policy that any and all business enterprises in Azerbaijan respect human rights throughout their operations;</w:t>
      </w:r>
    </w:p>
    <w:p w:rsidR="00284C1A" w:rsidRPr="009918EE" w:rsidRDefault="00284C1A" w:rsidP="00E1495F">
      <w:pPr>
        <w:pStyle w:val="SingleTxtG"/>
        <w:numPr>
          <w:ilvl w:val="0"/>
          <w:numId w:val="4"/>
        </w:numPr>
        <w:ind w:left="1134" w:firstLine="720"/>
        <w:rPr>
          <w:b/>
          <w:color w:val="000000"/>
        </w:rPr>
      </w:pPr>
      <w:r w:rsidRPr="009918EE">
        <w:rPr>
          <w:b/>
          <w:color w:val="000000"/>
        </w:rPr>
        <w:t>Require all State-owned or -controlled companies to perform human rights due diligence, for both their domestic and international operations;</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Develop a national action plan on business and human rights based on the guidance on national action plans on business and human rights developed by the Working Group; </w:t>
      </w:r>
    </w:p>
    <w:p w:rsidR="00284C1A" w:rsidRPr="009918EE" w:rsidRDefault="00284C1A" w:rsidP="00E1495F">
      <w:pPr>
        <w:pStyle w:val="SingleTxtG"/>
        <w:numPr>
          <w:ilvl w:val="0"/>
          <w:numId w:val="4"/>
        </w:numPr>
        <w:ind w:left="1134" w:firstLine="720"/>
        <w:rPr>
          <w:b/>
          <w:color w:val="000000"/>
        </w:rPr>
      </w:pPr>
      <w:r w:rsidRPr="009918EE">
        <w:rPr>
          <w:b/>
          <w:color w:val="000000"/>
        </w:rPr>
        <w:t>Strengthen mechanisms for multi-stakeholder dialogue on business and human rights issues, for example by building upon the working group on business and human rights coordinated by the Office of the Commissioner for Human Rights (Ombudsman);</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Allow </w:t>
      </w:r>
      <w:r w:rsidRPr="009918EE">
        <w:rPr>
          <w:rStyle w:val="st"/>
          <w:b/>
          <w:color w:val="000000"/>
        </w:rPr>
        <w:t>independent civil society non-governmental organizations to operate without bureaucratic hindrance or denial of legitimate funding for their activities;</w:t>
      </w:r>
    </w:p>
    <w:p w:rsidR="00284C1A" w:rsidRPr="009918EE" w:rsidRDefault="00284C1A" w:rsidP="00E1495F">
      <w:pPr>
        <w:pStyle w:val="SingleTxtG"/>
        <w:numPr>
          <w:ilvl w:val="0"/>
          <w:numId w:val="4"/>
        </w:numPr>
        <w:ind w:left="1134" w:firstLine="720"/>
        <w:rPr>
          <w:rStyle w:val="st"/>
          <w:b/>
          <w:color w:val="000000"/>
        </w:rPr>
      </w:pPr>
      <w:r w:rsidRPr="009918EE">
        <w:rPr>
          <w:rStyle w:val="st"/>
          <w:b/>
          <w:color w:val="000000"/>
        </w:rPr>
        <w:lastRenderedPageBreak/>
        <w:t>Enable the media and civil society to be effective checks on both business enterprises and public officials by increasing transparency on business activities, corporate governance and other public registry information;</w:t>
      </w:r>
    </w:p>
    <w:p w:rsidR="00284C1A" w:rsidRPr="009918EE" w:rsidRDefault="00284C1A" w:rsidP="00E1495F">
      <w:pPr>
        <w:pStyle w:val="SingleTxtG"/>
        <w:numPr>
          <w:ilvl w:val="0"/>
          <w:numId w:val="4"/>
        </w:numPr>
        <w:ind w:left="1134" w:firstLine="720"/>
        <w:rPr>
          <w:rStyle w:val="st"/>
          <w:b/>
          <w:color w:val="000000"/>
        </w:rPr>
      </w:pPr>
      <w:r w:rsidRPr="009918EE">
        <w:rPr>
          <w:rStyle w:val="st"/>
          <w:b/>
          <w:color w:val="000000"/>
        </w:rPr>
        <w:t xml:space="preserve">Expand the number of </w:t>
      </w:r>
      <w:r w:rsidRPr="009918EE">
        <w:rPr>
          <w:b/>
          <w:iCs/>
          <w:color w:val="000000"/>
          <w:lang w:eastAsia="en-GB"/>
        </w:rPr>
        <w:t>Azerbaijan Service and Assessment Network</w:t>
      </w:r>
      <w:r w:rsidRPr="009918EE" w:rsidDel="00FC1E69">
        <w:rPr>
          <w:rStyle w:val="st"/>
          <w:b/>
          <w:color w:val="000000"/>
        </w:rPr>
        <w:t xml:space="preserve"> </w:t>
      </w:r>
      <w:r w:rsidRPr="009918EE">
        <w:rPr>
          <w:rStyle w:val="st"/>
          <w:b/>
          <w:color w:val="000000"/>
        </w:rPr>
        <w:t>centres to facilitate the exchange of information about and ensure the accessibility of public services</w:t>
      </w:r>
      <w:r w:rsidRPr="009918EE">
        <w:rPr>
          <w:rFonts w:ascii="Tms Rmn" w:hAnsi="Tms Rmn" w:cs="Tms Rmn"/>
          <w:color w:val="000000"/>
          <w:sz w:val="24"/>
          <w:szCs w:val="24"/>
          <w:lang w:eastAsia="en-GB"/>
        </w:rPr>
        <w:t>;</w:t>
      </w:r>
    </w:p>
    <w:p w:rsidR="00284C1A" w:rsidRPr="009918EE" w:rsidRDefault="00284C1A" w:rsidP="00E1495F">
      <w:pPr>
        <w:pStyle w:val="SingleTxtG"/>
        <w:numPr>
          <w:ilvl w:val="0"/>
          <w:numId w:val="4"/>
        </w:numPr>
        <w:ind w:left="1134" w:firstLine="720"/>
        <w:rPr>
          <w:b/>
          <w:color w:val="000000"/>
        </w:rPr>
      </w:pPr>
      <w:r w:rsidRPr="009918EE">
        <w:rPr>
          <w:b/>
          <w:color w:val="000000"/>
        </w:rPr>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Include human rights considerations in public procurement policies, including the corporate responsibility to protect human rights in the terms of procurement contracts; </w:t>
      </w:r>
    </w:p>
    <w:p w:rsidR="00284C1A" w:rsidRPr="009918EE" w:rsidRDefault="00284C1A" w:rsidP="00E1495F">
      <w:pPr>
        <w:pStyle w:val="SingleTxtG"/>
        <w:numPr>
          <w:ilvl w:val="0"/>
          <w:numId w:val="4"/>
        </w:numPr>
        <w:ind w:left="1134" w:firstLine="720"/>
        <w:rPr>
          <w:b/>
          <w:color w:val="000000"/>
        </w:rPr>
      </w:pPr>
      <w:r w:rsidRPr="009918EE">
        <w:rPr>
          <w:b/>
          <w:color w:val="000000"/>
        </w:rPr>
        <w:t>Integrate the responsibility to conduct human rights due diligence into State-investor contracts, and concessions for extraction of natural resources and production-sharing agreements;</w:t>
      </w:r>
    </w:p>
    <w:p w:rsidR="00284C1A" w:rsidRPr="009918EE" w:rsidRDefault="00284C1A" w:rsidP="00E1495F">
      <w:pPr>
        <w:pStyle w:val="SingleTxtG"/>
        <w:numPr>
          <w:ilvl w:val="0"/>
          <w:numId w:val="4"/>
        </w:numPr>
        <w:ind w:left="1134" w:firstLine="720"/>
        <w:rPr>
          <w:b/>
          <w:color w:val="000000"/>
        </w:rPr>
      </w:pPr>
      <w:r w:rsidRPr="009918EE">
        <w:rPr>
          <w:b/>
          <w:color w:val="000000"/>
        </w:rPr>
        <w:t>Support the further development and strengthening of tripartite social dialogue, including the full independence of trade unions, and ensure that proposals made by social partners are taken into consideration in policymaking;</w:t>
      </w:r>
    </w:p>
    <w:p w:rsidR="00284C1A" w:rsidRPr="009918EE" w:rsidRDefault="00284C1A" w:rsidP="00E1495F">
      <w:pPr>
        <w:pStyle w:val="SingleTxtG"/>
        <w:numPr>
          <w:ilvl w:val="0"/>
          <w:numId w:val="4"/>
        </w:numPr>
        <w:ind w:left="1134" w:firstLine="720"/>
        <w:rPr>
          <w:b/>
          <w:color w:val="000000"/>
        </w:rPr>
      </w:pPr>
      <w:r w:rsidRPr="009918EE">
        <w:rPr>
          <w:b/>
          <w:color w:val="000000"/>
        </w:rPr>
        <w:t>Step up efforts to ensure that the national minimum wage provides low-paid workers with a decent standard of living;</w:t>
      </w:r>
    </w:p>
    <w:p w:rsidR="00284C1A" w:rsidRPr="009918EE" w:rsidRDefault="00284C1A" w:rsidP="00E1495F">
      <w:pPr>
        <w:pStyle w:val="SingleTxtG"/>
        <w:numPr>
          <w:ilvl w:val="0"/>
          <w:numId w:val="4"/>
        </w:numPr>
        <w:ind w:left="1134" w:firstLine="720"/>
        <w:rPr>
          <w:b/>
          <w:color w:val="000000"/>
        </w:rPr>
      </w:pPr>
      <w:r w:rsidRPr="009918EE">
        <w:rPr>
          <w:b/>
          <w:color w:val="000000"/>
        </w:rPr>
        <w:t>Improve collection of data on the situation of groups that may be vulnerable to discrimination and abuse, including working children;</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Strengthen measures to allow persons with disabilities to have access to the labour market, including improved oversight of the compliance of enterprises with the prescribed quotas reserved for persons with disabilities; </w:t>
      </w:r>
    </w:p>
    <w:p w:rsidR="00284C1A" w:rsidRPr="009918EE" w:rsidRDefault="00284C1A" w:rsidP="00E1495F">
      <w:pPr>
        <w:pStyle w:val="SingleTxtG"/>
        <w:numPr>
          <w:ilvl w:val="0"/>
          <w:numId w:val="4"/>
        </w:numPr>
        <w:ind w:left="1134" w:firstLine="720"/>
        <w:rPr>
          <w:b/>
          <w:color w:val="000000"/>
        </w:rPr>
      </w:pPr>
      <w:r w:rsidRPr="009918EE">
        <w:rPr>
          <w:b/>
          <w:color w:val="000000"/>
        </w:rPr>
        <w:t>Conduct a review of access to effective remedy with a view to strengthening both judicial and non-judicial mechanisms to identify and effectively address business-related human rights abuses;</w:t>
      </w:r>
    </w:p>
    <w:p w:rsidR="00284C1A" w:rsidRPr="009918EE" w:rsidRDefault="00284C1A" w:rsidP="00E1495F">
      <w:pPr>
        <w:pStyle w:val="SingleTxtG"/>
        <w:numPr>
          <w:ilvl w:val="0"/>
          <w:numId w:val="3"/>
        </w:numPr>
        <w:rPr>
          <w:b/>
          <w:color w:val="000000"/>
        </w:rPr>
      </w:pPr>
      <w:r w:rsidRPr="009918EE">
        <w:rPr>
          <w:b/>
          <w:color w:val="000000"/>
        </w:rPr>
        <w:t>The Working Group recommends that business enterprises:</w:t>
      </w:r>
    </w:p>
    <w:p w:rsidR="00284C1A" w:rsidRPr="009918EE" w:rsidRDefault="00284C1A" w:rsidP="00E1495F">
      <w:pPr>
        <w:pStyle w:val="SingleTxtG"/>
        <w:numPr>
          <w:ilvl w:val="0"/>
          <w:numId w:val="5"/>
        </w:numPr>
        <w:ind w:left="1134" w:firstLine="612"/>
        <w:rPr>
          <w:b/>
          <w:color w:val="000000"/>
        </w:rPr>
      </w:pPr>
      <w:r w:rsidRPr="009918EE">
        <w:rPr>
          <w:b/>
          <w:color w:val="000000"/>
        </w:rPr>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284C1A" w:rsidRPr="009918EE" w:rsidRDefault="00284C1A" w:rsidP="00E1495F">
      <w:pPr>
        <w:pStyle w:val="SingleTxtG"/>
        <w:numPr>
          <w:ilvl w:val="0"/>
          <w:numId w:val="5"/>
        </w:numPr>
        <w:ind w:left="1134" w:firstLine="612"/>
        <w:rPr>
          <w:b/>
          <w:color w:val="000000"/>
        </w:rPr>
      </w:pPr>
      <w:r w:rsidRPr="009918EE">
        <w:rPr>
          <w:b/>
          <w:color w:val="000000"/>
        </w:rPr>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284C1A" w:rsidRPr="009918EE" w:rsidRDefault="00284C1A" w:rsidP="00E1495F">
      <w:pPr>
        <w:pStyle w:val="SingleTxtG"/>
        <w:numPr>
          <w:ilvl w:val="0"/>
          <w:numId w:val="5"/>
        </w:numPr>
        <w:ind w:left="1134" w:firstLine="612"/>
        <w:rPr>
          <w:b/>
          <w:color w:val="000000"/>
        </w:rPr>
      </w:pPr>
      <w:r w:rsidRPr="009918EE">
        <w:rPr>
          <w:b/>
          <w:color w:val="000000"/>
        </w:rPr>
        <w:t>Pay special attention to how different risks may affect women and men differently, for example, with regard to projects involving land and resettlement;</w:t>
      </w:r>
    </w:p>
    <w:p w:rsidR="00284C1A" w:rsidRPr="009918EE" w:rsidRDefault="00284C1A" w:rsidP="00E1495F">
      <w:pPr>
        <w:pStyle w:val="SingleTxtG"/>
        <w:numPr>
          <w:ilvl w:val="0"/>
          <w:numId w:val="5"/>
        </w:numPr>
        <w:ind w:left="1134" w:firstLine="612"/>
        <w:rPr>
          <w:b/>
          <w:color w:val="000000"/>
        </w:rPr>
      </w:pPr>
      <w:r w:rsidRPr="009918EE">
        <w:rPr>
          <w:b/>
          <w:color w:val="000000"/>
        </w:rPr>
        <w:t>In cases where this can serve to identify and address adverse impact, establish or participate in operational grievance mechanisms in accordance with the criteria set out in Guiding Principle 31;</w:t>
      </w:r>
    </w:p>
    <w:p w:rsidR="00284C1A" w:rsidRPr="009918EE" w:rsidRDefault="00284C1A" w:rsidP="00E1495F">
      <w:pPr>
        <w:pStyle w:val="SingleTxtG"/>
        <w:numPr>
          <w:ilvl w:val="0"/>
          <w:numId w:val="5"/>
        </w:numPr>
        <w:ind w:left="1134" w:firstLine="612"/>
        <w:rPr>
          <w:b/>
          <w:color w:val="000000"/>
        </w:rPr>
      </w:pPr>
      <w:r w:rsidRPr="009918EE">
        <w:rPr>
          <w:b/>
          <w:color w:val="000000"/>
        </w:rPr>
        <w:lastRenderedPageBreak/>
        <w:t>Engage in the development of the national action plan on business and human rights;</w:t>
      </w:r>
    </w:p>
    <w:p w:rsidR="00284C1A" w:rsidRPr="009918EE" w:rsidRDefault="00284C1A" w:rsidP="00E1495F">
      <w:pPr>
        <w:pStyle w:val="SingleTxtG"/>
        <w:numPr>
          <w:ilvl w:val="0"/>
          <w:numId w:val="5"/>
        </w:numPr>
        <w:ind w:left="1134" w:firstLine="612"/>
        <w:rPr>
          <w:b/>
          <w:color w:val="000000"/>
        </w:rPr>
      </w:pPr>
      <w:r w:rsidRPr="009918EE">
        <w:rPr>
          <w:b/>
          <w:color w:val="000000"/>
        </w:rPr>
        <w:t>Engage with the Global Compact Local Network in Azerbaijan and with business associations to promote, and learn from the experience of others in, the implementation of the Guiding Principles;</w:t>
      </w:r>
    </w:p>
    <w:p w:rsidR="00284C1A" w:rsidRPr="009918EE" w:rsidRDefault="00284C1A" w:rsidP="00E1495F">
      <w:pPr>
        <w:pStyle w:val="SingleTxtG"/>
        <w:numPr>
          <w:ilvl w:val="0"/>
          <w:numId w:val="5"/>
        </w:numPr>
        <w:ind w:left="1134" w:firstLine="612"/>
        <w:rPr>
          <w:b/>
          <w:color w:val="000000"/>
        </w:rPr>
      </w:pPr>
      <w:r w:rsidRPr="009918EE">
        <w:rPr>
          <w:b/>
          <w:color w:val="000000"/>
        </w:rPr>
        <w:t>Use their leverage, where appropriate, to raise human rights concerns with the Government.</w:t>
      </w:r>
    </w:p>
    <w:p w:rsidR="00284C1A" w:rsidRPr="009918EE" w:rsidRDefault="00284C1A" w:rsidP="00E1495F">
      <w:pPr>
        <w:pStyle w:val="SingleTxtG"/>
        <w:numPr>
          <w:ilvl w:val="0"/>
          <w:numId w:val="3"/>
        </w:numPr>
        <w:rPr>
          <w:b/>
          <w:color w:val="000000"/>
        </w:rPr>
      </w:pPr>
      <w:r w:rsidRPr="009918EE">
        <w:rPr>
          <w:b/>
          <w:color w:val="000000"/>
        </w:rPr>
        <w:t>The Working Group recommends that civil society organizations:</w:t>
      </w:r>
    </w:p>
    <w:p w:rsidR="00284C1A" w:rsidRPr="009918EE" w:rsidRDefault="00284C1A" w:rsidP="00E1495F">
      <w:pPr>
        <w:pStyle w:val="SingleTxtG"/>
        <w:numPr>
          <w:ilvl w:val="0"/>
          <w:numId w:val="6"/>
        </w:numPr>
        <w:ind w:left="1134" w:firstLine="720"/>
        <w:rPr>
          <w:b/>
          <w:color w:val="000000"/>
        </w:rPr>
      </w:pPr>
      <w:r w:rsidRPr="009918EE">
        <w:rPr>
          <w:b/>
          <w:color w:val="000000"/>
        </w:rPr>
        <w:t>Assist in raising awareness about the respective obligations and responsibilities of State and business enterprises under international human rights laws to prevent and address adverse human rights impact related to the operations of business enterprises;</w:t>
      </w:r>
    </w:p>
    <w:p w:rsidR="00284C1A" w:rsidRPr="009918EE" w:rsidRDefault="00284C1A" w:rsidP="00E1495F">
      <w:pPr>
        <w:pStyle w:val="SingleTxtG"/>
        <w:numPr>
          <w:ilvl w:val="0"/>
          <w:numId w:val="6"/>
        </w:numPr>
        <w:ind w:left="1134" w:firstLine="720"/>
        <w:rPr>
          <w:b/>
          <w:color w:val="000000"/>
        </w:rPr>
      </w:pPr>
      <w:r w:rsidRPr="009918EE">
        <w:rPr>
          <w:b/>
          <w:color w:val="000000"/>
        </w:rPr>
        <w:t>Engage in the development of the national action plan on business and human rights.</w:t>
      </w:r>
    </w:p>
    <w:p w:rsidR="00284C1A" w:rsidRPr="009918EE" w:rsidRDefault="00284C1A" w:rsidP="00E1495F">
      <w:pPr>
        <w:pStyle w:val="SingleTxtG"/>
        <w:numPr>
          <w:ilvl w:val="0"/>
          <w:numId w:val="3"/>
        </w:numPr>
        <w:rPr>
          <w:b/>
          <w:color w:val="000000"/>
        </w:rPr>
      </w:pPr>
      <w:r w:rsidRPr="009918EE">
        <w:rPr>
          <w:b/>
          <w:color w:val="000000"/>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284C1A" w:rsidRPr="009918EE" w:rsidRDefault="00284C1A" w:rsidP="00E1495F">
      <w:pPr>
        <w:pStyle w:val="SingleTxtG"/>
        <w:numPr>
          <w:ilvl w:val="0"/>
          <w:numId w:val="3"/>
        </w:numPr>
        <w:rPr>
          <w:b/>
          <w:color w:val="000000"/>
        </w:rPr>
      </w:pPr>
      <w:r w:rsidRPr="009918EE">
        <w:rPr>
          <w:b/>
          <w:color w:val="000000"/>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284C1A" w:rsidRPr="009918EE" w:rsidRDefault="00284C1A" w:rsidP="00284C1A">
      <w:pPr>
        <w:pStyle w:val="SingleTxtG"/>
        <w:spacing w:before="240" w:after="0"/>
        <w:jc w:val="center"/>
        <w:rPr>
          <w:bCs/>
          <w:color w:val="000000"/>
          <w:u w:val="single"/>
        </w:rPr>
      </w:pPr>
      <w:r w:rsidRPr="009918EE">
        <w:rPr>
          <w:bCs/>
          <w:color w:val="000000"/>
          <w:u w:val="single"/>
        </w:rPr>
        <w:tab/>
      </w:r>
      <w:r w:rsidRPr="009918EE">
        <w:rPr>
          <w:bCs/>
          <w:color w:val="000000"/>
          <w:u w:val="single"/>
        </w:rPr>
        <w:tab/>
      </w:r>
      <w:r w:rsidRPr="009918EE">
        <w:rPr>
          <w:bCs/>
          <w:color w:val="000000"/>
          <w:u w:val="single"/>
        </w:rPr>
        <w:tab/>
      </w:r>
    </w:p>
    <w:sectPr w:rsidR="00284C1A" w:rsidRPr="009918EE" w:rsidSect="00772D0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77" w:rsidRDefault="001F0C77"/>
  </w:endnote>
  <w:endnote w:type="continuationSeparator" w:id="0">
    <w:p w:rsidR="001F0C77" w:rsidRDefault="001F0C77"/>
  </w:endnote>
  <w:endnote w:type="continuationNotice" w:id="1">
    <w:p w:rsidR="001F0C77" w:rsidRDefault="001F0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ongolian Baiti">
    <w:panose1 w:val="03000500000000000000"/>
    <w:charset w:val="00"/>
    <w:family w:val="script"/>
    <w:pitch w:val="variable"/>
    <w:sig w:usb0="80000023" w:usb1="00000000" w:usb2="0002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C77504" w:rsidRDefault="00C77504" w:rsidP="00C77504">
    <w:pPr>
      <w:pStyle w:val="ac"/>
      <w:tabs>
        <w:tab w:val="right" w:pos="9638"/>
      </w:tabs>
      <w:rPr>
        <w:b/>
        <w:sz w:val="18"/>
        <w:lang w:eastAsia="zh-CN"/>
      </w:rPr>
    </w:pPr>
    <w:r>
      <w:rPr>
        <w:rStyle w:val="ab"/>
      </w:rPr>
      <w:fldChar w:fldCharType="begin"/>
    </w:r>
    <w:r>
      <w:rPr>
        <w:rStyle w:val="ab"/>
      </w:rPr>
      <w:instrText xml:space="preserve"> PAGE  \* MERGEFORMAT </w:instrText>
    </w:r>
    <w:r>
      <w:rPr>
        <w:rStyle w:val="ab"/>
      </w:rPr>
      <w:fldChar w:fldCharType="separate"/>
    </w:r>
    <w:r w:rsidR="004740D5">
      <w:rPr>
        <w:rStyle w:val="ab"/>
        <w:noProof/>
      </w:rPr>
      <w:t>2</w:t>
    </w:r>
    <w:r>
      <w:rPr>
        <w:rStyle w:val="ab"/>
      </w:rPr>
      <w:fldChar w:fldCharType="end"/>
    </w:r>
    <w:r>
      <w:rPr>
        <w:rStyle w:val="ab"/>
      </w:rPr>
      <w:tab/>
    </w:r>
    <w:proofErr w:type="spellStart"/>
    <w:r w:rsidRPr="002F4EA7">
      <w:rPr>
        <w:rStyle w:val="ab"/>
        <w:b w:val="0"/>
        <w:snapToGrid w:val="0"/>
        <w:sz w:val="16"/>
      </w:rPr>
      <w:t>GE.15</w:t>
    </w:r>
    <w:proofErr w:type="spellEnd"/>
    <w:r w:rsidRPr="002F4EA7">
      <w:rPr>
        <w:rStyle w:val="ab"/>
        <w:b w:val="0"/>
        <w:snapToGrid w:val="0"/>
        <w:sz w:val="16"/>
      </w:rPr>
      <w:t>-11173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C77504" w:rsidRDefault="00C77504" w:rsidP="00C77504">
    <w:pPr>
      <w:pStyle w:val="ac"/>
      <w:tabs>
        <w:tab w:val="right" w:pos="9638"/>
      </w:tabs>
      <w:rPr>
        <w:b/>
        <w:sz w:val="18"/>
        <w:lang w:eastAsia="zh-CN"/>
      </w:rPr>
    </w:pPr>
    <w:proofErr w:type="spellStart"/>
    <w:r>
      <w:t>GE.15</w:t>
    </w:r>
    <w:proofErr w:type="spellEnd"/>
    <w:r>
      <w:t>-11173</w:t>
    </w:r>
    <w:r>
      <w:tab/>
    </w:r>
    <w:r>
      <w:rPr>
        <w:rStyle w:val="ab"/>
      </w:rPr>
      <w:fldChar w:fldCharType="begin"/>
    </w:r>
    <w:r>
      <w:rPr>
        <w:rStyle w:val="ab"/>
      </w:rPr>
      <w:instrText xml:space="preserve"> PAGE  \* MERGEFORMAT </w:instrText>
    </w:r>
    <w:r>
      <w:rPr>
        <w:rStyle w:val="ab"/>
      </w:rPr>
      <w:fldChar w:fldCharType="separate"/>
    </w:r>
    <w:r w:rsidR="004740D5">
      <w:rPr>
        <w:rStyle w:val="ab"/>
        <w:noProof/>
      </w:rPr>
      <w:t>3</w:t>
    </w:r>
    <w:r>
      <w:rPr>
        <w:rStyle w:val="a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781" w:rsidRPr="008B4347" w:rsidRDefault="007D6781" w:rsidP="007F5947">
    <w:pPr>
      <w:pStyle w:val="ac"/>
      <w:tabs>
        <w:tab w:val="left" w:pos="1701"/>
        <w:tab w:val="left" w:pos="2552"/>
        <w:tab w:val="left" w:pos="8448"/>
      </w:tabs>
      <w:spacing w:before="360"/>
      <w:rPr>
        <w:b/>
        <w:sz w:val="21"/>
        <w:lang w:eastAsia="zh-CN"/>
      </w:rPr>
    </w:pPr>
    <w:proofErr w:type="spellStart"/>
    <w:r>
      <w:rPr>
        <w:sz w:val="20"/>
        <w:lang w:eastAsia="zh-CN"/>
      </w:rPr>
      <w:t>GE.15</w:t>
    </w:r>
    <w:proofErr w:type="spellEnd"/>
    <w:r>
      <w:rPr>
        <w:sz w:val="20"/>
        <w:lang w:eastAsia="zh-CN"/>
      </w:rPr>
      <w:t>-11173</w:t>
    </w:r>
    <w:r w:rsidRPr="00EE277A">
      <w:rPr>
        <w:sz w:val="20"/>
        <w:lang w:eastAsia="zh-CN"/>
      </w:rPr>
      <w:t xml:space="preserve"> (C)</w:t>
    </w:r>
    <w:r>
      <w:rPr>
        <w:sz w:val="20"/>
        <w:lang w:eastAsia="zh-CN"/>
      </w:rPr>
      <w:tab/>
    </w:r>
    <w:r>
      <w:rPr>
        <w:rFonts w:hint="eastAsia"/>
        <w:sz w:val="20"/>
        <w:lang w:eastAsia="zh-CN"/>
      </w:rPr>
      <w:t>0406</w:t>
    </w:r>
    <w:r>
      <w:rPr>
        <w:sz w:val="20"/>
        <w:lang w:eastAsia="zh-CN"/>
      </w:rPr>
      <w:t>1</w:t>
    </w:r>
    <w:r>
      <w:rPr>
        <w:rFonts w:hint="eastAsia"/>
        <w:sz w:val="20"/>
        <w:lang w:eastAsia="zh-CN"/>
      </w:rPr>
      <w:t>5</w:t>
    </w:r>
    <w:r>
      <w:rPr>
        <w:sz w:val="20"/>
        <w:lang w:eastAsia="zh-CN"/>
      </w:rPr>
      <w:tab/>
    </w:r>
    <w:r>
      <w:rPr>
        <w:rFonts w:hint="eastAsia"/>
        <w:sz w:val="20"/>
        <w:lang w:eastAsia="zh-CN"/>
      </w:rPr>
      <w:t>0</w:t>
    </w:r>
    <w:r w:rsidR="007F5947">
      <w:rPr>
        <w:sz w:val="20"/>
        <w:lang w:eastAsia="zh-CN"/>
      </w:rPr>
      <w:t>4</w:t>
    </w:r>
    <w:r>
      <w:rPr>
        <w:rFonts w:hint="eastAsia"/>
        <w:sz w:val="20"/>
        <w:lang w:eastAsia="zh-CN"/>
      </w:rPr>
      <w:t>06</w:t>
    </w:r>
    <w:r>
      <w:rPr>
        <w:sz w:val="20"/>
        <w:lang w:eastAsia="zh-CN"/>
      </w:rPr>
      <w:t>1</w:t>
    </w:r>
    <w:r>
      <w:rPr>
        <w:rFonts w:hint="eastAsia"/>
        <w:sz w:val="20"/>
        <w:lang w:eastAsia="zh-CN"/>
      </w:rPr>
      <w:t>5</w:t>
    </w:r>
  </w:p>
  <w:p w:rsidR="007D6781" w:rsidRPr="007D6781" w:rsidRDefault="007D6781" w:rsidP="007D6781">
    <w:pPr>
      <w:pStyle w:val="ac"/>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1B285470" wp14:editId="753BFC7D">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29/28/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8/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19524345" wp14:editId="03EB6B4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77" w:rsidRPr="000B175B" w:rsidRDefault="001F0C77" w:rsidP="000B175B">
      <w:pPr>
        <w:tabs>
          <w:tab w:val="right" w:pos="2155"/>
        </w:tabs>
        <w:spacing w:after="80"/>
        <w:ind w:left="680"/>
        <w:rPr>
          <w:u w:val="single"/>
        </w:rPr>
      </w:pPr>
      <w:r>
        <w:rPr>
          <w:u w:val="single"/>
        </w:rPr>
        <w:tab/>
      </w:r>
    </w:p>
  </w:footnote>
  <w:footnote w:type="continuationSeparator" w:id="0">
    <w:p w:rsidR="001F0C77" w:rsidRPr="00FC68B7" w:rsidRDefault="001F0C77" w:rsidP="00FC68B7">
      <w:pPr>
        <w:tabs>
          <w:tab w:val="left" w:pos="2155"/>
        </w:tabs>
        <w:spacing w:after="80"/>
        <w:ind w:left="680"/>
        <w:rPr>
          <w:u w:val="single"/>
        </w:rPr>
      </w:pPr>
      <w:r>
        <w:rPr>
          <w:u w:val="single"/>
        </w:rPr>
        <w:tab/>
      </w:r>
    </w:p>
  </w:footnote>
  <w:footnote w:type="continuationNotice" w:id="1">
    <w:p w:rsidR="001F0C77" w:rsidRDefault="001F0C77"/>
  </w:footnote>
  <w:footnote w:id="2">
    <w:p w:rsidR="007D6781" w:rsidRDefault="007D6781" w:rsidP="007D6781">
      <w:pPr>
        <w:pStyle w:val="a9"/>
        <w:tabs>
          <w:tab w:val="clear" w:pos="1021"/>
          <w:tab w:val="right" w:pos="1020"/>
        </w:tabs>
        <w:spacing w:after="120"/>
      </w:pPr>
      <w:r w:rsidRPr="007D6781">
        <w:rPr>
          <w:rStyle w:val="a3"/>
          <w:sz w:val="21"/>
          <w:szCs w:val="21"/>
          <w:vertAlign w:val="baseline"/>
        </w:rPr>
        <w:tab/>
      </w:r>
      <w:r w:rsidRPr="00C77504">
        <w:rPr>
          <w:rStyle w:val="a3"/>
          <w:color w:val="0000FF"/>
          <w:sz w:val="21"/>
          <w:szCs w:val="21"/>
          <w:vertAlign w:val="baseline"/>
        </w:rPr>
        <w:t>*</w:t>
      </w:r>
      <w:r w:rsidRPr="007D6781">
        <w:rPr>
          <w:sz w:val="21"/>
          <w:szCs w:val="21"/>
        </w:rPr>
        <w:tab/>
      </w:r>
      <w:r>
        <w:rPr>
          <w:rFonts w:hint="eastAsia"/>
        </w:rPr>
        <w:t>本报告概要以所有正式语文分发。报告本身载于本概要的附件内，仅以原文分发。</w:t>
      </w:r>
    </w:p>
  </w:footnote>
  <w:footnote w:id="3">
    <w:p w:rsidR="007D6781" w:rsidRDefault="007D6781" w:rsidP="007D6781">
      <w:pPr>
        <w:pStyle w:val="a9"/>
        <w:tabs>
          <w:tab w:val="clear" w:pos="1021"/>
          <w:tab w:val="right" w:pos="1020"/>
        </w:tabs>
      </w:pPr>
      <w:r w:rsidRPr="007D6781">
        <w:rPr>
          <w:rStyle w:val="a3"/>
          <w:color w:val="0000FF"/>
          <w:sz w:val="21"/>
          <w:szCs w:val="21"/>
          <w:vertAlign w:val="baseline"/>
        </w:rPr>
        <w:tab/>
        <w:t>**</w:t>
      </w:r>
      <w:r w:rsidRPr="007D6781">
        <w:rPr>
          <w:color w:val="0000FF"/>
          <w:sz w:val="21"/>
          <w:szCs w:val="21"/>
        </w:rPr>
        <w:tab/>
      </w:r>
      <w:r>
        <w:rPr>
          <w:rFonts w:hint="eastAsia"/>
        </w:rPr>
        <w:t>迟交。</w:t>
      </w:r>
    </w:p>
  </w:footnote>
  <w:footnote w:id="4">
    <w:p w:rsidR="00284C1A" w:rsidRPr="00741271" w:rsidRDefault="00284C1A" w:rsidP="00284C1A">
      <w:pPr>
        <w:pStyle w:val="a9"/>
        <w:rPr>
          <w:szCs w:val="18"/>
        </w:rPr>
      </w:pPr>
      <w:r>
        <w:tab/>
      </w:r>
      <w:r>
        <w:rPr>
          <w:rStyle w:val="a3"/>
        </w:rPr>
        <w:footnoteRef/>
      </w:r>
      <w:r>
        <w:t xml:space="preserve"> </w:t>
      </w:r>
      <w:r>
        <w:tab/>
      </w:r>
      <w:proofErr w:type="gramStart"/>
      <w:r>
        <w:t>Submission of the Office of the United Nations High Commissioner for Refugees for the compilation report of the Office of the United Nations High Commissioner for Human Rights for the review of Azerbaijan during the sixteenth session of the universal periodic review.</w:t>
      </w:r>
      <w:proofErr w:type="gramEnd"/>
      <w:r>
        <w:t xml:space="preserve"> </w:t>
      </w:r>
    </w:p>
  </w:footnote>
  <w:footnote w:id="5">
    <w:p w:rsidR="00284C1A" w:rsidRDefault="00284C1A" w:rsidP="00284C1A">
      <w:pPr>
        <w:pStyle w:val="a9"/>
      </w:pPr>
      <w:r>
        <w:tab/>
      </w:r>
      <w:r>
        <w:rPr>
          <w:rStyle w:val="a3"/>
        </w:rPr>
        <w:footnoteRef/>
      </w:r>
      <w:r>
        <w:t xml:space="preserve"> </w:t>
      </w:r>
      <w:r>
        <w:tab/>
        <w:t xml:space="preserve">World Bank, </w:t>
      </w:r>
      <w:r w:rsidRPr="00764727">
        <w:rPr>
          <w:szCs w:val="18"/>
        </w:rPr>
        <w:t>Azerbaijan Partnership Program Snapshot</w:t>
      </w:r>
      <w:r>
        <w:rPr>
          <w:szCs w:val="18"/>
        </w:rPr>
        <w:t>,</w:t>
      </w:r>
      <w:r w:rsidRPr="00764727">
        <w:rPr>
          <w:szCs w:val="18"/>
        </w:rPr>
        <w:t xml:space="preserve"> </w:t>
      </w:r>
      <w:r>
        <w:rPr>
          <w:szCs w:val="18"/>
        </w:rPr>
        <w:t>April</w:t>
      </w:r>
      <w:r w:rsidRPr="00764727">
        <w:rPr>
          <w:szCs w:val="18"/>
        </w:rPr>
        <w:t xml:space="preserve"> 201</w:t>
      </w:r>
      <w:r>
        <w:rPr>
          <w:szCs w:val="18"/>
        </w:rPr>
        <w:t>5.</w:t>
      </w:r>
    </w:p>
  </w:footnote>
  <w:footnote w:id="6">
    <w:p w:rsidR="00284C1A" w:rsidRDefault="00284C1A" w:rsidP="00284C1A">
      <w:pPr>
        <w:pStyle w:val="a9"/>
      </w:pPr>
      <w:r>
        <w:tab/>
      </w:r>
      <w:r>
        <w:rPr>
          <w:rStyle w:val="a3"/>
        </w:rPr>
        <w:footnoteRef/>
      </w:r>
      <w:r>
        <w:t xml:space="preserve"> </w:t>
      </w:r>
      <w:r>
        <w:tab/>
      </w:r>
      <w:proofErr w:type="gramStart"/>
      <w:r>
        <w:t xml:space="preserve">United Nations Development </w:t>
      </w:r>
      <w:proofErr w:type="spellStart"/>
      <w:r>
        <w:t>Programme</w:t>
      </w:r>
      <w:proofErr w:type="spellEnd"/>
      <w:r>
        <w:t xml:space="preserve"> (</w:t>
      </w:r>
      <w:proofErr w:type="spellStart"/>
      <w:r>
        <w:t>UNDP</w:t>
      </w:r>
      <w:proofErr w:type="spellEnd"/>
      <w:r>
        <w:t xml:space="preserve">), “About Azerbaijan” (available at </w:t>
      </w:r>
      <w:proofErr w:type="spellStart"/>
      <w:r w:rsidRPr="0087716E">
        <w:t>www.az.undp.org</w:t>
      </w:r>
      <w:proofErr w:type="spellEnd"/>
      <w:r w:rsidRPr="0087716E">
        <w:t>/</w:t>
      </w:r>
      <w:r>
        <w:t>).</w:t>
      </w:r>
      <w:proofErr w:type="gramEnd"/>
    </w:p>
  </w:footnote>
  <w:footnote w:id="7">
    <w:p w:rsidR="00284C1A" w:rsidRDefault="00284C1A" w:rsidP="00284C1A">
      <w:pPr>
        <w:pStyle w:val="a9"/>
      </w:pPr>
      <w:r>
        <w:tab/>
      </w:r>
      <w:r>
        <w:rPr>
          <w:rStyle w:val="a3"/>
        </w:rPr>
        <w:footnoteRef/>
      </w:r>
      <w:r>
        <w:t xml:space="preserve"> </w:t>
      </w:r>
      <w:r>
        <w:tab/>
      </w:r>
      <w:proofErr w:type="gramStart"/>
      <w:r>
        <w:t xml:space="preserve">World Bank, data on Azerbaijan (available at </w:t>
      </w:r>
      <w:r w:rsidRPr="00192D38">
        <w:t>http://</w:t>
      </w:r>
      <w:proofErr w:type="spellStart"/>
      <w:r w:rsidRPr="00192D38">
        <w:t>data.worldbank.org</w:t>
      </w:r>
      <w:proofErr w:type="spellEnd"/>
      <w:r w:rsidRPr="00192D38">
        <w:t>/country/</w:t>
      </w:r>
      <w:proofErr w:type="spellStart"/>
      <w:r w:rsidRPr="00192D38">
        <w:t>azerbaijan</w:t>
      </w:r>
      <w:proofErr w:type="spellEnd"/>
      <w:r>
        <w:t>).</w:t>
      </w:r>
      <w:proofErr w:type="gramEnd"/>
    </w:p>
  </w:footnote>
  <w:footnote w:id="8">
    <w:p w:rsidR="00284C1A" w:rsidRDefault="00284C1A" w:rsidP="00284C1A">
      <w:pPr>
        <w:pStyle w:val="a9"/>
      </w:pPr>
      <w:r>
        <w:tab/>
      </w:r>
      <w:r>
        <w:rPr>
          <w:rStyle w:val="a3"/>
        </w:rPr>
        <w:footnoteRef/>
      </w:r>
      <w:r>
        <w:t xml:space="preserve"> </w:t>
      </w:r>
      <w:r>
        <w:tab/>
        <w:t xml:space="preserve">International </w:t>
      </w:r>
      <w:proofErr w:type="spellStart"/>
      <w:r>
        <w:t>Labour</w:t>
      </w:r>
      <w:proofErr w:type="spellEnd"/>
      <w:r>
        <w:t xml:space="preserve"> Organization (</w:t>
      </w:r>
      <w:proofErr w:type="spellStart"/>
      <w:r>
        <w:t>ILO</w:t>
      </w:r>
      <w:proofErr w:type="spellEnd"/>
      <w:r>
        <w:t xml:space="preserve">), Decent Work Country Profile: Azerbaijan, 2012. </w:t>
      </w:r>
    </w:p>
  </w:footnote>
  <w:footnote w:id="9">
    <w:p w:rsidR="00284C1A" w:rsidRPr="00FA5178" w:rsidRDefault="00284C1A" w:rsidP="00284C1A">
      <w:pPr>
        <w:pStyle w:val="a9"/>
        <w:rPr>
          <w:szCs w:val="18"/>
        </w:rPr>
      </w:pPr>
      <w:r>
        <w:tab/>
      </w:r>
      <w:r>
        <w:rPr>
          <w:rStyle w:val="a3"/>
        </w:rPr>
        <w:footnoteRef/>
      </w:r>
      <w:r>
        <w:t xml:space="preserve"> </w:t>
      </w:r>
      <w:r>
        <w:tab/>
        <w:t xml:space="preserve">World Bank, </w:t>
      </w:r>
      <w:r w:rsidRPr="00764727">
        <w:rPr>
          <w:szCs w:val="18"/>
        </w:rPr>
        <w:t>Azerbaijan Partnership Program Snapshot</w:t>
      </w:r>
      <w:r>
        <w:rPr>
          <w:szCs w:val="18"/>
        </w:rPr>
        <w:t xml:space="preserve"> (see footnote 2).</w:t>
      </w:r>
    </w:p>
  </w:footnote>
  <w:footnote w:id="10">
    <w:p w:rsidR="00284C1A" w:rsidRDefault="00284C1A" w:rsidP="00284C1A">
      <w:pPr>
        <w:pStyle w:val="a9"/>
      </w:pPr>
      <w:r>
        <w:tab/>
      </w:r>
      <w:r>
        <w:rPr>
          <w:rStyle w:val="a3"/>
        </w:rPr>
        <w:footnoteRef/>
      </w:r>
      <w:r>
        <w:t xml:space="preserve"> </w:t>
      </w:r>
      <w:r>
        <w:tab/>
      </w:r>
      <w:proofErr w:type="spellStart"/>
      <w:r>
        <w:t>ILO</w:t>
      </w:r>
      <w:proofErr w:type="spellEnd"/>
      <w:r>
        <w:t xml:space="preserve">, Decent Work Country Profile (see footnote 5). </w:t>
      </w:r>
    </w:p>
  </w:footnote>
  <w:footnote w:id="11">
    <w:p w:rsidR="00284C1A" w:rsidRDefault="00284C1A" w:rsidP="00284C1A">
      <w:pPr>
        <w:pStyle w:val="a9"/>
      </w:pPr>
      <w:r>
        <w:tab/>
      </w:r>
      <w:r>
        <w:rPr>
          <w:rStyle w:val="a3"/>
        </w:rPr>
        <w:footnoteRef/>
      </w:r>
      <w:r>
        <w:t xml:space="preserve"> </w:t>
      </w:r>
      <w:r>
        <w:tab/>
      </w:r>
      <w:proofErr w:type="gramStart"/>
      <w:r>
        <w:t>Ibid.</w:t>
      </w:r>
      <w:proofErr w:type="gramEnd"/>
      <w:r>
        <w:t xml:space="preserve"> </w:t>
      </w:r>
    </w:p>
  </w:footnote>
  <w:footnote w:id="12">
    <w:p w:rsidR="00284C1A" w:rsidRDefault="00284C1A" w:rsidP="00284C1A">
      <w:pPr>
        <w:pStyle w:val="a9"/>
      </w:pPr>
      <w:r>
        <w:tab/>
      </w:r>
      <w:r>
        <w:rPr>
          <w:rStyle w:val="a3"/>
        </w:rPr>
        <w:footnoteRef/>
      </w:r>
      <w:r>
        <w:t xml:space="preserve"> </w:t>
      </w:r>
      <w:r>
        <w:tab/>
        <w:t xml:space="preserve">World Bank, </w:t>
      </w:r>
      <w:r w:rsidRPr="00625EB8">
        <w:rPr>
          <w:szCs w:val="18"/>
        </w:rPr>
        <w:t>“</w:t>
      </w:r>
      <w:r w:rsidRPr="00764727">
        <w:rPr>
          <w:szCs w:val="18"/>
        </w:rPr>
        <w:t xml:space="preserve">Azerbaijan Partnership Program Snapshot” </w:t>
      </w:r>
      <w:r>
        <w:t>(see footnote 2).</w:t>
      </w:r>
    </w:p>
  </w:footnote>
  <w:footnote w:id="13">
    <w:p w:rsidR="00284C1A" w:rsidRDefault="00284C1A" w:rsidP="00284C1A">
      <w:pPr>
        <w:pStyle w:val="a9"/>
      </w:pPr>
      <w:r>
        <w:tab/>
      </w:r>
      <w:r>
        <w:rPr>
          <w:rStyle w:val="a3"/>
        </w:rPr>
        <w:footnoteRef/>
      </w:r>
      <w:r>
        <w:t xml:space="preserve"> </w:t>
      </w:r>
      <w:r>
        <w:tab/>
        <w:t>Azerbaijan is yet to ratify the International Convention for the Protection of All Persons from Enforced Disappearance, which it signed in 2007.</w:t>
      </w:r>
    </w:p>
  </w:footnote>
  <w:footnote w:id="14">
    <w:p w:rsidR="00284C1A" w:rsidRDefault="00284C1A" w:rsidP="00284C1A">
      <w:pPr>
        <w:pStyle w:val="a9"/>
      </w:pPr>
      <w:r>
        <w:tab/>
      </w:r>
      <w:r>
        <w:rPr>
          <w:rStyle w:val="a3"/>
        </w:rPr>
        <w:footnoteRef/>
      </w:r>
      <w:r>
        <w:t xml:space="preserve"> </w:t>
      </w:r>
      <w:r>
        <w:tab/>
        <w:t xml:space="preserve">Azerbaijan has signed but not ratified the Optional Protocol to the International Covenant on Economic, Social and Cultural Rights. It has also neither signed nor ratified the Optional Protocol to the Convention on the Rights of the Child on a communications procedure. </w:t>
      </w:r>
    </w:p>
  </w:footnote>
  <w:footnote w:id="15">
    <w:p w:rsidR="00284C1A" w:rsidRPr="00164EB8" w:rsidRDefault="003979F3" w:rsidP="00284C1A">
      <w:pPr>
        <w:pStyle w:val="a9"/>
      </w:pPr>
      <w:r>
        <w:tab/>
      </w:r>
      <w:r w:rsidR="00284C1A">
        <w:rPr>
          <w:rStyle w:val="a3"/>
        </w:rPr>
        <w:footnoteRef/>
      </w:r>
      <w:r>
        <w:tab/>
      </w:r>
      <w:proofErr w:type="gramStart"/>
      <w:r w:rsidR="00284C1A">
        <w:t xml:space="preserve">Constitution of the Republic of Azerbaijan, available at </w:t>
      </w:r>
      <w:r w:rsidR="00284C1A" w:rsidRPr="006D368C">
        <w:t>http://azerbaijan.az/portal/General/Constitution/doc/constitution_e.pdf</w:t>
      </w:r>
      <w:r w:rsidR="00284C1A">
        <w:t>.</w:t>
      </w:r>
      <w:proofErr w:type="gramEnd"/>
    </w:p>
  </w:footnote>
  <w:footnote w:id="16">
    <w:p w:rsidR="00284C1A" w:rsidRPr="00164EB8" w:rsidRDefault="003979F3" w:rsidP="00284C1A">
      <w:pPr>
        <w:pStyle w:val="a9"/>
      </w:pPr>
      <w:r>
        <w:tab/>
      </w:r>
      <w:r w:rsidR="00284C1A">
        <w:rPr>
          <w:rStyle w:val="a3"/>
        </w:rPr>
        <w:footnoteRef/>
      </w:r>
      <w:r>
        <w:tab/>
      </w:r>
      <w:r w:rsidR="00284C1A">
        <w:t xml:space="preserve">See </w:t>
      </w:r>
      <w:proofErr w:type="spellStart"/>
      <w:r w:rsidR="00284C1A" w:rsidRPr="00781C52">
        <w:t>www.president.az</w:t>
      </w:r>
      <w:proofErr w:type="spellEnd"/>
      <w:r w:rsidR="00284C1A" w:rsidRPr="00781C52">
        <w:t>/files/</w:t>
      </w:r>
      <w:proofErr w:type="spellStart"/>
      <w:r w:rsidR="00284C1A" w:rsidRPr="00781C52">
        <w:t>future_en.pdf</w:t>
      </w:r>
      <w:proofErr w:type="spellEnd"/>
      <w:r w:rsidR="00284C1A">
        <w:t>.</w:t>
      </w:r>
    </w:p>
  </w:footnote>
  <w:footnote w:id="17">
    <w:p w:rsidR="00284C1A" w:rsidRPr="00164EB8" w:rsidRDefault="003979F3" w:rsidP="00284C1A">
      <w:pPr>
        <w:pStyle w:val="a9"/>
      </w:pPr>
      <w:r>
        <w:tab/>
      </w:r>
      <w:r w:rsidR="00284C1A">
        <w:rPr>
          <w:rStyle w:val="a3"/>
        </w:rPr>
        <w:footnoteRef/>
      </w:r>
      <w:r>
        <w:tab/>
      </w:r>
      <w:r w:rsidR="00284C1A">
        <w:t>See</w:t>
      </w:r>
      <w:r w:rsidR="00284C1A" w:rsidRPr="00623A01">
        <w:t xml:space="preserve"> </w:t>
      </w:r>
      <w:r w:rsidR="00284C1A" w:rsidRPr="00D02643">
        <w:t>http://</w:t>
      </w:r>
      <w:proofErr w:type="spellStart"/>
      <w:r w:rsidR="00284C1A" w:rsidRPr="00D02643">
        <w:t>anfes.gov.az</w:t>
      </w:r>
      <w:proofErr w:type="spellEnd"/>
      <w:r w:rsidR="00284C1A" w:rsidRPr="00D02643">
        <w:t>/</w:t>
      </w:r>
      <w:proofErr w:type="spellStart"/>
      <w:r w:rsidR="00284C1A" w:rsidRPr="00D02643">
        <w:t>en</w:t>
      </w:r>
      <w:proofErr w:type="spellEnd"/>
      <w:r w:rsidR="00284C1A">
        <w:t>.</w:t>
      </w:r>
    </w:p>
  </w:footnote>
  <w:footnote w:id="18">
    <w:p w:rsidR="00284C1A" w:rsidRPr="00C22CAE" w:rsidRDefault="00284C1A" w:rsidP="00284C1A">
      <w:pPr>
        <w:pStyle w:val="a9"/>
        <w:rPr>
          <w:szCs w:val="18"/>
        </w:rPr>
      </w:pPr>
      <w:r w:rsidRPr="00164EB8">
        <w:rPr>
          <w:szCs w:val="18"/>
        </w:rPr>
        <w:tab/>
      </w:r>
      <w:r w:rsidRPr="00164EB8">
        <w:rPr>
          <w:szCs w:val="18"/>
        </w:rPr>
        <w:tab/>
      </w:r>
      <w:r w:rsidRPr="00BA32DE">
        <w:rPr>
          <w:rStyle w:val="a3"/>
          <w:szCs w:val="18"/>
        </w:rPr>
        <w:footnoteRef/>
      </w:r>
      <w:r w:rsidRPr="00BA32DE">
        <w:rPr>
          <w:szCs w:val="18"/>
        </w:rPr>
        <w:t xml:space="preserve"> </w:t>
      </w:r>
      <w:proofErr w:type="spellStart"/>
      <w:r>
        <w:rPr>
          <w:szCs w:val="18"/>
        </w:rPr>
        <w:t>OHCHR</w:t>
      </w:r>
      <w:proofErr w:type="spellEnd"/>
      <w:r>
        <w:rPr>
          <w:szCs w:val="18"/>
        </w:rPr>
        <w:t>,</w:t>
      </w:r>
      <w:r w:rsidRPr="00BA32DE">
        <w:rPr>
          <w:szCs w:val="18"/>
        </w:rPr>
        <w:t xml:space="preserve"> “</w:t>
      </w:r>
      <w:r w:rsidRPr="00BA32DE">
        <w:rPr>
          <w:color w:val="000000"/>
          <w:szCs w:val="18"/>
        </w:rPr>
        <w:t>Persecution of rights activists must stop – UN experts call on the Government of Azerbaijan”</w:t>
      </w:r>
      <w:r>
        <w:rPr>
          <w:color w:val="000000"/>
          <w:szCs w:val="18"/>
        </w:rPr>
        <w:t>,</w:t>
      </w:r>
      <w:r w:rsidRPr="00BA32DE">
        <w:rPr>
          <w:color w:val="000000"/>
          <w:szCs w:val="18"/>
        </w:rPr>
        <w:t xml:space="preserve"> </w:t>
      </w:r>
      <w:r>
        <w:rPr>
          <w:color w:val="000000"/>
          <w:szCs w:val="18"/>
        </w:rPr>
        <w:t>p</w:t>
      </w:r>
      <w:r w:rsidRPr="00BA32DE">
        <w:rPr>
          <w:szCs w:val="18"/>
        </w:rPr>
        <w:t>ress release</w:t>
      </w:r>
      <w:r>
        <w:rPr>
          <w:szCs w:val="18"/>
        </w:rPr>
        <w:t xml:space="preserve">, </w:t>
      </w:r>
      <w:r w:rsidRPr="00BA32DE">
        <w:rPr>
          <w:szCs w:val="18"/>
        </w:rPr>
        <w:t>19 August 2014</w:t>
      </w:r>
      <w:r>
        <w:rPr>
          <w:szCs w:val="18"/>
        </w:rPr>
        <w:t xml:space="preserve">. </w:t>
      </w:r>
    </w:p>
  </w:footnote>
  <w:footnote w:id="19">
    <w:p w:rsidR="00284C1A" w:rsidRPr="00D7684C" w:rsidRDefault="00284C1A" w:rsidP="00284C1A">
      <w:pPr>
        <w:pStyle w:val="a9"/>
      </w:pPr>
      <w:r>
        <w:tab/>
      </w:r>
      <w:r>
        <w:tab/>
      </w:r>
      <w:r>
        <w:rPr>
          <w:rStyle w:val="a3"/>
        </w:rPr>
        <w:footnoteRef/>
      </w:r>
      <w:r>
        <w:t xml:space="preserve"> Council of Europe,</w:t>
      </w:r>
      <w:r w:rsidRPr="00F531AE">
        <w:t xml:space="preserve"> </w:t>
      </w:r>
      <w:r>
        <w:t>“</w:t>
      </w:r>
      <w:r w:rsidRPr="00D7684C">
        <w:t>Azerbaijan: Stop reprisals against human rights defenders</w:t>
      </w:r>
      <w:r>
        <w:t>”,</w:t>
      </w:r>
      <w:r w:rsidRPr="00D7684C">
        <w:t xml:space="preserve"> </w:t>
      </w:r>
      <w:r>
        <w:t xml:space="preserve">press release, 24 October 2014. See also Third party intervention by the Council of Europe Commissioner for Human Rights under Article 36, paragraph 3, of the European Convention on Human Rights: Application No. 81553/12, </w:t>
      </w:r>
      <w:proofErr w:type="spellStart"/>
      <w:r w:rsidRPr="0099595D">
        <w:rPr>
          <w:i/>
        </w:rPr>
        <w:t>Hilal</w:t>
      </w:r>
      <w:proofErr w:type="spellEnd"/>
      <w:r w:rsidRPr="0099595D">
        <w:rPr>
          <w:i/>
        </w:rPr>
        <w:t xml:space="preserve"> </w:t>
      </w:r>
      <w:proofErr w:type="spellStart"/>
      <w:r w:rsidRPr="0099595D">
        <w:rPr>
          <w:i/>
        </w:rPr>
        <w:t>Mammadov</w:t>
      </w:r>
      <w:proofErr w:type="spellEnd"/>
      <w:r w:rsidRPr="0099595D">
        <w:rPr>
          <w:i/>
        </w:rPr>
        <w:t xml:space="preserve"> v. Azerbaijan</w:t>
      </w:r>
      <w:r>
        <w:t xml:space="preserve">, </w:t>
      </w:r>
      <w:proofErr w:type="spellStart"/>
      <w:r>
        <w:t>CommDH</w:t>
      </w:r>
      <w:proofErr w:type="spellEnd"/>
      <w:r>
        <w:t>(2015)5, 19 February 2015.</w:t>
      </w:r>
    </w:p>
  </w:footnote>
  <w:footnote w:id="20">
    <w:p w:rsidR="00284C1A" w:rsidRPr="0084397F" w:rsidRDefault="00284C1A" w:rsidP="00284C1A">
      <w:pPr>
        <w:pStyle w:val="a9"/>
      </w:pPr>
      <w:r>
        <w:tab/>
      </w:r>
      <w:r>
        <w:rPr>
          <w:rStyle w:val="a3"/>
        </w:rPr>
        <w:footnoteRef/>
      </w:r>
      <w:r>
        <w:t xml:space="preserve"> </w:t>
      </w:r>
      <w:r>
        <w:tab/>
        <w:t>Human Rights Watch, “Azerbaijan: Transparency Group Should Suspend Membership”, news release, 14 August 2014.</w:t>
      </w:r>
    </w:p>
  </w:footnote>
  <w:footnote w:id="21">
    <w:p w:rsidR="00284C1A" w:rsidRDefault="00284C1A" w:rsidP="003979F3">
      <w:pPr>
        <w:pStyle w:val="a9"/>
      </w:pPr>
      <w:r>
        <w:tab/>
      </w:r>
      <w:r>
        <w:rPr>
          <w:rStyle w:val="a3"/>
        </w:rPr>
        <w:footnoteRef/>
      </w:r>
      <w:r>
        <w:t xml:space="preserve"> </w:t>
      </w:r>
      <w:r>
        <w:tab/>
      </w:r>
      <w:proofErr w:type="spellStart"/>
      <w:r>
        <w:t>EITI</w:t>
      </w:r>
      <w:proofErr w:type="spellEnd"/>
      <w:r>
        <w:t xml:space="preserve">, </w:t>
      </w:r>
      <w:r w:rsidRPr="006D63C3">
        <w:t xml:space="preserve">28th </w:t>
      </w:r>
      <w:proofErr w:type="spellStart"/>
      <w:r w:rsidRPr="006D63C3">
        <w:t>EITI</w:t>
      </w:r>
      <w:proofErr w:type="spellEnd"/>
      <w:r w:rsidRPr="006D63C3">
        <w:t xml:space="preserve"> Board Meeting, </w:t>
      </w:r>
      <w:proofErr w:type="spellStart"/>
      <w:r w:rsidRPr="006D63C3">
        <w:t>Naypyitaw</w:t>
      </w:r>
      <w:proofErr w:type="spellEnd"/>
      <w:r w:rsidRPr="006D63C3">
        <w:t xml:space="preserve">, 14-15 October 2014, </w:t>
      </w:r>
      <w:r>
        <w:t xml:space="preserve">minutes. </w:t>
      </w:r>
    </w:p>
  </w:footnote>
  <w:footnote w:id="22">
    <w:p w:rsidR="00284C1A" w:rsidRPr="00164EB8" w:rsidRDefault="003979F3" w:rsidP="00284C1A">
      <w:pPr>
        <w:pStyle w:val="a9"/>
      </w:pPr>
      <w:r>
        <w:tab/>
      </w:r>
      <w:r w:rsidR="00284C1A">
        <w:rPr>
          <w:rStyle w:val="a3"/>
        </w:rPr>
        <w:footnoteRef/>
      </w:r>
      <w:r>
        <w:tab/>
      </w:r>
      <w:proofErr w:type="gramStart"/>
      <w:r w:rsidR="00284C1A">
        <w:t xml:space="preserve">Available at </w:t>
      </w:r>
      <w:r w:rsidR="00284C1A" w:rsidRPr="000A7A93">
        <w:t>www.uncitral.org/uncitral/en/uncitral_texts/procurement_infrastructure/2012Guide.html</w:t>
      </w:r>
      <w:r w:rsidR="00284C1A">
        <w:t>.</w:t>
      </w:r>
      <w:proofErr w:type="gramEnd"/>
    </w:p>
  </w:footnote>
  <w:footnote w:id="23">
    <w:p w:rsidR="00284C1A" w:rsidRPr="006163E4" w:rsidRDefault="00284C1A" w:rsidP="00284C1A">
      <w:pPr>
        <w:pStyle w:val="a9"/>
      </w:pPr>
      <w:r>
        <w:tab/>
      </w:r>
      <w:r>
        <w:rPr>
          <w:rStyle w:val="a3"/>
        </w:rPr>
        <w:footnoteRef/>
      </w:r>
      <w:r>
        <w:t xml:space="preserve"> </w:t>
      </w:r>
      <w:r>
        <w:tab/>
      </w:r>
      <w:r w:rsidRPr="006163E4">
        <w:t xml:space="preserve">Global Witness, </w:t>
      </w:r>
      <w:r w:rsidRPr="00164EB8">
        <w:rPr>
          <w:i/>
        </w:rPr>
        <w:t>Azerbaijan Anonymous: Azerbaijan’s state oil company and why the extractive industries transparency initiative needs to go further</w:t>
      </w:r>
      <w:r w:rsidRPr="006163E4">
        <w:t xml:space="preserve">, </w:t>
      </w:r>
      <w:r>
        <w:t xml:space="preserve">December 2013. In its public response, </w:t>
      </w:r>
      <w:proofErr w:type="spellStart"/>
      <w:r>
        <w:t>SOCAR</w:t>
      </w:r>
      <w:proofErr w:type="spellEnd"/>
      <w:r>
        <w:t xml:space="preserve"> refuted the information provided in the report by Global Witness as biased and based on inaccurate data; see </w:t>
      </w:r>
      <w:proofErr w:type="spellStart"/>
      <w:r>
        <w:t>News.Az</w:t>
      </w:r>
      <w:proofErr w:type="spellEnd"/>
      <w:r>
        <w:t>, “</w:t>
      </w:r>
      <w:proofErr w:type="spellStart"/>
      <w:r>
        <w:t>SOCAR</w:t>
      </w:r>
      <w:proofErr w:type="spellEnd"/>
      <w:r>
        <w:t xml:space="preserve"> issues statement on report ‘Azerbaijan Anonymous’ by Global Witness”, 14 December 2013. </w:t>
      </w:r>
    </w:p>
  </w:footnote>
  <w:footnote w:id="24">
    <w:p w:rsidR="00284C1A" w:rsidRDefault="00284C1A" w:rsidP="00284C1A">
      <w:pPr>
        <w:pStyle w:val="a9"/>
      </w:pPr>
      <w:r>
        <w:tab/>
      </w:r>
      <w:r>
        <w:rPr>
          <w:rStyle w:val="a3"/>
        </w:rPr>
        <w:footnoteRef/>
      </w:r>
      <w:r>
        <w:t xml:space="preserve"> </w:t>
      </w:r>
      <w:r>
        <w:tab/>
        <w:t xml:space="preserve">Human Rights Watch, </w:t>
      </w:r>
      <w:r>
        <w:rPr>
          <w:i/>
        </w:rPr>
        <w:t>”</w:t>
      </w:r>
      <w:r w:rsidRPr="00164EB8">
        <w:rPr>
          <w:i/>
        </w:rPr>
        <w:t>They Took Everything From Me</w:t>
      </w:r>
      <w:r>
        <w:rPr>
          <w:i/>
        </w:rPr>
        <w:t>”</w:t>
      </w:r>
      <w:r w:rsidRPr="00164EB8">
        <w:rPr>
          <w:i/>
        </w:rPr>
        <w:t>: Forced Evictions, Unlawful Expropriations, and House Demolitions in Azerbaijan’s Capital</w:t>
      </w:r>
      <w:r>
        <w:t xml:space="preserve">, February 2012 </w:t>
      </w:r>
    </w:p>
  </w:footnote>
  <w:footnote w:id="25">
    <w:p w:rsidR="00284C1A" w:rsidRPr="00E35FB9" w:rsidRDefault="00284C1A" w:rsidP="00284C1A">
      <w:pPr>
        <w:pStyle w:val="a9"/>
      </w:pPr>
      <w:r>
        <w:tab/>
      </w:r>
      <w:r>
        <w:rPr>
          <w:rStyle w:val="a3"/>
        </w:rPr>
        <w:footnoteRef/>
      </w:r>
      <w:r>
        <w:t xml:space="preserve"> </w:t>
      </w:r>
      <w:r>
        <w:tab/>
      </w:r>
      <w:r w:rsidRPr="001869C7">
        <w:rPr>
          <w:color w:val="000000"/>
          <w:lang w:eastAsia="en-GB"/>
        </w:rPr>
        <w:t>Direct Request (</w:t>
      </w:r>
      <w:proofErr w:type="spellStart"/>
      <w:r w:rsidRPr="001869C7">
        <w:rPr>
          <w:color w:val="000000"/>
          <w:lang w:eastAsia="en-GB"/>
        </w:rPr>
        <w:t>CEACR</w:t>
      </w:r>
      <w:proofErr w:type="spellEnd"/>
      <w:r w:rsidRPr="001869C7">
        <w:rPr>
          <w:color w:val="000000"/>
          <w:lang w:eastAsia="en-GB"/>
        </w:rPr>
        <w:t xml:space="preserve">) </w:t>
      </w:r>
      <w:r>
        <w:rPr>
          <w:color w:val="000000"/>
          <w:lang w:eastAsia="en-GB"/>
        </w:rPr>
        <w:t>–</w:t>
      </w:r>
      <w:r w:rsidRPr="001869C7">
        <w:rPr>
          <w:color w:val="000000"/>
          <w:lang w:eastAsia="en-GB"/>
        </w:rPr>
        <w:t xml:space="preserve"> adopted 2011, published 101st </w:t>
      </w:r>
      <w:proofErr w:type="spellStart"/>
      <w:r w:rsidRPr="001869C7">
        <w:rPr>
          <w:color w:val="000000"/>
          <w:lang w:eastAsia="en-GB"/>
        </w:rPr>
        <w:t>ILC</w:t>
      </w:r>
      <w:proofErr w:type="spellEnd"/>
      <w:r w:rsidRPr="001869C7">
        <w:rPr>
          <w:color w:val="000000"/>
          <w:lang w:eastAsia="en-GB"/>
        </w:rPr>
        <w:t xml:space="preserve"> session (2012)</w:t>
      </w:r>
      <w:r w:rsidRPr="00BB122A">
        <w:rPr>
          <w:color w:val="000000"/>
          <w:lang w:eastAsia="en-GB"/>
        </w:rPr>
        <w:t xml:space="preserve"> concerning the Minimum Wage Fixing Convention, 1970 (No. 131)</w:t>
      </w:r>
      <w:r>
        <w:rPr>
          <w:color w:val="000000"/>
          <w:lang w:eastAsia="en-GB"/>
        </w:rPr>
        <w:t xml:space="preserve"> – Azerbaijan.</w:t>
      </w:r>
    </w:p>
  </w:footnote>
  <w:footnote w:id="26">
    <w:p w:rsidR="00284C1A" w:rsidRPr="00E35FB9" w:rsidRDefault="00284C1A" w:rsidP="00284C1A">
      <w:pPr>
        <w:pStyle w:val="a9"/>
      </w:pPr>
      <w:r>
        <w:tab/>
      </w:r>
      <w:r>
        <w:rPr>
          <w:rStyle w:val="a3"/>
        </w:rPr>
        <w:footnoteRef/>
      </w:r>
      <w:r>
        <w:t xml:space="preserve"> </w:t>
      </w:r>
      <w:r>
        <w:tab/>
        <w:t xml:space="preserve">State Statistical Committee of Azerbaijan and </w:t>
      </w:r>
      <w:proofErr w:type="spellStart"/>
      <w:r>
        <w:t>ILO-IPEC</w:t>
      </w:r>
      <w:proofErr w:type="spellEnd"/>
      <w:r>
        <w:t xml:space="preserve">, </w:t>
      </w:r>
      <w:r w:rsidRPr="00164EB8">
        <w:rPr>
          <w:i/>
        </w:rPr>
        <w:t xml:space="preserve">Working children in Azerbaijan: The analysis of child </w:t>
      </w:r>
      <w:proofErr w:type="spellStart"/>
      <w:r w:rsidRPr="00164EB8">
        <w:rPr>
          <w:i/>
        </w:rPr>
        <w:t>labour</w:t>
      </w:r>
      <w:proofErr w:type="spellEnd"/>
      <w:r w:rsidRPr="00164EB8">
        <w:rPr>
          <w:i/>
        </w:rPr>
        <w:t xml:space="preserve"> and laboring children surveys</w:t>
      </w:r>
      <w:r>
        <w:t>, 2005.</w:t>
      </w:r>
    </w:p>
  </w:footnote>
  <w:footnote w:id="27">
    <w:p w:rsidR="00284C1A" w:rsidRPr="003D6E5B" w:rsidRDefault="00284C1A" w:rsidP="00284C1A">
      <w:pPr>
        <w:pStyle w:val="a9"/>
      </w:pPr>
      <w:r>
        <w:tab/>
      </w:r>
      <w:r>
        <w:rPr>
          <w:rStyle w:val="a3"/>
        </w:rPr>
        <w:footnoteRef/>
      </w:r>
      <w:r>
        <w:t xml:space="preserve"> </w:t>
      </w:r>
      <w:r>
        <w:tab/>
      </w:r>
      <w:proofErr w:type="spellStart"/>
      <w:r w:rsidRPr="003D6E5B">
        <w:t>ILO</w:t>
      </w:r>
      <w:proofErr w:type="spellEnd"/>
      <w:r w:rsidRPr="003D6E5B">
        <w:t>, Decent Work Country Profile</w:t>
      </w:r>
      <w:r>
        <w:t>:</w:t>
      </w:r>
      <w:r w:rsidRPr="003D6E5B">
        <w:t xml:space="preserve"> Azerbaijan</w:t>
      </w:r>
      <w:r>
        <w:t>, 2012</w:t>
      </w:r>
      <w:r w:rsidRPr="003D6E5B">
        <w:t xml:space="preserve">, p. </w:t>
      </w:r>
      <w:r>
        <w:t>33.</w:t>
      </w:r>
      <w:r w:rsidRPr="00B92078">
        <w:rPr>
          <w:color w:val="000000"/>
          <w:lang w:eastAsia="en-GB"/>
        </w:rPr>
        <w:t xml:space="preserve"> </w:t>
      </w:r>
    </w:p>
  </w:footnote>
  <w:footnote w:id="28">
    <w:p w:rsidR="00284C1A" w:rsidRPr="00ED4E3B" w:rsidRDefault="00284C1A" w:rsidP="00284C1A">
      <w:pPr>
        <w:pStyle w:val="a9"/>
        <w:rPr>
          <w:lang w:val="en"/>
        </w:rPr>
      </w:pPr>
      <w:r>
        <w:tab/>
      </w:r>
      <w:r>
        <w:rPr>
          <w:rStyle w:val="a3"/>
        </w:rPr>
        <w:footnoteRef/>
      </w:r>
      <w:r>
        <w:t xml:space="preserve"> </w:t>
      </w:r>
      <w:r>
        <w:tab/>
        <w:t>Observation (</w:t>
      </w:r>
      <w:proofErr w:type="spellStart"/>
      <w:r>
        <w:t>CEACR</w:t>
      </w:r>
      <w:proofErr w:type="spellEnd"/>
      <w:r>
        <w:t xml:space="preserve">) – adopted 2013, published 103rd </w:t>
      </w:r>
      <w:proofErr w:type="spellStart"/>
      <w:r>
        <w:t>ILC</w:t>
      </w:r>
      <w:proofErr w:type="spellEnd"/>
      <w:r>
        <w:t xml:space="preserve"> session (2014), Right to </w:t>
      </w:r>
      <w:proofErr w:type="spellStart"/>
      <w:r>
        <w:t>Organise</w:t>
      </w:r>
      <w:proofErr w:type="spellEnd"/>
      <w:r>
        <w:t xml:space="preserve"> and Collective Bargaining Convention, 1949 (No. 98) – Azerbaijan.</w:t>
      </w:r>
    </w:p>
  </w:footnote>
  <w:footnote w:id="29">
    <w:p w:rsidR="00284C1A" w:rsidRPr="00815F99" w:rsidRDefault="00284C1A" w:rsidP="00284C1A">
      <w:pPr>
        <w:pStyle w:val="a9"/>
      </w:pPr>
      <w:r>
        <w:tab/>
      </w:r>
      <w:r>
        <w:rPr>
          <w:rStyle w:val="a3"/>
        </w:rPr>
        <w:footnoteRef/>
      </w:r>
      <w:r>
        <w:t xml:space="preserve"> </w:t>
      </w:r>
      <w:r>
        <w:tab/>
      </w:r>
      <w:proofErr w:type="gramStart"/>
      <w:r>
        <w:t>Ibid.</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284C1A" w:rsidRDefault="00284C1A">
    <w:pPr>
      <w:pStyle w:val="a5"/>
      <w:rPr>
        <w:lang w:val="en-GB"/>
      </w:rPr>
    </w:pPr>
    <w:r>
      <w:t>A/</w:t>
    </w:r>
    <w:proofErr w:type="spellStart"/>
    <w:r>
      <w:t>HRC</w:t>
    </w:r>
    <w:proofErr w:type="spellEnd"/>
    <w:r>
      <w:t>/29/28/</w:t>
    </w:r>
    <w:proofErr w:type="spellStart"/>
    <w:r>
      <w:t>Add.</w:t>
    </w:r>
    <w:r>
      <w:rPr>
        <w:lang w:val="en-GB"/>
      </w:rPr>
      <w:t>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284C1A" w:rsidRDefault="00284C1A" w:rsidP="000315ED">
    <w:pPr>
      <w:pStyle w:val="a5"/>
      <w:jc w:val="right"/>
      <w:rPr>
        <w:lang w:val="en-GB"/>
      </w:rPr>
    </w:pPr>
    <w:r>
      <w:t>A/</w:t>
    </w:r>
    <w:proofErr w:type="spellStart"/>
    <w:r>
      <w:t>HRC</w:t>
    </w:r>
    <w:proofErr w:type="spellEnd"/>
    <w:r>
      <w:t>/29/28/</w:t>
    </w:r>
    <w:proofErr w:type="spellStart"/>
    <w:r>
      <w:t>Add.</w:t>
    </w:r>
    <w:r>
      <w:rPr>
        <w:lang w:val="en-GB"/>
      </w:rPr>
      <w:t>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
    <w:nsid w:val="08D038F3"/>
    <w:multiLevelType w:val="hybridMultilevel"/>
    <w:tmpl w:val="36F82944"/>
    <w:lvl w:ilvl="0" w:tplc="EB222DB4">
      <w:start w:val="1"/>
      <w:numFmt w:val="decimal"/>
      <w:lvlText w:val="%1."/>
      <w:lvlJc w:val="left"/>
      <w:pPr>
        <w:tabs>
          <w:tab w:val="num" w:pos="1702"/>
        </w:tabs>
        <w:ind w:left="1135" w:firstLine="0"/>
      </w:pPr>
      <w:rPr>
        <w:rFonts w:ascii="Times New Roman" w:hAnsi="Times New Roman" w:cs="Times New Roman" w:hint="default"/>
        <w:b w:val="0"/>
        <w:bCs/>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0A7F4D79"/>
    <w:multiLevelType w:val="hybridMultilevel"/>
    <w:tmpl w:val="2A066C2A"/>
    <w:lvl w:ilvl="0" w:tplc="12B2837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nsid w:val="0E43562E"/>
    <w:multiLevelType w:val="hybridMultilevel"/>
    <w:tmpl w:val="663ED9FA"/>
    <w:lvl w:ilvl="0" w:tplc="ABB4BC4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
    <w:nsid w:val="5A094E76"/>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7931976"/>
    <w:multiLevelType w:val="hybridMultilevel"/>
    <w:tmpl w:val="A79EFAD4"/>
    <w:lvl w:ilvl="0" w:tplc="9A483F8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0"/>
  </w:num>
  <w:num w:numId="2">
    <w:abstractNumId w:val="8"/>
  </w:num>
  <w:num w:numId="3">
    <w:abstractNumId w:val="2"/>
  </w:num>
  <w:num w:numId="4">
    <w:abstractNumId w:val="6"/>
  </w:num>
  <w:num w:numId="5">
    <w:abstractNumId w:val="10"/>
  </w:num>
  <w:num w:numId="6">
    <w:abstractNumId w:val="1"/>
  </w:num>
  <w:num w:numId="7">
    <w:abstractNumId w:val="5"/>
  </w:num>
  <w:num w:numId="8">
    <w:abstractNumId w:val="3"/>
  </w:num>
  <w:num w:numId="9">
    <w:abstractNumId w:val="9"/>
  </w:num>
  <w:num w:numId="10">
    <w:abstractNumId w:val="4"/>
  </w:num>
  <w:num w:numId="1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zh-CN" w:vendorID="64" w:dllVersion="131077"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5ED"/>
    <w:rsid w:val="00001F80"/>
    <w:rsid w:val="000024A0"/>
    <w:rsid w:val="00007F7F"/>
    <w:rsid w:val="00022DB5"/>
    <w:rsid w:val="000315ED"/>
    <w:rsid w:val="000403D1"/>
    <w:rsid w:val="000449AA"/>
    <w:rsid w:val="00050F6B"/>
    <w:rsid w:val="000722B8"/>
    <w:rsid w:val="00072911"/>
    <w:rsid w:val="00072C8C"/>
    <w:rsid w:val="00073E70"/>
    <w:rsid w:val="00075E87"/>
    <w:rsid w:val="00084098"/>
    <w:rsid w:val="000876EB"/>
    <w:rsid w:val="00091419"/>
    <w:rsid w:val="000931C0"/>
    <w:rsid w:val="00095F87"/>
    <w:rsid w:val="000A617E"/>
    <w:rsid w:val="000A7F43"/>
    <w:rsid w:val="000B175B"/>
    <w:rsid w:val="000B3A0F"/>
    <w:rsid w:val="000B4A3B"/>
    <w:rsid w:val="000D1851"/>
    <w:rsid w:val="000D5129"/>
    <w:rsid w:val="000E0415"/>
    <w:rsid w:val="000F0E9E"/>
    <w:rsid w:val="000F7110"/>
    <w:rsid w:val="000F71BA"/>
    <w:rsid w:val="00133D26"/>
    <w:rsid w:val="00146B06"/>
    <w:rsid w:val="00146D32"/>
    <w:rsid w:val="001509BA"/>
    <w:rsid w:val="00161782"/>
    <w:rsid w:val="001809D1"/>
    <w:rsid w:val="001A1CF6"/>
    <w:rsid w:val="001A376C"/>
    <w:rsid w:val="001B0E95"/>
    <w:rsid w:val="001B17A1"/>
    <w:rsid w:val="001B4B04"/>
    <w:rsid w:val="001B77CB"/>
    <w:rsid w:val="001C2430"/>
    <w:rsid w:val="001C6663"/>
    <w:rsid w:val="001C7895"/>
    <w:rsid w:val="001D26DF"/>
    <w:rsid w:val="001D4B10"/>
    <w:rsid w:val="001E1C19"/>
    <w:rsid w:val="001E2790"/>
    <w:rsid w:val="001E7D86"/>
    <w:rsid w:val="001F0C77"/>
    <w:rsid w:val="001F1849"/>
    <w:rsid w:val="001F7CB1"/>
    <w:rsid w:val="00211E0B"/>
    <w:rsid w:val="00211E72"/>
    <w:rsid w:val="00214047"/>
    <w:rsid w:val="00216E21"/>
    <w:rsid w:val="0021728C"/>
    <w:rsid w:val="0021742F"/>
    <w:rsid w:val="0022130F"/>
    <w:rsid w:val="00233040"/>
    <w:rsid w:val="00237785"/>
    <w:rsid w:val="0023788C"/>
    <w:rsid w:val="002410DD"/>
    <w:rsid w:val="00241466"/>
    <w:rsid w:val="00253D58"/>
    <w:rsid w:val="002610E3"/>
    <w:rsid w:val="0027725F"/>
    <w:rsid w:val="00277D15"/>
    <w:rsid w:val="00280EAF"/>
    <w:rsid w:val="00284C1A"/>
    <w:rsid w:val="002878CB"/>
    <w:rsid w:val="00287DBD"/>
    <w:rsid w:val="00293AB1"/>
    <w:rsid w:val="002A2242"/>
    <w:rsid w:val="002B1486"/>
    <w:rsid w:val="002C21F0"/>
    <w:rsid w:val="002D2E15"/>
    <w:rsid w:val="002E5ABB"/>
    <w:rsid w:val="002E5E78"/>
    <w:rsid w:val="002F3FFD"/>
    <w:rsid w:val="00301EA6"/>
    <w:rsid w:val="003107FA"/>
    <w:rsid w:val="003133C1"/>
    <w:rsid w:val="00317977"/>
    <w:rsid w:val="003229D8"/>
    <w:rsid w:val="003314D1"/>
    <w:rsid w:val="00335A2F"/>
    <w:rsid w:val="00341937"/>
    <w:rsid w:val="00344EB7"/>
    <w:rsid w:val="003645D6"/>
    <w:rsid w:val="00376822"/>
    <w:rsid w:val="00391AB8"/>
    <w:rsid w:val="0039277A"/>
    <w:rsid w:val="003972E0"/>
    <w:rsid w:val="003975ED"/>
    <w:rsid w:val="003979F3"/>
    <w:rsid w:val="003A3987"/>
    <w:rsid w:val="003A4480"/>
    <w:rsid w:val="003A7BBC"/>
    <w:rsid w:val="003B47C0"/>
    <w:rsid w:val="003C2CC4"/>
    <w:rsid w:val="003D3645"/>
    <w:rsid w:val="003D4B23"/>
    <w:rsid w:val="003E0DC7"/>
    <w:rsid w:val="003E1A40"/>
    <w:rsid w:val="003E66C1"/>
    <w:rsid w:val="00422AA4"/>
    <w:rsid w:val="00424062"/>
    <w:rsid w:val="00424C80"/>
    <w:rsid w:val="004304A8"/>
    <w:rsid w:val="004325CB"/>
    <w:rsid w:val="0044503A"/>
    <w:rsid w:val="00446DE4"/>
    <w:rsid w:val="00447761"/>
    <w:rsid w:val="00451EC3"/>
    <w:rsid w:val="004721B1"/>
    <w:rsid w:val="00472C0D"/>
    <w:rsid w:val="004740D5"/>
    <w:rsid w:val="004748EE"/>
    <w:rsid w:val="004749D9"/>
    <w:rsid w:val="00474A26"/>
    <w:rsid w:val="004859EC"/>
    <w:rsid w:val="00496A15"/>
    <w:rsid w:val="004B5386"/>
    <w:rsid w:val="004B75D2"/>
    <w:rsid w:val="004D1140"/>
    <w:rsid w:val="004D3F5E"/>
    <w:rsid w:val="004E2463"/>
    <w:rsid w:val="004F4FF1"/>
    <w:rsid w:val="004F55ED"/>
    <w:rsid w:val="00506872"/>
    <w:rsid w:val="005078B0"/>
    <w:rsid w:val="005135E6"/>
    <w:rsid w:val="00514B92"/>
    <w:rsid w:val="0052176C"/>
    <w:rsid w:val="005261E5"/>
    <w:rsid w:val="00531207"/>
    <w:rsid w:val="00533CED"/>
    <w:rsid w:val="005378C6"/>
    <w:rsid w:val="00540891"/>
    <w:rsid w:val="005420F2"/>
    <w:rsid w:val="00542574"/>
    <w:rsid w:val="005436AB"/>
    <w:rsid w:val="00546DBF"/>
    <w:rsid w:val="00553D76"/>
    <w:rsid w:val="005552B5"/>
    <w:rsid w:val="0056117B"/>
    <w:rsid w:val="00567AE3"/>
    <w:rsid w:val="005708AB"/>
    <w:rsid w:val="00571365"/>
    <w:rsid w:val="005810F9"/>
    <w:rsid w:val="00582F43"/>
    <w:rsid w:val="0059319D"/>
    <w:rsid w:val="005B3DB3"/>
    <w:rsid w:val="005B6AF1"/>
    <w:rsid w:val="005B6E48"/>
    <w:rsid w:val="005C0092"/>
    <w:rsid w:val="005C05D7"/>
    <w:rsid w:val="005D0FC2"/>
    <w:rsid w:val="005E09AB"/>
    <w:rsid w:val="005E1712"/>
    <w:rsid w:val="00606253"/>
    <w:rsid w:val="00606310"/>
    <w:rsid w:val="00611FC4"/>
    <w:rsid w:val="006176FB"/>
    <w:rsid w:val="00640B26"/>
    <w:rsid w:val="00641BBD"/>
    <w:rsid w:val="006523C8"/>
    <w:rsid w:val="006524C7"/>
    <w:rsid w:val="0066086B"/>
    <w:rsid w:val="00670741"/>
    <w:rsid w:val="00681E68"/>
    <w:rsid w:val="00692125"/>
    <w:rsid w:val="00695B8C"/>
    <w:rsid w:val="00696BD6"/>
    <w:rsid w:val="006A2CB4"/>
    <w:rsid w:val="006A4DC5"/>
    <w:rsid w:val="006A6B9D"/>
    <w:rsid w:val="006A7392"/>
    <w:rsid w:val="006B2648"/>
    <w:rsid w:val="006B3189"/>
    <w:rsid w:val="006B7D65"/>
    <w:rsid w:val="006C3E53"/>
    <w:rsid w:val="006D23C3"/>
    <w:rsid w:val="006D4B03"/>
    <w:rsid w:val="006D4D48"/>
    <w:rsid w:val="006D6601"/>
    <w:rsid w:val="006D6DA6"/>
    <w:rsid w:val="006E564B"/>
    <w:rsid w:val="006E5EF0"/>
    <w:rsid w:val="006F13F0"/>
    <w:rsid w:val="006F5035"/>
    <w:rsid w:val="006F7C72"/>
    <w:rsid w:val="0070229C"/>
    <w:rsid w:val="007065EB"/>
    <w:rsid w:val="00716853"/>
    <w:rsid w:val="00716AEA"/>
    <w:rsid w:val="00720183"/>
    <w:rsid w:val="007252B9"/>
    <w:rsid w:val="00725D86"/>
    <w:rsid w:val="0072632A"/>
    <w:rsid w:val="0074200B"/>
    <w:rsid w:val="0075649B"/>
    <w:rsid w:val="007629DD"/>
    <w:rsid w:val="007648F5"/>
    <w:rsid w:val="007654E3"/>
    <w:rsid w:val="007701CE"/>
    <w:rsid w:val="00772D09"/>
    <w:rsid w:val="0078004F"/>
    <w:rsid w:val="007A2FC8"/>
    <w:rsid w:val="007A37CB"/>
    <w:rsid w:val="007A6296"/>
    <w:rsid w:val="007B3555"/>
    <w:rsid w:val="007B3F8B"/>
    <w:rsid w:val="007B6BA5"/>
    <w:rsid w:val="007C0FB5"/>
    <w:rsid w:val="007C1B62"/>
    <w:rsid w:val="007C3390"/>
    <w:rsid w:val="007C4F4B"/>
    <w:rsid w:val="007D2CDC"/>
    <w:rsid w:val="007D5327"/>
    <w:rsid w:val="007D6781"/>
    <w:rsid w:val="007E422C"/>
    <w:rsid w:val="007F5947"/>
    <w:rsid w:val="007F6611"/>
    <w:rsid w:val="00804E99"/>
    <w:rsid w:val="00807473"/>
    <w:rsid w:val="008155C3"/>
    <w:rsid w:val="00815D78"/>
    <w:rsid w:val="008175E9"/>
    <w:rsid w:val="0082243E"/>
    <w:rsid w:val="00822C1B"/>
    <w:rsid w:val="008242D7"/>
    <w:rsid w:val="00831D59"/>
    <w:rsid w:val="0083649B"/>
    <w:rsid w:val="00845B96"/>
    <w:rsid w:val="0084644C"/>
    <w:rsid w:val="00856CD2"/>
    <w:rsid w:val="00861BC6"/>
    <w:rsid w:val="00871FD5"/>
    <w:rsid w:val="008739F0"/>
    <w:rsid w:val="00876F1F"/>
    <w:rsid w:val="008979B1"/>
    <w:rsid w:val="008A6B25"/>
    <w:rsid w:val="008A6C4F"/>
    <w:rsid w:val="008B6788"/>
    <w:rsid w:val="008C1E4D"/>
    <w:rsid w:val="008C5447"/>
    <w:rsid w:val="008E0E46"/>
    <w:rsid w:val="008E626B"/>
    <w:rsid w:val="008E7818"/>
    <w:rsid w:val="0090452C"/>
    <w:rsid w:val="00907C3F"/>
    <w:rsid w:val="009158E8"/>
    <w:rsid w:val="0092237C"/>
    <w:rsid w:val="0093707B"/>
    <w:rsid w:val="00937FFD"/>
    <w:rsid w:val="009400EB"/>
    <w:rsid w:val="009427E3"/>
    <w:rsid w:val="00956A2A"/>
    <w:rsid w:val="00956D9B"/>
    <w:rsid w:val="00961415"/>
    <w:rsid w:val="00963CBA"/>
    <w:rsid w:val="009654B7"/>
    <w:rsid w:val="0097035B"/>
    <w:rsid w:val="00974930"/>
    <w:rsid w:val="009763B3"/>
    <w:rsid w:val="00977D80"/>
    <w:rsid w:val="009800B8"/>
    <w:rsid w:val="00991261"/>
    <w:rsid w:val="0099369F"/>
    <w:rsid w:val="009A0B83"/>
    <w:rsid w:val="009B3800"/>
    <w:rsid w:val="009B5209"/>
    <w:rsid w:val="009D22AC"/>
    <w:rsid w:val="009D50DB"/>
    <w:rsid w:val="009E1C4E"/>
    <w:rsid w:val="009E366E"/>
    <w:rsid w:val="009E7144"/>
    <w:rsid w:val="009F16D9"/>
    <w:rsid w:val="009F558A"/>
    <w:rsid w:val="00A01676"/>
    <w:rsid w:val="00A05E0B"/>
    <w:rsid w:val="00A1427D"/>
    <w:rsid w:val="00A2114D"/>
    <w:rsid w:val="00A21846"/>
    <w:rsid w:val="00A23396"/>
    <w:rsid w:val="00A42743"/>
    <w:rsid w:val="00A4634F"/>
    <w:rsid w:val="00A51CF3"/>
    <w:rsid w:val="00A7254C"/>
    <w:rsid w:val="00A72F22"/>
    <w:rsid w:val="00A748A6"/>
    <w:rsid w:val="00A877F1"/>
    <w:rsid w:val="00A879A4"/>
    <w:rsid w:val="00A87E95"/>
    <w:rsid w:val="00A92E29"/>
    <w:rsid w:val="00AA6894"/>
    <w:rsid w:val="00AA68DE"/>
    <w:rsid w:val="00AA7BA5"/>
    <w:rsid w:val="00AC38AF"/>
    <w:rsid w:val="00AD09E9"/>
    <w:rsid w:val="00AF0576"/>
    <w:rsid w:val="00AF3829"/>
    <w:rsid w:val="00AF4DB9"/>
    <w:rsid w:val="00B037F0"/>
    <w:rsid w:val="00B14B14"/>
    <w:rsid w:val="00B2327D"/>
    <w:rsid w:val="00B23D8F"/>
    <w:rsid w:val="00B2718F"/>
    <w:rsid w:val="00B2794E"/>
    <w:rsid w:val="00B30179"/>
    <w:rsid w:val="00B3317B"/>
    <w:rsid w:val="00B334DC"/>
    <w:rsid w:val="00B34ADD"/>
    <w:rsid w:val="00B3631A"/>
    <w:rsid w:val="00B4130F"/>
    <w:rsid w:val="00B455B2"/>
    <w:rsid w:val="00B51CE2"/>
    <w:rsid w:val="00B53013"/>
    <w:rsid w:val="00B67F5E"/>
    <w:rsid w:val="00B71E96"/>
    <w:rsid w:val="00B73E65"/>
    <w:rsid w:val="00B76764"/>
    <w:rsid w:val="00B81E12"/>
    <w:rsid w:val="00B85817"/>
    <w:rsid w:val="00B87110"/>
    <w:rsid w:val="00B9481A"/>
    <w:rsid w:val="00B97FA8"/>
    <w:rsid w:val="00BA3F31"/>
    <w:rsid w:val="00BA52DE"/>
    <w:rsid w:val="00BA7A7C"/>
    <w:rsid w:val="00BB2E26"/>
    <w:rsid w:val="00BB5934"/>
    <w:rsid w:val="00BC1385"/>
    <w:rsid w:val="00BC2902"/>
    <w:rsid w:val="00BC74E9"/>
    <w:rsid w:val="00BD536C"/>
    <w:rsid w:val="00BE618E"/>
    <w:rsid w:val="00C01FD0"/>
    <w:rsid w:val="00C02714"/>
    <w:rsid w:val="00C14AB2"/>
    <w:rsid w:val="00C16CE5"/>
    <w:rsid w:val="00C21E0C"/>
    <w:rsid w:val="00C22800"/>
    <w:rsid w:val="00C24693"/>
    <w:rsid w:val="00C277DC"/>
    <w:rsid w:val="00C310BD"/>
    <w:rsid w:val="00C315AC"/>
    <w:rsid w:val="00C3165C"/>
    <w:rsid w:val="00C35F0B"/>
    <w:rsid w:val="00C463DD"/>
    <w:rsid w:val="00C60C80"/>
    <w:rsid w:val="00C64458"/>
    <w:rsid w:val="00C745C3"/>
    <w:rsid w:val="00C77504"/>
    <w:rsid w:val="00C960F2"/>
    <w:rsid w:val="00C96FDC"/>
    <w:rsid w:val="00CA2A58"/>
    <w:rsid w:val="00CA7B15"/>
    <w:rsid w:val="00CB2A94"/>
    <w:rsid w:val="00CC0B55"/>
    <w:rsid w:val="00CC5EF8"/>
    <w:rsid w:val="00CD6995"/>
    <w:rsid w:val="00CD7B96"/>
    <w:rsid w:val="00CE1E45"/>
    <w:rsid w:val="00CE4A8F"/>
    <w:rsid w:val="00CF0214"/>
    <w:rsid w:val="00CF5551"/>
    <w:rsid w:val="00CF586F"/>
    <w:rsid w:val="00CF7D43"/>
    <w:rsid w:val="00D0230C"/>
    <w:rsid w:val="00D04D1E"/>
    <w:rsid w:val="00D06973"/>
    <w:rsid w:val="00D11129"/>
    <w:rsid w:val="00D124D9"/>
    <w:rsid w:val="00D2031B"/>
    <w:rsid w:val="00D22332"/>
    <w:rsid w:val="00D226FD"/>
    <w:rsid w:val="00D25FE2"/>
    <w:rsid w:val="00D43252"/>
    <w:rsid w:val="00D550F9"/>
    <w:rsid w:val="00D572B0"/>
    <w:rsid w:val="00D62519"/>
    <w:rsid w:val="00D62E90"/>
    <w:rsid w:val="00D63BD5"/>
    <w:rsid w:val="00D704BC"/>
    <w:rsid w:val="00D76BE5"/>
    <w:rsid w:val="00D7768A"/>
    <w:rsid w:val="00D8792B"/>
    <w:rsid w:val="00D978C6"/>
    <w:rsid w:val="00DA67AD"/>
    <w:rsid w:val="00DB18CE"/>
    <w:rsid w:val="00DB1ED9"/>
    <w:rsid w:val="00DB2CB3"/>
    <w:rsid w:val="00DC2E4A"/>
    <w:rsid w:val="00DD13AC"/>
    <w:rsid w:val="00DD19A1"/>
    <w:rsid w:val="00DD5C9D"/>
    <w:rsid w:val="00DE3EC0"/>
    <w:rsid w:val="00DF1191"/>
    <w:rsid w:val="00E04357"/>
    <w:rsid w:val="00E11593"/>
    <w:rsid w:val="00E12308"/>
    <w:rsid w:val="00E12566"/>
    <w:rsid w:val="00E12B6B"/>
    <w:rsid w:val="00E130AB"/>
    <w:rsid w:val="00E1495F"/>
    <w:rsid w:val="00E268F0"/>
    <w:rsid w:val="00E33580"/>
    <w:rsid w:val="00E438D9"/>
    <w:rsid w:val="00E5077F"/>
    <w:rsid w:val="00E5644E"/>
    <w:rsid w:val="00E57CD6"/>
    <w:rsid w:val="00E630B9"/>
    <w:rsid w:val="00E63D4F"/>
    <w:rsid w:val="00E66A4A"/>
    <w:rsid w:val="00E70FB3"/>
    <w:rsid w:val="00E7260F"/>
    <w:rsid w:val="00E72A18"/>
    <w:rsid w:val="00E7755A"/>
    <w:rsid w:val="00E806EE"/>
    <w:rsid w:val="00E95D86"/>
    <w:rsid w:val="00E96630"/>
    <w:rsid w:val="00EA5053"/>
    <w:rsid w:val="00EA642B"/>
    <w:rsid w:val="00EB0FB9"/>
    <w:rsid w:val="00EB2261"/>
    <w:rsid w:val="00ED0CA9"/>
    <w:rsid w:val="00ED1EE4"/>
    <w:rsid w:val="00ED7A2A"/>
    <w:rsid w:val="00EE3641"/>
    <w:rsid w:val="00EF1D7F"/>
    <w:rsid w:val="00EF5BDB"/>
    <w:rsid w:val="00F0751E"/>
    <w:rsid w:val="00F07FD9"/>
    <w:rsid w:val="00F142C6"/>
    <w:rsid w:val="00F23933"/>
    <w:rsid w:val="00F24119"/>
    <w:rsid w:val="00F25881"/>
    <w:rsid w:val="00F2770C"/>
    <w:rsid w:val="00F36132"/>
    <w:rsid w:val="00F40E75"/>
    <w:rsid w:val="00F42CD9"/>
    <w:rsid w:val="00F52936"/>
    <w:rsid w:val="00F57EE3"/>
    <w:rsid w:val="00F61455"/>
    <w:rsid w:val="00F677CB"/>
    <w:rsid w:val="00F85C1E"/>
    <w:rsid w:val="00FA7DF3"/>
    <w:rsid w:val="00FC68B7"/>
    <w:rsid w:val="00FD7C12"/>
    <w:rsid w:val="00FE36B2"/>
    <w:rsid w:val="00FE4351"/>
    <w:rsid w:val="00FE489D"/>
    <w:rsid w:val="00FE5EB1"/>
    <w:rsid w:val="00FF1D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qFormat="1"/>
    <w:lsdException w:name="footnote reference" w:qFormat="1"/>
    <w:lsdException w:name="page number"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937FFD"/>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rsid w:val="00CF0214"/>
    <w:pPr>
      <w:pBdr>
        <w:bottom w:val="single" w:sz="4" w:space="4" w:color="auto"/>
      </w:pBdr>
      <w:spacing w:line="240" w:lineRule="auto"/>
    </w:pPr>
    <w:rPr>
      <w:b/>
      <w:sz w:val="18"/>
      <w:lang w:val="x-none"/>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Footnotes,Note de bas de page2,fn,Fußnotentext RAXEN,Footnote Text Char2 Char,Footnote Text Char Char1 Char,Footnote Text Char2 Char Char Char,Footnote Text Char1 Char Char Char Char,footnotes,Tex,Char, Char,Footnote Text Char Char Cha"/>
    <w:basedOn w:val="a"/>
    <w:link w:val="Char0"/>
    <w:qFormat/>
    <w:rsid w:val="00937FFD"/>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qFormat/>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2"/>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paragraph" w:styleId="ad">
    <w:name w:val="caption"/>
    <w:basedOn w:val="a"/>
    <w:next w:val="a"/>
    <w:qFormat/>
    <w:rsid w:val="007701CE"/>
    <w:pPr>
      <w:spacing w:before="120"/>
    </w:pPr>
    <w:rPr>
      <w:b/>
      <w:sz w:val="24"/>
      <w:szCs w:val="24"/>
    </w:rPr>
  </w:style>
  <w:style w:type="character" w:customStyle="1" w:styleId="Char">
    <w:name w:val="页眉 Char"/>
    <w:aliases w:val="6_G Char"/>
    <w:link w:val="a5"/>
    <w:uiPriority w:val="99"/>
    <w:rsid w:val="00C02714"/>
    <w:rPr>
      <w:b/>
      <w:sz w:val="18"/>
      <w:lang w:eastAsia="en-US"/>
    </w:rPr>
  </w:style>
  <w:style w:type="paragraph" w:customStyle="1" w:styleId="ColorfulList-Accent11">
    <w:name w:val="Colorful List - Accent 11"/>
    <w:basedOn w:val="a"/>
    <w:uiPriority w:val="34"/>
    <w:qFormat/>
    <w:rsid w:val="00C02714"/>
    <w:pPr>
      <w:suppressAutoHyphens w:val="0"/>
      <w:spacing w:after="200" w:line="276" w:lineRule="auto"/>
      <w:ind w:left="720"/>
      <w:contextualSpacing/>
    </w:pPr>
    <w:rPr>
      <w:rFonts w:ascii="Calibri" w:hAnsi="Calibri"/>
      <w:sz w:val="22"/>
      <w:szCs w:val="22"/>
      <w:lang w:eastAsia="en-GB"/>
    </w:rPr>
  </w:style>
  <w:style w:type="character" w:customStyle="1" w:styleId="Char0">
    <w:name w:val="脚注文本 Char"/>
    <w:aliases w:val="5_G Char,Footnotes Char,Note de bas de page2 Char,fn Char,Fußnotentext RAXEN Char,Footnote Text Char2 Char Char,Footnote Text Char Char1 Char Char,Footnote Text Char2 Char Char Char Char,Footnote Text Char1 Char Char Char Char Char,Tex Char"/>
    <w:link w:val="a9"/>
    <w:rsid w:val="001809D1"/>
    <w:rPr>
      <w:rFonts w:eastAsia="宋体"/>
      <w:sz w:val="18"/>
    </w:rPr>
  </w:style>
  <w:style w:type="character" w:styleId="ae">
    <w:name w:val="annotation reference"/>
    <w:rsid w:val="009B5209"/>
    <w:rPr>
      <w:sz w:val="16"/>
      <w:szCs w:val="16"/>
    </w:rPr>
  </w:style>
  <w:style w:type="paragraph" w:styleId="af">
    <w:name w:val="annotation text"/>
    <w:basedOn w:val="a"/>
    <w:link w:val="Char2"/>
    <w:rsid w:val="009B5209"/>
    <w:rPr>
      <w:lang w:val="x-none"/>
    </w:rPr>
  </w:style>
  <w:style w:type="character" w:customStyle="1" w:styleId="Char2">
    <w:name w:val="批注文字 Char"/>
    <w:link w:val="af"/>
    <w:uiPriority w:val="99"/>
    <w:rsid w:val="009B5209"/>
    <w:rPr>
      <w:lang w:eastAsia="en-US"/>
    </w:rPr>
  </w:style>
  <w:style w:type="paragraph" w:styleId="af0">
    <w:name w:val="annotation subject"/>
    <w:basedOn w:val="af"/>
    <w:next w:val="af"/>
    <w:link w:val="Char3"/>
    <w:rsid w:val="009B5209"/>
    <w:rPr>
      <w:b/>
      <w:bCs/>
    </w:rPr>
  </w:style>
  <w:style w:type="character" w:customStyle="1" w:styleId="Char3">
    <w:name w:val="批注主题 Char"/>
    <w:link w:val="af0"/>
    <w:rsid w:val="009B5209"/>
    <w:rPr>
      <w:b/>
      <w:bCs/>
      <w:lang w:eastAsia="en-US"/>
    </w:rPr>
  </w:style>
  <w:style w:type="paragraph" w:styleId="af1">
    <w:name w:val="Balloon Text"/>
    <w:basedOn w:val="a"/>
    <w:link w:val="Char4"/>
    <w:rsid w:val="009B5209"/>
    <w:pPr>
      <w:spacing w:line="240" w:lineRule="auto"/>
    </w:pPr>
    <w:rPr>
      <w:rFonts w:ascii="Tahoma" w:hAnsi="Tahoma"/>
      <w:sz w:val="16"/>
      <w:szCs w:val="16"/>
      <w:lang w:val="x-none"/>
    </w:rPr>
  </w:style>
  <w:style w:type="character" w:customStyle="1" w:styleId="Char4">
    <w:name w:val="批注框文本 Char"/>
    <w:link w:val="af1"/>
    <w:rsid w:val="009B5209"/>
    <w:rPr>
      <w:rFonts w:ascii="Tahoma" w:hAnsi="Tahoma" w:cs="Tahoma"/>
      <w:sz w:val="16"/>
      <w:szCs w:val="16"/>
      <w:lang w:eastAsia="en-US"/>
    </w:rPr>
  </w:style>
  <w:style w:type="paragraph" w:styleId="af2">
    <w:name w:val="List Paragraph"/>
    <w:basedOn w:val="a"/>
    <w:uiPriority w:val="34"/>
    <w:qFormat/>
    <w:rsid w:val="00716853"/>
    <w:pPr>
      <w:suppressAutoHyphens w:val="0"/>
      <w:spacing w:after="200" w:line="276" w:lineRule="auto"/>
      <w:ind w:left="720"/>
      <w:contextualSpacing/>
    </w:pPr>
    <w:rPr>
      <w:rFonts w:ascii="Calibri" w:hAnsi="Calibri"/>
      <w:sz w:val="22"/>
      <w:szCs w:val="22"/>
      <w:lang w:eastAsia="en-GB"/>
    </w:rPr>
  </w:style>
  <w:style w:type="paragraph" w:styleId="af3">
    <w:name w:val="Revision"/>
    <w:hidden/>
    <w:uiPriority w:val="99"/>
    <w:semiHidden/>
    <w:rsid w:val="008B6788"/>
    <w:rPr>
      <w:lang w:eastAsia="en-US"/>
    </w:rPr>
  </w:style>
  <w:style w:type="character" w:customStyle="1" w:styleId="SingleTxtGChar">
    <w:name w:val="_ Single Txt_G Char"/>
    <w:link w:val="SingleTxtG"/>
    <w:rsid w:val="00284C1A"/>
    <w:rPr>
      <w:lang w:eastAsia="en-US"/>
    </w:rPr>
  </w:style>
  <w:style w:type="paragraph" w:customStyle="1" w:styleId="MediumList2-Accent21">
    <w:name w:val="Medium List 2 - Accent 21"/>
    <w:hidden/>
    <w:uiPriority w:val="99"/>
    <w:semiHidden/>
    <w:rsid w:val="00284C1A"/>
    <w:rPr>
      <w:lang w:eastAsia="en-US"/>
    </w:rPr>
  </w:style>
  <w:style w:type="paragraph" w:customStyle="1" w:styleId="MediumGrid1-Accent21">
    <w:name w:val="Medium Grid 1 - Accent 21"/>
    <w:basedOn w:val="a"/>
    <w:uiPriority w:val="34"/>
    <w:qFormat/>
    <w:rsid w:val="00284C1A"/>
    <w:pPr>
      <w:suppressAutoHyphens w:val="0"/>
      <w:spacing w:after="200" w:line="276" w:lineRule="auto"/>
      <w:ind w:left="720"/>
    </w:pPr>
    <w:rPr>
      <w:rFonts w:ascii="Calibri" w:eastAsia="Calibri" w:hAnsi="Calibri" w:cs="Mongolian Baiti"/>
      <w:sz w:val="22"/>
      <w:szCs w:val="22"/>
    </w:rPr>
  </w:style>
  <w:style w:type="paragraph" w:customStyle="1" w:styleId="Default">
    <w:name w:val="Default"/>
    <w:rsid w:val="00284C1A"/>
    <w:pPr>
      <w:autoSpaceDE w:val="0"/>
      <w:autoSpaceDN w:val="0"/>
      <w:adjustRightInd w:val="0"/>
    </w:pPr>
    <w:rPr>
      <w:color w:val="000000"/>
      <w:sz w:val="24"/>
      <w:szCs w:val="24"/>
      <w:lang w:eastAsia="en-GB"/>
    </w:rPr>
  </w:style>
  <w:style w:type="character" w:styleId="af4">
    <w:name w:val="Strong"/>
    <w:uiPriority w:val="22"/>
    <w:qFormat/>
    <w:rsid w:val="00284C1A"/>
    <w:rPr>
      <w:b/>
      <w:bCs/>
    </w:rPr>
  </w:style>
  <w:style w:type="paragraph" w:styleId="af5">
    <w:name w:val="Normal (Web)"/>
    <w:basedOn w:val="a"/>
    <w:uiPriority w:val="99"/>
    <w:unhideWhenUsed/>
    <w:rsid w:val="00284C1A"/>
    <w:pPr>
      <w:suppressAutoHyphens w:val="0"/>
      <w:spacing w:before="100" w:beforeAutospacing="1" w:after="100" w:afterAutospacing="1" w:line="240" w:lineRule="auto"/>
    </w:pPr>
    <w:rPr>
      <w:sz w:val="24"/>
      <w:szCs w:val="24"/>
      <w:lang w:eastAsia="en-GB"/>
    </w:rPr>
  </w:style>
  <w:style w:type="character" w:styleId="af6">
    <w:name w:val="Emphasis"/>
    <w:uiPriority w:val="20"/>
    <w:qFormat/>
    <w:rsid w:val="00284C1A"/>
    <w:rPr>
      <w:i/>
      <w:iCs/>
    </w:rPr>
  </w:style>
  <w:style w:type="character" w:customStyle="1" w:styleId="st">
    <w:name w:val="st"/>
    <w:rsid w:val="00284C1A"/>
  </w:style>
  <w:style w:type="character" w:customStyle="1" w:styleId="header-back-to">
    <w:name w:val="header-back-to"/>
    <w:rsid w:val="00284C1A"/>
  </w:style>
  <w:style w:type="character" w:customStyle="1" w:styleId="helper-hidden-accessible">
    <w:name w:val="helper-hidden-accessible"/>
    <w:rsid w:val="00284C1A"/>
  </w:style>
  <w:style w:type="character" w:customStyle="1" w:styleId="FootnoteTextChar1">
    <w:name w:val="Footnote Text Char1"/>
    <w:uiPriority w:val="99"/>
    <w:rsid w:val="00284C1A"/>
    <w:rPr>
      <w:rFonts w:ascii="Helvetica" w:hAnsi="Helvetica"/>
      <w:sz w:val="18"/>
    </w:rPr>
  </w:style>
  <w:style w:type="paragraph" w:customStyle="1" w:styleId="Heading1-Annex">
    <w:name w:val="Heading 1 - Annex"/>
    <w:rsid w:val="00284C1A"/>
    <w:pPr>
      <w:pageBreakBefore/>
      <w:numPr>
        <w:numId w:val="7"/>
      </w:numPr>
      <w:spacing w:before="400" w:after="200"/>
    </w:pPr>
    <w:rPr>
      <w:rFonts w:ascii="Helvetica" w:eastAsia="Cambria" w:hAnsi="Helvetica"/>
      <w:b/>
      <w:sz w:val="24"/>
      <w:szCs w:val="28"/>
      <w:lang w:eastAsia="en-US"/>
    </w:rPr>
  </w:style>
  <w:style w:type="character" w:customStyle="1" w:styleId="created">
    <w:name w:val="created"/>
    <w:rsid w:val="00284C1A"/>
  </w:style>
  <w:style w:type="character" w:customStyle="1" w:styleId="Char1">
    <w:name w:val="页脚 Char"/>
    <w:aliases w:val="3_G Char"/>
    <w:link w:val="ac"/>
    <w:rsid w:val="00284C1A"/>
    <w:rPr>
      <w:sz w:val="16"/>
      <w:lang w:eastAsia="en-US"/>
    </w:rPr>
  </w:style>
  <w:style w:type="paragraph" w:customStyle="1" w:styleId="ColorfulShading-Accent11">
    <w:name w:val="Colorful Shading - Accent 11"/>
    <w:hidden/>
    <w:uiPriority w:val="99"/>
    <w:semiHidden/>
    <w:rsid w:val="00284C1A"/>
    <w:rPr>
      <w:lang w:eastAsia="en-US"/>
    </w:rPr>
  </w:style>
  <w:style w:type="character" w:customStyle="1" w:styleId="hps">
    <w:name w:val="hps"/>
    <w:uiPriority w:val="99"/>
    <w:rsid w:val="00284C1A"/>
  </w:style>
  <w:style w:type="paragraph" w:customStyle="1" w:styleId="HChGC">
    <w:name w:val="_ H _Ch_GC"/>
    <w:basedOn w:val="a"/>
    <w:next w:val="a"/>
    <w:qFormat/>
    <w:rsid w:val="007D6781"/>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7D6781"/>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7D6781"/>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Bullet2GC">
    <w:name w:val="_Bullet 2_GC"/>
    <w:basedOn w:val="a"/>
    <w:qFormat/>
    <w:rsid w:val="007D6781"/>
    <w:pPr>
      <w:numPr>
        <w:numId w:val="11"/>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SingleTxtGC">
    <w:name w:val="_ Single Txt_GC"/>
    <w:basedOn w:val="a"/>
    <w:link w:val="SingleTxtGCChar"/>
    <w:qFormat/>
    <w:rsid w:val="007D6781"/>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7D6781"/>
    <w:rPr>
      <w:rFonts w:eastAsia="宋体"/>
      <w:snapToGrid w:val="0"/>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qFormat="1"/>
    <w:lsdException w:name="footnote reference" w:qFormat="1"/>
    <w:lsdException w:name="page number"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937FFD"/>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rsid w:val="00CF0214"/>
    <w:pPr>
      <w:pBdr>
        <w:bottom w:val="single" w:sz="4" w:space="4" w:color="auto"/>
      </w:pBdr>
      <w:spacing w:line="240" w:lineRule="auto"/>
    </w:pPr>
    <w:rPr>
      <w:b/>
      <w:sz w:val="18"/>
      <w:lang w:val="x-none"/>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Footnotes,Note de bas de page2,fn,Fußnotentext RAXEN,Footnote Text Char2 Char,Footnote Text Char Char1 Char,Footnote Text Char2 Char Char Char,Footnote Text Char1 Char Char Char Char,footnotes,Tex,Char, Char,Footnote Text Char Char Cha"/>
    <w:basedOn w:val="a"/>
    <w:link w:val="Char0"/>
    <w:qFormat/>
    <w:rsid w:val="00937FFD"/>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qFormat/>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2"/>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paragraph" w:styleId="ad">
    <w:name w:val="caption"/>
    <w:basedOn w:val="a"/>
    <w:next w:val="a"/>
    <w:qFormat/>
    <w:rsid w:val="007701CE"/>
    <w:pPr>
      <w:spacing w:before="120"/>
    </w:pPr>
    <w:rPr>
      <w:b/>
      <w:sz w:val="24"/>
      <w:szCs w:val="24"/>
    </w:rPr>
  </w:style>
  <w:style w:type="character" w:customStyle="1" w:styleId="Char">
    <w:name w:val="页眉 Char"/>
    <w:aliases w:val="6_G Char"/>
    <w:link w:val="a5"/>
    <w:uiPriority w:val="99"/>
    <w:rsid w:val="00C02714"/>
    <w:rPr>
      <w:b/>
      <w:sz w:val="18"/>
      <w:lang w:eastAsia="en-US"/>
    </w:rPr>
  </w:style>
  <w:style w:type="paragraph" w:customStyle="1" w:styleId="ColorfulList-Accent11">
    <w:name w:val="Colorful List - Accent 11"/>
    <w:basedOn w:val="a"/>
    <w:uiPriority w:val="34"/>
    <w:qFormat/>
    <w:rsid w:val="00C02714"/>
    <w:pPr>
      <w:suppressAutoHyphens w:val="0"/>
      <w:spacing w:after="200" w:line="276" w:lineRule="auto"/>
      <w:ind w:left="720"/>
      <w:contextualSpacing/>
    </w:pPr>
    <w:rPr>
      <w:rFonts w:ascii="Calibri" w:hAnsi="Calibri"/>
      <w:sz w:val="22"/>
      <w:szCs w:val="22"/>
      <w:lang w:eastAsia="en-GB"/>
    </w:rPr>
  </w:style>
  <w:style w:type="character" w:customStyle="1" w:styleId="Char0">
    <w:name w:val="脚注文本 Char"/>
    <w:aliases w:val="5_G Char,Footnotes Char,Note de bas de page2 Char,fn Char,Fußnotentext RAXEN Char,Footnote Text Char2 Char Char,Footnote Text Char Char1 Char Char,Footnote Text Char2 Char Char Char Char,Footnote Text Char1 Char Char Char Char Char,Tex Char"/>
    <w:link w:val="a9"/>
    <w:rsid w:val="001809D1"/>
    <w:rPr>
      <w:rFonts w:eastAsia="宋体"/>
      <w:sz w:val="18"/>
    </w:rPr>
  </w:style>
  <w:style w:type="character" w:styleId="ae">
    <w:name w:val="annotation reference"/>
    <w:rsid w:val="009B5209"/>
    <w:rPr>
      <w:sz w:val="16"/>
      <w:szCs w:val="16"/>
    </w:rPr>
  </w:style>
  <w:style w:type="paragraph" w:styleId="af">
    <w:name w:val="annotation text"/>
    <w:basedOn w:val="a"/>
    <w:link w:val="Char2"/>
    <w:rsid w:val="009B5209"/>
    <w:rPr>
      <w:lang w:val="x-none"/>
    </w:rPr>
  </w:style>
  <w:style w:type="character" w:customStyle="1" w:styleId="Char2">
    <w:name w:val="批注文字 Char"/>
    <w:link w:val="af"/>
    <w:uiPriority w:val="99"/>
    <w:rsid w:val="009B5209"/>
    <w:rPr>
      <w:lang w:eastAsia="en-US"/>
    </w:rPr>
  </w:style>
  <w:style w:type="paragraph" w:styleId="af0">
    <w:name w:val="annotation subject"/>
    <w:basedOn w:val="af"/>
    <w:next w:val="af"/>
    <w:link w:val="Char3"/>
    <w:rsid w:val="009B5209"/>
    <w:rPr>
      <w:b/>
      <w:bCs/>
    </w:rPr>
  </w:style>
  <w:style w:type="character" w:customStyle="1" w:styleId="Char3">
    <w:name w:val="批注主题 Char"/>
    <w:link w:val="af0"/>
    <w:rsid w:val="009B5209"/>
    <w:rPr>
      <w:b/>
      <w:bCs/>
      <w:lang w:eastAsia="en-US"/>
    </w:rPr>
  </w:style>
  <w:style w:type="paragraph" w:styleId="af1">
    <w:name w:val="Balloon Text"/>
    <w:basedOn w:val="a"/>
    <w:link w:val="Char4"/>
    <w:rsid w:val="009B5209"/>
    <w:pPr>
      <w:spacing w:line="240" w:lineRule="auto"/>
    </w:pPr>
    <w:rPr>
      <w:rFonts w:ascii="Tahoma" w:hAnsi="Tahoma"/>
      <w:sz w:val="16"/>
      <w:szCs w:val="16"/>
      <w:lang w:val="x-none"/>
    </w:rPr>
  </w:style>
  <w:style w:type="character" w:customStyle="1" w:styleId="Char4">
    <w:name w:val="批注框文本 Char"/>
    <w:link w:val="af1"/>
    <w:rsid w:val="009B5209"/>
    <w:rPr>
      <w:rFonts w:ascii="Tahoma" w:hAnsi="Tahoma" w:cs="Tahoma"/>
      <w:sz w:val="16"/>
      <w:szCs w:val="16"/>
      <w:lang w:eastAsia="en-US"/>
    </w:rPr>
  </w:style>
  <w:style w:type="paragraph" w:styleId="af2">
    <w:name w:val="List Paragraph"/>
    <w:basedOn w:val="a"/>
    <w:uiPriority w:val="34"/>
    <w:qFormat/>
    <w:rsid w:val="00716853"/>
    <w:pPr>
      <w:suppressAutoHyphens w:val="0"/>
      <w:spacing w:after="200" w:line="276" w:lineRule="auto"/>
      <w:ind w:left="720"/>
      <w:contextualSpacing/>
    </w:pPr>
    <w:rPr>
      <w:rFonts w:ascii="Calibri" w:hAnsi="Calibri"/>
      <w:sz w:val="22"/>
      <w:szCs w:val="22"/>
      <w:lang w:eastAsia="en-GB"/>
    </w:rPr>
  </w:style>
  <w:style w:type="paragraph" w:styleId="af3">
    <w:name w:val="Revision"/>
    <w:hidden/>
    <w:uiPriority w:val="99"/>
    <w:semiHidden/>
    <w:rsid w:val="008B6788"/>
    <w:rPr>
      <w:lang w:eastAsia="en-US"/>
    </w:rPr>
  </w:style>
  <w:style w:type="character" w:customStyle="1" w:styleId="SingleTxtGChar">
    <w:name w:val="_ Single Txt_G Char"/>
    <w:link w:val="SingleTxtG"/>
    <w:rsid w:val="00284C1A"/>
    <w:rPr>
      <w:lang w:eastAsia="en-US"/>
    </w:rPr>
  </w:style>
  <w:style w:type="paragraph" w:customStyle="1" w:styleId="MediumList2-Accent21">
    <w:name w:val="Medium List 2 - Accent 21"/>
    <w:hidden/>
    <w:uiPriority w:val="99"/>
    <w:semiHidden/>
    <w:rsid w:val="00284C1A"/>
    <w:rPr>
      <w:lang w:eastAsia="en-US"/>
    </w:rPr>
  </w:style>
  <w:style w:type="paragraph" w:customStyle="1" w:styleId="MediumGrid1-Accent21">
    <w:name w:val="Medium Grid 1 - Accent 21"/>
    <w:basedOn w:val="a"/>
    <w:uiPriority w:val="34"/>
    <w:qFormat/>
    <w:rsid w:val="00284C1A"/>
    <w:pPr>
      <w:suppressAutoHyphens w:val="0"/>
      <w:spacing w:after="200" w:line="276" w:lineRule="auto"/>
      <w:ind w:left="720"/>
    </w:pPr>
    <w:rPr>
      <w:rFonts w:ascii="Calibri" w:eastAsia="Calibri" w:hAnsi="Calibri" w:cs="Mongolian Baiti"/>
      <w:sz w:val="22"/>
      <w:szCs w:val="22"/>
    </w:rPr>
  </w:style>
  <w:style w:type="paragraph" w:customStyle="1" w:styleId="Default">
    <w:name w:val="Default"/>
    <w:rsid w:val="00284C1A"/>
    <w:pPr>
      <w:autoSpaceDE w:val="0"/>
      <w:autoSpaceDN w:val="0"/>
      <w:adjustRightInd w:val="0"/>
    </w:pPr>
    <w:rPr>
      <w:color w:val="000000"/>
      <w:sz w:val="24"/>
      <w:szCs w:val="24"/>
      <w:lang w:eastAsia="en-GB"/>
    </w:rPr>
  </w:style>
  <w:style w:type="character" w:styleId="af4">
    <w:name w:val="Strong"/>
    <w:uiPriority w:val="22"/>
    <w:qFormat/>
    <w:rsid w:val="00284C1A"/>
    <w:rPr>
      <w:b/>
      <w:bCs/>
    </w:rPr>
  </w:style>
  <w:style w:type="paragraph" w:styleId="af5">
    <w:name w:val="Normal (Web)"/>
    <w:basedOn w:val="a"/>
    <w:uiPriority w:val="99"/>
    <w:unhideWhenUsed/>
    <w:rsid w:val="00284C1A"/>
    <w:pPr>
      <w:suppressAutoHyphens w:val="0"/>
      <w:spacing w:before="100" w:beforeAutospacing="1" w:after="100" w:afterAutospacing="1" w:line="240" w:lineRule="auto"/>
    </w:pPr>
    <w:rPr>
      <w:sz w:val="24"/>
      <w:szCs w:val="24"/>
      <w:lang w:eastAsia="en-GB"/>
    </w:rPr>
  </w:style>
  <w:style w:type="character" w:styleId="af6">
    <w:name w:val="Emphasis"/>
    <w:uiPriority w:val="20"/>
    <w:qFormat/>
    <w:rsid w:val="00284C1A"/>
    <w:rPr>
      <w:i/>
      <w:iCs/>
    </w:rPr>
  </w:style>
  <w:style w:type="character" w:customStyle="1" w:styleId="st">
    <w:name w:val="st"/>
    <w:rsid w:val="00284C1A"/>
  </w:style>
  <w:style w:type="character" w:customStyle="1" w:styleId="header-back-to">
    <w:name w:val="header-back-to"/>
    <w:rsid w:val="00284C1A"/>
  </w:style>
  <w:style w:type="character" w:customStyle="1" w:styleId="helper-hidden-accessible">
    <w:name w:val="helper-hidden-accessible"/>
    <w:rsid w:val="00284C1A"/>
  </w:style>
  <w:style w:type="character" w:customStyle="1" w:styleId="FootnoteTextChar1">
    <w:name w:val="Footnote Text Char1"/>
    <w:uiPriority w:val="99"/>
    <w:rsid w:val="00284C1A"/>
    <w:rPr>
      <w:rFonts w:ascii="Helvetica" w:hAnsi="Helvetica"/>
      <w:sz w:val="18"/>
    </w:rPr>
  </w:style>
  <w:style w:type="paragraph" w:customStyle="1" w:styleId="Heading1-Annex">
    <w:name w:val="Heading 1 - Annex"/>
    <w:rsid w:val="00284C1A"/>
    <w:pPr>
      <w:pageBreakBefore/>
      <w:numPr>
        <w:numId w:val="7"/>
      </w:numPr>
      <w:spacing w:before="400" w:after="200"/>
    </w:pPr>
    <w:rPr>
      <w:rFonts w:ascii="Helvetica" w:eastAsia="Cambria" w:hAnsi="Helvetica"/>
      <w:b/>
      <w:sz w:val="24"/>
      <w:szCs w:val="28"/>
      <w:lang w:eastAsia="en-US"/>
    </w:rPr>
  </w:style>
  <w:style w:type="character" w:customStyle="1" w:styleId="created">
    <w:name w:val="created"/>
    <w:rsid w:val="00284C1A"/>
  </w:style>
  <w:style w:type="character" w:customStyle="1" w:styleId="Char1">
    <w:name w:val="页脚 Char"/>
    <w:aliases w:val="3_G Char"/>
    <w:link w:val="ac"/>
    <w:rsid w:val="00284C1A"/>
    <w:rPr>
      <w:sz w:val="16"/>
      <w:lang w:eastAsia="en-US"/>
    </w:rPr>
  </w:style>
  <w:style w:type="paragraph" w:customStyle="1" w:styleId="ColorfulShading-Accent11">
    <w:name w:val="Colorful Shading - Accent 11"/>
    <w:hidden/>
    <w:uiPriority w:val="99"/>
    <w:semiHidden/>
    <w:rsid w:val="00284C1A"/>
    <w:rPr>
      <w:lang w:eastAsia="en-US"/>
    </w:rPr>
  </w:style>
  <w:style w:type="character" w:customStyle="1" w:styleId="hps">
    <w:name w:val="hps"/>
    <w:uiPriority w:val="99"/>
    <w:rsid w:val="00284C1A"/>
  </w:style>
  <w:style w:type="paragraph" w:customStyle="1" w:styleId="HChGC">
    <w:name w:val="_ H _Ch_GC"/>
    <w:basedOn w:val="a"/>
    <w:next w:val="a"/>
    <w:qFormat/>
    <w:rsid w:val="007D6781"/>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7D6781"/>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7D6781"/>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Bullet2GC">
    <w:name w:val="_Bullet 2_GC"/>
    <w:basedOn w:val="a"/>
    <w:qFormat/>
    <w:rsid w:val="007D6781"/>
    <w:pPr>
      <w:numPr>
        <w:numId w:val="11"/>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SingleTxtGC">
    <w:name w:val="_ Single Txt_GC"/>
    <w:basedOn w:val="a"/>
    <w:link w:val="SingleTxtGCChar"/>
    <w:qFormat/>
    <w:rsid w:val="007D6781"/>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7D6781"/>
    <w:rPr>
      <w:rFonts w:eastAsia="宋体"/>
      <w:snapToGrid w:val="0"/>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iti.org/glossary"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26493-6161-4CDA-8EBF-23E08338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21</Pages>
  <Words>9857</Words>
  <Characters>56190</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65916</CharactersWithSpaces>
  <SharedDoc>false</SharedDoc>
  <HLinks>
    <vt:vector size="6" baseType="variant">
      <vt:variant>
        <vt:i4>8257593</vt:i4>
      </vt:variant>
      <vt:variant>
        <vt:i4>0</vt:i4>
      </vt:variant>
      <vt:variant>
        <vt:i4>0</vt:i4>
      </vt:variant>
      <vt:variant>
        <vt:i4>5</vt:i4>
      </vt:variant>
      <vt:variant>
        <vt:lpwstr>https://eiti.org/glossary</vt:lpwstr>
      </vt:variant>
      <vt:variant>
        <vt:lpwstr>Validation</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Foppiano</dc:creator>
  <cp:lastModifiedBy>tpschi</cp:lastModifiedBy>
  <cp:revision>2</cp:revision>
  <cp:lastPrinted>2015-06-04T12:49:00Z</cp:lastPrinted>
  <dcterms:created xsi:type="dcterms:W3CDTF">2015-06-04T14:22:00Z</dcterms:created>
  <dcterms:modified xsi:type="dcterms:W3CDTF">2015-06-04T14:22:00Z</dcterms:modified>
</cp:coreProperties>
</file>