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669" w:rsidRPr="00A44669" w:rsidRDefault="00A44669" w:rsidP="00A44669">
      <w:pPr>
        <w:spacing w:after="0" w:line="60" w:lineRule="exact"/>
        <w:ind w:left="0" w:firstLine="0"/>
        <w:rPr>
          <w:sz w:val="6"/>
        </w:rPr>
        <w:sectPr w:rsidR="00A44669" w:rsidRPr="00A4466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A44669" w:rsidRDefault="00A446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rPr>
          <w:lang/>
        </w:rPr>
      </w:pPr>
      <w:r>
        <w:t>Комитет по ликвидации дискриминации</w:t>
      </w:r>
      <w:r>
        <w:br/>
        <w:t>в отношении женщин</w:t>
      </w:r>
      <w:r>
        <w:rPr>
          <w:lang/>
        </w:rPr>
        <w:t xml:space="preserve"> </w:t>
      </w:r>
      <w:r>
        <w:t>(КЛДЖ)</w:t>
      </w:r>
    </w:p>
    <w:p w:rsidR="00A44669" w:rsidRDefault="00A44669">
      <w:pPr>
        <w:pStyle w:val="SingleTxt"/>
        <w:spacing w:after="0" w:line="120" w:lineRule="exact"/>
        <w:rPr>
          <w:sz w:val="10"/>
        </w:rPr>
      </w:pPr>
    </w:p>
    <w:p w:rsidR="00A44669" w:rsidRDefault="00A44669">
      <w:pPr>
        <w:pStyle w:val="SingleTxt"/>
        <w:spacing w:after="0" w:line="120" w:lineRule="exact"/>
        <w:rPr>
          <w:sz w:val="10"/>
        </w:rPr>
      </w:pPr>
    </w:p>
    <w:p w:rsidR="00A44669" w:rsidRDefault="00A44669">
      <w:pPr>
        <w:pStyle w:val="SingleTxt"/>
        <w:spacing w:after="0" w:line="120" w:lineRule="exact"/>
        <w:rPr>
          <w:sz w:val="10"/>
        </w:rPr>
      </w:pPr>
    </w:p>
    <w:p w:rsidR="00A44669" w:rsidRDefault="00A44669">
      <w:pPr>
        <w:pStyle w:val="HCh"/>
        <w:spacing w:after="240" w:line="240" w:lineRule="auto"/>
        <w:ind w:left="1264" w:right="1259"/>
        <w:rPr>
          <w:spacing w:val="0"/>
        </w:rPr>
      </w:pPr>
      <w:r>
        <w:rPr>
          <w:spacing w:val="0"/>
        </w:rPr>
        <w:t xml:space="preserve">Рассмотрение докладов, представленных </w:t>
      </w:r>
      <w:r>
        <w:rPr>
          <w:spacing w:val="0"/>
        </w:rPr>
        <w:br/>
        <w:t xml:space="preserve">государствами-участниками в соответствии </w:t>
      </w:r>
      <w:r>
        <w:rPr>
          <w:spacing w:val="0"/>
        </w:rPr>
        <w:br/>
        <w:t>со статьей 18 Конвенции о</w:t>
      </w:r>
      <w:r>
        <w:rPr>
          <w:spacing w:val="0"/>
          <w:lang w:val="en-US"/>
        </w:rPr>
        <w:t> </w:t>
      </w:r>
      <w:r>
        <w:rPr>
          <w:spacing w:val="0"/>
        </w:rPr>
        <w:t>ликвидации всех форм дискриминации в отношении женщин</w:t>
      </w:r>
    </w:p>
    <w:p w:rsidR="00A44669" w:rsidRDefault="00A44669">
      <w:pPr>
        <w:pStyle w:val="H1"/>
        <w:spacing w:after="240" w:line="240" w:lineRule="auto"/>
        <w:ind w:left="1264" w:right="1259" w:firstLine="0"/>
      </w:pPr>
      <w:r>
        <w:t>Шестой периодический доклад государств-участников</w:t>
      </w:r>
    </w:p>
    <w:p w:rsidR="00A44669" w:rsidRDefault="00A44669">
      <w:pPr>
        <w:pStyle w:val="HCh"/>
        <w:spacing w:after="240" w:line="240" w:lineRule="auto"/>
        <w:ind w:left="1264" w:right="1259"/>
        <w:rPr>
          <w:spacing w:val="0"/>
        </w:rPr>
      </w:pPr>
      <w:r>
        <w:rPr>
          <w:spacing w:val="0"/>
        </w:rPr>
        <w:t>Финляндия</w:t>
      </w:r>
      <w:r>
        <w:rPr>
          <w:rStyle w:val="FootnoteReference"/>
          <w:b w:val="0"/>
          <w:spacing w:val="0"/>
          <w:w w:val="100"/>
          <w:position w:val="0"/>
          <w:sz w:val="24"/>
          <w:szCs w:val="24"/>
        </w:rPr>
        <w:t xml:space="preserve"> </w:t>
      </w:r>
      <w:r>
        <w:rPr>
          <w:rStyle w:val="FootnoteReference"/>
          <w:b w:val="0"/>
          <w:spacing w:val="0"/>
          <w:w w:val="100"/>
          <w:position w:val="0"/>
          <w:sz w:val="24"/>
          <w:szCs w:val="24"/>
          <w:vertAlign w:val="baseline"/>
        </w:rPr>
        <w:footnoteReference w:customMarkFollows="1" w:id="1"/>
        <w:t>*</w:t>
      </w:r>
    </w:p>
    <w:p w:rsidR="00A44669" w:rsidRDefault="00A44669">
      <w:pPr>
        <w:pStyle w:val="SingleTxt"/>
        <w:spacing w:after="0" w:line="120" w:lineRule="exact"/>
        <w:rPr>
          <w:sz w:val="10"/>
        </w:rPr>
      </w:pPr>
    </w:p>
    <w:p w:rsidR="00A44669" w:rsidRDefault="00A44669">
      <w:pPr>
        <w:pStyle w:val="SingleTxt"/>
        <w:spacing w:after="0" w:line="120" w:lineRule="exact"/>
        <w:rPr>
          <w:sz w:val="10"/>
        </w:rPr>
      </w:pPr>
    </w:p>
    <w:p w:rsidR="00A44669" w:rsidRDefault="00A44669">
      <w:pPr>
        <w:pStyle w:val="H1"/>
      </w:pPr>
      <w:r>
        <w:br w:type="page"/>
      </w:r>
      <w:r>
        <w:rPr>
          <w:caps/>
        </w:rPr>
        <w:t>С</w:t>
      </w:r>
      <w:r>
        <w:t>одержание</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rPr>
          <w:b/>
          <w:bCs/>
          <w:caps/>
        </w:rPr>
      </w:pP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rPr>
          <w:caps/>
        </w:rPr>
      </w:pPr>
      <w:r>
        <w:rPr>
          <w:caps/>
        </w:rPr>
        <w:t>Предисловие</w:t>
      </w:r>
      <w:r>
        <w:rPr>
          <w:caps/>
        </w:rPr>
        <w:tab/>
        <w:t>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Статья 1</w:t>
      </w:r>
      <w:r>
        <w:tab/>
        <w:t>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2</w:t>
      </w:r>
      <w:r>
        <w:tab/>
        <w:t>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Законодательство</w:t>
      </w:r>
      <w:r>
        <w:tab/>
        <w:t>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1.1.</w:t>
      </w:r>
      <w:r>
        <w:tab/>
        <w:t>Реформирование Закона о равноправии мужчин и женщин</w:t>
      </w:r>
      <w:r>
        <w:tab/>
        <w:t>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1.2.</w:t>
      </w:r>
      <w:r>
        <w:tab/>
        <w:t>Законодательство, касающееся недопущения дискриминации</w:t>
      </w:r>
      <w:r>
        <w:tab/>
        <w:t>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1.3.</w:t>
      </w:r>
      <w:r>
        <w:tab/>
        <w:t>Наблюдение за осуществлением Закона о равноправии</w:t>
      </w:r>
      <w:r>
        <w:tab/>
        <w:t>9</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w:t>
      </w:r>
      <w:r>
        <w:tab/>
        <w:t>Группы меньшинств</w:t>
      </w:r>
      <w:r>
        <w:tab/>
        <w:t>9</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2.1.</w:t>
      </w:r>
      <w:r>
        <w:tab/>
        <w:t>Женщины из числа цыган</w:t>
      </w:r>
      <w:r>
        <w:tab/>
        <w:t>9</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2.2.</w:t>
      </w:r>
      <w:r>
        <w:tab/>
        <w:t>Женщины-иммигранты</w:t>
      </w:r>
      <w:r>
        <w:tab/>
        <w:t>11</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2.3.</w:t>
      </w:r>
      <w:r>
        <w:tab/>
        <w:t>Женщины-инвалиды</w:t>
      </w:r>
      <w:r>
        <w:tab/>
        <w:t>11</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3</w:t>
      </w:r>
      <w:r>
        <w:tab/>
        <w:t>12</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Правительственная программа на 2003–2007 годы</w:t>
      </w:r>
      <w:r>
        <w:tab/>
        <w:t>13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w:t>
      </w:r>
      <w:r>
        <w:tab/>
        <w:t>Правительственная программа на 2007–2011 годы</w:t>
      </w:r>
      <w:r>
        <w:tab/>
        <w:t>14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w:t>
      </w:r>
      <w:r>
        <w:tab/>
        <w:t>Обеспечение учета гендерного фактора в деятельности органов государственного управления Финляндии</w:t>
      </w:r>
      <w:r>
        <w:tab/>
        <w:t>14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4.</w:t>
      </w:r>
      <w:r>
        <w:tab/>
        <w:t>Опрос общественного мнения о равноправии мужчин и женщин 2004 года</w:t>
      </w:r>
      <w:r>
        <w:tab/>
        <w:t>15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5.</w:t>
      </w:r>
      <w:r>
        <w:tab/>
        <w:t>Финляндия как субъект международных отношений</w:t>
      </w:r>
      <w:r>
        <w:tab/>
        <w:t>16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4</w:t>
      </w:r>
      <w:r>
        <w:tab/>
        <w:t>17</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1.</w:t>
      </w:r>
      <w:r>
        <w:tab/>
        <w:t>Положение о квоте, содержащееся в Законе о равноправии</w:t>
      </w:r>
      <w:r>
        <w:tab/>
        <w:t>17</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5</w:t>
      </w:r>
      <w:r>
        <w:tab/>
        <w:t>18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Насилие в отношении женщин</w:t>
      </w:r>
      <w:r>
        <w:tab/>
        <w:t>18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1.1.</w:t>
      </w:r>
      <w:r>
        <w:tab/>
        <w:t xml:space="preserve">Законодательство, касающееся ограничительных судебных </w:t>
      </w:r>
      <w:r>
        <w:br/>
        <w:t>постановлений</w:t>
      </w:r>
      <w:r>
        <w:tab/>
        <w:t>18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1.2.</w:t>
      </w:r>
      <w:r>
        <w:tab/>
        <w:t>Исследования по вопросу о насилии в отношении женщин</w:t>
      </w:r>
      <w:r>
        <w:tab/>
        <w:t>19</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1.3.</w:t>
      </w:r>
      <w:r>
        <w:tab/>
        <w:t>Насилие в семье и насилие в рамках партнерских взаимоотношений</w:t>
      </w:r>
      <w:r>
        <w:tab/>
        <w:t>20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1.4.</w:t>
      </w:r>
      <w:r>
        <w:tab/>
        <w:t>Убежища и приюты</w:t>
      </w:r>
      <w:r>
        <w:tab/>
        <w:t>20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1.5.</w:t>
      </w:r>
      <w:r>
        <w:tab/>
        <w:t>Насилие в отношении детей</w:t>
      </w:r>
      <w:r>
        <w:tab/>
        <w:t>21</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1.6.</w:t>
      </w:r>
      <w:r>
        <w:tab/>
        <w:t>Предупреждение насилия в отношении женщин</w:t>
      </w:r>
      <w:r>
        <w:tab/>
        <w:t>22</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1.7.</w:t>
      </w:r>
      <w:r>
        <w:tab/>
        <w:t>Женщины-иммигранты</w:t>
      </w:r>
      <w:r>
        <w:tab/>
        <w:t>23</w:t>
      </w:r>
    </w:p>
    <w:p w:rsidR="00A44669" w:rsidRDefault="00A4466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ind w:left="1264" w:right="1264"/>
        <w:jc w:val="left"/>
      </w:pPr>
      <w:r>
        <w:t>2.</w:t>
      </w:r>
      <w:r>
        <w:tab/>
        <w:t>Сексуальные домогательства и притеснения по признаку пола</w:t>
      </w:r>
      <w:r>
        <w:tab/>
        <w:t>25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2.1.</w:t>
      </w:r>
      <w:r>
        <w:tab/>
        <w:t>Законодательство</w:t>
      </w:r>
      <w:r>
        <w:tab/>
        <w:t>25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2.2.</w:t>
      </w:r>
      <w:r>
        <w:tab/>
        <w:t>Притеснения по признаку пола на рабочем месте</w:t>
      </w:r>
      <w:r>
        <w:tab/>
        <w:t>25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3.</w:t>
      </w:r>
      <w:r>
        <w:tab/>
        <w:t>Пропаганда равенства в средствах массовой информации</w:t>
      </w:r>
      <w:r>
        <w:tab/>
        <w:t>27</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6</w:t>
      </w:r>
      <w:r>
        <w:tab/>
        <w:t>28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Принятие закона об уголовной ответственности за приобретение сексуальных услуг</w:t>
      </w:r>
      <w:r>
        <w:tab/>
        <w:t>28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w:t>
      </w:r>
      <w:r>
        <w:tab/>
        <w:t>Торговля людьми</w:t>
      </w:r>
      <w:r>
        <w:tab/>
        <w:t>30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2.1.</w:t>
      </w:r>
      <w:r>
        <w:tab/>
        <w:t>Международные обязательства</w:t>
      </w:r>
      <w:r>
        <w:tab/>
        <w:t>30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2.2.</w:t>
      </w:r>
      <w:r>
        <w:tab/>
        <w:t>Законодательные поправки</w:t>
      </w:r>
      <w:r>
        <w:tab/>
        <w:t>30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2.3.</w:t>
      </w:r>
      <w:r>
        <w:tab/>
        <w:t>Другие внутригосударственные меры</w:t>
      </w:r>
      <w:r>
        <w:tab/>
        <w:t>32</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2.4.</w:t>
      </w:r>
      <w:r>
        <w:tab/>
        <w:t>Международное сотрудничество</w:t>
      </w:r>
      <w:r>
        <w:tab/>
        <w:t>32</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7</w:t>
      </w:r>
      <w:r>
        <w:tab/>
        <w:t>33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Право голосовать</w:t>
      </w:r>
      <w:r>
        <w:tab/>
        <w:t>33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w:t>
      </w:r>
      <w:r>
        <w:tab/>
        <w:t>Состав правительства</w:t>
      </w:r>
      <w:r>
        <w:tab/>
        <w:t>34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w:t>
      </w:r>
      <w:r>
        <w:tab/>
        <w:t>Государственные гражданские служащие</w:t>
      </w:r>
      <w:r>
        <w:tab/>
        <w:t>34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4.</w:t>
      </w:r>
      <w:r>
        <w:tab/>
        <w:t>Государственное финансирование женских организаций</w:t>
      </w:r>
      <w:r>
        <w:tab/>
        <w:t>34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Статья 8</w:t>
      </w:r>
      <w:r>
        <w:tab/>
        <w:t>35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Статья 9</w:t>
      </w:r>
      <w:r>
        <w:tab/>
        <w:t>35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10</w:t>
      </w:r>
      <w:r>
        <w:tab/>
        <w:t>36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Планирование мер по обеспечению равноправия в учебных заведениях</w:t>
      </w:r>
      <w:r>
        <w:tab/>
        <w:t>36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w:t>
      </w:r>
      <w:r>
        <w:tab/>
        <w:t>Конкретные меры в области общего образования</w:t>
      </w:r>
      <w:r>
        <w:tab/>
        <w:t>37</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w:t>
      </w:r>
      <w:r>
        <w:tab/>
        <w:t>Женщины в сфере науки</w:t>
      </w:r>
      <w:r>
        <w:tab/>
        <w:t>37</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4.</w:t>
      </w:r>
      <w:r>
        <w:tab/>
        <w:t>Добровольное участие в силах национальной обороны</w:t>
      </w:r>
      <w:r>
        <w:tab/>
        <w:t>39</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11</w:t>
      </w:r>
      <w:r>
        <w:tab/>
        <w:t>40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Искоренение дискриминации в труде</w:t>
      </w:r>
      <w:r>
        <w:tab/>
        <w:t>41</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1.1.</w:t>
      </w:r>
      <w:r>
        <w:tab/>
        <w:t>Разница в заработной плате женщин и мужчин</w:t>
      </w:r>
      <w:r>
        <w:tab/>
        <w:t>41</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1.2.</w:t>
      </w:r>
      <w:r>
        <w:tab/>
        <w:t>Работа по срочным трудовым соглашениям</w:t>
      </w:r>
      <w:r>
        <w:tab/>
        <w:t>42</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1.3.</w:t>
      </w:r>
      <w:r>
        <w:tab/>
        <w:t>Занятость неполный рабочий день</w:t>
      </w:r>
      <w:r>
        <w:tab/>
        <w:t>44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1.4.</w:t>
      </w:r>
      <w:r>
        <w:tab/>
        <w:t>Дискриминация в связи с беременностью или отпуском по семейным обстоятельствам</w:t>
      </w:r>
      <w:r>
        <w:tab/>
        <w:t>44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w:t>
      </w:r>
      <w:r>
        <w:tab/>
        <w:t>Безработица среди женщин</w:t>
      </w:r>
      <w:r>
        <w:tab/>
        <w:t>45</w:t>
      </w:r>
    </w:p>
    <w:p w:rsidR="00A44669" w:rsidRDefault="00A44669">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ind w:left="1264" w:right="1264"/>
        <w:jc w:val="left"/>
      </w:pPr>
      <w:r>
        <w:t>3.</w:t>
      </w:r>
      <w:r>
        <w:tab/>
        <w:t>Социальное обеспечение</w:t>
      </w:r>
      <w:r>
        <w:tab/>
        <w:t>45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3.1.</w:t>
      </w:r>
      <w:r>
        <w:tab/>
        <w:t>Отпуск по уходу за ребенком, родительское пособие</w:t>
      </w:r>
      <w:r>
        <w:br/>
        <w:t>и пособие по беременности и родам</w:t>
      </w:r>
      <w:r>
        <w:tab/>
        <w:t>45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3.2</w:t>
      </w:r>
      <w:r>
        <w:tab/>
        <w:t>Пенсионная система</w:t>
      </w:r>
      <w:r>
        <w:tab/>
        <w:t>46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3.3.</w:t>
      </w:r>
      <w:r>
        <w:tab/>
        <w:t>Лица с инвалидностью</w:t>
      </w:r>
      <w:r>
        <w:tab/>
        <w:t>48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3.4.</w:t>
      </w:r>
      <w:r>
        <w:tab/>
        <w:t>Гарантия социального обеспечения и разработка методов анализа гендерных аспектов воздействия</w:t>
      </w:r>
      <w:r>
        <w:tab/>
        <w:t>48</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12</w:t>
      </w:r>
      <w:r>
        <w:tab/>
        <w:t>50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w:t>
      </w:r>
      <w:r>
        <w:tab/>
        <w:t>Охрана здоровья</w:t>
      </w:r>
      <w:r>
        <w:tab/>
        <w:t>50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1.1.</w:t>
      </w:r>
      <w:r>
        <w:tab/>
        <w:t>Общие сведения</w:t>
      </w:r>
      <w:r>
        <w:tab/>
        <w:t>50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1.2.</w:t>
      </w:r>
      <w:r>
        <w:tab/>
        <w:t>Курение, особенно среди девушек</w:t>
      </w:r>
      <w:r>
        <w:tab/>
        <w:t>50</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1.3.</w:t>
      </w:r>
      <w:r>
        <w:tab/>
        <w:t>Злоупотребление наркотическими средствами среди девушек</w:t>
      </w:r>
      <w:r>
        <w:tab/>
        <w:t>52</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2.</w:t>
      </w:r>
      <w:r>
        <w:tab/>
        <w:t>Охрана здоровья во время и после беременности</w:t>
      </w:r>
      <w:r>
        <w:tab/>
        <w:t>52</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w:t>
      </w:r>
      <w:r>
        <w:tab/>
        <w:t>Планирование размера семьи и аборты</w:t>
      </w:r>
      <w:r>
        <w:tab/>
        <w:t>53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3.1.</w:t>
      </w:r>
      <w:r>
        <w:tab/>
        <w:t>Закон о родовспоможении</w:t>
      </w:r>
      <w:r>
        <w:tab/>
        <w:t>53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3.2.</w:t>
      </w:r>
      <w:r>
        <w:tab/>
        <w:t>Аборты</w:t>
      </w:r>
      <w:r>
        <w:tab/>
        <w:t>53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4.</w:t>
      </w:r>
      <w:r>
        <w:tab/>
        <w:t>Заболевания, передающиеся половым путем</w:t>
      </w:r>
      <w:r>
        <w:tab/>
        <w:t>53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Статья 13</w:t>
      </w:r>
      <w:r>
        <w:tab/>
        <w:t>53</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pPr>
      <w:r>
        <w:t>Статья 14</w:t>
      </w:r>
      <w:r>
        <w:tab/>
        <w:t>54</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1.</w:t>
      </w:r>
      <w:r>
        <w:tab/>
        <w:t>Развитие сельских районов</w:t>
      </w:r>
      <w:r>
        <w:tab/>
        <w:t>55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Статья 15</w:t>
      </w:r>
      <w:r>
        <w:tab/>
        <w:t>55</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240"/>
        <w:ind w:left="1264" w:right="1264"/>
        <w:jc w:val="left"/>
      </w:pPr>
      <w:r>
        <w:t>Статья 16</w:t>
      </w:r>
      <w:r>
        <w:tab/>
        <w:t>56</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rPr>
          <w:caps/>
        </w:rPr>
      </w:pPr>
      <w:r>
        <w:rPr>
          <w:caps/>
        </w:rPr>
        <w:t>Приложения</w:t>
      </w:r>
      <w:r>
        <w:rPr>
          <w:caps/>
        </w:rPr>
        <w:tab/>
        <w:t>57</w:t>
      </w: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rPr>
          <w:caps/>
        </w:rPr>
      </w:pPr>
    </w:p>
    <w:p w:rsidR="00A44669" w:rsidRDefault="00A446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8618"/>
        </w:tabs>
        <w:spacing w:after="100"/>
        <w:jc w:val="left"/>
        <w:rPr>
          <w:caps/>
        </w:rPr>
      </w:pPr>
    </w:p>
    <w:p w:rsidR="00A44669" w:rsidRDefault="00A44669">
      <w:pPr>
        <w:pStyle w:val="SingleTxt"/>
        <w:ind w:left="697" w:right="1264" w:firstLine="0"/>
        <w:jc w:val="left"/>
      </w:pPr>
      <w:r>
        <w:t>Примечание Секретариата. – Приложения к докладу будут представлены членам Комитета на том языке, на каком они были получены.</w:t>
      </w:r>
    </w:p>
    <w:p w:rsidR="00A44669" w:rsidRDefault="00A44669"/>
    <w:p w:rsidR="00A44669" w:rsidRDefault="00A44669">
      <w:pPr>
        <w:pStyle w:val="H1"/>
      </w:pPr>
      <w:r>
        <w:t xml:space="preserve"> </w:t>
      </w:r>
      <w:r>
        <w:br w:type="page"/>
        <w:t>Предисловие</w:t>
      </w:r>
    </w:p>
    <w:p w:rsidR="00A44669" w:rsidRDefault="00A44669">
      <w:pPr>
        <w:ind w:firstLine="0"/>
      </w:pPr>
      <w:r>
        <w:t>Конвенция Организации Объединенных Наций о ликвидации всех форм дискриминации в отношении женщин была принята в 1979 году. Финляндия является участником данной Конвенции с 1986 года (SopS 67-68/1986).</w:t>
      </w:r>
    </w:p>
    <w:p w:rsidR="00A44669" w:rsidRDefault="00A44669">
      <w:pPr>
        <w:pStyle w:val="BodyTextIndent2"/>
      </w:pPr>
      <w:r>
        <w:t>Настоящий документ представляет собой шестой периодический доклад правительства Финляндии об осуществлении Конвенции о ликвидации всех форм дискриминации в отношении женщин. Он охватывает период с октября 2003 года по сентябрь 2007 года. Предыдущий доклад был представлен в феврале 2004 года.</w:t>
      </w:r>
    </w:p>
    <w:p w:rsidR="00A44669" w:rsidRDefault="00A44669">
      <w:pPr>
        <w:pStyle w:val="BodyTextIndent2"/>
      </w:pPr>
      <w:r>
        <w:t>Настоящий доклад подготовлен Отделом по делам правозащитных судов и конвенций Министерства иностранных дел в сотрудничестве с несколькими другими министерствами и органами. Неправительственным организациям также было предложено представить письменное заявление с изложением позиции в связи с подготовкой этого доклада. Кроме того, в сентябре 2007 года было организовано слушание по этому вопросу, на котором государственные органы, неправительственные организации, профсоюзы и консультативные советы получили возможность представить свои замечания и мнения по проекту доклада.</w:t>
      </w:r>
    </w:p>
    <w:p w:rsidR="00A44669" w:rsidRDefault="00A44669">
      <w:pPr>
        <w:ind w:firstLine="0"/>
      </w:pPr>
      <w:r>
        <w:t>Доклад был представлен Генеральному секретарю Организации Объединенных Наций в ноябре 2007 года.</w:t>
      </w:r>
    </w:p>
    <w:p w:rsidR="00A44669" w:rsidRDefault="00A44669">
      <w:pPr>
        <w:ind w:firstLine="0"/>
      </w:pPr>
      <w:r>
        <w:t>Дополнительную информацию по конвенциям о правах человека и представлению периодической отчетности о мониторинге их осуществления можно получить, обратившись в Отдел по делам правозащитных судов и конвенций Юридического департамента Министерства иностранных дел:</w:t>
      </w:r>
    </w:p>
    <w:p w:rsidR="00A44669" w:rsidRDefault="00A44669">
      <w:pPr>
        <w:pStyle w:val="Heading6"/>
        <w:ind w:left="0" w:firstLine="0"/>
        <w:jc w:val="center"/>
      </w:pPr>
      <w:r>
        <w:t>Ministry for Foreign Affairs</w:t>
      </w:r>
    </w:p>
    <w:p w:rsidR="00A44669" w:rsidRDefault="00A44669">
      <w:pPr>
        <w:pStyle w:val="Heading7"/>
        <w:ind w:left="0" w:firstLine="0"/>
      </w:pPr>
      <w:r>
        <w:t>Legal Department</w:t>
      </w:r>
    </w:p>
    <w:p w:rsidR="00A44669" w:rsidRDefault="00A44669">
      <w:pPr>
        <w:ind w:left="0" w:firstLine="0"/>
        <w:jc w:val="center"/>
        <w:rPr>
          <w:b/>
          <w:bCs/>
          <w:lang w:val="en-US"/>
        </w:rPr>
      </w:pPr>
      <w:r>
        <w:rPr>
          <w:b/>
          <w:bCs/>
          <w:lang w:val="en-US"/>
        </w:rPr>
        <w:t>Unit for Human Rights Courts and Conventions</w:t>
      </w:r>
    </w:p>
    <w:p w:rsidR="00A44669" w:rsidRDefault="00A44669">
      <w:pPr>
        <w:ind w:left="0" w:firstLine="0"/>
        <w:jc w:val="center"/>
        <w:rPr>
          <w:b/>
          <w:bCs/>
          <w:lang w:val="en-US"/>
        </w:rPr>
      </w:pPr>
      <w:r>
        <w:rPr>
          <w:b/>
          <w:bCs/>
          <w:lang w:val="en-US"/>
        </w:rPr>
        <w:t>(OIK-31)</w:t>
      </w:r>
    </w:p>
    <w:p w:rsidR="00A44669" w:rsidRDefault="00A44669">
      <w:pPr>
        <w:ind w:left="0" w:firstLine="0"/>
        <w:jc w:val="center"/>
        <w:rPr>
          <w:b/>
          <w:bCs/>
          <w:lang w:val="en-US"/>
        </w:rPr>
      </w:pPr>
      <w:r>
        <w:rPr>
          <w:b/>
          <w:bCs/>
          <w:lang w:val="en-US"/>
        </w:rPr>
        <w:t>PB 176, 00161</w:t>
      </w:r>
      <w:r>
        <w:rPr>
          <w:b/>
          <w:bCs/>
          <w:caps/>
          <w:lang w:val="en-US"/>
        </w:rPr>
        <w:t xml:space="preserve"> </w:t>
      </w:r>
      <w:smartTag w:uri="urn:schemas-microsoft-com:office:smarttags" w:element="City">
        <w:smartTag w:uri="urn:schemas-microsoft-com:office:smarttags" w:element="place">
          <w:r>
            <w:rPr>
              <w:b/>
              <w:bCs/>
              <w:caps/>
              <w:lang w:val="en-US"/>
            </w:rPr>
            <w:t>Helsinki</w:t>
          </w:r>
        </w:smartTag>
      </w:smartTag>
    </w:p>
    <w:p w:rsidR="00A44669" w:rsidRDefault="00A44669">
      <w:pPr>
        <w:ind w:left="0" w:firstLine="0"/>
        <w:jc w:val="center"/>
        <w:rPr>
          <w:lang w:val="en-US"/>
        </w:rPr>
      </w:pPr>
      <w:r>
        <w:t>Телефон</w:t>
      </w:r>
      <w:r>
        <w:rPr>
          <w:lang w:val="en-US"/>
        </w:rPr>
        <w:t>: (09) 1605 5704</w:t>
      </w:r>
    </w:p>
    <w:p w:rsidR="00A44669" w:rsidRDefault="00A44669">
      <w:pPr>
        <w:ind w:left="0" w:firstLine="0"/>
        <w:jc w:val="center"/>
      </w:pPr>
      <w:r>
        <w:t>Факс: (09) 1605 5951</w:t>
      </w:r>
    </w:p>
    <w:p w:rsidR="00A44669" w:rsidRDefault="00A44669">
      <w:pPr>
        <w:ind w:left="0" w:firstLine="0"/>
        <w:jc w:val="center"/>
      </w:pPr>
      <w:r>
        <w:t>Эл. почта: OIK-31@formin.fi</w:t>
      </w:r>
    </w:p>
    <w:p w:rsidR="00A44669" w:rsidRDefault="00A44669"/>
    <w:p w:rsidR="00A44669" w:rsidRDefault="00A44669">
      <w:pPr>
        <w:jc w:val="center"/>
        <w:rPr>
          <w:b/>
          <w:bCs/>
        </w:rPr>
      </w:pPr>
    </w:p>
    <w:p w:rsidR="00A44669" w:rsidRDefault="00A44669">
      <w:pPr>
        <w:pStyle w:val="H1"/>
      </w:pPr>
      <w:r>
        <w:br w:type="page"/>
        <w:t>Статья 1</w:t>
      </w:r>
    </w:p>
    <w:p w:rsidR="00A44669" w:rsidRDefault="00A44669">
      <w:pPr>
        <w:rPr>
          <w:i/>
          <w:iCs/>
        </w:rPr>
      </w:pPr>
      <w:r>
        <w:tab/>
      </w:r>
      <w:r>
        <w:rPr>
          <w:i/>
          <w:iCs/>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A44669" w:rsidRDefault="00A44669"/>
    <w:p w:rsidR="00A44669" w:rsidRDefault="00A44669">
      <w:pPr>
        <w:pStyle w:val="H1"/>
      </w:pPr>
      <w:r>
        <w:t>Статья 2</w:t>
      </w:r>
    </w:p>
    <w:p w:rsidR="00A44669" w:rsidRDefault="00A44669">
      <w:pPr>
        <w:rPr>
          <w:i/>
          <w:iCs/>
        </w:rPr>
      </w:pPr>
      <w:r>
        <w:tab/>
      </w:r>
      <w:r>
        <w:rPr>
          <w:i/>
          <w:iCs/>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A44669" w:rsidRDefault="00A44669">
      <w:pPr>
        <w:rPr>
          <w:i/>
          <w:iCs/>
        </w:rPr>
      </w:pPr>
      <w:r>
        <w:rPr>
          <w:i/>
          <w:iCs/>
        </w:rPr>
        <w:tab/>
        <w:t>a)</w:t>
      </w:r>
      <w:r>
        <w:rPr>
          <w:i/>
          <w:iCs/>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A44669" w:rsidRDefault="00A44669">
      <w:pPr>
        <w:rPr>
          <w:i/>
          <w:iCs/>
        </w:rPr>
      </w:pPr>
      <w:r>
        <w:rPr>
          <w:i/>
          <w:iCs/>
        </w:rPr>
        <w:tab/>
        <w:t>b)</w:t>
      </w:r>
      <w:r>
        <w:rPr>
          <w:i/>
          <w:iCs/>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A44669" w:rsidRDefault="00A44669">
      <w:pPr>
        <w:rPr>
          <w:i/>
          <w:iCs/>
        </w:rPr>
      </w:pPr>
      <w:r>
        <w:rPr>
          <w:i/>
          <w:iCs/>
        </w:rPr>
        <w:tab/>
        <w:t>c)</w:t>
      </w:r>
      <w:r>
        <w:rPr>
          <w:i/>
          <w:iCs/>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A44669" w:rsidRDefault="00A44669">
      <w:pPr>
        <w:rPr>
          <w:i/>
          <w:iCs/>
        </w:rPr>
      </w:pPr>
      <w:r>
        <w:rPr>
          <w:i/>
          <w:iCs/>
        </w:rPr>
        <w:tab/>
        <w:t>d)</w:t>
      </w:r>
      <w:r>
        <w:rPr>
          <w:i/>
          <w:iCs/>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A44669" w:rsidRDefault="00A44669">
      <w:pPr>
        <w:rPr>
          <w:i/>
          <w:iCs/>
        </w:rPr>
      </w:pPr>
      <w:r>
        <w:rPr>
          <w:i/>
          <w:iCs/>
        </w:rPr>
        <w:tab/>
        <w:t>e)</w:t>
      </w:r>
      <w:r>
        <w:rPr>
          <w:i/>
          <w:iCs/>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A44669" w:rsidRDefault="00A44669">
      <w:pPr>
        <w:rPr>
          <w:i/>
          <w:iCs/>
        </w:rPr>
      </w:pPr>
      <w:r>
        <w:rPr>
          <w:i/>
          <w:iCs/>
        </w:rPr>
        <w:tab/>
        <w:t>f)</w:t>
      </w:r>
      <w:r>
        <w:rPr>
          <w:i/>
          <w:iCs/>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A44669" w:rsidRDefault="00A44669">
      <w:pPr>
        <w:rPr>
          <w:i/>
          <w:iCs/>
        </w:rPr>
      </w:pPr>
      <w:r>
        <w:rPr>
          <w:i/>
          <w:iCs/>
        </w:rPr>
        <w:tab/>
        <w:t>g)</w:t>
      </w:r>
      <w:r>
        <w:rPr>
          <w:i/>
          <w:iCs/>
        </w:rPr>
        <w:tab/>
        <w:t>отменить все положения своего уголовного законодательства, которые представляют собой дискриминацию в отношении женщин.</w:t>
      </w:r>
    </w:p>
    <w:p w:rsidR="00A44669" w:rsidRDefault="00A44669"/>
    <w:p w:rsidR="00A44669" w:rsidRDefault="00A44669">
      <w:pPr>
        <w:pStyle w:val="H23"/>
      </w:pPr>
      <w:r>
        <w:t>1.</w:t>
      </w:r>
      <w:r>
        <w:tab/>
        <w:t>Законодательство</w:t>
      </w:r>
    </w:p>
    <w:p w:rsidR="00A44669" w:rsidRDefault="00A44669">
      <w:pPr>
        <w:rPr>
          <w:b/>
          <w:bCs/>
        </w:rPr>
      </w:pPr>
      <w:r>
        <w:rPr>
          <w:b/>
          <w:bCs/>
        </w:rPr>
        <w:t>1.1.</w:t>
      </w:r>
      <w:r>
        <w:rPr>
          <w:b/>
          <w:bCs/>
        </w:rPr>
        <w:tab/>
        <w:t>Реформирование Закона о равноправии женщин и мужчин</w:t>
      </w:r>
    </w:p>
    <w:p w:rsidR="00A44669" w:rsidRDefault="00A44669">
      <w:r>
        <w:t>1.</w:t>
      </w:r>
      <w:r>
        <w:tab/>
        <w:t>Закон о равноправии женщин и мужчин (609/1986, далее именуемый Законом о равноправии) вступил в силу 1 января 1987 года. Вторая пересмотренная редакция Закона о равноправии вступила в силу 1 июня 2005 года (15.4.2005/232; HE 1959/2004)</w:t>
      </w:r>
      <w:r>
        <w:rPr>
          <w:rStyle w:val="FootnoteReference"/>
          <w:spacing w:val="0"/>
          <w:w w:val="100"/>
          <w:position w:val="0"/>
        </w:rPr>
        <w:footnoteReference w:id="2"/>
      </w:r>
      <w:r>
        <w:t>.</w:t>
      </w:r>
    </w:p>
    <w:p w:rsidR="00A44669" w:rsidRDefault="00A44669">
      <w:r>
        <w:t>2.</w:t>
      </w:r>
      <w:r>
        <w:tab/>
        <w:t>Причиной для реформирования Закона послужила необходимость привести его в соответствие с положениями о равенстве, изложенными в Договоре об учреждении Европейского сообщества, Директивой о равном обращении с поправками, внесенными в 2002 году</w:t>
      </w:r>
      <w:r>
        <w:rPr>
          <w:rStyle w:val="FootnoteReference"/>
          <w:spacing w:val="0"/>
          <w:w w:val="100"/>
          <w:position w:val="0"/>
        </w:rPr>
        <w:footnoteReference w:id="3"/>
      </w:r>
      <w:r>
        <w:t>, Директивой о бремени доказательства</w:t>
      </w:r>
      <w:r>
        <w:rPr>
          <w:rStyle w:val="FootnoteReference"/>
          <w:spacing w:val="0"/>
          <w:w w:val="100"/>
          <w:position w:val="0"/>
        </w:rPr>
        <w:footnoteReference w:id="4"/>
      </w:r>
      <w:r>
        <w:t xml:space="preserve"> и Директивой о родительском отпуске</w:t>
      </w:r>
      <w:r>
        <w:rPr>
          <w:rStyle w:val="FootnoteReference"/>
          <w:spacing w:val="0"/>
          <w:w w:val="100"/>
          <w:position w:val="0"/>
        </w:rPr>
        <w:footnoteReference w:id="5"/>
      </w:r>
      <w:r>
        <w:t>, а также с решениями Европейского суда. Реформа была необходима также для того, чтобы привести этот Закон в соответствие с положениями о равноправии, включенными в Программу финского правительства на 2003–2007 годы, с другими законодательными поправками и с требованием усовершенствовать практику применения и мониторинга применения Закона. Кроме того, при подготовке законодательного предложения был учтен процесс развития законодательства, касающегося гендерного равенства, в странах Северной Европы.</w:t>
      </w:r>
    </w:p>
    <w:p w:rsidR="00A44669" w:rsidRDefault="00A44669">
      <w:r>
        <w:t>3.</w:t>
      </w:r>
      <w:r>
        <w:tab/>
        <w:t>Предусмотренное в пересмотренном Законе о равноправии 2005 года обязательство государственных органов поощрять равноправие во всех сферах их деятельности было подкреплено внедрением принципа учета гендерного фактора.</w:t>
      </w:r>
    </w:p>
    <w:p w:rsidR="00A44669" w:rsidRDefault="00A44669">
      <w:r>
        <w:t>4.</w:t>
      </w:r>
      <w:r>
        <w:tab/>
        <w:t>Были дополнены и уточнены положения об общем запрете на дискриминацию. Они теперь включают определения прямой и косвенной дискриминации, а также квалифицируют домогательство как проявление дискриминации. Согласно Закону о равноправии, понятие "домогательство" охватывает помимо сексуального домогательства притеснение по признаку пола, даже если соответствующее действие не носит сексуального характера. Приказ или указание, направленные на дискриминацию, также определяются как дискриминация.</w:t>
      </w:r>
    </w:p>
    <w:p w:rsidR="00A44669" w:rsidRDefault="00A44669">
      <w:r>
        <w:t>5.</w:t>
      </w:r>
      <w:r>
        <w:tab/>
        <w:t>Была уточнена формулировка положений о специальном запрете на дискриминацию в сфере трудовой деятельности, а также прояснены положения о мерах борьбы с домогательством и притеснениями на работе и обязанности работодателя обеспечивать устранение такой практики. В Закон включены положения о запрещении дискриминации в учебных заведениях и профессиональных кругах, причем случаи такой дискриминации подпадают под процедуру выплаты компенсаций.</w:t>
      </w:r>
    </w:p>
    <w:p w:rsidR="00A44669" w:rsidRDefault="00A44669">
      <w:r>
        <w:t>6.</w:t>
      </w:r>
      <w:r>
        <w:tab/>
        <w:t>В отношении случаев, на которые распространяется специальный запрет на дискриминацию, в Закон добавлено отдельное положение о бремени доказательства. Согласно этому положению, если лицо считает себя жертвой дискриминации и передает дело о дискриминации, подпадающей под действие Закона, на рассмотрение суда или компетентного органа и если изложенные факты дают основания полагать, что речь идет о дискриминации по признаку пола, то обвиняемый должен доказать, что никакого нарушения равноправия между женщинами и мужчинами не было и что это действие было совершено по приемлемой причине, а не по признаку пола. Это положение, однако, не применяется при рассмотрении уголовных дел.</w:t>
      </w:r>
    </w:p>
    <w:p w:rsidR="00A44669" w:rsidRDefault="00A44669">
      <w:r>
        <w:br w:type="page"/>
        <w:t>7.</w:t>
      </w:r>
      <w:r>
        <w:tab/>
        <w:t>Была расширена область применения положений о дискриминации в производственной сфере, с тем чтобы предусматриваемые для работодателей положения соответственно применялись к компании, нанимающей работников у другой компании, в тех случаях, когда она осуществляет свою власть в качестве работодателя. При необходимости положения о работодателях также применимы к той или иной форме правовых отношений, сопоставимых с любым другим типом трудовых отношений.</w:t>
      </w:r>
    </w:p>
    <w:p w:rsidR="00A44669" w:rsidRDefault="00A44669">
      <w:r>
        <w:t>8.</w:t>
      </w:r>
      <w:r>
        <w:tab/>
        <w:t>Был отменен максимальный размер компенсации, за исключением случаев найма работников, а также была расширена сфера применения процедуры выплаты компенсаций для охвата учебных заведений, за исключением тех из них, которые дают базовое образование. Помимо работодателя компенсацию за нарушение запрета на дискриминацию также обязаны выплачивать учебные заведения и профессиональные круги. Получение компенсации не препятствует потерпевшей стороне требовать возмещения материального ущерба, в том числе в соответствии с Законом об обязательствах вследствие причинения вреда или другим законом. Обязанность работодателя содействовать обеспечению равноправия теперь более точно сформулирована в Законе о равноправии, согласно которому предупреждение дискриминации также считается поощрением равноправия.</w:t>
      </w:r>
    </w:p>
    <w:p w:rsidR="00A44669" w:rsidRDefault="00A44669">
      <w:r>
        <w:t>9.</w:t>
      </w:r>
      <w:r>
        <w:tab/>
        <w:t xml:space="preserve">Одна из важнейших поправок, внесенных в пересмотренную редакцию Закона о равноправии, касается усиления и более четкого формулирования обязательства по планированию мер, направленных на обеспечение равноправия. Согласно положениям Закона, если число наемных работников, состоящих в трудовых отношениях с работодателем, превышает 30 работающих на постоянной основе человек, то работодатель должен каждый год составлять план обеспечения равноправия и осуществлять в соответствии с ним меры поощрения равноправия. В Законе изложены минимальные требования к содержанию плана. В план обеспечения равноправия должен быть включен, в частности, обзор заработной платы, выплачиваемой за каждый вид работ. </w:t>
      </w:r>
    </w:p>
    <w:p w:rsidR="00A44669" w:rsidRDefault="00A44669">
      <w:r>
        <w:t>10.</w:t>
      </w:r>
      <w:r>
        <w:tab/>
        <w:t>Работодателя, который в установленный период времени, вопреки его обязательству, не составил план обеспечения равноправия, Совет по вопросам равноправия может обязать сделать это под страхом наказания в виде штрафа. Омбудсмен по вопросам равноправия может передать дело, касающееся обязательства и наказания, на рассмотрение Совета, если работодатель, несмотря на просьбу омбудсмена, не составил план в установленные разумные сроки</w:t>
      </w:r>
      <w:r>
        <w:rPr>
          <w:rStyle w:val="FootnoteReference"/>
          <w:spacing w:val="0"/>
          <w:w w:val="100"/>
          <w:position w:val="0"/>
        </w:rPr>
        <w:footnoteReference w:id="6"/>
      </w:r>
      <w:r>
        <w:t xml:space="preserve">. </w:t>
      </w:r>
    </w:p>
    <w:p w:rsidR="00A44669" w:rsidRDefault="00A44669">
      <w:pPr>
        <w:pStyle w:val="H23"/>
      </w:pPr>
      <w:r>
        <w:t>1.2.</w:t>
      </w:r>
      <w:r>
        <w:tab/>
        <w:t>Законодательство, касающееся недопущения дискриминации</w:t>
      </w:r>
    </w:p>
    <w:p w:rsidR="00A44669" w:rsidRDefault="00A44669">
      <w:r>
        <w:t>11.</w:t>
      </w:r>
      <w:r>
        <w:tab/>
        <w:t xml:space="preserve">Закон о борьбе с дискриминацией (21/2004) вступил в силу 1 февраля 2004 года, обеспечивая выполнение Директивы Совета (2000/43/ЕС) об осуществлении принципа равного обращения со всеми лицами, независимо от их расовой или этнической принадлежности, и Директивы Совета (2000/78/ЕС) о создании общей основы для равного обращения в сфере занятости и профессиональной деятельности. </w:t>
      </w:r>
    </w:p>
    <w:p w:rsidR="00A44669" w:rsidRDefault="00A44669">
      <w:r>
        <w:t>12.</w:t>
      </w:r>
      <w:r>
        <w:tab/>
        <w:t>25 января 2007 года Министерство юстиции учредило Комитет, в задачу которого входит реформирование финского законодательства, касающегося недопущения дискриминации. В дополнение к Закону о борьбе с дискриминацией Комитет должен определить, имеется ли необходимость во внесении поправок в положения, касающиеся недопущения дискриминации, равноправия и дискриминации, которые содержатся в других законах. В связи с реформой будут пересмотрены и обновлены, где это необходимо, должности, обязанности и компетенция существующих органов по борьбе с дискриминацией, а именно омбудсмена по делам меньшинств и омбудсмена по вопросам равноправия. Комитет должен представить предварительный доклад о масштабах требуемой реформы и вариантах ее проведения к 31 января 2008 года, а свои предложения по реформированию законодательства, касающегося недопущения дискриминации, к 31 января 2009 года, однако с учетом работы, проделанной на сегодняшний день Комитетом, по-видимому, придется продлить сроки исполнения до осени 2009 года.</w:t>
      </w:r>
    </w:p>
    <w:p w:rsidR="00A44669" w:rsidRDefault="00A44669">
      <w:pPr>
        <w:pStyle w:val="H23"/>
      </w:pPr>
      <w:r>
        <w:t>1.3.</w:t>
      </w:r>
      <w:r>
        <w:tab/>
        <w:t>Наблюдение за осуществлением Закона о равноправии</w:t>
      </w:r>
    </w:p>
    <w:p w:rsidR="00A44669" w:rsidRDefault="00A44669">
      <w:r>
        <w:t>13.</w:t>
      </w:r>
      <w:r>
        <w:tab/>
        <w:t xml:space="preserve">В пересмотренной редакции Закона о равноправии предусмотрены новые обязанности для омбудсмена по вопросам равноправия, поскольку наблюдение за осуществлением Закона связано с расширением сферы применения материального аспекта и увеличением круга заинтересованных лиц. Одна лишь обязанность наблюдать за планированием мер по обеспечению равноправия на рабочих местах и в учебных заведениях предполагает охват приблизительно 5000–6000 рабочих мест и более 1000 учебных заведений. Что касается эффективного мониторинга осуществления Закона, то серьезная проблема состоит в том, что в результате реформирования последнего была учреждена всего одна новая должность для исполнения обязанностей омбудсмена по вопросам равноправия. Всего в Управлении омбудсмена по вопросам равноправия имеется 10,5 должностной ставки, и этого числа недостаточно для обеспечения эффективного наблюдения за осуществлением Закона в сфере трудовой деятельности и других областях общественной жизни, а также для выполнения задачи по активному поощрению равноправия, что тоже входит в обязанности омбудсмена. </w:t>
      </w:r>
    </w:p>
    <w:p w:rsidR="00A44669" w:rsidRDefault="00A44669">
      <w:pPr>
        <w:pStyle w:val="H23"/>
      </w:pPr>
      <w:r>
        <w:t>2.</w:t>
      </w:r>
      <w:r>
        <w:tab/>
        <w:t>Группы меньшинств</w:t>
      </w:r>
    </w:p>
    <w:p w:rsidR="00A44669" w:rsidRDefault="00A44669">
      <w:r>
        <w:t>14.</w:t>
      </w:r>
      <w:r>
        <w:tab/>
        <w:t xml:space="preserve">Комитет по ликвидации дискриминации в отношении женщин в своих выводах, сделанных на основе предыдущих периодических докладов, выразил обеспокоенность в связи с сохраняющейся дискриминацией в отношении женщин из числа иммигрантов и меньшинств, проживающих в Финляндии, в частности цыганских и саамских женщин, которые подвергаются двойной дискриминации – дискриминации по признаку пола и этнической принадлежности. </w:t>
      </w:r>
    </w:p>
    <w:p w:rsidR="00A44669" w:rsidRDefault="00A44669">
      <w:pPr>
        <w:pStyle w:val="H23"/>
      </w:pPr>
      <w:r>
        <w:t>2.1.</w:t>
      </w:r>
      <w:r>
        <w:tab/>
        <w:t>Женщины из числа цыган</w:t>
      </w:r>
    </w:p>
    <w:p w:rsidR="00A44669" w:rsidRDefault="00A44669">
      <w:r>
        <w:t>15.</w:t>
      </w:r>
      <w:r>
        <w:tab/>
        <w:t>По мнению Консультативного совета по делам народности рома, в последние несколько лет условия жизни цыган в Финляндии регулярно улучшались, так же как улучшалось и решение вопросов их равноправия. Это бросается в глаза, прежде всего, когда речь заходит о разработке законодательства и сборе и выделении средств для учреждений, в деятельности которых участвуют цыгане. Закон о борьбе с дискриминацией, вступивший в</w:t>
      </w:r>
      <w:r>
        <w:rPr>
          <w:lang w:val="en-US"/>
        </w:rPr>
        <w:t> </w:t>
      </w:r>
      <w:r>
        <w:t>силу в 2004 году, обязывает государственные органы составить план недопущения дискриминации, который, по мнению Совета, является действенным средством расширения доступа цыган к услугам и повышения их статуса как равноправных членов общества.</w:t>
      </w:r>
    </w:p>
    <w:p w:rsidR="00A44669" w:rsidRDefault="00A44669">
      <w:r>
        <w:t>16.</w:t>
      </w:r>
      <w:r>
        <w:tab/>
        <w:t xml:space="preserve">По мнению Консультативного совета по делам народности рома, женщины из числа цыган, несмотря на реформирование и изменение законодательства, по-прежнему сталкиваются с дискриминацией на рынке труда и в отношении доступа к услугам в частном секторе. В частности, причиной для дискриминации может стать национальная одежда цыганских женщин. С другой стороны, сегодня женщины этой народности лучше осведомлены о своих правах, чем прежде. Что касается возможностей трудоустройства, то, по данным Консультативного совета по делам народности рома, главной проблемой в этой области для цыганских женщин является их низкий уровень образования. </w:t>
      </w:r>
    </w:p>
    <w:p w:rsidR="00A44669" w:rsidRDefault="00A44669">
      <w:r>
        <w:t>17.</w:t>
      </w:r>
      <w:r>
        <w:tab/>
        <w:t>В Ежегодном докладе омбудсмена по делам меньшинств за 2005 год особое внимание уделяется жилищным проблемам, с которыми сталкиваются цыгане; на рассмотрении Управления омбудсмена в 2005 году находились 70 дел. Довольно часто случаи, о которых сообщается омбудсмену, касаются одиноких матерей с детьми, имеющих финансовые и другие повседневные проблемы, связанные с обеспеченностью жильем, а также с выселением и бездомностью. От положения женщин из числа цыган также непосредственно зависит положение их детей. Что касается возможностей для посещения школы этими детьми, то нестабильные условия жизни ставят их в невыгодное положение в этом отношении.</w:t>
      </w:r>
    </w:p>
    <w:p w:rsidR="00A44669" w:rsidRDefault="00A44669">
      <w:r>
        <w:t>18.</w:t>
      </w:r>
      <w:r>
        <w:tab/>
        <w:t>Вообще говоря, Финская сеть поддержки и услуг также оказывает значительную помощь женщинам из числа цыган. Например, услуги, оказываемые в клиниках матери и ребенка, пособие по беременности и родам, субсидии на образование и т. д. – это адресные льготы, которые на практике предоставляются всему населению, в том числе для поддержания уровня базового дохода всех без исключения лиц в любой жизненной ситуации.</w:t>
      </w:r>
    </w:p>
    <w:p w:rsidR="00A44669" w:rsidRDefault="00A44669">
      <w:r>
        <w:t>19.</w:t>
      </w:r>
      <w:r>
        <w:tab/>
        <w:t>Уровень безработицы среди цыганских женщин выше, чем среди основного населения. По данным Консультативного совета по делам народности рома, ситуация в этой области напрямую не зависит от общего экономического положения и положения на рынке труда, а зависит от социальных установок и, как правило, низкого уровня образования цыган. Вместе с тем в решении этого вопроса наметился значительный прогресс, и молодые женщины и девушки в особенности более активно, чем прежде, участвуют в системе дополнительного образования и образования для взрослых. Однако взрослым учащимся трудно обеспечить уход за детьми и их содержание во время учебы. Министерство труда приступило к проведению исследования положения с занятостью цыган, которое по плану должно быть завершено в конце 2007 года.</w:t>
      </w:r>
    </w:p>
    <w:p w:rsidR="00A44669" w:rsidRDefault="00A44669">
      <w:r>
        <w:t>20.</w:t>
      </w:r>
      <w:r>
        <w:tab/>
        <w:t xml:space="preserve">Обеспечение ухода за детьми в дневное время – это одно из основных условий трудоустройства женщин. Развитие услуг в области социального обеспечения и здравоохранения в интересах цыган самым тесным образом связано с дошкольным образованием цыганских детей. Впервые в новом основном учебном плане для дошкольного образования на 2003 год (Национальный центр научных исследований и разработок в области социального обеспечения и здравоохранения, СТАКЕС, инструкция 26) учтены потребности детей из числа цыган как группы, имеющей собственный язык и культуру. Кроме того, муниципалитетам предложено использовать для финансирования проекта развития услуг, предназначенных для языковых и культурных меньшинств, средства из бюджета программы развития, начатой в 2003 году сектором социального обеспечения. Действительно, в 2004–2005 годах было начато осуществление трех проектов дошкольного образования для детей-цыган. Цель этих проектов состояла в повышении довольно низкого уровня участия детей-цыган в программах дошкольного и начального образования. </w:t>
      </w:r>
    </w:p>
    <w:p w:rsidR="00A44669" w:rsidRDefault="00A44669">
      <w:r>
        <w:t>21.</w:t>
      </w:r>
      <w:r>
        <w:tab/>
        <w:t>Что касается гражданской деятельности цыганского населения в Финляндии, то примечательно активное участие женщин из числа цыган в организационной деятельности. В 2006 году в Финляндии были созданы две первые в этой стране организации цыганских женщин – Христианская ассоциация цыганских женщин "Кромана рю", которая является общенациональной женской организацией, и Ассоциация цыганских женщин в Ювяскюля, считающаяся местной организацией. Кроме того, совсем недавно, 24 марта 2007 года, был основан Финский форум цыган (Финтико Романо форум).</w:t>
      </w:r>
    </w:p>
    <w:p w:rsidR="00A44669" w:rsidRDefault="00A44669">
      <w:pPr>
        <w:pStyle w:val="H23"/>
      </w:pPr>
      <w:r>
        <w:t>2.2.</w:t>
      </w:r>
      <w:r>
        <w:tab/>
        <w:t>Женщины-иммигранты</w:t>
      </w:r>
    </w:p>
    <w:p w:rsidR="00A44669" w:rsidRDefault="00A44669">
      <w:r>
        <w:t>22.</w:t>
      </w:r>
      <w:r>
        <w:tab/>
        <w:t>Моника-найсет лиитто рю (Многокультурная женская ассоциация) – это организация, созданная в 1998 году с целью улучшения положения женщин-иммигрантов в Финляндии. Ассоциация предоставляет и развивает услуги, предназначенные для женщин и детей из числа иммигрантов, которые подверглись насилию со стороны партнеров или близких родственников; она имеет целью предупреждение изоляции женщин-иммигрантов посредством поддержки их интеграции в финское общество. Их интеграция также обеспечивается путем сотрудничества с другими организациями. Ассоциация выступает в качестве широкой организации, членами которой являются 14 организаций женщин-иммигрантов в Финляндии, работающих по всей стране.</w:t>
      </w:r>
    </w:p>
    <w:p w:rsidR="00A44669" w:rsidRDefault="00A44669">
      <w:r>
        <w:t>23.</w:t>
      </w:r>
      <w:r>
        <w:tab/>
        <w:t>В своем заявлении с изложением позиции, представленном в связи с подготовкой настоящего периодического доклада, Ассоциация "Моника-найсет лиитто рю" подчеркнула, что без свободного владения финским языком в Финляндии трудно найти работу. Если женщина не имеет доступа к активной трудовой деятельности, то от этого страдает ее благополучие и благополучие ее семьи. Это, в частности, сказывается на детях и подростках. По мнению Ассоциации, уровень дохода иммигрантов на две трети меньше, чем у основного населения страны. По данным исследований, женщины-иммигранты находятся в наиболее уязвимом положении на рынке труда и, кроме того, от них избавляются первыми, когда положение на рынке труда ухудшается.</w:t>
      </w:r>
    </w:p>
    <w:p w:rsidR="00A44669" w:rsidRDefault="00A44669">
      <w:r>
        <w:t>24.</w:t>
      </w:r>
      <w:r>
        <w:tab/>
        <w:t>В своем заявлении с изложением позиции, представленном в связи с подготовкой настоящего периодического доклада, ЮНИФЕМ Финляндия (Национальный комитет по делам ЮНИФЕМ в Финляндии) указал на наличие в Финляндии женщин-иммигрантов, совершенно не владеющих грамотой даже на родном языке, из-за чего им гораздо труднее учить финский язык и, следовательно, интегрироваться в финское общество и пользоваться предоставляемыми в стране услугами.</w:t>
      </w:r>
    </w:p>
    <w:p w:rsidR="00A44669" w:rsidRDefault="00A44669">
      <w:pPr>
        <w:pStyle w:val="H23"/>
      </w:pPr>
      <w:r>
        <w:t>2.3.</w:t>
      </w:r>
      <w:r>
        <w:tab/>
        <w:t>Женщины-инвалиды</w:t>
      </w:r>
    </w:p>
    <w:p w:rsidR="00A44669" w:rsidRDefault="00A44669">
      <w:r>
        <w:t>25.</w:t>
      </w:r>
      <w:r>
        <w:tab/>
        <w:t>В мае 2006 года правительство представило на рассмотрение парламента свой первый Доклад о политике в отношении инвалидов</w:t>
      </w:r>
      <w:r>
        <w:rPr>
          <w:rStyle w:val="FootnoteReference"/>
          <w:spacing w:val="0"/>
          <w:w w:val="100"/>
          <w:position w:val="0"/>
        </w:rPr>
        <w:footnoteReference w:id="7"/>
      </w:r>
      <w:r>
        <w:t>.</w:t>
      </w:r>
    </w:p>
    <w:p w:rsidR="00A44669" w:rsidRDefault="00A44669">
      <w:r>
        <w:t>26.</w:t>
      </w:r>
      <w:r>
        <w:tab/>
        <w:t>В рамках подготовки Доклада о политике Национальный совет по проблемам инвалидности провел исследование</w:t>
      </w:r>
      <w:r>
        <w:rPr>
          <w:rStyle w:val="FootnoteReference"/>
          <w:spacing w:val="0"/>
          <w:w w:val="100"/>
          <w:position w:val="0"/>
        </w:rPr>
        <w:footnoteReference w:id="8"/>
      </w:r>
      <w:r>
        <w:t xml:space="preserve"> с целью изучения мнений действующих в Финляндии организаций, занимающихся проблемами инвалидов. 80 процентов организаций, давших ответы при опросе, заявили, что в отношении к инвалидам и проблемам инвалидности в целом произошли изменения к лучшему. Тем не менее среди населения продолжают бытовать стереотипные, не отличающиеся разнообразием представления об инвалидах. Считается, что все они похожи друг на друга и между ними нет никакой разницы с точки зрения формы и группы инвалидности, пола или индивидуальных особенностей. Говоря по существу, в большинстве случаев женщина-инвалид прежде всего воспринимается как инвалид и только потом – как женщина.</w:t>
      </w:r>
    </w:p>
    <w:p w:rsidR="00A44669" w:rsidRDefault="00A44669">
      <w:r>
        <w:t>27.</w:t>
      </w:r>
      <w:r>
        <w:tab/>
        <w:t>В Докладе о политике в отношении инвалидов подчеркивается право лица с инвалидностью на равное обращение, участие в деятельности и на пользование необходимыми мерами поддержки. Женщина-инвалид имеет право учиться, работать, иметь доход, семью, хобби. Женщине-инвалиду должно быть предоставлено право на самовыражение как полноправному члену общества.</w:t>
      </w:r>
    </w:p>
    <w:p w:rsidR="00A44669" w:rsidRDefault="00A44669">
      <w:r>
        <w:t>28.</w:t>
      </w:r>
      <w:r>
        <w:tab/>
        <w:t>Министерство социальных дел и здравоохранения провело обследование по вопросу учета гендерных аспектов в системе государственного управления Финляндии</w:t>
      </w:r>
      <w:r>
        <w:rPr>
          <w:rStyle w:val="FootnoteReference"/>
          <w:spacing w:val="0"/>
          <w:w w:val="100"/>
          <w:position w:val="0"/>
        </w:rPr>
        <w:footnoteReference w:id="9"/>
      </w:r>
      <w:r>
        <w:t>. Степень учета гендерного фактора при подготовке статистических данных и информации по-прежнему является недостаточной. В частности, имеется крайне мало информации о женщинах-инвалидах.</w:t>
      </w:r>
    </w:p>
    <w:p w:rsidR="00A44669" w:rsidRDefault="00A44669">
      <w:r>
        <w:t>29.</w:t>
      </w:r>
      <w:r>
        <w:tab/>
        <w:t>Самым важным мероприятием для финских женщин-инвалидов, организованным в рамках Европейского года инвалидов в 2003 году, стал семинар на тему "Женщины-инвалиды должны участвовать во всех областях". Данное мероприятие было организовано Финской ассоциацией лиц с нарушением двигательных функций (Инвалидилиитто рю), Базовой ассоциацией (Кюннюс рю), Финской федерацией слабовидящих (Някёваммайстен Кескуслиитто рю), Финским обществом по проблемам рассеянного склероза (Суомен МС</w:t>
      </w:r>
      <w:r>
        <w:noBreakHyphen/>
        <w:t xml:space="preserve">лиитто рю), Финской федерацией слабослышащих (Куулон-хуолтолиитто), Финской ассоциацией по проблемам артрита (Суомен реумалиитто рю) и Национальным советом по проблемам инвалидности. Результаты работы семинара послужили основой для создания женской сети организаций в поддержку инвалидов. В состав этой сети входят 14 различных организаций, включая центральные организации для лиц с сенсорными расстройствами, умственными недостатками, церебральными нарушениями и физическими недостатками, а также Национальный совет по проблемам инвалидности, Финский форум инвалидов (Суомен ваммайсфооруми рю) и Центр поддержки иммигрантов-инвалидов (Ваммайстен мааханмууттайен тукикескус). Главная цель сети – стать частью сектора женских организаций. Первое, что сделала сеть, – это подготовила специальную целевую программу для женщин-инвалидов. По случаю опубликования целевой программы в 2006 году в Международный женский день в парламенте состоялось мероприятие на тему "Я прежде всего женщина". </w:t>
      </w:r>
    </w:p>
    <w:p w:rsidR="00A44669" w:rsidRDefault="00A44669"/>
    <w:p w:rsidR="00A44669" w:rsidRDefault="00A44669">
      <w:pPr>
        <w:pStyle w:val="H1"/>
      </w:pPr>
      <w:r>
        <w:t>Статья 3</w:t>
      </w:r>
    </w:p>
    <w:p w:rsidR="00A44669" w:rsidRDefault="00A44669">
      <w:pPr>
        <w:ind w:firstLine="0"/>
        <w:rPr>
          <w:i/>
          <w:iCs/>
        </w:rPr>
      </w:pPr>
      <w:r>
        <w:rPr>
          <w:i/>
          <w:iCs/>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A44669" w:rsidRDefault="00A44669">
      <w:pPr>
        <w:pStyle w:val="H23"/>
      </w:pPr>
      <w:r>
        <w:t>1.</w:t>
      </w:r>
      <w:r>
        <w:tab/>
        <w:t>Правительственная программа на 2003–2007 годы</w:t>
      </w:r>
    </w:p>
    <w:p w:rsidR="00A44669" w:rsidRDefault="00A44669">
      <w:r>
        <w:t>30.</w:t>
      </w:r>
      <w:r>
        <w:tab/>
        <w:t>Правительственная программа, разработанная первым правительством во главе с премьер-министром Матти Ванханеном в период 2003–2007 годов, включала рекордное количество целей, направленных на содействие обеспечению равноправия. Правительство обязалось подготовить национальную программу действий по обеспечению равноправия, предусматривающую, что поощрение гендерного равенства является задачей всего правительства. На основе Правительственной программы и Пекинской платформы действий правительство составило Национальный план действий по обеспечению равноправия, содержащий почти 100 мер, направленных на содействие достижению равноправия. На этапе подготовки Плана были проведены два мероприятия для выслушивания мнений неправительственных организаций, а проект плана был разослан для представления заявлений с изложением позиции по нему. В декабре 2004 года План действий по обеспечению равноправия был принят правительством как решение в принципе Государственного совета. Изложенные в нем меры осуществлялись в течение</w:t>
      </w:r>
      <w:r>
        <w:br/>
        <w:t>2003–2007 годов.</w:t>
      </w:r>
    </w:p>
    <w:p w:rsidR="00A44669" w:rsidRDefault="00A44669">
      <w:r>
        <w:t>31.</w:t>
      </w:r>
      <w:r>
        <w:tab/>
        <w:t xml:space="preserve">Разработанный правительством Национальный план действий по обеспечению равноправия был довольно обширным, что объяснялось серьезностью и значительностью целей в области равноправия, сформулированных в Правительственной программе. Окончательная оценка результатов его выполнения свидетельствует о том, что большинство предусмотренных планом обеспечения равноправия мер было реализовано, при этом в ряде случаев также возникла необходимость в осуществлении дальнейших мер. Совместная рабочая группа министерств по выполнению плана обеспечения равноправия укрепила сотрудничество между разными звеньями структуры государственного управления в осуществлении Правительственной программы по обеспечению равноправия и в учете гендерных аспектов. Структуризацией и упорядочением соответствующих вопросов равноправия занимались министерства. </w:t>
      </w:r>
    </w:p>
    <w:p w:rsidR="00A44669" w:rsidRDefault="00A44669">
      <w:r>
        <w:t>32.</w:t>
      </w:r>
      <w:r>
        <w:tab/>
        <w:t xml:space="preserve">Благодаря предусмотренным в Национальном плане действий по обеспечению равноправия мерам по увеличению числа женщин в советах директоров государственных корпораций и компаний, частично принадлежащих государству, удалось повысить долю женщин, назначенных членами правления компаний, в среднем до 40 процентов. В течение срока полномочий правительства в сотрудничестве с основными организациями, действующими на рынке труда, было начато осуществление трехсторонней программы по обеспечению равной платы за труд равной ценности и укреплены возможности для развития женского предпринимательства. </w:t>
      </w:r>
    </w:p>
    <w:p w:rsidR="00A44669" w:rsidRDefault="00A44669">
      <w:r>
        <w:t>33.</w:t>
      </w:r>
      <w:r>
        <w:tab/>
        <w:t xml:space="preserve">Во все большей степени выравниваются расходы работодателей на оплату отпусков по семейным обстоятельствам, предоставляемых работникам. Стало легче совмещать производственные и семейные обязанности, например за счет организации дневного ухода за детьми, посещающими начальные классы, распространения права одного из родителей на временный отпуск по уходу за больным ребенком на тех родителей, которые не живут в одном с ребенком домохозяйстве, расширения прав приемных родителей на отпуск по семейным обстоятельствам и продления срока действия права родителей, имеющих детей-инвалидов, на частичный отпуск по уходу за ребенком. </w:t>
      </w:r>
    </w:p>
    <w:p w:rsidR="00A44669" w:rsidRDefault="00A44669">
      <w:r>
        <w:t>34.</w:t>
      </w:r>
      <w:r>
        <w:tab/>
        <w:t xml:space="preserve">В обсуждение политики в отношении равноправия был привнесен новый аспект – аспект, касающийся мужчин и равноправия. Для повышения эффективности учета гендерных аспектов рабочая группа по Программе по обеспечению равноправия стремилась к взаимодействию со стратегическими программами правительства, но результаты этих усилий оказались неудовлетворительными. </w:t>
      </w:r>
    </w:p>
    <w:p w:rsidR="00A44669" w:rsidRDefault="00A44669">
      <w:pPr>
        <w:pStyle w:val="H23"/>
      </w:pPr>
      <w:r>
        <w:t>2.</w:t>
      </w:r>
      <w:r>
        <w:tab/>
        <w:t>Правительственная программа на 2007–2011 годы</w:t>
      </w:r>
    </w:p>
    <w:p w:rsidR="00A44669" w:rsidRDefault="00A44669">
      <w:r>
        <w:t>35.</w:t>
      </w:r>
      <w:r>
        <w:tab/>
        <w:t>Правительственная программа (опубликована 16 апреля 2007 года), разработанная вторым правительством во главе с премьер-министром Матти Ванханеном, содержит отдельный подраздел, озаглавленный "Обеспечение равенства между женщинами и мужчинами". В Программе говорится, что гендерное равенство является одной из главных ценностей финского общества и что все правительство обязано поощрять равноправие на всех уровнях принятия решений. Выполнение трехсторонней программы по осуществлению принципа равной платы за труд равной ценности, начатой в период нахождения у власти предыдущего правительства, будет продолжено с целью безусловного сокращения неравенства в оплате труда по признаку пола в течение срока полномочий нынешнего правительства.</w:t>
      </w:r>
    </w:p>
    <w:p w:rsidR="00A44669" w:rsidRDefault="00A44669">
      <w:r>
        <w:t>36.</w:t>
      </w:r>
      <w:r>
        <w:tab/>
        <w:t>Правительственной программой предусмотрено, что правительство будет содействовать продвижению женщин по службе и выдвижению их на руководящие должности, а также бороться с разделением рынка труда по признаку пола. На всех уровнях принятия решений будет поощряться совмещение производственных и семейных обязанностей, а отцов будут побуждать к тому, чтобы они чаще пользовались своим правом на отпуск по семейным обстоятельствам. Отцовский отпуск будет продлен на две недели.</w:t>
      </w:r>
    </w:p>
    <w:p w:rsidR="00A44669" w:rsidRDefault="00A44669">
      <w:r>
        <w:t>37.</w:t>
      </w:r>
      <w:r>
        <w:tab/>
        <w:t>В Правительственной программе также говорится, что "правительство обеспечит учет гендерного фактора при подготовке законопроектов, в процессе составления бюджета и при разработке других важных проектов с самых первых этапов. В целях продвижения этого вопроса министерства должны организовать профессиональную подготовку". Больше внимания будет уделяться повышению осведомленности по гендерным вопросам на уровне дошкольного образования и при подготовке учителей. Гендерные аспекты также будут учитываться при предоставлении социальных и медицинских услуг и сокращении разрыва в охране здоровья. Будут улучшены условия и ресурсы для деятельности органов государственной власти и женских организаций, занимающихся вопросами обеспечения гендерного равенства.</w:t>
      </w:r>
    </w:p>
    <w:p w:rsidR="00A44669" w:rsidRDefault="00A44669">
      <w:r>
        <w:t>38.</w:t>
      </w:r>
      <w:r>
        <w:tab/>
        <w:t>Кроме того, в период выборов правительство представит доклад об обеспечении равенства между женщинами и мужчинами на рассмотрение парламента. Правительство будет содействовать поддержке деятельности работающих на рынке труда организаций, направленной на поощрение гендерного равенства и равной оплаты труда. Правительство готово поддержать путем увеличения государственных субсидий, предоставляемых муниципалитетам, заключение коллективного соглашения о заработной плате в муниципальном секторе, которое имеет целью содействовать повышению конкурентоспособности заработной платы, выплачиваемой в секторах, в которых доминируют женщины.</w:t>
      </w:r>
    </w:p>
    <w:p w:rsidR="00A44669" w:rsidRDefault="00A44669">
      <w:pPr>
        <w:pStyle w:val="H23"/>
      </w:pPr>
      <w:r>
        <w:t>3.</w:t>
      </w:r>
      <w:r>
        <w:tab/>
        <w:t>Обеспечение учета гендерного фактора в деятельности органов государственного управления Финляндии</w:t>
      </w:r>
    </w:p>
    <w:p w:rsidR="00A44669" w:rsidRDefault="00A44669">
      <w:r>
        <w:t>39.</w:t>
      </w:r>
      <w:r>
        <w:tab/>
        <w:t>Финляндия обязалась обеспечить учет гендерного фактора в деятельности органов государственного управления Финляндии, поскольку она подписала Пекинскую платформу действий Организации Объединенных Наций в 1995 году и стала членом Европейского союза, в котором требование учета факторов равноправия закреплено в Договоре об учреждении Европейского сообщества.</w:t>
      </w:r>
    </w:p>
    <w:p w:rsidR="00A44669" w:rsidRDefault="00A44669">
      <w:r>
        <w:t>40.</w:t>
      </w:r>
      <w:r>
        <w:tab/>
        <w:t>Целью учета факторов равноправия в деятельности органов государственного управления является создание административных и оперативных процедур, обеспечивающих поощрение равноправия в рамках обычных процедур министерств и ведомств. С политической точки зрения роль учета гендерных аспектов значительно возросла с тех пор, как он был официально закреплен, в дополнение к международным нормам, в Законе о равноправии, Правительственной программе и Национальной программе действий по обеспечению равноправия.</w:t>
      </w:r>
    </w:p>
    <w:p w:rsidR="00A44669" w:rsidRDefault="00A44669">
      <w:r>
        <w:t>41.</w:t>
      </w:r>
      <w:r>
        <w:tab/>
        <w:t xml:space="preserve">В настоящее время структура участников, занимающихся внедрением гендерного подхода, охватывает все министерства Финляндии. В его внедрении участвовали межведомственная мониторинговая группа Правительственной программы по обеспечению гендерного равенства в 2003–2007 годах и рабочие группы по обеспечению равноправия в министерствах. Кроме того, в министерствах имеются собственные контактные лица по вопросам равноправия. </w:t>
      </w:r>
    </w:p>
    <w:p w:rsidR="00A44669" w:rsidRDefault="00A44669">
      <w:r>
        <w:t>42.</w:t>
      </w:r>
      <w:r>
        <w:tab/>
        <w:t>Первым шагом, предпринятым в целях учета гендерного фактора, стала оценка гендерных аспектов влияния действующего законодательства. В 2004 году Министерство социальных дел и здравоохранения подготовило руководство для государственных служащих, работающих в Государственном совете, по оценке последствий применения законодательства для женщин и мужчин. Согласно разработанным Министерством юстиции инструкциям по составлению правительственных законопроектов, требование оценки гендерных аспектов воздействия должно расцениваться как первый шаг в подготовке законопроекта, и такая оценка должна проводиться, когда это необходимо. С 2004 года министерства также сотрудничают в организации подготовки по вопросам учета гендерного фактора и оценки гендерных аспектов воздействия.</w:t>
      </w:r>
    </w:p>
    <w:p w:rsidR="00A44669" w:rsidRDefault="00A44669">
      <w:r>
        <w:t>43.</w:t>
      </w:r>
      <w:r>
        <w:tab/>
        <w:t>Министерства осуществляют сотрудничество в рамках реализуемых каждым министерством стратегических и других программ, принимая во внимание вопросы гендерного равенства. Гендерный фактор также учитывается при осуществлении ряда отдельных проектов и программ, которые, как считается, имеют отношение к проблеме гендерного равенства. Министерство социальных дел и здравоохранения и Министерство юстиции прилагают совместные усилия для составления бюджетов с учетом гендерного фактора. Государственный бюджет 2008 года подготовлен в соответствии с новыми инструкциями, учитывающими гендерный фактор. Оценка гендерных аспектов воздействия осуществляется в связи с подготовкой правительственных законопроектов и других проектов. Гендерный подход также внедряется в деятельность, связанную с предоставлением консультаций по вопросам эффективности органов государственного управления. Статистику и данные получают и представляют с учетом гендерных аспектов.</w:t>
      </w:r>
    </w:p>
    <w:p w:rsidR="00A44669" w:rsidRDefault="00A44669">
      <w:pPr>
        <w:pStyle w:val="H23"/>
      </w:pPr>
      <w:r>
        <w:t>4.</w:t>
      </w:r>
      <w:r>
        <w:tab/>
        <w:t>Опрос общественного мнения о равноправии мужчин и женщин 2004 года</w:t>
      </w:r>
    </w:p>
    <w:p w:rsidR="00A44669" w:rsidRDefault="00A44669">
      <w:r>
        <w:t>44.</w:t>
      </w:r>
      <w:r>
        <w:tab/>
        <w:t>В 2004 году Статистическое управление Финляндии опубликовало результаты третьего опроса общественного мнения о равноправии мужчин и женщин в Финляндии</w:t>
      </w:r>
      <w:r>
        <w:rPr>
          <w:rStyle w:val="FootnoteReference"/>
          <w:spacing w:val="0"/>
          <w:w w:val="100"/>
          <w:position w:val="0"/>
        </w:rPr>
        <w:footnoteReference w:id="10"/>
      </w:r>
      <w:r>
        <w:t xml:space="preserve">. Результаты предыдущих опросов были опубликованы в 1998 и 2001 годах. Опрос общественного мнения – это документ, в котором используются оценки, мнения и личный опыт мужчин и женщин, касающиеся разделения труда и отношений власти между полами, а также их приемлемости в сегодняшней ситуации в обществе. Сопоставление результатов, относящихся к различным периодам времени, позволяет получить информацию о практике поддержания и прекращения отношений между полами. Рассматриваемые в опросе вопросы в значительной мере отражают дискуссию по вопросам гендерного равенства в Финляндии. Следующий опрос общественного мнения должен быть проведен в 2008 году. </w:t>
      </w:r>
    </w:p>
    <w:p w:rsidR="00A44669" w:rsidRDefault="00A44669">
      <w:r>
        <w:t>45.</w:t>
      </w:r>
      <w:r>
        <w:tab/>
        <w:t>По данным опроса общественного мнения, финские женщины и мужчины в основном разделяют точку зрения о совместной ответственности в отношении содержания семьи и выполнения повседневной домашней работы и родительских обязанностей. Подобное отношение отражает преобладание и распространенность в Финляндии модели семьи с двумя кормильцами. Несмотря на эту точку зрения, в рассматриваемый период</w:t>
      </w:r>
      <w:r>
        <w:br/>
        <w:t>1998–2004 годов каких-либо признаков изменений, касающихся того факта, что женщины несут бóльшую, чем мужчины, ответственность за выполнение повседневных обязанностей в семье, не наблюдалось.</w:t>
      </w:r>
    </w:p>
    <w:p w:rsidR="00A44669" w:rsidRDefault="00A44669">
      <w:r>
        <w:t>46.</w:t>
      </w:r>
      <w:r>
        <w:tab/>
        <w:t>Результаты опроса свидетельствуют о том, что до 2004 года правом на полагающийся по закону отпуск по семейным обстоятельствам на производстве чаще пользовались женщины, чем мужчины. Это особенно относится к частному сектору и тем случаям, когда продолжительность отпуска по семейным обстоятельствам превышала строго установленный минимум. После опубликования результатов опроса в 2001 году произошли изменения к лучшему.</w:t>
      </w:r>
    </w:p>
    <w:p w:rsidR="00A44669" w:rsidRDefault="00A44669">
      <w:r>
        <w:t>47.</w:t>
      </w:r>
      <w:r>
        <w:tab/>
        <w:t>В период 1998–2001 годов именно женщины довольно часто сталкивались в некоторых сферах жизни с высокомерным или пренебрежительным отношением к ним со стороны представителей противоположного пола. К 2004 году как женщины, так и мужчины стали все реже сталкиваться с подобным отношением к себе со стороны лиц противоположного пола. Тем не менее даже в 2004 году каждая вторая молодая женщина при опросе сообщила, что она подвергалась сексуальному домогательству со стороны мужчин в предыдущие два года.</w:t>
      </w:r>
    </w:p>
    <w:p w:rsidR="00A44669" w:rsidRDefault="00A44669">
      <w:pPr>
        <w:pStyle w:val="H23"/>
      </w:pPr>
      <w:r>
        <w:t>5.</w:t>
      </w:r>
      <w:r>
        <w:tab/>
        <w:t>Финляндия как субъект международных отношений</w:t>
      </w:r>
    </w:p>
    <w:p w:rsidR="00A44669" w:rsidRDefault="00A44669">
      <w:r>
        <w:t>48.</w:t>
      </w:r>
      <w:r>
        <w:tab/>
        <w:t>В соответствии с Руководящими принципами финской политики в области развития и основывающейся на них стратегией обеспечения равноправия (на 2003–2007 годы) Финляндия поддерживает осуществление прав женщин путем учета факторов равноправия во всех проектах и областях деятельности и реализации специальных проектов, направленных на поддержку прав женщин и борьбу с насилием в отношении женщин. Вопросы прав женщин и равноправия мужчин и женщин охватывают также все направления деятельности, осуществляемой в рамках финской политики сотрудничества в целях развития; вопросы равенства должны учитываться правительством во всех областях его деятельности.</w:t>
      </w:r>
    </w:p>
    <w:p w:rsidR="00A44669" w:rsidRDefault="00A44669">
      <w:r>
        <w:t>49.</w:t>
      </w:r>
      <w:r>
        <w:tab/>
        <w:t>Финляндия активно выступает за осуществление прав женщин, используя для этого в стратегических целях различные инструменты сотрудничества в области развития, такие как оказание двусторонней, многосторонней и гуманитарной помощи и предоставление помощи в составлении бюджета, поддержки отдельным секторам и помощи через неправительственные организации.</w:t>
      </w:r>
    </w:p>
    <w:p w:rsidR="00A44669" w:rsidRDefault="00A44669">
      <w:r>
        <w:t>50.</w:t>
      </w:r>
      <w:r>
        <w:tab/>
        <w:t>Финляндия не только вносит вклад в обеспечение общей поддержки оперативных организаций системы Организации Объединенных Наций, но и оказывает содействие фонду ЮНИФЕМ в борьбе с насилием в отношении женщин, специальному проекту по ВИЧ/СПИДу ЮНЭЙДС, предназначенному для женщин, и фонду ЮНФПА по охране репродуктивного здоровья.</w:t>
      </w:r>
    </w:p>
    <w:p w:rsidR="00A44669" w:rsidRDefault="00A44669">
      <w:r>
        <w:t>51.</w:t>
      </w:r>
      <w:r>
        <w:tab/>
        <w:t>Финляндия активно участвует в осуществлении резолюции 1325 Совета Безопасности Организации Объединенных Наций "Женщины, мир и безопасность" на национальном уровне. В 2007 году была создана рабочая группа по подготовке национальной программы действий. Кроме того, Финляндия финансировала наем инструктора по вопросам равноправия для Департамента операций по поддержанию мира Организации Объединенных Наций в целях повышения информированности лиц, участвующих в операциях по поддержанию мира, о важности уважения прав женщин и девочек.</w:t>
      </w:r>
    </w:p>
    <w:p w:rsidR="00A44669" w:rsidRDefault="00A44669"/>
    <w:p w:rsidR="00A44669" w:rsidRDefault="00A44669">
      <w:pPr>
        <w:pStyle w:val="H1"/>
      </w:pPr>
      <w:r>
        <w:t>Статья 4</w:t>
      </w:r>
    </w:p>
    <w:p w:rsidR="00A44669" w:rsidRDefault="00A44669">
      <w:pPr>
        <w:rPr>
          <w:i/>
          <w:iCs/>
        </w:rPr>
      </w:pPr>
      <w:r>
        <w:rPr>
          <w:i/>
          <w:iCs/>
        </w:rPr>
        <w:t>1.</w:t>
      </w:r>
      <w:r>
        <w:rPr>
          <w:i/>
          <w:iCs/>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в настоящей Конвенции, дискриминационным, однако оно ни в коей мере не должно повлечь за собой сохранения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p w:rsidR="00A44669" w:rsidRDefault="00A44669">
      <w:r>
        <w:rPr>
          <w:i/>
          <w:iCs/>
        </w:rPr>
        <w:t>2.</w:t>
      </w:r>
      <w:r>
        <w:rPr>
          <w:i/>
          <w:iCs/>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p>
    <w:p w:rsidR="00A44669" w:rsidRDefault="00A44669">
      <w:pPr>
        <w:pStyle w:val="H23"/>
      </w:pPr>
      <w:r>
        <w:t>1.</w:t>
      </w:r>
      <w:r>
        <w:tab/>
        <w:t>Положение о квоте, содержащееся в Законе о равноправии</w:t>
      </w:r>
    </w:p>
    <w:p w:rsidR="00A44669" w:rsidRDefault="00A44669">
      <w:r>
        <w:t>52.</w:t>
      </w:r>
      <w:r>
        <w:tab/>
        <w:t>Согласно статье 4 (2) Закона о равноправии (17.2.1995/206), государственные комитеты, комиссии, консультативные советы и другие соответствующие органы, а также муниципальные органы за исключением муниципальных советов должны иметь в своем составе не менее 40 процентов женщин и мужчин, если только конкретные причины не требуют иного.</w:t>
      </w:r>
    </w:p>
    <w:p w:rsidR="00A44669" w:rsidRDefault="00A44669">
      <w:r>
        <w:t>53.</w:t>
      </w:r>
      <w:r>
        <w:tab/>
        <w:t>В пересмотренной в 2005 году редакции (15.4.2005/232) Закона о равноправии действие положения о квоте было также распространено на органы межмуниципального сотрудничества. Согласно статье 4a (15.4.2005/232) Закона о равноправии, если орган или ведомство, учреждение или компания, в которых муниципалитет или государство является главным акционером, имеет административный совет, совет директоров или какой-либо другой руководящий или административный совет, состоящий из выборных должностных лиц, то этот орган должен иметь в своем составе равное число женщин и мужчин, если только конкретные причины не требуют иного. Органы государственного управления и все органы, которые должны выдвигать кандидатов в состав органов, перечисленных в указанной статье закона, по возможности, предлагают кандидатуры женщины и мужчины на каждое место.</w:t>
      </w:r>
    </w:p>
    <w:p w:rsidR="00A44669" w:rsidRDefault="00A44669">
      <w:r>
        <w:t>54.</w:t>
      </w:r>
      <w:r>
        <w:tab/>
        <w:t>Вопрос о распространении действия положения о квоте, в частности, на государственные компании рассматривался на стадии Комитета, однако было принято решение отступить от программы, в соответствии с которой министерства добровольно увеличивают долю женщин в составе советов директоров государственных компаний. Эта процедура была подтверждена правительственной Национальной программой действий по обеспечению равноправия на 2003–2007 годы, требующей от государственных компаний или государственных ассоциированных компаний увеличить долю женщин не менее чем до 40 процентов. Эта цель также была достигнута.</w:t>
      </w:r>
    </w:p>
    <w:p w:rsidR="00A44669" w:rsidRDefault="00A44669">
      <w:r>
        <w:t>55.</w:t>
      </w:r>
      <w:r>
        <w:tab/>
        <w:t>Гендерные квоты согласился применять и Синод Евангелической лютеранской церкви Финляндии в отношении административных и других органов церкви и конгрегаций. Гендерные квоты, предусматриваемые Законом о равноправии, применительно к административным органам и приходским органам вступили в силу 1 января 2004 года. Согласно положению закона, доля представителей каждого пола, выбранных в эти органы, должна составлять не менее 40 процентов. Принцип квотирования, в частности, применяется в отношении приходских советов, комиссий, советов, комитетов и рабочих групп приходов.</w:t>
      </w:r>
    </w:p>
    <w:p w:rsidR="00A44669" w:rsidRDefault="00A44669"/>
    <w:p w:rsidR="00A44669" w:rsidRDefault="00A44669">
      <w:pPr>
        <w:pStyle w:val="H1"/>
      </w:pPr>
      <w:r>
        <w:t>Статья 5</w:t>
      </w:r>
    </w:p>
    <w:p w:rsidR="00A44669" w:rsidRDefault="00A44669">
      <w:pPr>
        <w:rPr>
          <w:i/>
          <w:iCs/>
        </w:rPr>
      </w:pPr>
      <w:r>
        <w:rPr>
          <w:i/>
          <w:iCs/>
        </w:rPr>
        <w:t>1.</w:t>
      </w:r>
      <w:r>
        <w:rPr>
          <w:i/>
          <w:iCs/>
        </w:rPr>
        <w:tab/>
        <w:t>Государства-участники принимают все соответствующие меры с целью:</w:t>
      </w:r>
    </w:p>
    <w:p w:rsidR="00A44669" w:rsidRDefault="00A44669">
      <w:pPr>
        <w:rPr>
          <w:i/>
          <w:iCs/>
        </w:rPr>
      </w:pPr>
      <w:r>
        <w:rPr>
          <w:i/>
          <w:iCs/>
        </w:rPr>
        <w:tab/>
        <w:t>a)</w:t>
      </w:r>
      <w:r>
        <w:rPr>
          <w:i/>
          <w:iCs/>
        </w:rPr>
        <w:tab/>
        <w:t>изменить социальные и культурные модели поведения мужчин и женщин для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A44669" w:rsidRDefault="00A44669">
      <w:r>
        <w:rPr>
          <w:i/>
          <w:iCs/>
        </w:rPr>
        <w:tab/>
        <w:t>b)</w:t>
      </w:r>
      <w:r>
        <w:rPr>
          <w:i/>
          <w:iCs/>
        </w:rPr>
        <w:tab/>
        <w:t>обеспечить, чтобы семейное воспитание включало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A44669" w:rsidRDefault="00A44669">
      <w:pPr>
        <w:pStyle w:val="H23"/>
      </w:pPr>
      <w:r>
        <w:t>1.</w:t>
      </w:r>
      <w:r>
        <w:tab/>
        <w:t>Насилие в отношении женщин</w:t>
      </w:r>
    </w:p>
    <w:p w:rsidR="00A44669" w:rsidRDefault="00A44669">
      <w:r>
        <w:t>56.</w:t>
      </w:r>
      <w:r>
        <w:tab/>
        <w:t xml:space="preserve">В своих выводах, сделанных на основе предыдущих периодических докладов, Комитет по ликвидации дискриминации в отношении женщин выразил обеспокоенность в связи с большим числом случаев насилия в отношении женщин в Финляндии. Комитет также выразил обеспокоенность в связи с высоким уровнем сексуальных домогательств на рабочем месте. </w:t>
      </w:r>
    </w:p>
    <w:p w:rsidR="00A44669" w:rsidRDefault="00A44669">
      <w:pPr>
        <w:pStyle w:val="H23"/>
      </w:pPr>
      <w:r>
        <w:t>1.1.</w:t>
      </w:r>
      <w:r>
        <w:tab/>
        <w:t>Законодательство, касающееся ограничительных судебных постановлений</w:t>
      </w:r>
    </w:p>
    <w:p w:rsidR="00A44669" w:rsidRDefault="00A44669">
      <w:r>
        <w:t>57.</w:t>
      </w:r>
      <w:r>
        <w:tab/>
        <w:t xml:space="preserve">В начале 2005 года в Закон об ограничительных судебных постановлениях (898/1998) были внесены дополнительные положения, с тем чтобы его можно было применять и в тех случаях, когда лицо, защищаемое постановлением, и лицо, в отношении которого такое постановление принято, проживают в пределах одного домохозяйства (711/2004). Раньше ограничительное судебное постановление не могло быть принято в случаях совместного проживания соответствующих сторон. Новые положения о внутрисемейном ограничительном судебном постановлении также могут применяться в случае, если лица проживают вместе по причинам, иным, чем установление партнерских взаимоотношений. </w:t>
      </w:r>
    </w:p>
    <w:p w:rsidR="00A44669" w:rsidRDefault="00A44669">
      <w:r>
        <w:t>58.</w:t>
      </w:r>
      <w:r>
        <w:tab/>
        <w:t>Лицо, в отношении которого действует внутрисемейное ограничительное судебное постановление, должно покинуть место жительства и не возвращаться в него. Ему не разрешается встречаться или каким-либо образом вступать в контакт с лицом, для защиты которого такое постановление принято. Ему также запрещается преследовать защищаемое лицо. Такое постановление может касаться и пребывания в некоторых других местах, например вблизи дома, находящегося в совместной собственности.</w:t>
      </w:r>
    </w:p>
    <w:p w:rsidR="00A44669" w:rsidRDefault="00A44669">
      <w:pPr>
        <w:pStyle w:val="H23"/>
      </w:pPr>
      <w:r>
        <w:t>1.2.</w:t>
      </w:r>
      <w:r>
        <w:tab/>
        <w:t>Исследования по вопросу о насилии в отношении женщин</w:t>
      </w:r>
    </w:p>
    <w:p w:rsidR="00A44669" w:rsidRDefault="00A44669">
      <w:r>
        <w:t>59.</w:t>
      </w:r>
      <w:r>
        <w:tab/>
        <w:t>В 1997 году было проведено демографическое исследование, первое в своем роде в Финляндии, под названием "Вера, надежда, побои" в целях изучения насилия в отношении женщин. В его рамках изучалось насилие со стороны мужчин в отношении женщин с уделением особого внимания насилию в контексте партнерских взаимоотношений. Исследование проводилось в форме обследования. Опубликование доклада о результатах исследования способствовало тому, что вопрос насилия, которому подвергаются женщины, стал темой общенационального диалога в Финляндии. Такое обследование было повторно проведено в 2005 году</w:t>
      </w:r>
      <w:r>
        <w:rPr>
          <w:rStyle w:val="FootnoteReference"/>
          <w:spacing w:val="0"/>
          <w:w w:val="100"/>
          <w:position w:val="0"/>
        </w:rPr>
        <w:footnoteReference w:id="11"/>
      </w:r>
      <w:r>
        <w:t>.</w:t>
      </w:r>
    </w:p>
    <w:p w:rsidR="00A44669" w:rsidRDefault="00A44669">
      <w:r>
        <w:t>60.</w:t>
      </w:r>
      <w:r>
        <w:tab/>
        <w:t>Согласно результатам исследования, проведенного в 2005 году, с 1997 года отмечается незначительный рост числа случаев насилия, которому подвергаются женщины в зрелом возрасте. Произошли изменения в структуре насилия, которые отражают некоторое уменьшение числа случаев насилия в рамках партнерских взаимоотношений. Напротив, более широкое распространение получили случаи насилия и угрозы насилия вне партнерских взаимоотношений. Показатели насилия вне партнерских взаимоотношений (со стороны незнакомого человека, знакомого, партнера, коллеги и т. д.) возросли. С 1997 года уровень сексуального насилия или угрожающего поведения, встречающегося вне рамок партнерских взаимоотношений, увеличился более чем на 20 процентов. Уровень физического насилия остался прежним. 19,6 процента женщин, живущих в партнерских отношениях, являются жертвами физического или сексуального насилия или угрозы насилия со стороны их нынешних супругов (22,2 процента в 1997 году). 49 процентов женщин, состоявших в официальном или гражданском браке, являются жертвами насилия или угрозы насилия со стороны их бывших супругов (49,9 процента в 1997 году).</w:t>
      </w:r>
    </w:p>
    <w:p w:rsidR="00A44669" w:rsidRDefault="00A44669">
      <w:r>
        <w:t>61.</w:t>
      </w:r>
      <w:r>
        <w:tab/>
        <w:t>По данным Статистического управления Финляндии о причинах смертности, число насильственных смертей среди женщин в последние годы сократилось. Согласно этим статистическим данным, годовые показатели по числу женщин, убитых в Финляндии в течение последних 10 лет, колеблются от 29 до 53. В 2004 и 2005 годах зарегистрировано по 30 случаев насильственной смерти среди женщин. Общий уровень распространения убийств в Финляндии является высоким. Если принять во внимание долю убитых женщин в общей численности населения, становится очевидным, что в Финляндии убивают больше женщин, чем в любой другой европейской стране. С другой стороны, по сравнению с другими странами насильственные преступления со смертельным исходом в Финляндии гораздо чаще совершаются в отношении мужчин, чем женщин. Статистические данные о причинах смертности за 2006 год будут опубликованы 5 ноября 2007 года.</w:t>
      </w:r>
    </w:p>
    <w:p w:rsidR="00A44669" w:rsidRDefault="00A44669">
      <w:r>
        <w:t>62.</w:t>
      </w:r>
      <w:r>
        <w:tab/>
        <w:t>В результате реформирования положений о наказании за сексуальные преступления, проведенного в 1999 году, когда изнасилование было объявлено преступлением по закону, в отношении которого поддерживается государственное обвинение, число изнасилований, по которым выносятся обвинительные приговоры, возросло. В 1999–2003 годах обвинение было выдвинуто в среднем в 15 процентах случаев изнасилования, доведенных до сведения полиции. Сексуальные преступления, как правило, относятся к скрытой преступности; в полицию сообщается лишь о незначительном проценте изнасилований. И немногие дела, возбужденные по факту изнасилования, доходят до суда.</w:t>
      </w:r>
    </w:p>
    <w:p w:rsidR="00A44669" w:rsidRDefault="00A44669">
      <w:r>
        <w:t>63.</w:t>
      </w:r>
      <w:r>
        <w:tab/>
        <w:t xml:space="preserve">Рост числа случаев насилия в отношении женщин, доводимых до сведения полиции, по крайней мере отчасти объясняется более эффективными действиями полиции. Полиция более эффективно вмешивается в соответствующих случаях и более четко, чем прежде, фиксирует случаи насилия. Широкая общественность также стала более осознанно относиться к подобным преступлениям, в связи с чем возросла готовность сообщать в полицию о таких случаях. Эти факты помогают объяснить расхождения в результатах исследований, которые обычно встречаются между результатами вышеупомянутого обследования и числом преступлений, доведенных до сведения полиции. Вследствие того факта, что население проявляет большую готовность сообщать о преступлениях в полицию и что действия полиции стали более эффективными, информация о случаях насилия в отношении женщин, по-видимому, более оперативно, чем раньше, доходит до властей, позволяя им лучше бороться с ними и более эффективно принимать соответствующие меры. Это во всяком случае означает, что полиция сделала шаг вперед в повышении своей готовности к принятию мер вмешательства. </w:t>
      </w:r>
    </w:p>
    <w:p w:rsidR="00A44669" w:rsidRDefault="00A44669">
      <w:pPr>
        <w:pStyle w:val="H23"/>
      </w:pPr>
      <w:r>
        <w:t>1.3.</w:t>
      </w:r>
      <w:r>
        <w:tab/>
        <w:t>Насилие в семье и насилие в рамках партнерских взаимоотношений</w:t>
      </w:r>
    </w:p>
    <w:p w:rsidR="00A44669" w:rsidRDefault="00A44669">
      <w:r>
        <w:t>64.</w:t>
      </w:r>
      <w:r>
        <w:tab/>
        <w:t>Женщины чаще, чем мужчины, подвергаются насилию в рамках близких взаимоотношений. Хотя число случаев насилия в семье и насилия в рамках партнерских взаимоотношений, доводимых до сведения полиции, увеличивается, информация в бóльшей части случаев насилия в отношении женщин остается неизвестной для полиции. Показатели насилия в семье и насилия в рамках партнерских взаимоотношений явно возросли с 1997 года</w:t>
      </w:r>
      <w:r>
        <w:rPr>
          <w:rStyle w:val="FootnoteReference"/>
          <w:spacing w:val="0"/>
          <w:w w:val="100"/>
          <w:position w:val="0"/>
        </w:rPr>
        <w:footnoteReference w:id="12"/>
      </w:r>
      <w:r>
        <w:t>.</w:t>
      </w:r>
    </w:p>
    <w:p w:rsidR="00A44669" w:rsidRDefault="00A44669">
      <w:r>
        <w:t>65.</w:t>
      </w:r>
      <w:r>
        <w:tab/>
        <w:t>Согласно полицейской статистике, с 1997 по 2005 год уровень насилия в семье в отношении женщин вырос на 47 процентов, а уровень насилия в рамках партнерских взаимоотношений – на 38 процентов. Полицейская статистика определяет насилие в семье как насилие в отношении лиц, проживающих по одному и тому же адресу, которые являются членами одной семьи, поэтому приведенные показатели, помимо случаев насилия в рамках партнерских взаимоотношений, включают другие виды насилия в семье. 79 процентов всех случаев насилия в семье и 90 процентов случаев насилия в рамках партнерских взаимоотношений были совершены в отношении женщин (средние показатели за 1987–2005 годы)</w:t>
      </w:r>
      <w:r>
        <w:rPr>
          <w:rStyle w:val="FootnoteReference"/>
          <w:spacing w:val="0"/>
          <w:w w:val="100"/>
          <w:position w:val="0"/>
        </w:rPr>
        <w:footnoteReference w:id="13"/>
      </w:r>
      <w:r>
        <w:t>.</w:t>
      </w:r>
    </w:p>
    <w:p w:rsidR="00A44669" w:rsidRDefault="00A44669">
      <w:r>
        <w:t>66.</w:t>
      </w:r>
      <w:r>
        <w:tab/>
        <w:t>По данным, собранным Статистическим управлением Финляндии, в период 2000–2004 годов в результате насилия в семье в среднем погибало по 23 женщины. В среднем в 17 из этих случаев речь шла о насилии в рамках партнерских взаимоотношений. В 1995–1999 годах соответствующие показатели составили 25 и 20.</w:t>
      </w:r>
    </w:p>
    <w:p w:rsidR="00A44669" w:rsidRDefault="00A44669">
      <w:pPr>
        <w:pStyle w:val="H23"/>
      </w:pPr>
      <w:r>
        <w:t>1.4.</w:t>
      </w:r>
      <w:r>
        <w:tab/>
        <w:t>Убежища и приюты</w:t>
      </w:r>
    </w:p>
    <w:p w:rsidR="00A44669" w:rsidRDefault="00A44669">
      <w:r>
        <w:t>67.</w:t>
      </w:r>
      <w:r>
        <w:tab/>
        <w:t>По-прежнему существует нехватка финских служб убежищ и приютов. В обширных регионах, в частности в Северной и Восточной Финляндии, вообще нет приютов. В Финляндии нет так называемых доступных центров оказания поддержки, то есть мест, где жертвы насилия или лица, которые подвергаются угрозе насилия, могут остаться на короткий период времени. Имеются также недостатки в подготовке специалистов по вопросам выявления случаев насилия и вмешательства в ситуациях, связанных с насилием.</w:t>
      </w:r>
    </w:p>
    <w:p w:rsidR="00A44669" w:rsidRDefault="00A44669">
      <w:r>
        <w:t>68.</w:t>
      </w:r>
      <w:r>
        <w:tab/>
        <w:t>Федерация домов и приютов матери и ребенка в Финляндии отметила в своем заявлении с изложением позиции в связи с настоящим докладом, что число таких домов и мест в них не соответствует существующим потребностям. 14 домов, или 76 процентов всех домов, по всей стране существуют за счет ассоциаций, являющихся членами Федерации. С 2002 года Федерация также содержит убежище, контактная информация которого размещена на веб-сайте электронной службы помощи. Ежегодно это убежище предоставляет услуги примерно 26 500 посетителям сайта, и их численность ежегодно увеличивается на 10 процентов. В частности, молодым женщинам и детям, живущим в сельских районах, помощь предоставляется через сетевую службу доверия.</w:t>
      </w:r>
    </w:p>
    <w:p w:rsidR="00A44669" w:rsidRDefault="00A44669">
      <w:r>
        <w:t>69.</w:t>
      </w:r>
      <w:r>
        <w:tab/>
        <w:t>Финская ассоциация лиц с нарушением двигательных функций (Инвалидилиитто рю) в своем заявлении с изложением позиции в связи с настоящим докладом отметила, что женщины-инвалиды в течение жизни в три раза чаще сталкиваются с проявлениями насилия, чем женщины, не являющиеся инвалидами. Мало того что убежища и приюты недоступны, в них отсутствует персонал, способный помочь женщине-инвалиду с выполнением повседневных домашних дел.</w:t>
      </w:r>
    </w:p>
    <w:p w:rsidR="00A44669" w:rsidRDefault="00A44669">
      <w:r>
        <w:t>70.</w:t>
      </w:r>
      <w:r>
        <w:tab/>
        <w:t>Дом "Мона", основанный Моника-найсет лиитто рю (Многокультурной женской ассоциацией), является первым в Финляндии домом, созданным для женщин и детей из числа иммигрантов, ставших жертвами насилия. С июля 2004 года он существует по секретному адресу, предоставляя жилье и специальные услуги женщинам и детям, принадлежащим к различным культурам, жизни которых угрожает непосредственная опасность вследствие насилия со стороны партнера или близкого родственника (например, лица, которым угрожает насилие в защиту чести). Дом "Мона" предоставляет услуги на нескольких языках меньшинств. В 2005 году в доме "Мона" приют нашли 26 женщин и их 14 детей. К концу августа 2006 года в этом доме жили 27 женщин и 28 детей. Проживавшие в нем женщины и дети были родом из 22 разных стран.</w:t>
      </w:r>
    </w:p>
    <w:p w:rsidR="00A44669" w:rsidRDefault="00A44669">
      <w:pPr>
        <w:pStyle w:val="H23"/>
      </w:pPr>
      <w:r>
        <w:t>1.5.</w:t>
      </w:r>
      <w:r>
        <w:tab/>
        <w:t>Насилие в отношении детей</w:t>
      </w:r>
    </w:p>
    <w:p w:rsidR="00A44669" w:rsidRDefault="00A44669">
      <w:r>
        <w:t>71.</w:t>
      </w:r>
      <w:r>
        <w:tab/>
        <w:t>В представленных Комитетом Организации Объединенных Наций по правам ребенка Заключениях</w:t>
      </w:r>
      <w:r>
        <w:rPr>
          <w:rStyle w:val="FootnoteReference"/>
          <w:spacing w:val="0"/>
          <w:w w:val="100"/>
          <w:position w:val="0"/>
        </w:rPr>
        <w:footnoteReference w:id="14"/>
      </w:r>
      <w:r>
        <w:t xml:space="preserve">, касающихся третьего периодического доклада правительства Финляндии, отмечается, что насилие в отношении детей и сексуальное насилие, совершаемое в семьях, относятся к наиболее серьезным препятствиям на пути полного осуществления прав ребенка в Финляндии (Заключение 31). </w:t>
      </w:r>
    </w:p>
    <w:p w:rsidR="00A44669" w:rsidRDefault="00A44669">
      <w:r>
        <w:t>72.</w:t>
      </w:r>
      <w:r>
        <w:tab/>
        <w:t>Число сексуальных преступлений в отношении детей, по данным полицейской картотеки, в которой регистрируются правонарушения, о которых сообщается в полицию, в 2006 году составило в общей сложности около 1000. Очевидно, что самой распространенной категорией таких преступлений было "сексуальное насилие в отношении ребенка". В большинстве случаев жертвами сексуальных преступлений становятся девочки, и в 2006 году жертвами сексуальных преступлений более чем в 200 случаях были 14-летние девочки. На основе этих данных можно сказать, что сексуальные преступления, по-видимому, совершаются преимущественно в отношении женщин</w:t>
      </w:r>
      <w:r>
        <w:rPr>
          <w:rStyle w:val="FootnoteReference"/>
          <w:spacing w:val="0"/>
          <w:w w:val="100"/>
          <w:position w:val="0"/>
        </w:rPr>
        <w:footnoteReference w:id="15"/>
      </w:r>
      <w:r>
        <w:t>.</w:t>
      </w:r>
    </w:p>
    <w:p w:rsidR="00A44669" w:rsidRDefault="00A44669">
      <w:r>
        <w:t>73.</w:t>
      </w:r>
      <w:r>
        <w:tab/>
        <w:t>Что касается других видов насилия, то здесь наблюдается обратная картина; мальчики несколько чаще, чем девочки становятся жертвами насилия, кроме сексуального. В свете обследований различия в видах насилия, которому подвергаются девочки и мальчики, по-видимому, можно разделить на две категории. При рассмотрении случаев насилия, в которых лицо, совершившее его, не определено, представляется, что мальчики становятся жертвами насилия чаще, чем девочки. Это в основном касается проявлений насилия со стороны других молодых людей. Когда речь заходит о насилии со стороны родителей, девочки чаще, чем мальчики, заявляют, что сталкиваются с подобным проявлением насилия</w:t>
      </w:r>
      <w:r>
        <w:rPr>
          <w:rStyle w:val="FootnoteReference"/>
          <w:spacing w:val="0"/>
          <w:w w:val="100"/>
          <w:position w:val="0"/>
        </w:rPr>
        <w:footnoteReference w:id="16"/>
      </w:r>
      <w:r>
        <w:t>.</w:t>
      </w:r>
    </w:p>
    <w:p w:rsidR="00A44669" w:rsidRDefault="00A44669">
      <w:pPr>
        <w:pStyle w:val="H23"/>
      </w:pPr>
      <w:r>
        <w:t>1.6.</w:t>
      </w:r>
      <w:r>
        <w:tab/>
        <w:t>Предупреждение насилия в отношении женщин</w:t>
      </w:r>
    </w:p>
    <w:p w:rsidR="00A44669" w:rsidRDefault="00A44669">
      <w:r>
        <w:t>74.</w:t>
      </w:r>
      <w:r>
        <w:tab/>
        <w:t>Предупреждение насилия в отношении женщин является целью как Правительственной программы, так и программ действий органов управления, направленных на предупреждение и сокращение масштабов насилия; программы обеспечения безопасности в семье Министерства внутренних дел, Национальной программы сокращения масштабов насилия Министерства юстиции и Программы действий Министерства социальных дел и здравоохранения по предупреждению насилия в семье и насилия над сексуальным партнером. Национальная программа действий по обеспечению равноправия, разработанная правительством, разбита на несколько разделов, посвященных предупреждению насилия в рамках партнерских взаимоотношений и насилия в отношении женщин, а также борьбе с проституцией.</w:t>
      </w:r>
    </w:p>
    <w:p w:rsidR="00A44669" w:rsidRDefault="00A44669">
      <w:r>
        <w:t>75.</w:t>
      </w:r>
      <w:r>
        <w:tab/>
        <w:t>Вопрос о сокращении уровня насилия в отношении женщин занимает важное место в решении в принципе, принятом правительством 14 декабря 2006 года в качестве национальной программы сокращения масштабов насилия. В соответствии с этим решением масштабы насилия в отношении женщин будут сокращены путем укрепления возможностей по борьбе с ним, предоставления поддержки и облегчения доступа к получению помощи. Потерпевшим будет легче поднимать вопрос о насилии, а виновных станет проще привлекать к ответственности за содеянное и направлять под присмотр или надзор. Программы, призывающие людей отказаться от применения насилия, будут более широко популяризироваться среди общественности. Кроме того, будет совершенствоваться сотрудничество, особенно между администрацией социальных служб и полицией, что позволит им оперативно оказывать помощь, обеспечивая наличие неразрывной цепи поддержки.</w:t>
      </w:r>
    </w:p>
    <w:p w:rsidR="00A44669" w:rsidRDefault="00A44669">
      <w:r>
        <w:t>76.</w:t>
      </w:r>
      <w:r>
        <w:tab/>
        <w:t>В области здравоохранения в соответствии с вышеуказанным решением в принципе будут разработаны методы ухода за жертвами и их лечения и способы выявления жертв нападений, а также будет осуществляться подготовка персонала. Кроме того, планируется создание круглосуточной системы экстренного предоставления социальных услуг, охватывающей всю страну. Социальные работники должны вместе с жертвой насилия составить план обслуживания, поддержки и обеспечения ее личной безопасности.</w:t>
      </w:r>
    </w:p>
    <w:p w:rsidR="00A44669" w:rsidRDefault="00A44669">
      <w:r>
        <w:t>77.</w:t>
      </w:r>
      <w:r>
        <w:tab/>
        <w:t>В соответствии с решением в принципе ставится задача по повышению риска для правонарушителей быть пойманными путем совершенствования деятельности полиции по ведению расследования и упрощения возможности для жертв сообщать о случаях насилия. Полиция должна оказывать помощь в составлении планов обеспечения личной безопасности лицам, которые считают, что подвергаются угрозе насилия. Будут созданы механизмы обеспечения личной безопасности в целях повышения уровня безопасности во время встреч, которые происходят в период действия ограничительных судебных постановлений, а также будет разработана новая технология электронного наблюдения за выполнением ограничительных судебных постановлений. На региональном уровне будет обеспечен полный охват предоставлением комплексных услуг в убежищах и приютах и будет создана бесплатная круглосуточная служба консультативной помощи по телефону для женщин – жертв насилия.</w:t>
      </w:r>
    </w:p>
    <w:p w:rsidR="00A44669" w:rsidRDefault="00A44669">
      <w:r>
        <w:t>78.</w:t>
      </w:r>
      <w:r>
        <w:tab/>
        <w:t>На основе Правительственной программы Министерство социальных дел и здравоохранения составило Программу действий по предупреждению насилия в семье и насилия над сексуальным партнером (на 2004–2007 годы). Ее целью являются создание общенациональной сети по предоставлению базовых, поддерживающих и специальных услуг, повышение эффективности помощи, оказываемой детям и молодым людям, подвергающимся насилию, и повышение профессиональной квалификации персонала, который по характеру своей работы должен заниматься случаями насилия. За реализацию Программы действий по предупреждению насилия в семье и насилия над сексуальным партнером отвечают государственные управления провинций. В целях поддержки деятельности по программе, охватывающей всю страну, государственные управления провинций создали межпрофессиональные региональные группы для решения задачи по развитию этой деятельности, в которые входят представители региональных органов власти и организаций. На осуществление Программы действий провинциям выделены отдельные ассигнования.</w:t>
      </w:r>
    </w:p>
    <w:p w:rsidR="00A44669" w:rsidRDefault="00A44669">
      <w:r>
        <w:t>79.</w:t>
      </w:r>
      <w:r>
        <w:tab/>
        <w:t>Программа Дафна-II</w:t>
      </w:r>
      <w:r>
        <w:rPr>
          <w:rStyle w:val="FootnoteReference"/>
          <w:spacing w:val="0"/>
          <w:w w:val="100"/>
          <w:position w:val="0"/>
        </w:rPr>
        <w:footnoteReference w:id="17"/>
      </w:r>
      <w:r>
        <w:t xml:space="preserve"> ЕС – это программа, задачами которой являются предупреждение всех форм насилия в отношении детей, молодых людей и женщин и борьба с ними. В рамках этой программы в период 2004–2006 годов было принято девять финских проектов. Действуя в этих рамках, Финляндия имеет возможность в сотрудничестве с другими европейскими странами разрабатывать и сопоставлять различные виды мер, направленных на сокращение масштабов насилия в отношении женщин.</w:t>
      </w:r>
    </w:p>
    <w:p w:rsidR="00A44669" w:rsidRDefault="00A44669">
      <w:pPr>
        <w:pStyle w:val="H23"/>
      </w:pPr>
      <w:r>
        <w:t>1.7.</w:t>
      </w:r>
      <w:r>
        <w:tab/>
        <w:t>Женщины-иммигранты</w:t>
      </w:r>
    </w:p>
    <w:p w:rsidR="00A44669" w:rsidRDefault="00A44669">
      <w:r>
        <w:t>80.</w:t>
      </w:r>
      <w:r>
        <w:tab/>
        <w:t>В последние годы стали уделять внимание насилию в рамках партнерских взаимоотношений, которому подвергаются женщины-иммигранты, и его предупреждению. Нередко иммигранты, являющиеся жертвами дискриминации, не знают об услугах, которые могут быть предоставлены им, или о своих правах. Большинство иммигрантов нуждаются в том, чтобы услуги предоставлялись им на том или ином языке, кроме финского или шведского языка, причем в большинстве случаев – на их родном языке.</w:t>
      </w:r>
    </w:p>
    <w:p w:rsidR="00A44669" w:rsidRDefault="00A44669">
      <w:r>
        <w:t>81.</w:t>
      </w:r>
      <w:r>
        <w:tab/>
        <w:t>Полиция и Министерство юстиции подготовили брошюры на нескольких языках, например посвященные ограничительным судебным постановлениям и правам жертвы. Министерство труда частично оплатило расходы, связанные с выпуском Министерством юстиции брошюры по ограничительным судебным постановлениям, а Министерство внутренних дел обеспечило ее перевод на языки, на которых говорят иммигранты. Интернет-версия брошюры доступна на нескольких языках по адресу: http://www.poliisi.fi/</w:t>
      </w:r>
      <w:r>
        <w:t>s</w:t>
      </w:r>
      <w:r>
        <w:t>uomi/lahestymiskielto.</w:t>
      </w:r>
    </w:p>
    <w:p w:rsidR="00A44669" w:rsidRDefault="00A44669">
      <w:r>
        <w:t>82.</w:t>
      </w:r>
      <w:r>
        <w:tab/>
        <w:t>Министерство труда поддерживает проекты, осуществляемые рядом организаций и направленные на содействие интеграции женщин, улучшение их положения и расширение их прав, путем участия в деятельности групп по мониторингу проектов, предоставления небольших финансовых субсидий на цели организации подготовки, связанной с этими проектами, и обеспечения информации по ним. Министерство труда также субсидирует деятельность по переводу брошюр, составленных другими секторами административного управления, на языки, на которых говорят иммигранты.</w:t>
      </w:r>
    </w:p>
    <w:p w:rsidR="00A44669" w:rsidRDefault="00A44669">
      <w:r>
        <w:t>83.</w:t>
      </w:r>
      <w:r>
        <w:tab/>
        <w:t>В 2004 году Министерство труда выделило средства на проект "КокоНайнен", осуществлявшийся в 2002–2004 годах, деятельность в рамках которого координировала финская Лига прав человека и цель которого состояла в том, чтобы предотвратить калечащие операции на женских гениталиях у проживающих в Финляндии девочек и женщин [из числа этнических меньшинств] и содействовать улучшению состояния здоровья девочек и женщин, уже подвергшихся такой операции. В результате осуществления этого проекта были выработаны рекомендации для работников социальной сферы и здравоохранения, касающиеся калечащих операций на женских гениталиях у девочек. Министерство труда также участвует в работе группы по мониторингу продолжения реализации этого проекта.</w:t>
      </w:r>
    </w:p>
    <w:p w:rsidR="00A44669" w:rsidRDefault="00A44669">
      <w:r>
        <w:t>84.</w:t>
      </w:r>
      <w:r>
        <w:tab/>
        <w:t>Омбудсмен по делам меньшинств является членом группы по мониторингу осуществления проекта "Миехен линья" (Мужская линия)</w:t>
      </w:r>
      <w:r>
        <w:rPr>
          <w:rStyle w:val="FootnoteReference"/>
          <w:spacing w:val="0"/>
          <w:w w:val="100"/>
          <w:position w:val="0"/>
        </w:rPr>
        <w:footnoteReference w:id="18"/>
      </w:r>
      <w:r>
        <w:t>. Этот проект направлен на мужчин-иммигрантов и имеет целью предупреждение случаев насилия в рамках близких взаимоотношений и вмешательство в случаях такого насилия.</w:t>
      </w:r>
    </w:p>
    <w:p w:rsidR="00A44669" w:rsidRDefault="00A44669">
      <w:r>
        <w:t>85.</w:t>
      </w:r>
      <w:r>
        <w:tab/>
        <w:t>Ассоциация "Найстен линья" (Женская линия) обеспечивает работу общенациональной телефонной службы, предоставляющей консультации и поддержку, которая оказывает услуги женщинам-иммигрантам на различных языках в Финляндии.</w:t>
      </w:r>
    </w:p>
    <w:p w:rsidR="00A44669" w:rsidRDefault="00A44669">
      <w:r>
        <w:t>86.</w:t>
      </w:r>
      <w:r>
        <w:tab/>
        <w:t>Ассоциация "Моника-найсет лиитто рю" (Многонациональная женская ассоциация) предоставляет специальные услуги проживающим в Финляндии женщинам-иммигрантам, являющимся жертвами насилия. Моника-найсет обеспечивает круглосуточную работу общенациональной телефонной службы экстренной помощи, предназначенной для лиц в кризисных ситуациях. В отсутствие финансирования в настоящее время она поддерживается добровольцами. Ассоциация готовит из числа добровольцев лиц для оказания помощи и поддержки женщинам и детям из числа иммигрантов, столкнувшимся с насилием. По всей Финляндии она подготовила около 170 добровольцев. Ассоциация выступает в качестве эксперта по вопросам, связанным с насилием в отношении женщин-иммигрантов. В их число входят, например, вопросы насилия со стороны родственников в защиту чести, принудительные браки, браки, заключаемые между детьми, и калечащие операции на женских гениталиях. Ассоциация занимается подготовкой сотрудников организаций и органов государственного управления по вопросам, касающимся насилия в отношении женщин-иммигрантов. Ежегодно осуществляемой Ассоциацией деятельностью охватывается около 2300–2500 женщин и детей из числа иммигрантов, которые подверглись насилию. Ассоциация игровых автоматов Финляндии (РАИ) и город Хельсинки являются основными организациями, обеспечивающими финансирование деятельности ассоциации "Моника-найсет". Ряд министерств и фондов также участвуют в финансировании этих мероприятий.</w:t>
      </w:r>
    </w:p>
    <w:p w:rsidR="00A44669" w:rsidRDefault="00A44669">
      <w:r>
        <w:t>87.</w:t>
      </w:r>
      <w:r>
        <w:tab/>
        <w:t>Ассоциация "Моника-найсет лиитто рю" и Министерство социальных дел и здравоохранения опубликовали руководство под названием "Мааханмууттаянайсет я вякивалта" (Женщины-иммигранты и насилие), которое представляет собой справочник по предоставлению помощи в социальной сфере и здравоохранении. Кроме того, для предоставления бесплатных консультаций девочкам и женщинам, подвергающимся насилию или угрозе насилия, создана телефонная служба помощи.</w:t>
      </w:r>
    </w:p>
    <w:p w:rsidR="00A44669" w:rsidRDefault="00A44669">
      <w:r>
        <w:t>88.</w:t>
      </w:r>
      <w:r>
        <w:tab/>
        <w:t>В 2005–2006 годах Европейский фонд беженцев (ЕФБ) финансировал, в частности, проект под названием "Семья, обеспечивающая благополучие и заботу" (Тукева перхе), осуществлявшийся районным отделением Уусимаа неправительственной организации "Лига Маннергейма за благополучие детей". В результате осуществления этого проекта были приложены усилия к тому, чтобы повысить и расширить уровень практических знаний и навыков населения в таких областях, как психосоциальное благополучие семей беженцев, насилие со стороны родственников в защиту чести, калечащие операции на женских гениталиях, насилие в семье и насилие над сексуальным партнером. В рамках реализации этого проекта были выпущены компакт-диск и подборка электронных материалов, обеспечено предоставление информации по указанным темам и материалам, а также организована специальная подготовка лиц из числа беженцев. Материалы доступны в Интернете и являются бесплатным источником информации.</w:t>
      </w:r>
    </w:p>
    <w:p w:rsidR="00A44669" w:rsidRDefault="00A44669">
      <w:pPr>
        <w:pStyle w:val="H23"/>
      </w:pPr>
      <w:r>
        <w:t>2.</w:t>
      </w:r>
      <w:r>
        <w:tab/>
        <w:t>Сексуальные домогательства и притеснения по признаку пола</w:t>
      </w:r>
    </w:p>
    <w:p w:rsidR="00A44669" w:rsidRDefault="00A44669">
      <w:pPr>
        <w:pStyle w:val="H23"/>
      </w:pPr>
      <w:r>
        <w:t>2.1.</w:t>
      </w:r>
      <w:r>
        <w:tab/>
        <w:t>Законодательство</w:t>
      </w:r>
    </w:p>
    <w:p w:rsidR="00A44669" w:rsidRDefault="00A44669">
      <w:r>
        <w:t>89.</w:t>
      </w:r>
      <w:r>
        <w:tab/>
        <w:t>О пересмотре Закона о равноправии между женщинами и мужчинами, который был осуществлен в 2005 году, рассказывалось выше, в связи с рассмотрением статьи 2.</w:t>
      </w:r>
    </w:p>
    <w:p w:rsidR="00A44669" w:rsidRDefault="00A44669">
      <w:r>
        <w:t>90.</w:t>
      </w:r>
      <w:r>
        <w:tab/>
        <w:t>Согласно статье 8 d) Закона о равноправии (15.4.2005/232), действия работодателя расцениваются как проявление дискриминации, запрещенной в соответствии с этим Законом, если после получения информации о том, что какой-либо работник стал жертвой сексуального домогательства или другого притеснения по признаку пола на рабочем месте, работодатель не считает нужным принять имеющиеся в его распоряжении меры для искоренения домогательства.</w:t>
      </w:r>
    </w:p>
    <w:p w:rsidR="00A44669" w:rsidRDefault="00A44669">
      <w:pPr>
        <w:pStyle w:val="H23"/>
      </w:pPr>
      <w:r>
        <w:t>2.2.</w:t>
      </w:r>
      <w:r>
        <w:tab/>
        <w:t>Притеснения по признаку пола на рабочем месте</w:t>
      </w:r>
    </w:p>
    <w:p w:rsidR="00A44669" w:rsidRDefault="00A44669">
      <w:pPr>
        <w:pStyle w:val="Heading8"/>
      </w:pPr>
      <w:r>
        <w:t>Полиция</w:t>
      </w:r>
    </w:p>
    <w:p w:rsidR="00A44669" w:rsidRDefault="00A44669">
      <w:r>
        <w:t>91.</w:t>
      </w:r>
      <w:r>
        <w:tab/>
        <w:t>В государственном секторе сегрегация по признаку пола на рынке труда особенно относится к профессии полицейского. Женщины составляют явное меньшинство в этой профессии; в 2006 году доля женщин-полицейских составляла 11 процентов. По данным исследования в области гендерного равенства (1), проведенного Полицейским колледжем Финляндии и Финским институтом гигиены труда, более трети женщин-офицеров сталкиваются с пренебрежительными высказываниями в адрес женщин в полицейской среде, а пятая часть из них стали жертвами сексуального домогательства. Действительно, сексуальные домогательства в полиции имеют более широкое распространение, чем в среднем в сфере трудовой деятельности.</w:t>
      </w:r>
    </w:p>
    <w:p w:rsidR="00A44669" w:rsidRDefault="00A44669">
      <w:r>
        <w:t>92.</w:t>
      </w:r>
      <w:r>
        <w:tab/>
        <w:t>В Национальном плане обеспечения равноправия в полиции на 2006–2009 годы определены позиция и отношение к сексуальному домогательству в рамках полицейской организации. Этот документ, составленный в октябре 2006 года, является рамочным документом, включающим кратко- и долгосрочные планы по обеспечению равноправия, которые на региональном и местном уровнях полицейской администрации должны найти отражение в конкретных показателях эффективности. Работа в полиции предполагает придание особого значения умению вести себя. Коллеги по работе, в частности непосредственные начальники, должны вмешиваться в случаях, когда работники полиции используют оскорбительные выражения. Сексуальные домогательства, особенно со стороны коллег, начальников или подчиненных, – это серьезный вопрос, с которым нельзя мириться. Он требует немедленного вмешательства. Любое лицо, ставшее жертвой сексуального домогательства, должно сразу сообщить о нем.</w:t>
      </w:r>
    </w:p>
    <w:p w:rsidR="00A44669" w:rsidRDefault="00A44669">
      <w:pPr>
        <w:pStyle w:val="Heading8"/>
      </w:pPr>
      <w:r>
        <w:t>Посвящение женщин в духовный сан</w:t>
      </w:r>
    </w:p>
    <w:p w:rsidR="00A44669" w:rsidRDefault="00A44669">
      <w:r>
        <w:t>93.</w:t>
      </w:r>
      <w:r>
        <w:tab/>
        <w:t>С 1986 года в Евангелической лютеранской церкви стало возможным посвящать женщин в духовный сан. В 2006 году 34 процента лиц, занимающихся пасторской деятельностью, составляли женщины. В сфере церковной деятельности женщины по-прежнему сталкиваются с гендерными проблемами и прямой дискриминацией. По данным исследования</w:t>
      </w:r>
      <w:r>
        <w:rPr>
          <w:rStyle w:val="FootnoteReference"/>
          <w:spacing w:val="0"/>
          <w:w w:val="100"/>
          <w:position w:val="0"/>
        </w:rPr>
        <w:footnoteReference w:id="19"/>
      </w:r>
      <w:r>
        <w:t>, проведенного по поручению Научно-исследовательского центра церкви (Киркон туткимускескус), женщины в сфере пасторской деятельности сталкиваются с негативным к себе отношением, которое, в частности, выражается в пренебрежительном, уничижительном отношении или в сомнениях относительно значимости того, что они делают.</w:t>
      </w:r>
    </w:p>
    <w:p w:rsidR="00A44669" w:rsidRDefault="00A44669">
      <w:r>
        <w:t>94.</w:t>
      </w:r>
      <w:r>
        <w:tab/>
        <w:t>Согласно обследованию, проведенному созданной Епископальной конференцией рабочей группой, около 13 процентов мужчин, занимающихся пасторской деятельностью, неодобрительно относятся к посвящению женщин в духовный сан. Примерно 4 процента мужчин частично отказываются сотрудничать с женщинами, чаще всего при проведении службы, а 2–3 процента вообще отказываются работать вместе с женщинами-пасторами. Сопоставив результаты обследования с данными предыдущих исследований, можно увидеть, что число тех, кто отказывается сотрудничать, снижается и что отношение меняется к лучшему. Те, кто жестко возражает против занятия женщинами церковных должностей, не сдаются, что время от времени приводит к обострению конфликтов.</w:t>
      </w:r>
    </w:p>
    <w:p w:rsidR="00A44669" w:rsidRDefault="00A44669">
      <w:r>
        <w:t>95.</w:t>
      </w:r>
      <w:r>
        <w:tab/>
        <w:t>В сентябре 2006 года Епископальная конференция представила доклад</w:t>
      </w:r>
      <w:r>
        <w:rPr>
          <w:rStyle w:val="FootnoteReference"/>
          <w:spacing w:val="0"/>
          <w:w w:val="100"/>
          <w:position w:val="0"/>
        </w:rPr>
        <w:footnoteReference w:id="20"/>
      </w:r>
      <w:r>
        <w:t xml:space="preserve"> церковной ассамблее, церковному управлению, Синоду и конгрегациям с изложением рекомендаций в отношении того, как следует решать проблемы, возникающие в сфере церковной деятельности из-за расхождения во взглядах на назначения на должности. В докладе говорится об обязательствах в соответствии с действующим законодательством, которые касаются всех работников церкви.</w:t>
      </w:r>
    </w:p>
    <w:p w:rsidR="00A44669" w:rsidRDefault="00A44669">
      <w:r>
        <w:t>96.</w:t>
      </w:r>
      <w:r>
        <w:tab/>
        <w:t xml:space="preserve">После представления доклада проблема посвящения женщин в духовный сан вышла на новую стадию. Ряд занимающихся пасторской деятельностью мужчин, которые возражают против посвящения женщин в духовный сан, отказываются выполнять некоторые свои обязанности, в частности сотрудничать с женщинами при проведении службы. Первый такой случай, о котором было сообщено, был вынесен на рассмотрение Синода по распоряжению церкви. Другой случай, связанный с подозрением на дискриминацию в отношении женщины, занимающейся пасторской деятельностью, был принят в производство полицией в порядке досудебного расследования. </w:t>
      </w:r>
    </w:p>
    <w:p w:rsidR="00A44669" w:rsidRDefault="00A44669">
      <w:pPr>
        <w:pStyle w:val="H23"/>
      </w:pPr>
      <w:r>
        <w:t>3.</w:t>
      </w:r>
      <w:r>
        <w:tab/>
        <w:t>Пропаганда равенства в средствах массовой информации</w:t>
      </w:r>
    </w:p>
    <w:p w:rsidR="00A44669" w:rsidRDefault="00A44669">
      <w:r>
        <w:t>97.</w:t>
      </w:r>
      <w:r>
        <w:tab/>
        <w:t xml:space="preserve">Национальный комитет по делам ЮНИФЕМ в Финляндии в своем заявлении с изложением позиции в связи с настоящим докладом выразил обеспокоенность по поводу небольшого числа программ, учитывающих гендерный фактор, которое отбирается для показа Финской вещательной компанией, Лтд. </w:t>
      </w:r>
      <w:r>
        <w:rPr>
          <w:lang w:val="en-US"/>
        </w:rPr>
        <w:t xml:space="preserve">(Oy Yleisradio Ab). </w:t>
      </w:r>
      <w:r>
        <w:t>По мнению ЮНИФЕМ Финляндия, принятие Вещательной компанией в конце 2006 года решения о сокращении числа программ, специально посвященных проблемам женщин, противоречит Конвенции о ликвидации всех форм дискриминации в отношении женщин и целям Программы действий, принятой четвертой Всемирной конференцией по положению женщин Организации Объединенных Наций, которая состоялась в Пекине в 1995 году.</w:t>
      </w:r>
    </w:p>
    <w:p w:rsidR="00A44669" w:rsidRDefault="00A44669">
      <w:pPr>
        <w:pStyle w:val="DualTxt"/>
        <w:tabs>
          <w:tab w:val="clear" w:pos="480"/>
          <w:tab w:val="clear" w:pos="960"/>
          <w:tab w:val="clear" w:pos="1440"/>
          <w:tab w:val="clear" w:pos="1915"/>
          <w:tab w:val="clear" w:pos="2405"/>
          <w:tab w:val="clear" w:pos="2880"/>
          <w:tab w:val="clear" w:pos="3355"/>
        </w:tabs>
      </w:pPr>
      <w:r>
        <w:t>98.</w:t>
      </w:r>
      <w:r>
        <w:tab/>
        <w:t>В своем отчете, представленном в связи с настоящим докладом, НЮТКИС рю (Naisjärjestöt yhteistyössä – Kniv-voorganisationer i Samarbete – Коалиция финских женских ассоциаций в поддержку совместных действий) выразила обеспокоенность по поводу того, что средства массовой информации, реклама и культура во все большей степени скатываются к пропаганде порнографии. Коалиция считает, что общественное мнение стало более терпимым к коммерческому сексу, а пренебрежительное отношение к женщинам, характерное для материалов многих средств массовой информации, воспринимается как нечто само собой разумеющееся. Тот факт, что визуальная среда чуть ли не пропагандирует порнографию, влияет на восприятие обществом образов женщины и мужчины, в результате чего мальчикам и особенно девочкам для подражания предлагаются вредные ролевые модели. По мнению Коалиции, саморегулирование средств массовой информации и сектора рекламы не препятствует происходящим в этом секторе изменениям к худшему в отношении прав человека женщин, в связи с чем действие положений Закона о равноправии должно быть распространено на рекламу, носящую дискриминационный характер в отношении женщин. Кроме того, вопрос гендерного равенства должен быть включен в программу формального образования журналистов.</w:t>
      </w:r>
    </w:p>
    <w:p w:rsidR="00A44669" w:rsidRDefault="00A44669">
      <w:pPr>
        <w:pStyle w:val="DualTxt"/>
        <w:tabs>
          <w:tab w:val="clear" w:pos="480"/>
          <w:tab w:val="clear" w:pos="960"/>
          <w:tab w:val="clear" w:pos="1440"/>
          <w:tab w:val="clear" w:pos="1915"/>
          <w:tab w:val="clear" w:pos="2405"/>
          <w:tab w:val="clear" w:pos="2880"/>
          <w:tab w:val="clear" w:pos="3355"/>
        </w:tabs>
      </w:pPr>
      <w:r>
        <w:t>99.</w:t>
      </w:r>
      <w:r>
        <w:tab/>
        <w:t>В своем заявлении с изложением позиции в связи с настоящим докладом омбудсмен по правам детей выразил обеспокоенность по поводу того, что средства массовой информации и реклама все чаще изображают женщину как сексуальный объект – фактор, который, скорее всего, должен оказывать влияние на образ женщины в глазах девочек и мальчиков и на их чувство уверенности в себе. То, какое значение имеет оказываемое средой давление, показано одним скандинавским исследованием под названием "Unge, kön och pornografi i Norder" 8 (Молодежь, гендерные проблемы и порнография в странах Северной Европы), в котором девочки говорят, что их нелестное представление о самих себе основано на сравнении их тела с порнографическими изображениями. Эти проблемы становятся особенно острыми в том случае, если ребенок сам проявляет интерес к продукции средств массовой информации и рекламы в отсутствие взрослого. Согласно результатам исследовательского проекта под названием "Неравное детство: сравнительное исследование в странах Северной Европы", осуществленного в 2001–2004 годах, финским девочкам в большей степени, чем девочкам из других стран Северной Европы свойственно чувство неудовлетворенности своей внешностью.</w:t>
      </w:r>
    </w:p>
    <w:p w:rsidR="00A44669" w:rsidRDefault="00A44669"/>
    <w:p w:rsidR="00A44669" w:rsidRDefault="00A44669">
      <w:pPr>
        <w:pStyle w:val="H1"/>
      </w:pPr>
      <w:r>
        <w:t>Статья 6</w:t>
      </w:r>
    </w:p>
    <w:p w:rsidR="00A44669" w:rsidRDefault="00A44669">
      <w:pPr>
        <w:rPr>
          <w:i/>
          <w:iCs/>
        </w:rPr>
      </w:pPr>
      <w:r>
        <w:tab/>
      </w:r>
      <w:r>
        <w:rPr>
          <w:i/>
          <w:iCs/>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p w:rsidR="00A44669" w:rsidRDefault="00A44669">
      <w:pPr>
        <w:ind w:firstLine="0"/>
      </w:pPr>
      <w:r>
        <w:t xml:space="preserve">В своем заявлении по предыдущим докладам Финляндии Комитет по ликвидации дискриминации в отношении женщин выразил обеспокоенность в связи с увеличением числа случаев торговли женщинами и эксплуатации проституции женщин. </w:t>
      </w:r>
    </w:p>
    <w:p w:rsidR="00A44669" w:rsidRDefault="00A44669">
      <w:pPr>
        <w:pStyle w:val="H23"/>
      </w:pPr>
      <w:r>
        <w:t>1.</w:t>
      </w:r>
      <w:r>
        <w:tab/>
        <w:t xml:space="preserve">Принятие закона об уголовной ответственности за приобретение сексуальных услуг </w:t>
      </w:r>
    </w:p>
    <w:p w:rsidR="00A44669" w:rsidRDefault="00A44669">
      <w:r>
        <w:t>100.</w:t>
      </w:r>
      <w:r>
        <w:tab/>
        <w:t xml:space="preserve">В правительственном законопроекте (HE 221/2005 vp), представленном 22 декабря 2005 года, правительство предлагает объявить приобретение сексуальных услуг противозаконным во всех ситуациях, когда подобные услуги приобретаются. Как всегда бывает на стадии подготовительной работы по формулированию новых положений о наказаниях, в связи с работой по признанию приобретения сексуальных услуг наказуемым деянием были рассмотрены все за и против криминализации этой практики на основе имеющейся информации. Было проведено тщательное обсуждение, в рамках которого, например, Комитет по правовым вопросам заслушал большое число экспертов. Согласно доводам, представленным в правительственном законопроекте, в Швеции также сочли, что введение в действие положения о наказаниях, аналогичного предлагаемому в Финляндии, будет иметь неблагоприятные последствия, например затруднит расследование правонарушений, связанных со сводничеством, и сделает сферу проституции подпольной. </w:t>
      </w:r>
    </w:p>
    <w:p w:rsidR="00A44669" w:rsidRDefault="00A44669">
      <w:r>
        <w:t>101.</w:t>
      </w:r>
      <w:r>
        <w:tab/>
        <w:t xml:space="preserve">На заседаниях парламента самой жесткой критике была подвергнута неопределенность предлагаемого положения о наказаниях вследствие того, что его действие распространялось на все ситуации, связанные с приобретением сексуальных услуг. Согласно принципу законности уголовного права основные признаки состава преступления должны быть определены точно и ясно. В своем заявлении по данному предложению (PeVL 17/2006 vp) Комитет по конституционному праву также обратил внимание на связанные с этим проблемы. </w:t>
      </w:r>
    </w:p>
    <w:p w:rsidR="00A44669" w:rsidRDefault="00A44669">
      <w:r>
        <w:t>102.</w:t>
      </w:r>
      <w:r>
        <w:tab/>
        <w:t>Комитет по конституционному праву также отметил наличие других проблем, связанных с общим характером предусматриваемого правительственным законопроектом положения о наказаниях, которые касаются, например, вопросов соразмерности назначаемых наказаний и тяжести совершенных преступлений.</w:t>
      </w:r>
    </w:p>
    <w:p w:rsidR="00A44669" w:rsidRDefault="00A44669">
      <w:r>
        <w:t>103.</w:t>
      </w:r>
      <w:r>
        <w:tab/>
        <w:t>Комитет по правовым вопросам попросил Комитет по конституционному праву представить, в дополнение к предложению, включенному в правительственный законопроект, формулировку альтернативной нормы, согласно которой наказуемость за правонарушение, связанное с приобретением сексуальных услуг, будет зависеть от деятельности, имеющей отношение к сводничеству или торговле людьми. По мнению Комитета по конституционному праву, упомянутая альтернативная норма сформулирована гораздо точнее, чем предложение правительства и лучше удовлетворяет требованиям соразмерности, поскольку она относится к бесспорно предосудительным действиям, связанным с этими преступлениями.</w:t>
      </w:r>
    </w:p>
    <w:p w:rsidR="00A44669" w:rsidRDefault="00A44669">
      <w:r>
        <w:t>104.</w:t>
      </w:r>
      <w:r>
        <w:tab/>
        <w:t>В своем докладе (LaVM 10/2006 vp) Комитет по правовым вопросам принял решение признать эксплуатацию лица, являющегося жертвой сексуальной торговли, уголовно наказуемым деянием, как это предусматривается статьей 8 главы 20 (743/2006) действующего в настоящее время Уголовного кодекса. Цель данного положения состоит, в частности, в том, чтобы ликвидировать условия, благоприятные для совершения этого вида тяжкого преступления.</w:t>
      </w:r>
    </w:p>
    <w:p w:rsidR="00A44669" w:rsidRDefault="00A44669">
      <w:r>
        <w:t>105.</w:t>
      </w:r>
      <w:r>
        <w:tab/>
        <w:t>САЛЛИ, ассоциация сектора сексуальных услуг, подвергла критике криминализацию приобретения сексуальных услуг. По ее мнению, предлагаемые поправки никоим образом не улучшили положение или правовую защиту женщин, которые являются или были проститутками, и не принесли положительных перемен в том, что касается причин или обстоятельств, которые толкают женщину к занятию проституцией. Когда в судах слушаются дела о сводничестве в приобретении сексуальных услуг, возникает проблема, связанная с тем, что проститутка, находящаяся в положении жертвы, официально не считается жертвой преступления и поэтому не имеет права на полагающуюся последней защиту. Проекты, направленные на защиту жертв преступления, не охватывают проституток, за исключением крайне редких случаев, касающихся жертв торговли людьми. В то же время наказания за деяния, связанные с проституцией, были серьезно ужесточены, что ухудшило фактическое положение проституток, которых вызывают в суд в качестве свидетелей. Они не могут получить какую-либо компенсацию или защиту в связи с участием в судебном разбирательстве. Вместо этого они подвергаются давлению со стороны как подозреваемых, так и властей.</w:t>
      </w:r>
    </w:p>
    <w:p w:rsidR="00A44669" w:rsidRDefault="00A44669">
      <w:r>
        <w:t>106.</w:t>
      </w:r>
      <w:r>
        <w:tab/>
        <w:t xml:space="preserve">Вышеупомянутая поправка также была подвергнута критике со стороны Коалиции финских женских ассоциаций в поддержку совместных действий (НЮТКИС), федерации женских ассоциаций (Naisjärjestöjen keskusliitto) и феминистской ассоциации "Униони" (naisasialiitto Unioni ry). По мнению этих организаций, правительственный законопроект (HE 221/2005) был лишен юридической силы в тот момент, когда вступивший в действие закон запретил приобретение сексуальных услуг только у жертв сводничества или торговли людьми, что, как показала практика, трудно доказать на деле. По этой причине наказать лиц, приобретающих сексуальные услуги, в соответствии с этим законом крайне трудно. Эти организации считают, что вопрос о проституции нельзя рассматривать с позиции людей, не соприкасающихся с маргинальной в настоящее время деятельностью, связанной с проституцией, которая организуется преступными сообществами, что, по всей видимости, имело место при обсуждении проблемы в Финляндии. В Финляндии мнениям очень небольшой ассоциации лиц, которые обеспечивают так называемое бесплатное предоставление сексуальных услуг, было уделено незаслуженное внимание и придано слишком большое значение в средствах массовой информации и в деятельности органов власти. Это, по мнению организаций, исказило ход диалога в Финляндии по проблеме торговли людьми и связанной с ней секс-индустрии и отвлекло внимание от той категории серьезных нарушений прав человека, которые происходят в сфере торговли женщинами и связанной с ней проституции. </w:t>
      </w:r>
    </w:p>
    <w:p w:rsidR="00A44669" w:rsidRDefault="00A44669">
      <w:pPr>
        <w:pStyle w:val="H23"/>
      </w:pPr>
      <w:r>
        <w:t>2.</w:t>
      </w:r>
      <w:r>
        <w:tab/>
        <w:t>Торговля людьми</w:t>
      </w:r>
    </w:p>
    <w:p w:rsidR="00A44669" w:rsidRDefault="00A44669">
      <w:pPr>
        <w:pStyle w:val="H23"/>
      </w:pPr>
      <w:r>
        <w:t>2.1.</w:t>
      </w:r>
      <w:r>
        <w:tab/>
        <w:t>Международные обязательства</w:t>
      </w:r>
    </w:p>
    <w:p w:rsidR="00A44669" w:rsidRDefault="00A44669">
      <w:r>
        <w:t>107.</w:t>
      </w:r>
      <w:r>
        <w:tab/>
        <w:t>Финляндия ратифицировала Конвенцию Организации Объединенных Наций против транснациональной организованной преступности (Палермская конвенция, SopS 18</w:t>
      </w:r>
      <w:r>
        <w:noBreakHyphen/>
        <w:t>20/2004) и Дополнительный протокол к ней о предупреждении торговли людьми 7 октября 2006 года. Ратификация не предполагала обязательного внесения поправок в законодательство, поскольку обязательства по криминализации были выполнены до этого.</w:t>
      </w:r>
    </w:p>
    <w:p w:rsidR="00A44669" w:rsidRDefault="00A44669">
      <w:r>
        <w:t>108.</w:t>
      </w:r>
      <w:r>
        <w:tab/>
        <w:t>29 апреля 2004 года Совет Европейского союза принял Директиву 2004/81/EC о выдаче вида на жительство гражданам третьих стран, которые являются жертвами торговли людьми или объектом действий, способствующих незаконной иммиграции, и сотрудничают с компетентными органами. В соответствии с этой директивой Закон об иностранцах (301/2004) был дополнен положениями о выдаче вида на жительство жертвам торговли людьми.</w:t>
      </w:r>
    </w:p>
    <w:p w:rsidR="00A44669" w:rsidRDefault="00A44669">
      <w:r>
        <w:t>109.</w:t>
      </w:r>
      <w:r>
        <w:tab/>
        <w:t>Министерство иностранных дел готовит ратификацию Конвенции Совета Европы о действиях против торговли людьми (ETS 197). Основное внимание в Конвенции, однако, уделяется защите жертв торговли людьми. Финляндия подписала Конвенцию 29 августа 2006 года. Для обеспечения вступления Конвенции в силу на национальном уровне необходимы законодательные меры.</w:t>
      </w:r>
    </w:p>
    <w:p w:rsidR="00A44669" w:rsidRDefault="00A44669">
      <w:r>
        <w:t>110.</w:t>
      </w:r>
      <w:r>
        <w:tab/>
        <w:t xml:space="preserve">7 сентября 2000 года Финляндия подписала Факультативный протокол к Конвенции о правах ребенка, касающийся торговли детьми, детской проституции и детской порнографии. Министерство иностранных дел также занимается подготовкой вступления в силу этой Конвенции. Для обеспечения вступления Конвенции в силу на национальном уровне необходимы законодательные меры. </w:t>
      </w:r>
    </w:p>
    <w:p w:rsidR="00A44669" w:rsidRDefault="00A44669">
      <w:pPr>
        <w:pStyle w:val="H23"/>
      </w:pPr>
      <w:r>
        <w:t>2.2.</w:t>
      </w:r>
      <w:r>
        <w:tab/>
        <w:t>Законодательные поправки</w:t>
      </w:r>
    </w:p>
    <w:p w:rsidR="00A44669" w:rsidRDefault="00A44669">
      <w:r>
        <w:t>111.</w:t>
      </w:r>
      <w:r>
        <w:tab/>
        <w:t>В отношении торговли людьми финское уголовное законодательство было приведено в соответствие с требованиями международных обязательств. В статьи 3 и 3a главы 25 Уголовного кодекса были добавлены новые положения о торговле людьми и торговле людьми при отягчающих обстоятельствах (9 июля 2004/650, вступили в силу 1 июля 2004 года), которые соответствуют обязательствам по криминализации, изложенным в рамочном решении Совета Европейского союза от 2002 года и Дополнительном протоколе о предупреждении торговли людьми (SopS 70-71/2006) к Палермской конвенции. За торговлю людьми любое лицо может быть приговорено к тюремному заключению минимум на четыре месяца и максимум на шесть лет, а за торговлю людьми при отягчающих обстоятельствах – минимум к двум и максимум к десяти годам тюремного заключения. В связи с этим рассматриваемые преступления относят к категории тяжких. Кроме того, в соответствии с новой статьей 7 (2004/650) главы 1 (2004/650) Уголовного кодекса действие финского законодательства также распространяется на преступления, связанные с торговлей людьми, которые совершены за пределами Финляндии, независимо от законодательства, действующего на месте преступления.</w:t>
      </w:r>
    </w:p>
    <w:p w:rsidR="00A44669" w:rsidRDefault="00A44669">
      <w:r>
        <w:t>112.</w:t>
      </w:r>
      <w:r>
        <w:tab/>
        <w:t>Торговля людьми тесно связана с торговлей сексуальными услугами и сводничеством. Цель торговли людьми часто лежит в сфере сексуальной эксплуатации жертв. Сводничество и сводничество при отягчающих обстоятельствах являются уголовно наказуемыми деяниями в соответствии со статьей 9 главы 20 (24 июля 1998/563) и статьей 9a главы 20 (9 июля 2004/650) Уголовного кодекса. С начала октября 2006 года за эксплуатацию лица, являющегося жертвой торговли сексуальными услугами, предусматривается уголовное наказание в соответствии со статьей 8 главы 20 (25.8.2006/743) Уголовного кодекса, которая касается приобретения сексуальных услуг у жертвы торговли людьми или сводничества. Согласно положениям статьи 8a главы 20 (25.8.2006/743) Уголовного кодекса, приобретение сексуальных услуг у молодого человека, то есть лица в возрасте до 18 лет, является уголовно наказуемым деянием. За приобретение и продажу сексуальных услуг в общественном месте предусматривается наказание в соответствии с положениями Закона об общественном порядке.</w:t>
      </w:r>
    </w:p>
    <w:p w:rsidR="00A44669" w:rsidRDefault="00A44669">
      <w:r>
        <w:t>113.</w:t>
      </w:r>
      <w:r>
        <w:tab/>
        <w:t xml:space="preserve">Уголовная ответственность юридического лица распространяется на преступления, связанные с торговлей людьми. Штраф, налагаемый на муниципальное образование численностью не более 850 тыс. человек, может быть наложен и на юридическое лицо. Кроме того, юридическое лицо несет ответственность за нанесение противозаконного ущерба в результате его деятельности. </w:t>
      </w:r>
    </w:p>
    <w:p w:rsidR="00A44669" w:rsidRDefault="00A44669">
      <w:r>
        <w:t>114.</w:t>
      </w:r>
      <w:r>
        <w:tab/>
        <w:t>На основе этой так называемой директивы о жертвах положения о выдаче вида на жительство жертвам торговли людьми и периоде времени для принятия решения в их случае включены в Закон об иностранцах (301/2004). В то же время этот Закон был дополнен положением о так называемом периоде для принятия решения, в течение которого жертвы торговли людьми могут прийти в себя после пережитого и освободиться от влияния преступников. Жертва может воспользоваться таким периодом для принятия решения о необходимости сотрудничать с властями в целях задержания лиц, подозреваемых в совершении преступления, связанного с торговлей людьми.</w:t>
      </w:r>
    </w:p>
    <w:p w:rsidR="00A44669" w:rsidRDefault="00A44669">
      <w:r>
        <w:t>115.</w:t>
      </w:r>
      <w:r>
        <w:tab/>
        <w:t xml:space="preserve">После того как 1 августа 2004 года положения о торговле людьми вступили в силу, полиция ежегодно расследует несколько дел о предполагаемой торговле людьми. Первое судебное решение по преступлениям, связанным с торговлей людьми, было вынесено в 2006 году. Решение окружного суда было обжаловано в апелляционном суде, который вынес свое решение по этому вопросу 1 марта 2007 года. В нем были вынесены судебные решения по четырем преступлениям, связанным с торговлей людьми при отягчающих обстоятельствах, двум преступлениям, связанным со сводничеством, и одному преступлению, связанному </w:t>
      </w:r>
      <w:r>
        <w:br/>
        <w:t>с пособничеством и подстрекательством к торговле людьми при отягчающих обстоятельствах.</w:t>
      </w:r>
    </w:p>
    <w:p w:rsidR="00A44669" w:rsidRDefault="00A44669">
      <w:r>
        <w:t>116.</w:t>
      </w:r>
      <w:r>
        <w:tab/>
        <w:t>В 2006 году в полицию было сообщено о пяти преступлениях, связанных со сводничеством при отягчающих обстоятельствах. В 2007 году таких сообщений пока не поступало. Самое серьезное наказание, вынесенное за сводничество при отягчающих обстоятельствах, составило пять лет тюремного заключения по совокупности с преступлением, связанным с торговлей людьми, о чем говорилось выше.</w:t>
      </w:r>
    </w:p>
    <w:p w:rsidR="00A44669" w:rsidRDefault="00A44669">
      <w:r>
        <w:t>117.</w:t>
      </w:r>
      <w:r>
        <w:tab/>
        <w:t>В соответствии со статьей 8 главы 20 Уголовного кодекса, которая вступила в силу 1 октября 2006 года и признает эксплуатацию лица, являющегося жертвой сексуальной торговли, уголовно наказуемым деянием, было выдвинуто одно обвинение и в полицию поступило два сообщения о совершении такого преступления. В полицию было сообщено о шести попытках эксплуатации.</w:t>
      </w:r>
    </w:p>
    <w:p w:rsidR="00A44669" w:rsidRDefault="00A44669">
      <w:pPr>
        <w:pStyle w:val="H23"/>
      </w:pPr>
      <w:r>
        <w:t>2.3.</w:t>
      </w:r>
      <w:r>
        <w:tab/>
        <w:t>Другие внутригосударственные меры</w:t>
      </w:r>
    </w:p>
    <w:p w:rsidR="00A44669" w:rsidRDefault="00A44669">
      <w:pPr>
        <w:pStyle w:val="Heading8"/>
      </w:pPr>
      <w:r>
        <w:t>Правительственная программа</w:t>
      </w:r>
    </w:p>
    <w:p w:rsidR="00A44669" w:rsidRDefault="00A44669">
      <w:r>
        <w:t>118.</w:t>
      </w:r>
      <w:r>
        <w:tab/>
        <w:t>В соответствии с новой Правительственной программой постоянный вид на жительство выдается иммигранту, ставшему жертвой преступлений против человечности и основных прав, что облегчает ему или ей возможность обратиться за помощью к властям. Финансовые средства для организаций, занимающихся так называемой сыскной деятельностью и составлением ориентировок с целью выявления лиц, являющихся потенциальными жертвами торговли людьми, переводятся в бюджет государственных ассигнований.</w:t>
      </w:r>
    </w:p>
    <w:p w:rsidR="00A44669" w:rsidRDefault="00A44669">
      <w:pPr>
        <w:pStyle w:val="Heading8"/>
      </w:pPr>
      <w:r>
        <w:t>Национальный план действий против торговли людьми</w:t>
      </w:r>
    </w:p>
    <w:p w:rsidR="00A44669" w:rsidRDefault="00A44669">
      <w:r>
        <w:t>119.</w:t>
      </w:r>
      <w:r>
        <w:tab/>
        <w:t>В правительственном докладе о политике в области защиты прав человека в Финляндии, представленном парламенту в марте 2004 года, Государственный совет обязался составить Национальный план действий против торговли людьми. В августе 2004 года Министерство иностранных дел создало рабочую группу, призванную подготовить для правительства проект предложения по Национальному плану действий против торговли людьми. Весной 2005 года рабочая группа завершила свою работу, и 25 августа 2005 года План действий был принят Государственным советом. Особое значение в плане придается оказанию помощи жертвам торговли людьми, и на его основе в Закон об интеграции иммигрантов и приеме лиц, ищущих убежища (493/1999), были внесены поправки об оказании помощи жертвам. Лица, которые являются предполагаемыми жертвами торговли, включены в систему оказания помощи. В целях осуществления Национального плана действий создана так называемая целевая группа по информационному обеспечению, отвечающая за представление информации, связанной с торговлей людьми, и ее распространение и доведение до сведения широкой публики, жертв торговли людьми и органов власти.</w:t>
      </w:r>
    </w:p>
    <w:p w:rsidR="00A44669" w:rsidRDefault="00A44669">
      <w:r>
        <w:t>120.</w:t>
      </w:r>
      <w:r>
        <w:tab/>
        <w:t>При Министерстве труда создана группа по мониторингу осуществления Плана действий и последующих мер в связи с ним. Она представила свой обновленный план действий против торговли людьми в рамках срока своих полномочий, в котором она оценивает уже принятые меры и дает рекомендации в отношении дальнейших мер. Кроме того, собственный план действий против торговли людьми имеет Министерство внутренних дел.</w:t>
      </w:r>
    </w:p>
    <w:p w:rsidR="00A44669" w:rsidRDefault="00A44669">
      <w:pPr>
        <w:pStyle w:val="H23"/>
      </w:pPr>
      <w:r>
        <w:t>2.4.</w:t>
      </w:r>
      <w:r>
        <w:tab/>
        <w:t>Международное сотрудничество</w:t>
      </w:r>
    </w:p>
    <w:p w:rsidR="00A44669" w:rsidRDefault="00A44669">
      <w:r>
        <w:t>121.</w:t>
      </w:r>
      <w:r>
        <w:tab/>
        <w:t xml:space="preserve">Одной из первоочередных задач Финляндии в борьбе против торговли людьми является укрепление сотрудничества между органами власти. Действительно, Финляндия принимает активное участие в деятельности против торговли людьми в рамках международных организаций (Организация Объединенных Наций, ЕС, ОБСЕ, региональные организации). </w:t>
      </w:r>
    </w:p>
    <w:p w:rsidR="00A44669" w:rsidRDefault="00A44669">
      <w:r>
        <w:t>122.</w:t>
      </w:r>
      <w:r>
        <w:tab/>
        <w:t>Финляндия активно участвует в работе Целевой группы Северной Европы и Балтии по борьбе с торговлей людьми, которая осуществляется в рамках деятельности Совета государств Балтийского моря. Первое заседание новой Целевой группы состоялось в ноябре 2006 года, после чего заседания стали проводиться регулярно.</w:t>
      </w:r>
    </w:p>
    <w:p w:rsidR="00A44669" w:rsidRDefault="00A44669">
      <w:r>
        <w:t>123.</w:t>
      </w:r>
      <w:r>
        <w:tab/>
        <w:t>Помимо государств Северной Европы участниками этой Целевой группы являются Германия, Польша и Российская Федерация. Основной упор в своей работе Целевая группа делает на превентивные меры, а также на координацию мероприятий по защите жертв торговли людьми и предоставлению им разнообразной поддержки, включая обеспечение более безопасного возвращения их в страну происхождения. В ее задачу входит выявление слабых мест в деятельности по борьбе с торговлей людьми в государствах Балтийского моря и устранении этих недостатков. Сотрудничество носит скорее практический, чем политический характер; оно включает, например, проведение подготовки консульских и дипломатических работников по вопросам выявления жертв торговли людьми.</w:t>
      </w:r>
    </w:p>
    <w:p w:rsidR="00A44669" w:rsidRDefault="00A44669">
      <w:r>
        <w:t>124.</w:t>
      </w:r>
      <w:r>
        <w:tab/>
        <w:t>Во время председательства Финляндии в Совете Европейского союза в 2007 году среди поставленных ею перед собой в качестве первоочередных задач были мониторинг и осуществление плана действий ЕС по борьбе с торговлей людьми. Особое внимание придается осуществлению плана действий, с тем чтобы обеспечить его максимально возможную эффективность в борьбе с торговлей людьми. Например, в конце октября – начале ноября в Хельсинки в рамках осуществления этого плана при поддержке Министерства внутренних дел был организован семинар, посвященный теме выявления детей, являющихся жертвами торговли людьми.</w:t>
      </w:r>
    </w:p>
    <w:p w:rsidR="00A44669" w:rsidRDefault="00A44669">
      <w:r>
        <w:t>125.</w:t>
      </w:r>
      <w:r>
        <w:tab/>
        <w:t xml:space="preserve">Финляндия активно участвует в борьбе с торговлей людьми, в частности, в рамках Организации по безопасности и сотрудничеству в Европе. В октябре 2006 года представитель Финляндии был назначен Специальным представителем ОБСЕ по вопросам борьбы с торговлей людьми. </w:t>
      </w:r>
    </w:p>
    <w:p w:rsidR="00A44669" w:rsidRDefault="00A44669"/>
    <w:p w:rsidR="00A44669" w:rsidRDefault="00A44669">
      <w:pPr>
        <w:pStyle w:val="H1"/>
      </w:pPr>
      <w:r>
        <w:t>Статья 7</w:t>
      </w:r>
    </w:p>
    <w:p w:rsidR="00A44669" w:rsidRDefault="00A44669">
      <w:pPr>
        <w:pStyle w:val="BodyTextIndent3"/>
      </w:pPr>
      <w: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A44669" w:rsidRDefault="00A44669">
      <w:pPr>
        <w:rPr>
          <w:i/>
          <w:iCs/>
        </w:rPr>
      </w:pPr>
      <w:r>
        <w:rPr>
          <w:i/>
          <w:iCs/>
        </w:rPr>
        <w:tab/>
        <w:t>a)</w:t>
      </w:r>
      <w:r>
        <w:rPr>
          <w:i/>
          <w:iCs/>
        </w:rPr>
        <w:tab/>
        <w:t>голосовать на всех выборах и публичных референдумах и избираться во все публично избираемые органы;</w:t>
      </w:r>
    </w:p>
    <w:p w:rsidR="00A44669" w:rsidRDefault="00A44669">
      <w:pPr>
        <w:rPr>
          <w:i/>
          <w:iCs/>
        </w:rPr>
      </w:pPr>
      <w:r>
        <w:rPr>
          <w:i/>
          <w:iCs/>
        </w:rPr>
        <w:tab/>
        <w:t>b)</w:t>
      </w:r>
      <w:r>
        <w:rPr>
          <w:i/>
          <w:iCs/>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A44669" w:rsidRDefault="00A44669">
      <w:r>
        <w:rPr>
          <w:i/>
          <w:iCs/>
        </w:rPr>
        <w:tab/>
        <w:t>c)</w:t>
      </w:r>
      <w:r>
        <w:rPr>
          <w:i/>
          <w:iCs/>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A44669" w:rsidRDefault="00A44669">
      <w:pPr>
        <w:pStyle w:val="H23"/>
      </w:pPr>
      <w:r>
        <w:t>1.</w:t>
      </w:r>
      <w:r>
        <w:tab/>
        <w:t>Право голосовать</w:t>
      </w:r>
    </w:p>
    <w:p w:rsidR="00A44669" w:rsidRDefault="00A44669">
      <w:r>
        <w:t>126.</w:t>
      </w:r>
      <w:r>
        <w:tab/>
        <w:t xml:space="preserve">На муниципальных выборах 2004 года доля кандидатов-женщин выросла на 1,7 процента по сравнению с предыдущими муниципальными выборами, достигнув 39,9 процента. За женщин было отдано рекордное за все время число голосов; они получили 41,8 процента всех голосов, собрав в общей сложности 997 684 голоса. По сравнению с муниципальными выборами 2000 года женщины увеличили долю полученных голосов на 2,4 процента. Доля участвовавших в муниципальных выборах 2004 года женщин составила 60,7 процента, превысив соответствующую долю мужчин (56,4 процента). </w:t>
      </w:r>
    </w:p>
    <w:p w:rsidR="00A44669" w:rsidRDefault="00A44669">
      <w:r>
        <w:t>127.</w:t>
      </w:r>
      <w:r>
        <w:tab/>
        <w:t xml:space="preserve">На парламентских выборах 2007 года было выдвинуто 2004 кандидатуры, из них мужчин было 1205 человек, а женщин – 799 человек, вследствие чего доля кандидатов-женщин составила 39,9 процента. В парламент были избраны 84 женщины, то есть доля женщин среди избранных в парламент лиц составила 42 процента, что немного выше доли женщин-кандидатов. До этого наивысшая доля избранных в парламент женщин была отмечена в 1991 году (38,5 процента), следовательно, на этих парламентских выборах было избрано рекордное число женщин. </w:t>
      </w:r>
    </w:p>
    <w:p w:rsidR="00A44669" w:rsidRDefault="00A44669">
      <w:pPr>
        <w:pStyle w:val="H23"/>
      </w:pPr>
      <w:r>
        <w:t>2.</w:t>
      </w:r>
      <w:r>
        <w:tab/>
        <w:t>Состав правительства</w:t>
      </w:r>
    </w:p>
    <w:p w:rsidR="00A44669" w:rsidRDefault="00A44669">
      <w:r>
        <w:t>128.</w:t>
      </w:r>
      <w:r>
        <w:tab/>
        <w:t>19 апреля 2007 года Президент Республики утвердила состав второго правительства премьер-министра Матти Ванханена. Это правительство парламентского большинства, в которое вошли представители партии "Финляндский центр", Национальной коалиционной партии, Лиги "зеленых" Финляндии и Шведской народной партии Финляндии. Правительство состоит из 20 министров.</w:t>
      </w:r>
    </w:p>
    <w:p w:rsidR="00A44669" w:rsidRDefault="00A44669">
      <w:r>
        <w:t>129.</w:t>
      </w:r>
      <w:r>
        <w:tab/>
        <w:t xml:space="preserve">Из 20 министров правительства 12 женщин, что составляет 60 процентов членов правительства. Женщины занимают должности министра юстиции, министра внутренних дел, министра государственного управления и местного самоуправления, министра просвещения, министра сельского и лесного хозяйства, министра транспорта, министра связи, министра социальных дел и здравоохранения, министра здравоохранения и социального обслуживания, министра труда, министра миграции и европейских дел и министра окружающей среды. </w:t>
      </w:r>
    </w:p>
    <w:p w:rsidR="00A44669" w:rsidRDefault="00A44669">
      <w:pPr>
        <w:pStyle w:val="H23"/>
      </w:pPr>
      <w:r>
        <w:t>3.</w:t>
      </w:r>
      <w:r>
        <w:tab/>
        <w:t>Государственные гражданские служащие</w:t>
      </w:r>
    </w:p>
    <w:p w:rsidR="00A44669" w:rsidRDefault="00A44669">
      <w:r>
        <w:t>130.</w:t>
      </w:r>
      <w:r>
        <w:tab/>
        <w:t>В настоящее время немногим менее 50 процентов сотрудников органов государственного управления составляют женщины, но их доля на управленческих должностях не превышает одной трети. Она осталась приблизительно такой же, как в 2003 году. Доля женщин среди должностных лиц самого высокого уровня в системе государственного управления несколько возросла по сравнению с 2003 годом (с 21,9 процента до 24,3 процента в 2004 году). Доля женщин в других группах руководящих кадров примерно такая же, как в 2003 году, или около 38 процентов.</w:t>
      </w:r>
    </w:p>
    <w:p w:rsidR="00A44669" w:rsidRDefault="00A44669">
      <w:pPr>
        <w:pStyle w:val="H23"/>
      </w:pPr>
      <w:r>
        <w:t>4.</w:t>
      </w:r>
      <w:r>
        <w:tab/>
        <w:t>Государственное финансирование женских организаций</w:t>
      </w:r>
    </w:p>
    <w:p w:rsidR="00A44669" w:rsidRDefault="00A44669">
      <w:r>
        <w:t>131.</w:t>
      </w:r>
      <w:r>
        <w:tab/>
        <w:t>Правительство вынесло на рассмотрение парламента законопроект о финансировании государством некоторых женских организаций (HE 1/2007 vp). В нем предлагается принять закон о финансировании государством некоторых женских организаций. В государственном бюджете будут предусмотрены ежегодные ассигнования для финансирования деятельности женских организаций, упомянутых в законопроекте, которые содействуют обеспечению гендерного равенства и активному участию женщин в жизни общества. Министерство просвещения будет выступать в качестве финансирующего органа. Закон вступит в силу 1 января 2008 года.</w:t>
      </w:r>
    </w:p>
    <w:p w:rsidR="00A44669" w:rsidRDefault="00A44669">
      <w:r>
        <w:t>132.</w:t>
      </w:r>
      <w:r>
        <w:tab/>
        <w:t>До сих пор финансирование женских организаций, о которых говорится в законопроекте, зависело от принимаемых ежегодно решений по бюджету. С инициативой установить официальное, в соответствии с законом финансирование женских организаций, содействующих обеспечению гендерного равенства, выступил парламент.</w:t>
      </w:r>
    </w:p>
    <w:p w:rsidR="00A44669" w:rsidRDefault="00A44669">
      <w:r>
        <w:t>133.</w:t>
      </w:r>
      <w:r>
        <w:tab/>
        <w:t>С введением установленной законом системы государственного финансирования станет возможным гарантировать непрерывное финансирование женских организаций, основной целью которых является поощрение гендерного равенства и, вследствие этого, обеспечение более эффективного продолжения их деятельности, чем сегодня. Создание системы финансирования позволит обеспечить этим организациям более прочную основу, чем они имеют в настоящее время, что даст им возможность планировать свою деятельность на долгосрочную перспективу. Это может рассматриваться как косвенное содействие установлению гендерного равенства и реализации возможностей женщин участвовать в общественной деятельности.</w:t>
      </w:r>
    </w:p>
    <w:p w:rsidR="00A44669" w:rsidRDefault="00A44669"/>
    <w:p w:rsidR="00A44669" w:rsidRDefault="00A44669">
      <w:pPr>
        <w:pStyle w:val="H1"/>
      </w:pPr>
      <w:r>
        <w:t>Статья 8</w:t>
      </w:r>
    </w:p>
    <w:p w:rsidR="00A44669" w:rsidRDefault="00A44669">
      <w:pPr>
        <w:pStyle w:val="BodyTextIndent3"/>
      </w:pPr>
      <w: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A44669" w:rsidRDefault="00A44669">
      <w:r>
        <w:t>134.</w:t>
      </w:r>
      <w:r>
        <w:tab/>
        <w:t xml:space="preserve">В своем заявлении с изложением позиции ЮНИФЕМ Финляндия касается того, что явный рост числа женщин, отобранных для участия в подготовке управленческих кадров по регулированию гражданских кризисов, является позитивным моментом. По его мнению, число женщин, выдвинутых на международные посты высокого уровня, тем не менее, остается небольшим во всех секторах, кроме судебной администрации. </w:t>
      </w:r>
    </w:p>
    <w:p w:rsidR="00A44669" w:rsidRDefault="00A44669">
      <w:r>
        <w:t>135.</w:t>
      </w:r>
      <w:r>
        <w:tab/>
        <w:t>Что касается других соображений в отношении данной статьи, то правительство обращает в связи с этим внимание на информацию, изложенную в его предыдущих докладах.</w:t>
      </w:r>
    </w:p>
    <w:p w:rsidR="00A44669" w:rsidRDefault="00A44669"/>
    <w:p w:rsidR="00A44669" w:rsidRDefault="00A44669">
      <w:pPr>
        <w:pStyle w:val="H1"/>
      </w:pPr>
      <w:r>
        <w:t>Статья 9</w:t>
      </w:r>
    </w:p>
    <w:p w:rsidR="00A44669" w:rsidRDefault="00A44669">
      <w:pPr>
        <w:rPr>
          <w:i/>
          <w:iCs/>
        </w:rPr>
      </w:pPr>
      <w:r>
        <w:rPr>
          <w:i/>
          <w:iCs/>
        </w:rPr>
        <w:tab/>
        <w:t>1. 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A44669" w:rsidRDefault="00A44669">
      <w:pPr>
        <w:rPr>
          <w:i/>
          <w:iCs/>
        </w:rPr>
      </w:pPr>
      <w:r>
        <w:rPr>
          <w:i/>
          <w:iCs/>
        </w:rPr>
        <w:tab/>
        <w:t>2. Государства-участники предоставляют женщинам равные с мужчинами права в отношении гражданства их детей.</w:t>
      </w:r>
    </w:p>
    <w:p w:rsidR="00A44669" w:rsidRDefault="00A44669">
      <w:r>
        <w:t>136.</w:t>
      </w:r>
      <w:r>
        <w:tab/>
        <w:t xml:space="preserve">Закон о гражданстве (359/2003) вступил в силу 1 июня 2003 года. Согласно Закону, ребенок приобретает финское гражданство по рождению во всех случаях, если его мать является финской гражданкой. Если финским гражданином является отец, то ребенок приобретает финское гражданство по рождению тогда, когда отец состоит в браке с матерью ребенка или когда ребенок родился в Финляндии и установлено отцовство мужчины в отношении данного ребенка. Финское гражданство также может быть получено ребенком в результате заключения брака между родителями после подачи заявления на получение гражданства или декларации о принятии гражданства. </w:t>
      </w:r>
    </w:p>
    <w:p w:rsidR="00A44669" w:rsidRDefault="00A44669">
      <w:r>
        <w:t>137.</w:t>
      </w:r>
      <w:r>
        <w:tab/>
        <w:t>Закон о гражданстве обеспечивает женщинам и мужчинам равные права в отношении приобретения, изменения и сохранения их гражданства. Вступление в брак с иностранцем или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 Вместе с тем можно отказаться от гражданства, подав соответствующее заявление.</w:t>
      </w:r>
    </w:p>
    <w:p w:rsidR="00A44669" w:rsidRDefault="00A44669"/>
    <w:p w:rsidR="00A44669" w:rsidRDefault="00A44669">
      <w:pPr>
        <w:pStyle w:val="H1"/>
      </w:pPr>
      <w:r>
        <w:t>Статья 10</w:t>
      </w:r>
    </w:p>
    <w:p w:rsidR="00A44669" w:rsidRDefault="00A44669">
      <w:pPr>
        <w:pStyle w:val="BodyTextIndent3"/>
      </w:pPr>
      <w: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A44669" w:rsidRDefault="00A44669">
      <w:pPr>
        <w:rPr>
          <w:i/>
          <w:iCs/>
        </w:rPr>
      </w:pPr>
      <w:r>
        <w:rPr>
          <w:i/>
          <w:iCs/>
        </w:rPr>
        <w:tab/>
        <w:t>a)</w:t>
      </w:r>
      <w:r>
        <w:rPr>
          <w:i/>
          <w:iCs/>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A44669" w:rsidRDefault="00A44669">
      <w:pPr>
        <w:rPr>
          <w:i/>
          <w:iCs/>
        </w:rPr>
      </w:pPr>
      <w:r>
        <w:rPr>
          <w:i/>
          <w:iCs/>
        </w:rPr>
        <w:tab/>
        <w:t>b)</w:t>
      </w:r>
      <w:r>
        <w:rPr>
          <w:i/>
          <w:iCs/>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одинакового качества;</w:t>
      </w:r>
    </w:p>
    <w:p w:rsidR="00A44669" w:rsidRDefault="00A44669">
      <w:pPr>
        <w:rPr>
          <w:i/>
          <w:iCs/>
        </w:rPr>
      </w:pPr>
      <w:r>
        <w:rPr>
          <w:i/>
          <w:iCs/>
        </w:rPr>
        <w:tab/>
        <w:t>c)</w:t>
      </w:r>
      <w:r>
        <w:rPr>
          <w:i/>
          <w:iCs/>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A44669" w:rsidRDefault="00A44669">
      <w:pPr>
        <w:rPr>
          <w:i/>
          <w:iCs/>
        </w:rPr>
      </w:pPr>
      <w:r>
        <w:rPr>
          <w:i/>
          <w:iCs/>
        </w:rPr>
        <w:tab/>
        <w:t>d)</w:t>
      </w:r>
      <w:r>
        <w:rPr>
          <w:i/>
          <w:iCs/>
        </w:rPr>
        <w:tab/>
        <w:t>одинаковые возможности получения стипендий и других пособий на образование;</w:t>
      </w:r>
    </w:p>
    <w:p w:rsidR="00A44669" w:rsidRDefault="00A44669">
      <w:pPr>
        <w:rPr>
          <w:i/>
          <w:iCs/>
        </w:rPr>
      </w:pPr>
      <w:r>
        <w:rPr>
          <w:i/>
          <w:iCs/>
        </w:rPr>
        <w:tab/>
        <w:t>e)</w:t>
      </w:r>
      <w:r>
        <w:rPr>
          <w:i/>
          <w:iCs/>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A44669" w:rsidRDefault="00A44669">
      <w:pPr>
        <w:rPr>
          <w:i/>
          <w:iCs/>
        </w:rPr>
      </w:pPr>
      <w:r>
        <w:rPr>
          <w:i/>
          <w:iCs/>
        </w:rPr>
        <w:tab/>
        <w:t>f)</w:t>
      </w:r>
      <w:r>
        <w:rPr>
          <w:i/>
          <w:iCs/>
        </w:rPr>
        <w:tab/>
        <w:t>сокращение числа девушек, не заканчивающих школу, и разработку программ для девушек и женщин, преждевременно покинувших школу;</w:t>
      </w:r>
    </w:p>
    <w:p w:rsidR="00A44669" w:rsidRDefault="00A44669">
      <w:pPr>
        <w:rPr>
          <w:i/>
          <w:iCs/>
        </w:rPr>
      </w:pPr>
      <w:r>
        <w:rPr>
          <w:i/>
          <w:iCs/>
        </w:rPr>
        <w:tab/>
        <w:t>g)</w:t>
      </w:r>
      <w:r>
        <w:rPr>
          <w:i/>
          <w:iCs/>
        </w:rPr>
        <w:tab/>
        <w:t>одинаковые возможности активно участвовать в занятиях спортом и физической подготовкой;</w:t>
      </w:r>
    </w:p>
    <w:p w:rsidR="00A44669" w:rsidRDefault="00A44669">
      <w:r>
        <w:rPr>
          <w:i/>
          <w:iCs/>
        </w:rPr>
        <w:tab/>
        <w:t>h)</w:t>
      </w:r>
      <w:r>
        <w:rPr>
          <w:i/>
          <w:iCs/>
        </w:rPr>
        <w:tab/>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A44669" w:rsidRDefault="00A44669">
      <w:pPr>
        <w:pStyle w:val="H23"/>
      </w:pPr>
      <w:r>
        <w:t>1.</w:t>
      </w:r>
      <w:r>
        <w:tab/>
        <w:t>Планирование мер по обеспечению равноправия в учебных заведениях</w:t>
      </w:r>
    </w:p>
    <w:p w:rsidR="00A44669" w:rsidRDefault="00A44669">
      <w:r>
        <w:t>138.</w:t>
      </w:r>
      <w:r>
        <w:tab/>
        <w:t>Закон о равноправии между женщинами и мужчинами, реформированный в 2005 году, предусматривает, что учебные заведения обязаны в сотрудничестве с персоналом и учащимися составлять планы обеспечения равноправия в целях поощрения гендерного равенства в учебном заведении. Такой план должен касаться деятельности учебного заведения (оперативный план обеспечения равноправия). Особое внимание в плане должно уделяться обеспечению гендерного равенства при отборе учащихся, организации преподавания и оценке академической успеваемости и мерам, принимаемым для предупреждения и искоренения сексуального домогательства и притеснения по признаку пола.</w:t>
      </w:r>
    </w:p>
    <w:p w:rsidR="00A44669" w:rsidRDefault="00A44669">
      <w:pPr>
        <w:pStyle w:val="H23"/>
      </w:pPr>
      <w:r>
        <w:t>2.</w:t>
      </w:r>
      <w:r>
        <w:tab/>
        <w:t>Конкретные меры в области общего образования</w:t>
      </w:r>
    </w:p>
    <w:p w:rsidR="00A44669" w:rsidRDefault="00A44669">
      <w:r>
        <w:t>139.</w:t>
      </w:r>
      <w:r>
        <w:tab/>
        <w:t xml:space="preserve">Доля женщин на различных уровнях образования, следующих за базовым, постоянно растет. На верхней ступени среднего образования, в политехнических учебных заведениях и университетах женщины составляют более 50 процентов учащихся и выпускников. Женщины составляют явное большинство лиц, участвующих в программах подготовительного образования для иммигрантов. </w:t>
      </w:r>
    </w:p>
    <w:p w:rsidR="00A44669" w:rsidRDefault="00A44669">
      <w:pPr>
        <w:pStyle w:val="Heading8"/>
      </w:pPr>
      <w:r>
        <w:t>Возможности участия лиц обоего пола в одинаковых программах обучения</w:t>
      </w:r>
    </w:p>
    <w:p w:rsidR="00A44669" w:rsidRDefault="00A44669">
      <w:r>
        <w:t>140.</w:t>
      </w:r>
      <w:r>
        <w:tab/>
        <w:t xml:space="preserve">В начале 2000-х годов были обновлены основные национальные программы обучения; программа для базового образования начала осуществляться с 1 августа 2006 года, а программа для верхнего уровня среднего образования – с 1 августа 2005 года. Согласно концепции этой программы, образование должно поощрять и пропагандировать открытую демократию, равенство и благополучие. </w:t>
      </w:r>
    </w:p>
    <w:p w:rsidR="00A44669" w:rsidRDefault="00A44669">
      <w:r>
        <w:t>141.</w:t>
      </w:r>
      <w:r>
        <w:tab/>
        <w:t>Согласно основной национальной программе для базового образования, преподавание, ориентированное на пропаганду гендерного равенства, должно вестись с учетом потребностей учащихся специальных учебных заведений, с тем чтобы девочки и мальчики научились тому, как нужно вести себя в обществе, сфере трудовой деятельности и семейной жизни, получив равные права и обязанности. Методы работы на уровне базового образования должны применяться с учетом различных подходов к обучению, которым отдают предпочтение ученики, различий между девочками и мальчиками и индивидуальных различий в уровне развития и образования каждого ученика.</w:t>
      </w:r>
    </w:p>
    <w:p w:rsidR="00A44669" w:rsidRDefault="00A44669">
      <w:pPr>
        <w:pStyle w:val="Heading8"/>
      </w:pPr>
      <w:r>
        <w:t>Специальное образование, медико-санитарное просвещение и планирование размера семьи</w:t>
      </w:r>
    </w:p>
    <w:p w:rsidR="00A44669" w:rsidRDefault="00A44669">
      <w:r>
        <w:t>142.</w:t>
      </w:r>
      <w:r>
        <w:tab/>
        <w:t>В новые основные национальные программы обучения в качестве нового обязательного предмета включено медико-санитарное просвещение. Этот предмет охватывает такие темы, как охрана сексуального здоровья, информированность о методах контрацепции и ответственное сексуальное поведение. На верхнем уровне среднего образования в рамках медико-санитарного просвещения также ведутся занятия по изучению родительских обязанностей и обучению навыкам семейной жизни. По данным исследования</w:t>
      </w:r>
      <w:r>
        <w:rPr>
          <w:rStyle w:val="FootnoteReference"/>
          <w:spacing w:val="0"/>
          <w:w w:val="100"/>
          <w:position w:val="0"/>
        </w:rPr>
        <w:footnoteReference w:id="21"/>
      </w:r>
      <w:r>
        <w:t xml:space="preserve"> Федерации семей Финляндии (Вяестёлиитто), половое воспитание в школах улучшилось, равно как и повысился уровень информированности учащихся о сексуальности. Особенно повысилась информированность мальчиков о сексуальности, хотя девочки по-прежнему лучше разбираются в этом вопросе.</w:t>
      </w:r>
    </w:p>
    <w:p w:rsidR="00A44669" w:rsidRDefault="00A44669">
      <w:r>
        <w:t>143.</w:t>
      </w:r>
      <w:r>
        <w:tab/>
        <w:t>Медико-санитарное просвещение также включает информирование о рисках для здоровья, связанных с употреблением наркотиков и галлюциногенных веществ, а также о причинах их употребления и его последствиях. Кроме того, на верхнем уровне среднего образования более пристальное внимание уделяется проблеме злоупотребления наркотиками, которая рассматривается с местной, общественной и глобальной точек зрения.</w:t>
      </w:r>
    </w:p>
    <w:p w:rsidR="00A44669" w:rsidRDefault="00A44669">
      <w:pPr>
        <w:pStyle w:val="H23"/>
      </w:pPr>
      <w:r>
        <w:t>3.</w:t>
      </w:r>
      <w:r>
        <w:tab/>
        <w:t>Женщины в сфере науки</w:t>
      </w:r>
    </w:p>
    <w:p w:rsidR="00A44669" w:rsidRDefault="00A44669">
      <w:r>
        <w:t>144.</w:t>
      </w:r>
      <w:r>
        <w:tab/>
        <w:t>В своих выводах, представленных по предыдущим периодическим докладам, Комитет по ликвидации дискриминации в отношении женщин выразил обеспокоенность в связи с низким процентом женщин на руководящих должностях высокого уровня во многих областях, в частности в научном сообществе.</w:t>
      </w:r>
    </w:p>
    <w:p w:rsidR="00A44669" w:rsidRDefault="00A44669">
      <w:pPr>
        <w:pStyle w:val="DualTxt"/>
        <w:tabs>
          <w:tab w:val="clear" w:pos="480"/>
          <w:tab w:val="clear" w:pos="960"/>
          <w:tab w:val="clear" w:pos="1440"/>
          <w:tab w:val="clear" w:pos="1915"/>
          <w:tab w:val="clear" w:pos="2405"/>
          <w:tab w:val="clear" w:pos="2880"/>
          <w:tab w:val="clear" w:pos="3355"/>
        </w:tabs>
      </w:pPr>
      <w:r>
        <w:t>145.</w:t>
      </w:r>
      <w:r>
        <w:tab/>
        <w:t>В период 2004–2006 годов доля женщин среди лиц, получивших докторскую степень, ежегодно составляла в среднем 47 процентов. На долю женщин приходилось почти 36 процентов от общего числа сотрудников, принятых на работу университетами на средства, выделенные из государственного бюджета, а соответствующий показатель для профессоров составлял 23 процента. Однако разница между секторами велика: доля женщин-профессоров составляла 52 процента в области педагогических наук, 42 процента – в области гуманитарных наук и менее 10 процентов – в области технических наук.</w:t>
      </w:r>
    </w:p>
    <w:p w:rsidR="00A44669" w:rsidRDefault="00A44669">
      <w:r>
        <w:t>146.</w:t>
      </w:r>
      <w:r>
        <w:tab/>
        <w:t>В своем меморандуме</w:t>
      </w:r>
      <w:r>
        <w:rPr>
          <w:rStyle w:val="FootnoteReference"/>
          <w:spacing w:val="0"/>
          <w:w w:val="100"/>
          <w:position w:val="0"/>
        </w:rPr>
        <w:footnoteReference w:id="22"/>
      </w:r>
      <w:r>
        <w:t>, опубликованном в 2004 году, рабочая группа по вопросам науки и общества Министерства просвещения предложила следующие меры улучшения обеспечения гендерного равенства:</w:t>
      </w:r>
    </w:p>
    <w:p w:rsidR="00A44669" w:rsidRDefault="00A44669">
      <w:pPr>
        <w:ind w:left="1701"/>
      </w:pPr>
      <w:r>
        <w:t>–</w:t>
      </w:r>
      <w:r>
        <w:tab/>
        <w:t>Приложить различные усилия для достижения баланса в представленности мужчин и женщин среди исследователей и научных работников (финансовые учреждения, университеты, научно-исследовательские институты, компании, все секторы общества).</w:t>
      </w:r>
    </w:p>
    <w:p w:rsidR="00A44669" w:rsidRDefault="00A44669">
      <w:pPr>
        <w:ind w:left="1701"/>
      </w:pPr>
      <w:r>
        <w:t>–</w:t>
      </w:r>
      <w:r>
        <w:tab/>
        <w:t>Университеты и высшие политехнические учебные заведения должны начать осуществление проектов, направленных на увеличение доли женщин в профессиях технического сектора.</w:t>
      </w:r>
    </w:p>
    <w:p w:rsidR="00A44669" w:rsidRDefault="00A44669">
      <w:pPr>
        <w:ind w:left="1701"/>
      </w:pPr>
      <w:r>
        <w:t>–</w:t>
      </w:r>
      <w:r>
        <w:tab/>
        <w:t>Методические принципы обучения в школах должны учитывать необходимость достижения гендерного баланса в тех отраслях, в которых доминируют женщины или мужчины.</w:t>
      </w:r>
    </w:p>
    <w:p w:rsidR="00A44669" w:rsidRDefault="00A44669">
      <w:r>
        <w:t>147.</w:t>
      </w:r>
      <w:r>
        <w:tab/>
        <w:t>В 2006 году свой меморандум</w:t>
      </w:r>
      <w:r>
        <w:rPr>
          <w:rStyle w:val="FootnoteReference"/>
          <w:spacing w:val="0"/>
          <w:w w:val="100"/>
          <w:position w:val="0"/>
        </w:rPr>
        <w:footnoteReference w:id="23"/>
      </w:r>
      <w:r>
        <w:t xml:space="preserve"> представила рабочая группа по содействию карьерному росту в сфере научных исследований, созданная Министерством просвещения. Группа предложила, в частности, принять следующие меры в целях содействия карьерному росту женщин, работающих на должностях исследователей:</w:t>
      </w:r>
    </w:p>
    <w:p w:rsidR="00A44669" w:rsidRDefault="00A44669">
      <w:pPr>
        <w:ind w:left="1701"/>
      </w:pPr>
      <w:r>
        <w:t>–</w:t>
      </w:r>
      <w:r>
        <w:tab/>
        <w:t>Все университеты, научно-исследовательские институты и компании должны составить план обеспечения равноправия, как это предусмотрено положениями Закона о равноправии, и осуществлять регулярный мониторинг его осуществления.</w:t>
      </w:r>
    </w:p>
    <w:p w:rsidR="00A44669" w:rsidRDefault="00A44669">
      <w:pPr>
        <w:ind w:left="1701"/>
      </w:pPr>
      <w:r>
        <w:t>–</w:t>
      </w:r>
      <w:r>
        <w:tab/>
        <w:t>Университеты, научно-исследовательские институты, компании, Академия Финляндии, Финское агентство финансирования технологий и инноваций (ТЕКЕС)</w:t>
      </w:r>
      <w:r>
        <w:rPr>
          <w:rStyle w:val="FootnoteReference"/>
          <w:spacing w:val="0"/>
          <w:w w:val="100"/>
          <w:position w:val="0"/>
        </w:rPr>
        <w:footnoteReference w:id="24"/>
      </w:r>
      <w:r>
        <w:t xml:space="preserve"> и фонды должны стремиться к тому, чтобы их руководство, члены и эксперты, входящие в состав директивных органов, учились выявлять случаи дискриминации по признаку пола и любые перекосы в представленности мужчин и женщин при наборе кадров и их оценке.</w:t>
      </w:r>
    </w:p>
    <w:p w:rsidR="00A44669" w:rsidRDefault="00A44669">
      <w:pPr>
        <w:ind w:left="1701"/>
      </w:pPr>
      <w:r>
        <w:t>–</w:t>
      </w:r>
      <w:r>
        <w:tab/>
        <w:t>Программы наставничества должны быть направлены на женщин-исследователей.</w:t>
      </w:r>
    </w:p>
    <w:p w:rsidR="00A44669" w:rsidRDefault="00A44669">
      <w:pPr>
        <w:ind w:left="1701"/>
      </w:pPr>
      <w:r>
        <w:t>–</w:t>
      </w:r>
      <w:r>
        <w:tab/>
        <w:t>Министерство просвещения должно включить показатель обеспечения гендерного равенства в отношении лиц, добивающихся профессионального роста в области научных исследований, в критерии оценки эффективности работы университетов.</w:t>
      </w:r>
    </w:p>
    <w:p w:rsidR="00A44669" w:rsidRDefault="00A44669">
      <w:r>
        <w:t>148.</w:t>
      </w:r>
      <w:r>
        <w:tab/>
        <w:t>В январе 2007 года Министерство просвещения на основе меморандума вышеупомянутой рабочей группы и других докладов по вопросу образования исследователей и содействия карьерному росту в сфере научных исследований приняло программу мер, которые необходимо осуществить для развития системы образования исследователей и содействия карьерному росту в сфере научных исследований на период 2007–2011 годов</w:t>
      </w:r>
      <w:r>
        <w:rPr>
          <w:rStyle w:val="FootnoteReference"/>
          <w:spacing w:val="0"/>
          <w:w w:val="100"/>
          <w:position w:val="0"/>
        </w:rPr>
        <w:footnoteReference w:id="25"/>
      </w:r>
      <w:r>
        <w:t>. Основная цель программы – обеспечить условия для карьерного роста в сфере научной деятельности и усилить предпосылки для этого, которые, будучи реализованными, обязательно будут содействовать улучшению положения исследователей-женщин. Кроме того, согласно Программе особое содействие будет оказываться профессиональному росту женщин на исследовательских должностях и женщины-исследователи получат доступ к подготовке руководящих кадров.</w:t>
      </w:r>
    </w:p>
    <w:p w:rsidR="00A44669" w:rsidRDefault="00A44669">
      <w:r>
        <w:t>149.</w:t>
      </w:r>
      <w:r>
        <w:tab/>
        <w:t>План обеспечения равенства мужчин и женщин на 2005–2007 годы, принятый Академией Финляндии, является одним из основных компонентов научно-политической стратегии Академии. При принятии решений, касающихся научных должностей и финансирования, необходимо принять меры к тому, чтобы применялась открытая и транспарентная экспертная процедура, в соответствии с которой достоинства кандидатов – как женщин, так и мужчин – оцениваются на равной и справедливой основе. Комитеты должны последовательно стремиться к увеличению числа кандидатов на исследовательские должности в категориях, где доля лиц какого-либо пола составляет менее 40 процентов, от числа лиц данного пола, составляющего меньшинство. Комитеты должны выбирать равное число женщин и мужчин в качестве экспертов по оценке.</w:t>
      </w:r>
    </w:p>
    <w:p w:rsidR="00A44669" w:rsidRDefault="00A44669">
      <w:pPr>
        <w:rPr>
          <w:b/>
          <w:bCs/>
        </w:rPr>
      </w:pPr>
      <w:r>
        <w:rPr>
          <w:b/>
          <w:bCs/>
        </w:rPr>
        <w:t xml:space="preserve">4. </w:t>
      </w:r>
      <w:r>
        <w:rPr>
          <w:b/>
          <w:bCs/>
        </w:rPr>
        <w:tab/>
        <w:t>Добровольное участие в силах национальной обороны</w:t>
      </w:r>
    </w:p>
    <w:p w:rsidR="00A44669" w:rsidRDefault="00A44669">
      <w:r>
        <w:tab/>
        <w:t xml:space="preserve">Новый Закон о добровольном участии в силах национальной обороны (556/2007), который должен вступить в действие в начале 2008 года, направлен на расширение возможностей мужчин, которые еще не проходили военную службу, и женщин для участия в силах национальной обороны. Женщинам будет предоставлена возможность участвовать в добровольных мероприятиях в составе сил обороны и в выполнении задач по оказанию помощи. Им могут быть поставлены задачи, связанные с боевой готовностью, их могут направить в резерв и приписать к личному составу войск военного времени в составе сил обороны. </w:t>
      </w:r>
    </w:p>
    <w:p w:rsidR="00A44669" w:rsidRDefault="00A44669">
      <w:r>
        <w:t>150.</w:t>
      </w:r>
      <w:r>
        <w:tab/>
        <w:t>Женщины, участвующие в добровольной деятельности, имеют право на те же финансовые и социальные льготы, что и лица, призванные на военную службу, в соответствии с Законом о воинской повинности. Женщины, участвующие в добровольных мероприятиях, организуемых Финскими силами обороны, выполняющие задачи по оказанию помощи и проходящие боевую подготовку под командованием сил из состава Национального учебного центра Министерства обороны, занимают равное положение с призывниками в том, что касается получения компенсаций в связи с несчастным случаем или болезнью в период прохождения службы.</w:t>
      </w:r>
    </w:p>
    <w:p w:rsidR="00A44669" w:rsidRDefault="00A44669"/>
    <w:p w:rsidR="00A44669" w:rsidRDefault="00A44669">
      <w:pPr>
        <w:pStyle w:val="H1"/>
      </w:pPr>
      <w:r>
        <w:t>Статья 11</w:t>
      </w:r>
    </w:p>
    <w:p w:rsidR="00A44669" w:rsidRDefault="00A44669">
      <w:pPr>
        <w:rPr>
          <w:i/>
          <w:iCs/>
        </w:rPr>
      </w:pPr>
      <w:r>
        <w:rPr>
          <w:i/>
          <w:iCs/>
        </w:rPr>
        <w:tab/>
        <w:t>1.</w:t>
      </w:r>
      <w:r>
        <w:rPr>
          <w:i/>
          <w:iCs/>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A44669" w:rsidRDefault="00A44669">
      <w:pPr>
        <w:rPr>
          <w:i/>
          <w:iCs/>
        </w:rPr>
      </w:pPr>
      <w:r>
        <w:rPr>
          <w:i/>
          <w:iCs/>
        </w:rPr>
        <w:tab/>
        <w:t>a)</w:t>
      </w:r>
      <w:r>
        <w:rPr>
          <w:i/>
          <w:iCs/>
        </w:rPr>
        <w:tab/>
        <w:t>право на труд как неотъемлемое право всех людей;</w:t>
      </w:r>
    </w:p>
    <w:p w:rsidR="00A44669" w:rsidRDefault="00A44669">
      <w:pPr>
        <w:rPr>
          <w:i/>
          <w:iCs/>
        </w:rPr>
      </w:pPr>
      <w:r>
        <w:rPr>
          <w:i/>
          <w:iCs/>
        </w:rPr>
        <w:tab/>
        <w:t>b)</w:t>
      </w:r>
      <w:r>
        <w:rPr>
          <w:i/>
          <w:iCs/>
        </w:rPr>
        <w:tab/>
        <w:t>право на одинаковые возможности при найме на работу, в том числе применение одинаковых критериев отбора при найме;</w:t>
      </w:r>
    </w:p>
    <w:p w:rsidR="00A44669" w:rsidRDefault="00A44669">
      <w:pPr>
        <w:rPr>
          <w:i/>
          <w:iCs/>
        </w:rPr>
      </w:pPr>
      <w:r>
        <w:rPr>
          <w:i/>
          <w:iCs/>
        </w:rPr>
        <w:tab/>
        <w:t>c)</w:t>
      </w:r>
      <w:r>
        <w:rPr>
          <w:i/>
          <w:iCs/>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A44669" w:rsidRDefault="00A44669">
      <w:pPr>
        <w:rPr>
          <w:i/>
          <w:iCs/>
        </w:rPr>
      </w:pPr>
      <w:r>
        <w:rPr>
          <w:i/>
          <w:iCs/>
        </w:rPr>
        <w:tab/>
        <w:t>d)</w:t>
      </w:r>
      <w:r>
        <w:rPr>
          <w:i/>
          <w:iCs/>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A44669" w:rsidRDefault="00A44669">
      <w:pPr>
        <w:rPr>
          <w:i/>
          <w:iCs/>
        </w:rPr>
      </w:pPr>
      <w:r>
        <w:rPr>
          <w:i/>
          <w:iCs/>
        </w:rPr>
        <w:tab/>
        <w:t>e)</w:t>
      </w:r>
      <w:r>
        <w:rPr>
          <w:i/>
          <w:iCs/>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A44669" w:rsidRDefault="00A44669">
      <w:pPr>
        <w:rPr>
          <w:i/>
          <w:iCs/>
        </w:rPr>
      </w:pPr>
      <w:r>
        <w:rPr>
          <w:i/>
          <w:iCs/>
        </w:rPr>
        <w:tab/>
        <w:t>f)</w:t>
      </w:r>
      <w:r>
        <w:rPr>
          <w:i/>
          <w:iCs/>
        </w:rPr>
        <w:tab/>
        <w:t>право на охрану здоровья и безопасные условия труда, в том числе по сохранению функции продолжения рода.</w:t>
      </w:r>
    </w:p>
    <w:p w:rsidR="00A44669" w:rsidRDefault="00A44669">
      <w:pPr>
        <w:rPr>
          <w:i/>
          <w:iCs/>
        </w:rPr>
      </w:pPr>
      <w:r>
        <w:rPr>
          <w:i/>
          <w:iCs/>
        </w:rPr>
        <w:tab/>
        <w:t>2.</w:t>
      </w:r>
      <w:r>
        <w:rPr>
          <w:i/>
          <w:iCs/>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A44669" w:rsidRDefault="00A44669">
      <w:pPr>
        <w:rPr>
          <w:i/>
          <w:iCs/>
        </w:rPr>
      </w:pPr>
      <w:r>
        <w:rPr>
          <w:i/>
          <w:iCs/>
        </w:rPr>
        <w:tab/>
        <w:t>a)</w:t>
      </w:r>
      <w:r>
        <w:rPr>
          <w:i/>
          <w:iCs/>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A44669" w:rsidRDefault="00A44669">
      <w:pPr>
        <w:rPr>
          <w:i/>
          <w:iCs/>
        </w:rPr>
      </w:pPr>
      <w:r>
        <w:rPr>
          <w:i/>
          <w:iCs/>
        </w:rPr>
        <w:tab/>
        <w:t>b)</w:t>
      </w:r>
      <w:r>
        <w:rPr>
          <w:i/>
          <w:iCs/>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A44669" w:rsidRDefault="00A44669">
      <w:pPr>
        <w:rPr>
          <w:i/>
          <w:iCs/>
        </w:rPr>
      </w:pPr>
      <w:r>
        <w:rPr>
          <w:i/>
          <w:iCs/>
        </w:rPr>
        <w:tab/>
        <w:t>c)</w:t>
      </w:r>
      <w:r>
        <w:rPr>
          <w:i/>
          <w:iCs/>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A44669" w:rsidRDefault="00A44669">
      <w:pPr>
        <w:rPr>
          <w:i/>
          <w:iCs/>
        </w:rPr>
      </w:pPr>
      <w:r>
        <w:rPr>
          <w:i/>
          <w:iCs/>
        </w:rPr>
        <w:tab/>
        <w:t>d)</w:t>
      </w:r>
      <w:r>
        <w:rPr>
          <w:i/>
          <w:iCs/>
        </w:rPr>
        <w:tab/>
        <w:t>обеспечивать женщинам особую защиту в период беременности на тех видах работ, вредность которых для их здоровья доказана.</w:t>
      </w:r>
    </w:p>
    <w:p w:rsidR="00A44669" w:rsidRDefault="00A44669">
      <w:r>
        <w:rPr>
          <w:i/>
          <w:iCs/>
        </w:rPr>
        <w:tab/>
        <w:t>3.</w:t>
      </w:r>
      <w:r>
        <w:rPr>
          <w:i/>
          <w:iCs/>
        </w:rPr>
        <w:tab/>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A44669" w:rsidRDefault="00A44669">
      <w:pPr>
        <w:pStyle w:val="H23"/>
      </w:pPr>
      <w:r>
        <w:t xml:space="preserve">1. </w:t>
      </w:r>
      <w:r>
        <w:tab/>
        <w:t>Искоренение дискриминации в труде</w:t>
      </w:r>
    </w:p>
    <w:p w:rsidR="00A44669" w:rsidRDefault="00A44669">
      <w:pPr>
        <w:pStyle w:val="H23"/>
      </w:pPr>
      <w:r>
        <w:t>1.1.</w:t>
      </w:r>
      <w:r>
        <w:tab/>
        <w:t>Разница в заработной плате мужчин и женщин</w:t>
      </w:r>
    </w:p>
    <w:p w:rsidR="00A44669" w:rsidRDefault="00A44669">
      <w:r>
        <w:t>151.</w:t>
      </w:r>
      <w:r>
        <w:tab/>
        <w:t>В своих выводах, подготовленных на основе предыдущих периодических докладов, Комитет по ликвидации дискриминации в отношении женщин выразил обеспокоенность по поводу сохранения дискриминации в области занятости. В частности, Комитет обеспокоен разницей в заработной плате мужчин и женщин, обусловленной главным образом "горизонтальной" и "вертикальной" сегрегацией по признаку пола на рынке труда.</w:t>
      </w:r>
    </w:p>
    <w:p w:rsidR="00A44669" w:rsidRDefault="00A44669">
      <w:r>
        <w:t>152.</w:t>
      </w:r>
      <w:r>
        <w:tab/>
        <w:t>Разница в заработной плате женщин и мужчин остается почти неизменной. Женщины по</w:t>
      </w:r>
      <w:r>
        <w:noBreakHyphen/>
        <w:t>прежнему зарабатывают примерно на 20 процентов меньше мужчин во всех сферах занятости рынка труда. Если принять во внимание среднюю заработную плату, то заработная плата женщин составляет всего 80 процентов от заработка мужчин. Эта разница несколько варьируется в зависимости от отрасли экономики. В муниципальном секторе средний заработок женщин составляет 85 процентов от среднего заработка мужчин, а соответствующий показатель для государственного и частного секторов составляет 81 процент.</w:t>
      </w:r>
    </w:p>
    <w:p w:rsidR="00A44669" w:rsidRDefault="00A44669">
      <w:pPr>
        <w:pStyle w:val="Heading8"/>
      </w:pPr>
      <w:r>
        <w:t>Сегрегация на рынке труда</w:t>
      </w:r>
    </w:p>
    <w:p w:rsidR="00A44669" w:rsidRDefault="00A44669">
      <w:r>
        <w:t>153.</w:t>
      </w:r>
      <w:r>
        <w:tab/>
        <w:t xml:space="preserve">Финский рынок труда в значительной мере сегрегирован по признаку пола, то есть разделен на женские и мужские области и профессии. Это в основном относится к разнице в заработной плате мужчин и женщин. Несмотря на усилия, прилагаемые для снижения сегрегации по признаку пола в сфере образования и профессиональной деятельности путем принятия разнообразных мер, изменения происходят медленно. Фактически, девочки и женщины завоевали прочные позиции в ряде некогда мужских областей, в частности тех из них, где необходим высокий уровень образования. Мужчины не проявляют аналогичного интереса к сфере образования и профессиям, где традиционно преобладают женщины. </w:t>
      </w:r>
    </w:p>
    <w:p w:rsidR="00A44669" w:rsidRDefault="00A44669">
      <w:r>
        <w:t>154.</w:t>
      </w:r>
      <w:r>
        <w:tab/>
        <w:t>По данным исследований, на разницу в заработной плате, по-видимому, влияют уровень образования и опыт работы. На должностях, где требуется более низкий уровень образования, разница в заработной плате мужчин и женщин, как правило, не такая значительная, тогда как обусловленная гендерным фактором разница в заработной плате выпускников высших учебных заведений самая большая.</w:t>
      </w:r>
    </w:p>
    <w:p w:rsidR="00A44669" w:rsidRDefault="00A44669">
      <w:pPr>
        <w:pStyle w:val="Heading8"/>
      </w:pPr>
      <w:r>
        <w:t>Равная плата за труд равной ценности</w:t>
      </w:r>
    </w:p>
    <w:p w:rsidR="00A44669" w:rsidRDefault="00A44669">
      <w:r>
        <w:t>155.</w:t>
      </w:r>
      <w:r>
        <w:tab/>
        <w:t>Сегрегация по признаку пола в сфере трудовой деятельности не сводится исключительно к разнице в заработной плате женщин и мужчин. Ежегодно омбудсмен по вопросам равноправия получает по несколько сообщений, касающихся подозрений на дискриминацию в отношении заработной платы. В 2005 году было возбуждено 126 дел по этому вопросу, что составляет 10,4 процента от общего числа возбужденных дел. Осенью 2007 года омбудсменом по вопросам равноправия будет организован семинар на тему "Равная плата за труд равной ценности". Этот семинар специально адресован судьям и юристам, работающим на профсоюзы.</w:t>
      </w:r>
    </w:p>
    <w:p w:rsidR="00A44669" w:rsidRDefault="00A44669">
      <w:r>
        <w:t>156.</w:t>
      </w:r>
      <w:r>
        <w:tab/>
        <w:t>Согласно положениям пересмотренного Закона о равноправии, план обеспечения равноправия должен содержать отчет о положении дел, касающийся обеспечения равенства на рабочих местах. В этом отчете должна быть показана структура заработной платы. Это значит, что нужно расписать по категориям должностные обязанности женщин и мужчин с указанием их заработной платы и любой разницы между ними. Это необходимо для того, чтобы показать, является ли отношение к мужчинам и женщинам в вопросах, касающихся заработной платы, справедливым и получают ли женщины и мужчины равную плату за труд, к которому предъявляются равные требования. При составлении таких аналитических графиков должны быть охвачены все работники, нанятые конкретным работодателем.</w:t>
      </w:r>
    </w:p>
    <w:p w:rsidR="00A44669" w:rsidRDefault="00A44669">
      <w:pPr>
        <w:pStyle w:val="Heading8"/>
      </w:pPr>
      <w:r>
        <w:t>Правительственная программа</w:t>
      </w:r>
    </w:p>
    <w:p w:rsidR="00A44669" w:rsidRDefault="00A44669">
      <w:r>
        <w:t>157.</w:t>
      </w:r>
      <w:r>
        <w:tab/>
        <w:t>Правительство предпринимает решительные усилия в попытке сократить различия в выплачиваемой мужчинам и женщинам заработной плате, приступив в 2006 году к осуществлению трехсторонней программы по обеспечению равной платы за труд равной ценности. Общей целью этой программы является уменьшение разницы в заработной плате женщин и мужчин, рассчитанной по среднемесячной оплате за выполнение постоянной работы полное рабочее время, с примерно 20 процентов в настоящее время, по меньшей мере, до 5 процентов к 2015 году. В связи с тем, что наличие разницы в заработной плате женщин и мужчин объясняется рядом причин, для их устранения в Программу включен широкий комплекс мер.</w:t>
      </w:r>
    </w:p>
    <w:p w:rsidR="00A44669" w:rsidRDefault="00A44669">
      <w:r>
        <w:t>158.</w:t>
      </w:r>
      <w:r>
        <w:tab/>
        <w:t>Группа по мониторингу высокого уровня, возглавляемая спикером парламента в 2006–2007 годах, осуществляет мониторинг хода выполнения Программы обеспечения равной платы за труд равной ценности. Членами этой группы считаются, например, руководители конфедераций рынков труда, политики и должностные лица высокого уровня. Удалось достичь плодотворного сотрудничества с профсоюзами, что обеспечивает серьезное решение проблемы равной оплаты труда. Никогда прежде решению вопроса равной оплаты не оказывалось содействие на столь высоком уровне. Второе правительство премьер-министра Матти Ванханена привержено продолжению реализации трехсторонней программы обеспечения равной оплаты. В июле 2007 года была создана группа по мониторингу высокого уровня, призванная своей работой обеспечить достижение поставленных целей.</w:t>
      </w:r>
    </w:p>
    <w:p w:rsidR="00A44669" w:rsidRDefault="00A44669">
      <w:r>
        <w:t>159.</w:t>
      </w:r>
      <w:r>
        <w:tab/>
        <w:t>Согласно Правительственной программе, целью правительства является обеспечение явного сокращения различий в заработной плате женщин и мужчин в течение срока его полномочий. Правительство обязуется выполнить трехстороннюю программу обеспечения равной оплаты труда путем реализации в указанный период предусматриваемого программой комплекса мер. Правительство зарезервировало сумму в размере 200 тыс. евро в год для финансирования программы в течение всего срока, на который оно избрано.</w:t>
      </w:r>
    </w:p>
    <w:p w:rsidR="00A44669" w:rsidRDefault="00A44669">
      <w:r>
        <w:t>160.</w:t>
      </w:r>
      <w:r>
        <w:tab/>
        <w:t>Правительство, со своей стороны, будет поддерживать основные меры, принимаемые профсоюзами в целях содействия установлению гендерного равенства и принципа равной оплаты труда. Правительство готово поддерживать урегулирование вопроса об оплате труда в муниципальном секторе, с тем чтобы содействовать развитию конкурентоспособности заработной платы в тех секторах, где работают преимущественно женщины, путем увеличения перечисляемых правительством средств муниципалитетам.</w:t>
      </w:r>
    </w:p>
    <w:p w:rsidR="00A44669" w:rsidRDefault="00A44669">
      <w:pPr>
        <w:pStyle w:val="H23"/>
      </w:pPr>
      <w:r>
        <w:t>1.2.</w:t>
      </w:r>
      <w:r>
        <w:tab/>
        <w:t>Работа по срочным трудовым соглашениям</w:t>
      </w:r>
    </w:p>
    <w:p w:rsidR="00A44669" w:rsidRDefault="00A44669">
      <w:r>
        <w:t>161.</w:t>
      </w:r>
      <w:r>
        <w:tab/>
        <w:t>Срочные трудовые соглашения или отношения широко распространены в Финляндии, и по-прежнему большинство работающих на таких условиях лиц составляют женщины. Работа по срочным трудовым соглашениям наиболее типична в секторах социального обслуживания, здравоохранения и образования и предоставляется, в частности, хорошо образованным женщинам в возрасте 25–45 лет, которые могут иметь детей.</w:t>
      </w:r>
    </w:p>
    <w:p w:rsidR="00A44669" w:rsidRDefault="00A44669">
      <w:r>
        <w:t>162.</w:t>
      </w:r>
      <w:r>
        <w:tab/>
        <w:t>В 2006 году доля женщин, работающих по срочным трудовым соглашениям, составляла 16,7 процента от общего числа занятых в частном секторе, а соответствующая доля мужчин – 10,5 процента. Соответственно доля женщин, работающих по срочным трудовым соглашениям в государственном секторе, составляла 24,0 процента в 2005 году, аналогичный показатель для мужчин составлял 23,6 процента. В муниципальном секторе доля женщин достигала 24,4 процента, а мужчин – 22,1 процента. В последнем квартале 2006 года число срочных трудовых соглашений составляло в общей сложности 314 тыс. Соответственно общее число занятых достигало 2,130 млн. человек; доля работающих по срочным трудовым соглашениям в общей численности занятых составляла 14,8 процента. Почти две трети работающих по срочным трудовым соглашениям составляли женщины. В последнем квартале 2002 года число срочных трудовых соглашений достигло 303 тыс., общая численность занятых составила 2,041 млн. человек; доля работающих по срочным трудовым соглашениям в общей численности занятых составила 14,9 процента.</w:t>
      </w:r>
    </w:p>
    <w:p w:rsidR="00A44669" w:rsidRDefault="00A44669">
      <w:r>
        <w:t>163.</w:t>
      </w:r>
      <w:r>
        <w:tab/>
        <w:t>Если рассматривать секторы по отдельности, то срочные трудовые соглашения значительно более характерны для государственного, чем для частного сектора. Среди лиц, занятых в государственном секторе, каждый четвертый работает по срочному трудовому соглашению, тогда как в частном секторе только каждый десятый или одиннадцатый работник трудится по такому договору. За последние четыре года число работающих по срочным трудовым соглашениям в государственном секторе сократилось, однако в муниципалитетах, муниципальных федерациях и в частном секторе их число увеличилось. В 2006 году по срочным трудовым соглашениям в государственном секторе работало 23,9 процента от общего числа работающих, что на один процент меньше, чем пять лет назад, в 2002 году. В 2006 году эти показатели для муниципалитетов и муниципальных федераций были такими же, как для государственного сектора, но по сравнению с 2002 годом они выросли на 0,7 процента. В частном секторе за аналогичный период времени доля лиц, работающих по срочным трудовым соглашениям, в общей численности работающих возросла с 12,5 процента до 13 процентов.</w:t>
      </w:r>
    </w:p>
    <w:p w:rsidR="00A44669" w:rsidRDefault="00A44669">
      <w:r>
        <w:t>164.</w:t>
      </w:r>
      <w:r>
        <w:tab/>
        <w:t>Существует много причин, объясняющих, почему в особенности женщины работают по срочным трудовым соглашениям. Структура занятости в Финляндии отличается от структуры занятости большинства стран ЕС вследствие того факта, что уровень занятости женщин в ней всего на 3,8 процента ниже уровня занятости мужчин. В Финляндии разница в уровне занятости женщин и мужчин самая низкая среди стран ЕС. С другой стороны, уровень занятости финского населения в целом не является одним из самых высоких в ЕС.</w:t>
      </w:r>
    </w:p>
    <w:p w:rsidR="00A44669" w:rsidRDefault="00A44669">
      <w:r>
        <w:t>165.</w:t>
      </w:r>
      <w:r>
        <w:tab/>
        <w:t xml:space="preserve">В большинстве случаев отпуск по семейным обстоятельствам по-прежнему используют женщины, что увеличивает связанные с этими отпусками расходы, которые должны оплачивать работодатели женщин. Финский рынок труда довольно сильно сегрегирован по признаку пола, особенно в муниципальном секторе, где, в частности, много женщин работает в сферах здравоохранения, социальных услуг и образования. Когда женщины, принятые на штатные должности в этих сферах, берут отпуск по семейным обстоятельствам, для их замещения, как правило, приходится нанимать на работу других женщин. В муниципальном секторе 49 процентов срочных трудовых соглашений приходится на долю лиц, работающих на замещающих должностях. Кроме того, к числу тех, кто берет отпуск в соответствии с системой подмены работника во время отпуска, как правило, принадлежат женщины, работающие в муниципальном секторе. </w:t>
      </w:r>
    </w:p>
    <w:p w:rsidR="00A44669" w:rsidRDefault="00A44669">
      <w:r>
        <w:t>166.</w:t>
      </w:r>
      <w:r>
        <w:tab/>
        <w:t>Новая трехсторонняя рабочая группа по статусу трудовых отношений, регулируемых срочными трудовыми соглашениями, и лиц, работающих по таким соглашениям, представила свой доклад в феврале 2007 года. На основе предложений группы был составлен правительственный законопроект, который будет рассмотрен парламентом в ходе работы осенней сессии 2007 года. Предполагается, что соответствующие поправки вступят в силу с начала 2008 года. Вместо предложения поправок для внесения в положения Закона о трудовых соглашениях (26.1.2001/55), касающиеся оснований для заключения срочных трудовых договоров, правительственный законопроект имеет целью создать дополнительные инструменты мониторинга их использования.</w:t>
      </w:r>
    </w:p>
    <w:p w:rsidR="00A44669" w:rsidRDefault="00A44669">
      <w:pPr>
        <w:pStyle w:val="H23"/>
      </w:pPr>
      <w:r>
        <w:t>1.3.</w:t>
      </w:r>
      <w:r>
        <w:tab/>
        <w:t>Занятость неполный рабочий день</w:t>
      </w:r>
    </w:p>
    <w:p w:rsidR="00A44669" w:rsidRDefault="00A44669">
      <w:r>
        <w:t>167.</w:t>
      </w:r>
      <w:r>
        <w:tab/>
        <w:t>В Финляндии работа неполный рабочий день не имеет широкого распространения. Неполное рабочее время работают около 19 процентов женщин. Наблюдается незначительный рост доли мужчин, занятых неполное рабочее время, но в настоящий момент она не превышает 10 процентов.</w:t>
      </w:r>
    </w:p>
    <w:p w:rsidR="00A44669" w:rsidRDefault="00A44669">
      <w:r>
        <w:t>168.</w:t>
      </w:r>
      <w:r>
        <w:tab/>
        <w:t>Работа неполный рабочий день сосредоточена главным образом в некоторых секторах. В 2006 году доля работающих неполный рабочий день в сфере торговли составляла 24 процента, а в сфере розничной торговли, в которой доминируют женщины, – 38 процентов. Доля женщин, которые работали неполный рабочий день в сфере торговли, являвшейся для них основным родом занятий, составляла 37 процентов, тогда как аналогичный показатель для мужчин не превышал 10 процентов. В розничной торговле 44 процента женщин и 22 процента мужчин имели работу на условиях частичной занятости. В гостиничном и ресторанном секторе различий между женщинами и мужчинами в отношении работы не существует. В сфере строительства занятость неполный рабочий день среди мужчин отсутствует, но небольшая группа женщин работает неполное рабочее время.</w:t>
      </w:r>
    </w:p>
    <w:p w:rsidR="00A44669" w:rsidRDefault="00A44669">
      <w:pPr>
        <w:pStyle w:val="H23"/>
      </w:pPr>
      <w:r>
        <w:t>1.4.</w:t>
      </w:r>
      <w:r>
        <w:tab/>
        <w:t>Дискриминация в связи с беременностью или отпуском по семейным обстоятельствам</w:t>
      </w:r>
    </w:p>
    <w:p w:rsidR="00A44669" w:rsidRDefault="00A44669">
      <w:r>
        <w:t>169.</w:t>
      </w:r>
      <w:r>
        <w:tab/>
        <w:t>Дискриминация по признаку пола продолжает оставаться одной из проблем на рабочих местах в Финляндии. По роду работы, предусматривающей в том числе мониторинг применения законов, омбудсмен по вопросам равноправия сталкивается с явными доказательствами того, что дискриминация в отношении женщин в связи с беременностью и отпуском по семейным обстоятельствам часто касается работы по срочным трудовым соглашениям. Типичной является ситуация, когда срок действия срочного трудового соглашения не продлевается, когда работница сообщает о своей беременности. Хотя Закон о равноправии (15.4.2005/232) запрещает дискриминацию на основании беременности и в связи с выполнением семейных обязанностей, в последние году к омбудсмену по вопросам равноправия все чаще обращаются по поводу подозрений на дискриминацию, особенно в связи с беременностью или отпусками по семейным обстоятельствам. Предоставляя информацию и рекомендации, омбудсмен по вопросам равноправия стремится к тому, чтобы повысить осведомленность работников в отношении запрещения дискриминации, предусматриваемого в Законе, и методов осуществления этого запрета в конкретных ситуациях на практике.</w:t>
      </w:r>
    </w:p>
    <w:p w:rsidR="00A44669" w:rsidRDefault="00A44669">
      <w:r>
        <w:t>170.</w:t>
      </w:r>
      <w:r>
        <w:tab/>
        <w:t>По мнению омбудсмена по вопросам равноправия, многие женщины, действие трудовых соглашений которых было прекращено на основании беременности, например, боятся подать апелляционную жалобу, используя для этого права, гарантируемые Законом о равноправии, поскольку они надеются вернуться на прежнее место работы по окончании отпуска по беременности и родам и отпуска по уходу за ребенком. Закон запрещает работодателю принимать ответные меры и подавать встречные иски, но на практике работники, как правило, умаляют значение своих прав, позволяющих им принять ответные меры на дискриминационные действия со стороны их работодателя.</w:t>
      </w:r>
    </w:p>
    <w:p w:rsidR="00A44669" w:rsidRDefault="00A44669">
      <w:r>
        <w:t>171.</w:t>
      </w:r>
      <w:r>
        <w:tab/>
        <w:t xml:space="preserve">По поводу подозрений на дискриминацию в связи с беременностью или отпусками по семейным обстоятельствам часто обращаются, помимо омбудсмена по вопросам равноправия, к специалистам по охране труда. В случаях, когда есть основания предполагать, что имеет место правонарушение, связанное с дискриминацией на рабочем месте, органы, занимающиеся вопросами охраны труда, передают такие дела на рассмотрение судов. </w:t>
      </w:r>
    </w:p>
    <w:p w:rsidR="00A44669" w:rsidRDefault="00A44669">
      <w:r>
        <w:t>172.</w:t>
      </w:r>
      <w:r>
        <w:tab/>
        <w:t>Законом о трудовых соглашениях (26.1.2001/55) запрещается прекращать трудовые отношения, которые являются действительными впредь до дальнейшего уведомления, на основании беременности или отпуска по семейным обстоятельствам. Вместе с тем только Закон о равноправии запрещает невозобновление срочного трудового соглашения и ограничение сроков его действия на основании беременности или отпуска по семейным обстоятельствам. По этой причине в так называемом основном законе, регулирующем трудовую деятельность, а именно в Законе о трудовых соглашениях, нет положений, касающихся соответствующих прав работников, работающих по срочным трудовым соглашениям. Омбудсмен по вопросам равноправия считает это упущением, в связи с чем в 2005 году она представила в Министерство труда предложение о том, чтобы данный Закон был дополнен положением, конкретно запрещающим невозобновление срочных трудовых соглашений и ограничение срока их действия на основании беременности или вследствие использования отпуска по семейным обстоятельствам.</w:t>
      </w:r>
    </w:p>
    <w:p w:rsidR="00A44669" w:rsidRDefault="00A44669">
      <w:pPr>
        <w:pStyle w:val="H23"/>
      </w:pPr>
      <w:r>
        <w:t xml:space="preserve">2. </w:t>
      </w:r>
      <w:r>
        <w:tab/>
        <w:t>Безработица среди женщин</w:t>
      </w:r>
    </w:p>
    <w:p w:rsidR="00A44669" w:rsidRDefault="00A44669">
      <w:r>
        <w:t>173.</w:t>
      </w:r>
      <w:r>
        <w:tab/>
        <w:t>По данным проведенного Статистическим управлением Финляндии в июле 2006 года исследования занятости, число работающих составляло 2,540 млн. человек, что на 46 тыс. человек больше, чем в предыдущем году. Число работающих возросло главным образом в провинции Южная Финляндия.</w:t>
      </w:r>
    </w:p>
    <w:p w:rsidR="00A44669" w:rsidRDefault="00A44669">
      <w:r>
        <w:t>174.</w:t>
      </w:r>
      <w:r>
        <w:tab/>
        <w:t>Уровень занятости, то есть доля работающего населения в возрасте 15–64 лет, в июле 2006 года составлял 71,8 процента. Он был на 1,1 процента выше, чем в предыдущем году. Уровень занятости женщин вырос на 1,6 процента, составив 69,5 процента. Уровень занятости мужчин увеличился на 0,6 процента, достигнув 74,0 процента.</w:t>
      </w:r>
    </w:p>
    <w:p w:rsidR="00A44669" w:rsidRDefault="00A44669">
      <w:r>
        <w:t>175.</w:t>
      </w:r>
      <w:r>
        <w:tab/>
        <w:t>Уровень безработицы среди женщин снизился с 8,2 процента в 2005 году до 7,2 процента. Аналогичную тенденцию демонстрирует и уровень безработицы среди мужчин, снизившись с 6,5 процента до 6,0 процента.</w:t>
      </w:r>
    </w:p>
    <w:p w:rsidR="00A44669" w:rsidRDefault="00A44669">
      <w:r>
        <w:t>176.</w:t>
      </w:r>
      <w:r>
        <w:tab/>
        <w:t>Уровень безработицы среди женщин-иммигрантов в 2005 году составлял 31 процент, а среди мужчин-иммигрантов – 20 процентов. В 2005 году уровень занятости населения в целом составил 8,4 процента.</w:t>
      </w:r>
    </w:p>
    <w:p w:rsidR="00A44669" w:rsidRDefault="00A44669">
      <w:pPr>
        <w:pStyle w:val="H23"/>
      </w:pPr>
      <w:r>
        <w:t xml:space="preserve">3. </w:t>
      </w:r>
      <w:r>
        <w:tab/>
        <w:t>Социальное обеспечение</w:t>
      </w:r>
    </w:p>
    <w:p w:rsidR="00A44669" w:rsidRDefault="00A44669">
      <w:pPr>
        <w:pStyle w:val="H23"/>
      </w:pPr>
      <w:r>
        <w:t xml:space="preserve">3.1. </w:t>
      </w:r>
      <w:r>
        <w:tab/>
        <w:t>Отпуск по уходу за ребенком, родительское пособие и пособие по беременности и родам</w:t>
      </w:r>
    </w:p>
    <w:p w:rsidR="00A44669" w:rsidRDefault="00A44669">
      <w:r>
        <w:t>177.</w:t>
      </w:r>
      <w:r>
        <w:tab/>
        <w:t>Родители ребенка вправе принять совместное решение о том, кто из них – мать или отец – использует отпуск по уходу за ребенком (родительский отпуск), который также может быть разделен между родителями. С начала 2007 года увеличен размер родительского пособия, получаемого отцом и матерью в течение первых 30 рабочих дней после рождения ребенка. Если оба родителя используют отпуск по уходу за ребенком и обращаются за родительским пособием, то они оба имеют право на получение возросшего пособия максимум в течение первых 30 рабочих дней после рождения ребенка.</w:t>
      </w:r>
    </w:p>
    <w:p w:rsidR="00A44669" w:rsidRDefault="00A44669">
      <w:r>
        <w:t>178.</w:t>
      </w:r>
      <w:r>
        <w:tab/>
        <w:t>Законодательные поправки направлены на поощрение, в частности, мужчин к более широкому пользованию своим правом на родительский отпуск. С точки зрения трудовой деятельности совместное использование родительского отпуска ведет к тому, что расходы, связанные с исполнением работниками их родительских обязанностей, которые несут работодатели, более равномерно распределяются между работодателями работников-мужчин и работников-женщин. Это способствует улучшению положения женщин на рынке труда.</w:t>
      </w:r>
    </w:p>
    <w:p w:rsidR="00A44669" w:rsidRDefault="00A44669">
      <w:r>
        <w:t>179.</w:t>
      </w:r>
      <w:r>
        <w:tab/>
        <w:t xml:space="preserve">Кроме того, был увеличен размер пособия по беременности и родам, выплачиваемого матерям в течение первых 56 рабочих дней после родов. Увеличение размера пособия не только позволяет повысить доход семьи, но и повышает размер компенсации, выплачиваемой работодателю в счет заработной платы матери, которую она получает во время отпуска по беременности и родам. В рассматриваемый период также был повышен размер компенсации за ежегодное отпускное вознаграждение, выплачиваемое работодателем. Реформы имеют целью выровнять материальные затраты на заработную плату работников, которые несут конкретные работодатели в связи с исполнением их работниками родительских обязанностей. Это косвенно ведет к улучшению положения женщин на рынке труда. </w:t>
      </w:r>
    </w:p>
    <w:p w:rsidR="00A44669" w:rsidRDefault="00A44669">
      <w:pPr>
        <w:pStyle w:val="H23"/>
      </w:pPr>
      <w:r>
        <w:t>3.2.</w:t>
      </w:r>
      <w:r>
        <w:tab/>
        <w:t>Пенсионная система</w:t>
      </w:r>
    </w:p>
    <w:p w:rsidR="00A44669" w:rsidRDefault="00A44669">
      <w:pPr>
        <w:pStyle w:val="Heading8"/>
      </w:pPr>
      <w:r>
        <w:t>Реформа системы пенсионного обеспечения в зависимости от доходов</w:t>
      </w:r>
    </w:p>
    <w:p w:rsidR="00A44669" w:rsidRDefault="00A44669">
      <w:r>
        <w:t>180.</w:t>
      </w:r>
      <w:r>
        <w:tab/>
        <w:t>Реформа системы пенсионного обеспечения в зависимости от доходов как в частном, так и в государственном секторе началась с первого дня 2005 года. Пенсионные накопления в рамках системы пенсионного обеспечения в зависимости от доходов формируются в течение трудовой деятельности человека в возрасте 18–67 лет. Размер пенсии в зависимости от доходов определяется размером годовых заработков работника и коэффициентом накопления, который зависит от его возраста. Коэффициент накопления составляет 1,5 процента от годового заработка работника до достижения им возраста 54 лет, 1,9 процента от годовых доходов для лиц в возрасте 54–63 лет и 4,5 процента – для лиц в возрасте 64–67 лет. С начала 2005 года предусматривается накопление пенсии за период, в течение которого человек получает ежедневное пособие по безработице, в зависимости от доходов и за конкретные периоды отсутствия заработной платы, рассчитываемое на основе дохода, который является базой для определения размера пособия по беременности и родам, специального пособия по беременности и родам, отцовского пособия или пособия по уходу за ребенком.</w:t>
      </w:r>
    </w:p>
    <w:p w:rsidR="00A44669" w:rsidRDefault="00A44669">
      <w:r>
        <w:t>181.</w:t>
      </w:r>
      <w:r>
        <w:tab/>
        <w:t xml:space="preserve">Реформа системы пенсионного обеспечения в зависимости от доходов за 2005 год позволила установить гибкий возраст выхода на пенсию по старости в возрасте 62–67 лет в соответствии с положениями законов о пенсиях, начисляемых в зависимости от доходов. Человек может, при желании, продолжать работать даже по достижении им 68 лет, не выходя на пенсию. В этом случае за отложенный выход на пенсию он получит прибавку к пенсии. Предусмотрено использование коэффициента ожидаемой продолжительности жизни в качестве нового показателя, влияющего на сокращение размера пенсии. Коэффициент ожидаемой продолжительности жизни будет применяться с начала 2010 года и рассчитываться на основе ожидаемой продолжительности жизни для каждой возрастной группы в том году, когда данная возрастная группа достигнет возраста 62 лет. Определено, что коэффициент будет одинаковым для каждой возрастной группы, независимо от разницы в предполагаемой продолжительности жизни женщин и мужчин. В соответствии с реформой прекращается выплата пенсии по безработице в рамках как системы пенсионного обеспечения в зависимости от доходов, так и государственной пенсионной системы, в связи с чем лица, родившиеся в 1950 году или в последующие годы, не будут иметь права на получение пенсии по безработице, а лица, родившиеся до 1950 года, утратят право на получение такой пенсии после 2011 года. Вместо выплаты пенсии по безработице доход длительно безработных лиц в будущем будет обеспечиваться системой социальной защиты по безработице. </w:t>
      </w:r>
    </w:p>
    <w:p w:rsidR="00A44669" w:rsidRDefault="00A44669">
      <w:r>
        <w:t>182.</w:t>
      </w:r>
      <w:r>
        <w:tab/>
        <w:t xml:space="preserve">Официальное пенсионное законодательство является нейтральным в гендерном отношении. Гендерные различия обусловливаются системой пенсионного обеспечения в зависимости от доходов в основном в силу более низкого уровня заработной платы, выплачиваемой женщинам по сравнению с мужчинами, более короткого срока трудовой деятельности и меньшего трудового вклада со стороны женщин. Необходимость заботиться о маленьких детях по-прежнему лишает женщин возможности работать вне дома чаще, чем мужчин. Реформа системы пенсионного обеспечения в зависимости от доходов, однако, направлена на увеличение размера пенсионного обеспечения женщин относительно его текущего уровня. Дифференцированный коэффициент накопления пенсий в зависимости от доходов должен быть выгоден лицам, которые, в частности, не могут эффективно заниматься карьерой из-за учебы или необходимости заботиться о детях. Недостающий стаж работы можно восполнить, если человек продолжает работать даже по достижении им возраста 62 лет. </w:t>
      </w:r>
    </w:p>
    <w:p w:rsidR="00A44669" w:rsidRDefault="00A44669">
      <w:pPr>
        <w:pStyle w:val="Heading8"/>
      </w:pPr>
      <w:r>
        <w:t>Пенсия по случаю потери кормильца</w:t>
      </w:r>
    </w:p>
    <w:p w:rsidR="00A44669" w:rsidRDefault="00A44669">
      <w:r>
        <w:t>183.</w:t>
      </w:r>
      <w:r>
        <w:tab/>
        <w:t xml:space="preserve">При определенных обстоятельствах можно получить пенсию по случаю потери кормильца по линии системы пенсионного обеспечения в зависимости от доходов или системы государственного пенсионного обеспечения в случае смерти одного из супругов. Пенсия по случаю потери кормильца включает детскую пенсию и пенсию вдовы/вдовца. Право на получение пенсии вдовы/вдовца и ее размер определяются на основании одних и тех же принципов, независимо от пола. Однако из-за более короткого срока трудовой деятельности женщин и более низких уровней их заработной платы женщины фактически оказываются в большем выигрыше от получения пенсии вдовы, чем мужчины от получения пенсии вдовца. </w:t>
      </w:r>
    </w:p>
    <w:p w:rsidR="00A44669" w:rsidRDefault="00A44669">
      <w:r>
        <w:t>184.</w:t>
      </w:r>
      <w:r>
        <w:tab/>
        <w:t>В конце 2005 года в Финляндии насчитывалось 1 298 524 пенсионера, из них женщин было 737 889, а мужчин – 560 635. Средняя пенсия, которую женщины заработали сами (в зависимости от размера доходов), составляла 933 евро в месяц, а общая сумма их пенсий (пенсия, заработанная ими самими, и пенсия вдовы) – 1067 евро. Средние пенсии мужчин составляли соответственно 1359 евро и 1368 евро в месяц. В 1992–2005 годах разница между общей суммой пенсий женщин и мужчин сократилась на 4 процента, а общая сумма пенсий женщин в 2005 году составляла 78 процентов от общей суммы пенсий мужчин.</w:t>
      </w:r>
    </w:p>
    <w:p w:rsidR="00A44669" w:rsidRDefault="00A44669">
      <w:r>
        <w:t>185.</w:t>
      </w:r>
      <w:r>
        <w:tab/>
        <w:t>В конце 2005 года 258 368 человек получали пенсию вдовы/вдовца, из них 225 388 были женщины и 32 980 – мужчины. Средняя пенсия по случаю потери кормильца, получаемая женщинами, составляла 489 евро, а мужчинами – 179 евро в месяц. На эти цифры повлиял тот факт, что мужчины в соответствии с законом оказались в менее выгодном положении, чем женщины, в сравнении с размером пенсии вдовы/вдовца до 1994 года, когда пенсионное законодательство было во всех отношениях нейтральным с гендерной точки зрения. В конце 2005 года среди лиц, которые получали пенсию по случаю потери кормильца, средняя общая сумма пенсий женщин, получающих пенсию вдовы и собственную пенсию (в зависимости от доходов), составляла 1182 евро в месяц, а соответствующая средняя общая сумма пенсий мужчин – 1385 евро в месяц.</w:t>
      </w:r>
    </w:p>
    <w:p w:rsidR="00A44669" w:rsidRDefault="00A44669">
      <w:pPr>
        <w:pStyle w:val="H23"/>
      </w:pPr>
      <w:r>
        <w:t>3.3.</w:t>
      </w:r>
      <w:r>
        <w:tab/>
        <w:t>Лица с инвалидностью</w:t>
      </w:r>
    </w:p>
    <w:p w:rsidR="00A44669" w:rsidRDefault="00A44669">
      <w:r>
        <w:t>186.</w:t>
      </w:r>
      <w:r>
        <w:tab/>
        <w:t>В докладе</w:t>
      </w:r>
      <w:r>
        <w:rPr>
          <w:rStyle w:val="FootnoteReference"/>
          <w:spacing w:val="0"/>
          <w:w w:val="100"/>
          <w:position w:val="0"/>
        </w:rPr>
        <w:footnoteReference w:id="26"/>
      </w:r>
      <w:r>
        <w:t>, подготовленном в 2006 году, было установлено наличие гендерных различий в отказах, касающихся заявлений о предоставлении поддержки инвалидам. Женщинам, обращающимся за поддержкой, отказывают чаще, чем мужчинам. Наибольшие различия отмечаются при рассмотрении заявлений мужчин и женщин в возрасте старше 55 лет.</w:t>
      </w:r>
    </w:p>
    <w:p w:rsidR="00A44669" w:rsidRDefault="00A44669">
      <w:r>
        <w:t>187.</w:t>
      </w:r>
      <w:r>
        <w:tab/>
        <w:t>Кроме того, статистические данные о предоставлении реабилитационных услуг, собранные Институтом социального страхования "Кела", свидетельствуют о том, что женщинам, которые подают заявления о предоставлении реабилитационных услуг, отказывают чаще, чем мужчинам, подающим аналогичные заявления:</w:t>
      </w:r>
    </w:p>
    <w:tbl>
      <w:tblPr>
        <w:tblW w:w="0" w:type="auto"/>
        <w:tblInd w:w="1191" w:type="dxa"/>
        <w:tblCellMar>
          <w:left w:w="56" w:type="dxa"/>
          <w:right w:w="56" w:type="dxa"/>
        </w:tblCellMar>
        <w:tblLook w:val="0000" w:firstRow="0" w:lastRow="0" w:firstColumn="0" w:lastColumn="0" w:noHBand="0" w:noVBand="0"/>
      </w:tblPr>
      <w:tblGrid>
        <w:gridCol w:w="2508"/>
        <w:gridCol w:w="2510"/>
        <w:gridCol w:w="2088"/>
      </w:tblGrid>
      <w:tr w:rsidR="00A44669">
        <w:tblPrEx>
          <w:tblCellMar>
            <w:top w:w="0" w:type="dxa"/>
            <w:bottom w:w="0" w:type="dxa"/>
          </w:tblCellMar>
        </w:tblPrEx>
        <w:tc>
          <w:tcPr>
            <w:tcW w:w="2508" w:type="dxa"/>
            <w:tcBorders>
              <w:top w:val="single" w:sz="12" w:space="0" w:color="auto"/>
              <w:bottom w:val="single" w:sz="4" w:space="0" w:color="auto"/>
            </w:tcBorders>
          </w:tcPr>
          <w:p w:rsidR="00A44669" w:rsidRDefault="00A44669">
            <w:pPr>
              <w:spacing w:before="40" w:after="40"/>
              <w:rPr>
                <w:b/>
                <w:bCs/>
              </w:rPr>
            </w:pPr>
          </w:p>
        </w:tc>
        <w:tc>
          <w:tcPr>
            <w:tcW w:w="2510" w:type="dxa"/>
            <w:tcBorders>
              <w:top w:val="single" w:sz="12" w:space="0" w:color="auto"/>
              <w:bottom w:val="single" w:sz="4" w:space="0" w:color="auto"/>
            </w:tcBorders>
          </w:tcPr>
          <w:p w:rsidR="00A44669" w:rsidRDefault="00A44669">
            <w:pPr>
              <w:spacing w:before="40" w:after="40"/>
              <w:ind w:left="0" w:firstLine="0"/>
              <w:jc w:val="center"/>
              <w:rPr>
                <w:b/>
                <w:bCs/>
              </w:rPr>
            </w:pPr>
            <w:r>
              <w:rPr>
                <w:b/>
                <w:bCs/>
              </w:rPr>
              <w:t>2004 год</w:t>
            </w:r>
          </w:p>
        </w:tc>
        <w:tc>
          <w:tcPr>
            <w:tcW w:w="2088" w:type="dxa"/>
            <w:tcBorders>
              <w:top w:val="single" w:sz="12" w:space="0" w:color="auto"/>
              <w:bottom w:val="single" w:sz="4" w:space="0" w:color="auto"/>
            </w:tcBorders>
          </w:tcPr>
          <w:p w:rsidR="00A44669" w:rsidRDefault="00A44669">
            <w:pPr>
              <w:spacing w:before="40" w:after="40"/>
              <w:ind w:left="0" w:firstLine="0"/>
              <w:jc w:val="center"/>
              <w:rPr>
                <w:b/>
                <w:bCs/>
              </w:rPr>
            </w:pPr>
            <w:r>
              <w:rPr>
                <w:b/>
                <w:bCs/>
              </w:rPr>
              <w:t>2005 год</w:t>
            </w:r>
          </w:p>
        </w:tc>
      </w:tr>
      <w:tr w:rsidR="00A44669">
        <w:tblPrEx>
          <w:tblCellMar>
            <w:top w:w="0" w:type="dxa"/>
            <w:bottom w:w="0" w:type="dxa"/>
          </w:tblCellMar>
        </w:tblPrEx>
        <w:tc>
          <w:tcPr>
            <w:tcW w:w="2508" w:type="dxa"/>
            <w:tcBorders>
              <w:top w:val="single" w:sz="4" w:space="0" w:color="auto"/>
            </w:tcBorders>
          </w:tcPr>
          <w:p w:rsidR="00A44669" w:rsidRDefault="00A44669">
            <w:pPr>
              <w:spacing w:before="40" w:after="40"/>
            </w:pPr>
            <w:r>
              <w:t>Женщины</w:t>
            </w:r>
          </w:p>
        </w:tc>
        <w:tc>
          <w:tcPr>
            <w:tcW w:w="2510" w:type="dxa"/>
            <w:tcBorders>
              <w:top w:val="single" w:sz="4" w:space="0" w:color="auto"/>
            </w:tcBorders>
          </w:tcPr>
          <w:p w:rsidR="00A44669" w:rsidRDefault="00A44669">
            <w:pPr>
              <w:spacing w:before="40" w:after="40"/>
              <w:ind w:left="0" w:firstLine="0"/>
              <w:jc w:val="center"/>
            </w:pPr>
            <w:r>
              <w:t>16,7%</w:t>
            </w:r>
          </w:p>
        </w:tc>
        <w:tc>
          <w:tcPr>
            <w:tcW w:w="2088" w:type="dxa"/>
            <w:tcBorders>
              <w:top w:val="single" w:sz="4" w:space="0" w:color="auto"/>
            </w:tcBorders>
          </w:tcPr>
          <w:p w:rsidR="00A44669" w:rsidRDefault="00A44669">
            <w:pPr>
              <w:spacing w:before="40" w:after="40"/>
              <w:ind w:left="0" w:firstLine="0"/>
              <w:jc w:val="center"/>
            </w:pPr>
            <w:r>
              <w:t>17,7%</w:t>
            </w:r>
          </w:p>
        </w:tc>
      </w:tr>
      <w:tr w:rsidR="00A44669">
        <w:tblPrEx>
          <w:tblCellMar>
            <w:top w:w="0" w:type="dxa"/>
            <w:bottom w:w="0" w:type="dxa"/>
          </w:tblCellMar>
        </w:tblPrEx>
        <w:tc>
          <w:tcPr>
            <w:tcW w:w="2508" w:type="dxa"/>
            <w:tcBorders>
              <w:bottom w:val="single" w:sz="12" w:space="0" w:color="auto"/>
            </w:tcBorders>
          </w:tcPr>
          <w:p w:rsidR="00A44669" w:rsidRDefault="00A44669">
            <w:pPr>
              <w:spacing w:before="40" w:after="40"/>
            </w:pPr>
            <w:r>
              <w:t>Мужчины</w:t>
            </w:r>
          </w:p>
        </w:tc>
        <w:tc>
          <w:tcPr>
            <w:tcW w:w="2510" w:type="dxa"/>
            <w:tcBorders>
              <w:bottom w:val="single" w:sz="12" w:space="0" w:color="auto"/>
            </w:tcBorders>
          </w:tcPr>
          <w:p w:rsidR="00A44669" w:rsidRDefault="00A44669">
            <w:pPr>
              <w:spacing w:before="40" w:after="40"/>
              <w:ind w:left="0" w:firstLine="0"/>
              <w:jc w:val="center"/>
            </w:pPr>
            <w:r>
              <w:t>14,4%</w:t>
            </w:r>
          </w:p>
        </w:tc>
        <w:tc>
          <w:tcPr>
            <w:tcW w:w="2088" w:type="dxa"/>
            <w:tcBorders>
              <w:bottom w:val="single" w:sz="12" w:space="0" w:color="auto"/>
            </w:tcBorders>
          </w:tcPr>
          <w:p w:rsidR="00A44669" w:rsidRDefault="00A44669">
            <w:pPr>
              <w:spacing w:before="40" w:after="40"/>
              <w:ind w:left="0" w:firstLine="0"/>
              <w:jc w:val="center"/>
            </w:pPr>
            <w:r>
              <w:t>16,5%</w:t>
            </w:r>
          </w:p>
        </w:tc>
      </w:tr>
    </w:tbl>
    <w:p w:rsidR="00A44669" w:rsidRDefault="00A44669"/>
    <w:p w:rsidR="00A44669" w:rsidRDefault="00A44669">
      <w:pPr>
        <w:pStyle w:val="H23"/>
      </w:pPr>
      <w:r>
        <w:t>3.4.</w:t>
      </w:r>
      <w:r>
        <w:tab/>
        <w:t>Гарантии социального обеспечения и разработка методов анализа гендерных аспектов воздействия</w:t>
      </w:r>
    </w:p>
    <w:p w:rsidR="00A44669" w:rsidRDefault="00A44669">
      <w:pPr>
        <w:pStyle w:val="DualTxt"/>
        <w:tabs>
          <w:tab w:val="clear" w:pos="480"/>
          <w:tab w:val="clear" w:pos="960"/>
          <w:tab w:val="clear" w:pos="1440"/>
          <w:tab w:val="clear" w:pos="1915"/>
          <w:tab w:val="clear" w:pos="2405"/>
          <w:tab w:val="clear" w:pos="2880"/>
          <w:tab w:val="clear" w:pos="3355"/>
        </w:tabs>
      </w:pPr>
      <w:r>
        <w:t>188.</w:t>
      </w:r>
      <w:r>
        <w:tab/>
        <w:t>В своих выводах, сделанных на основе рассмотрения предыдущих периодических докладов, Комитет по ликвидации дискриминации в отношении женщин выразил обеспокоенность по поводу того, что политика децентрализации социальных услуг может более пагубно отразиться на положении женщин, чем мужчин. Он рекомендовал правительству при осуществлении децентрализации социальных услуг использовать методы анализа гендерных аспектов воздействия этого процесса, а также обеспечить систему профессиональной подготовки с учетом интересов женщин. Кроме того, Комитет рекомендовал правительству укрепить связи между центральными органами власти и муниципалитетами, с тем чтобы при децентрализации социальных услуг сохранились льготы, предоставляемые по линии управляемых государством программ.</w:t>
      </w:r>
    </w:p>
    <w:p w:rsidR="00A44669" w:rsidRDefault="00A44669">
      <w:r>
        <w:t>189.</w:t>
      </w:r>
      <w:r>
        <w:tab/>
        <w:t xml:space="preserve">Оценка гендерных аспектов воздействия проводилась в связи с подготовкой Рамочного закона о реформировании структуры муниципалитетов и услуг (HE 155/2006 vp). В выводах по итогам оценки говорится, что, поскольку реформа затрагивает муниципальные структуры и организацию предоставления муниципальных услуг, конечное влияние изменений на женщин и мужчин должно рассматриваться с нескольких различных точек зрения. Что касается работников муниципального сектора, то эти изменения в конечном счете окажут влияние на условия их доступа к работе, продвижения по службе и их экономическое положение. Население в целом ощутит на себе последствия реформы при пользовании услугами, но на женщинах и мужчинах они скажутся по-разному. Эта реформа также будет иметь последствия с точки зрения участия в деятельности гражданского общества. </w:t>
      </w:r>
    </w:p>
    <w:p w:rsidR="00A44669" w:rsidRDefault="00A44669">
      <w:r>
        <w:t>190.</w:t>
      </w:r>
      <w:r>
        <w:tab/>
        <w:t xml:space="preserve">В дополнение к оценке воздействия реформы имеются также основания для анализа хода ее осуществления с гендерной точки зрения. На стадии осуществления реформы особенно важно обеспечить, чтобы анализ охватывал гендерные аспекты ее воздействия и вопросы равноправия. </w:t>
      </w:r>
    </w:p>
    <w:p w:rsidR="00A44669" w:rsidRDefault="00A44669">
      <w:r>
        <w:t>191.</w:t>
      </w:r>
      <w:r>
        <w:tab/>
        <w:t>Основная цель реформирования структуры муниципалитетов и услуг заключается в том, чтобы обеспечить, в том числе и в будущем, доступность основных услуг, за предоставление которых несут ответственность муниципалитеты, в период, когда важные изменения в возрастной структуре населения явно приведут к увеличению доли иждивенцев относительно ее нынешнего уровня и сделают организацию предоставления услуг еще более сложной задачей с точки зрения возможностей муниципальной экономики и наличия работников. Обеспечение соответствующего уровня основных услуг – одна из первоочередных целей с любой точки зрения – работников сектора услуг, тех, кто пользуется этими услугами или муниципального руководства. В качестве отправной точки фактор гендерного равенства является важным элементом основных задач реформы, которая будет проводиться в Финляндии в будущем.</w:t>
      </w:r>
    </w:p>
    <w:p w:rsidR="00A44669" w:rsidRDefault="00A44669">
      <w:r>
        <w:t>192.</w:t>
      </w:r>
      <w:r>
        <w:tab/>
        <w:t>В отчете об оценке подчеркивается важность оценки гендерных аспектов воздействия на следующем этапе подготовительной работы, связанной с проведением реформы. С точки зрения осуществления реформы после принятия Рамочного закона особенно важно обеспечить учет гендерного фактора при принятии решений в этой области. В рамках подготовительной работы в данных областях гендерные аспекты воздействия должны анализироваться с трех описанных в предыдущем пункте точек зрения, с более тщательным рассмотрением соображений, представленных по конкретной области. Одной из целей дальнейшей подготовки является создание для муниципалитетов как можно более практичного инструмента оценки гендерных аспектов воздействия в соответствующих областях на стадии осуществления реформы. Кроме того, необходимо учитывать тот факт, что в осуществлении реформы участвует достаточно большое число лиц обоего пола. Особое внимание должно уделяться соблюдению так называемого положения о квоте Закона о равноправии. В отчете об оценке также подчеркивается необходимость обеспечения, при проведении реформы, учета гендерных аспектов и на национальном уровне. Например, они должны приниматься во внимание в законодательной работе разных секторов административного управления. Наряду с этим необходимо обеспечить мониторинг гендерных аспектов воздействия.</w:t>
      </w:r>
    </w:p>
    <w:p w:rsidR="00A44669" w:rsidRDefault="00A44669">
      <w:r>
        <w:t>193.</w:t>
      </w:r>
      <w:r>
        <w:tab/>
        <w:t>Муниципальный сектор – основной работодатель женщин. В Финляндии треть работающих женщин занята в муниципальном секторе, и около 80 процентов персонала муниципалитетов составляют женщины. Работа, связанная с предоставлением ухода, стала сферой профессиональной деятельности, в которой женщины имеют возможность работать полное рабочее время и делать карьеру, будучи штатными работниками, а значит быть экономически независимыми, что важно для финских женщин, поскольку позволяет им достичь положения на равной с мужчинами основе.</w:t>
      </w:r>
    </w:p>
    <w:p w:rsidR="00A44669" w:rsidRDefault="00A44669">
      <w:r>
        <w:t>194.</w:t>
      </w:r>
      <w:r>
        <w:tab/>
        <w:t>В том, что касается пользования муниципальными услугами, между женщинами и мужчинами существуют различия. Женщины и мужчины имеют разную ожидаемую продолжительность жизни, а также особенности и показатели заболеваемости; кроме того, в определенной степени по-прежнему различаются роли женщин и мужчин в плане пользования услугами, имеющими отношение к семейным делам. Развитие муниципальных услуг привело к созданию рабочих мест для женщин, и эти самые услуги (например, детские дошкольные учреждения) обеспечили возможность работать другим женщинам. Благодаря возможности пользоваться муниципальными услугами (например, детскими дошкольными учреждениями) стало легче совмещать производственные и семейные обязанности.</w:t>
      </w:r>
    </w:p>
    <w:p w:rsidR="00A44669" w:rsidRDefault="00A44669">
      <w:r>
        <w:t>195.</w:t>
      </w:r>
      <w:r>
        <w:tab/>
        <w:t>Для осуществления реформы в соответствующих областях было подготовлено Руководство по оценке гендерных аспектов воздействия, а также составлен Справочник по оценке гендерных аспектов воздействия, содержащий базовую информацию, концепции и примеры вопросов, наиболее важных для муниципального сектора с гендерной точки зрения.</w:t>
      </w:r>
    </w:p>
    <w:p w:rsidR="00A44669" w:rsidRDefault="00A44669"/>
    <w:p w:rsidR="00A44669" w:rsidRDefault="00A44669">
      <w:pPr>
        <w:pStyle w:val="H1"/>
      </w:pPr>
      <w:r>
        <w:t>Статья 12</w:t>
      </w:r>
    </w:p>
    <w:p w:rsidR="00A44669" w:rsidRDefault="00A44669">
      <w:pPr>
        <w:rPr>
          <w:i/>
          <w:iCs/>
        </w:rPr>
      </w:pPr>
      <w:r>
        <w:tab/>
      </w:r>
      <w:r>
        <w:rPr>
          <w:i/>
          <w:iCs/>
        </w:rPr>
        <w:t>1. 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A44669" w:rsidRDefault="00A44669">
      <w:r>
        <w:rPr>
          <w:i/>
          <w:iCs/>
        </w:rPr>
        <w:tab/>
        <w:t>2. 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послеродовый период, предоставляя, когда это необходимо, бесплатные услуги, а также соответствующее питание в период беременности и кормления.</w:t>
      </w:r>
    </w:p>
    <w:p w:rsidR="00A44669" w:rsidRDefault="00A44669">
      <w:pPr>
        <w:pStyle w:val="H23"/>
      </w:pPr>
      <w:r>
        <w:t>1.</w:t>
      </w:r>
      <w:r>
        <w:tab/>
        <w:t>Охрана здоровья</w:t>
      </w:r>
    </w:p>
    <w:p w:rsidR="00A44669" w:rsidRDefault="00A44669">
      <w:pPr>
        <w:pStyle w:val="H23"/>
      </w:pPr>
      <w:r>
        <w:t>1.1.</w:t>
      </w:r>
      <w:r>
        <w:tab/>
        <w:t>Общие сведения</w:t>
      </w:r>
    </w:p>
    <w:p w:rsidR="00A44669" w:rsidRDefault="00A44669">
      <w:r>
        <w:t>196.</w:t>
      </w:r>
      <w:r>
        <w:tab/>
        <w:t xml:space="preserve">В новой Правительственной программе (2007–2011 годы) говорится, что "в области социальных и медицинских услуг и в работе, направленной на сокращение различий в том, что касается охраны здоровья женщин и мужчин, особое внимание будет уделяться гендерным аспектам". Принцип учета гендерного фактора принят во внимание в стратегической программе укрепления здоровья, включенной в Правительственную программу. В течение срока полномочий правительства будет популяризироваться руководство под названием "Правительство, партнерство и семья". По инициативе министерского комитета по вопросам социальной политики в 2007 году в Министерстве социальных дел и здравоохранения готовилась программа действий по сокращению неравенства в области здравоохранения. Основное внимание в ней будет сосредоточено на сокращении социально-экономических различий, касающихся охраны здоровья, с учетом гендерных различий. </w:t>
      </w:r>
    </w:p>
    <w:p w:rsidR="00A44669" w:rsidRDefault="00A44669">
      <w:pPr>
        <w:pStyle w:val="H23"/>
      </w:pPr>
      <w:r>
        <w:t>1.2.</w:t>
      </w:r>
      <w:r>
        <w:tab/>
        <w:t>Курение, особенно среди девушек</w:t>
      </w:r>
    </w:p>
    <w:p w:rsidR="00A44669" w:rsidRDefault="00A44669">
      <w:r>
        <w:t>197.</w:t>
      </w:r>
      <w:r>
        <w:tab/>
        <w:t>В своих выводах, основанных на предыдущих периодических докладах, Комитет по ликвидации дискриминации в отношении женщин выразил обеспокоенность по поводу распространения курения и употребления наркотиков среди молодежи, особенно среди девушек.</w:t>
      </w:r>
    </w:p>
    <w:p w:rsidR="00A44669" w:rsidRDefault="00A44669">
      <w:r>
        <w:t>198.</w:t>
      </w:r>
      <w:r>
        <w:tab/>
        <w:t>Начиная с 1977 года состояние здоровья и образ жизни подростков изучаются с использованием сравнительных методов в форме общенациональных обследований, вопросы которых раз в два года рассылаются по почте. Последнее обследование проводилось в течение февраля – апреля 2005 года. В докладе об исследовании</w:t>
      </w:r>
      <w:r>
        <w:rPr>
          <w:rStyle w:val="FootnoteReference"/>
          <w:spacing w:val="0"/>
          <w:w w:val="100"/>
          <w:position w:val="0"/>
        </w:rPr>
        <w:footnoteReference w:id="27"/>
      </w:r>
      <w:r>
        <w:t xml:space="preserve"> рассматривалось употребление алкогольных напитков и табачных изделий лицами в возрасте 12–18 лет, а также их отношение к употреблению алкогольных напитков и табачных изделий, их подверженность курению и социальная незащищенность от наркотиков с уделением особого внимания 2000-м годам. По данным доклада, молодежь курит меньше, чем раньше, а если говорить об их отношении, то они против курения. Эта положительная тенденция в отношении распространенности курения касается в основном подростков.</w:t>
      </w:r>
    </w:p>
    <w:p w:rsidR="00A44669" w:rsidRDefault="00A44669">
      <w:r>
        <w:t>199.</w:t>
      </w:r>
      <w:r>
        <w:tab/>
        <w:t>Курение в порядке экспериментирования и постоянное курение среди молодых людей в возрасте 18 лет в основном остается на прежнем уровне. 34 процента юношей и 33 процента девушек в возрасте 18 лет курят каждый день. Рост числа курящих девушек, который начался в середине 1990-х годов и с тех пор непрерывно продолжался, наконец прекратился. В целом гендерные различия в отношении курения невелики: 22 процента подростков в возрасте 14–18 лет курят каждый день, из них 23 процента девочек и 22 процента мальчиков. Доля 14-летних подростков, которые ежедневно курят сигареты, снижается с 2001 года, когда каждый день курили 15 процентов девочек и 13 процентов мальчиков; сегодня соответствующие показатели составляют 10 и 7 процентов. К лучшему изменилась ситуация и среди 16-летних подростков: в 2001 году 29 процентов мальчиков и 31 процент девочек курили ежедневно, но сегодня это делают только 23 процента мальчиков и 27 процентов девочек.</w:t>
      </w:r>
    </w:p>
    <w:p w:rsidR="00A44669" w:rsidRDefault="00A44669">
      <w:r>
        <w:t>200.</w:t>
      </w:r>
      <w:r>
        <w:tab/>
        <w:t xml:space="preserve">В период 1977–2005 годов доля курящих девушек оставалась на довольно высоком уровне и составляла 20–26 процентов. Снижение уровня употребления табачных изделий среди молодых женщин будет способствовать улучшению состояния здоровья их новорожденных детей. Вооруженные силы Финляндии ведут специальную разъяснительную работу среди женщин, которые проходят добровольную военную службу, относительно вреда курения в период беременности. </w:t>
      </w:r>
    </w:p>
    <w:p w:rsidR="00A44669" w:rsidRDefault="00A44669">
      <w:r>
        <w:t>201.</w:t>
      </w:r>
      <w:r>
        <w:tab/>
        <w:t>В декабре 2006 года омбудсмен по правам ребенка в сотрудничестве с Национальным агентством по контролю готовой продукции в целях защиты благополучия и здоровья выступил с инициативой о внесении поправок в Закон о курении (13.8.2976/693), адресованной Министерству социальных дел и здравоохранения. В рамках этой инициативы предлагается ввести лицензирование розничной торговли табачными изделиями. Подобная система лицензирования позволит обеспечить более эффективный надзор, предусматривая, например, отзыв разрешения на торговлю в конкретных случаях нарушения положений этого закона. Кроме того, должно быть запрещено хранение табачных изделий лицами в возрасте до 18 лет. Должно быть запрещено курение на игровых площадках детских дошкольных учреждений и во дворах учебных заведений, а также на других аналогичных площадках на открытом воздухе, предназначенных главным образом для детей в возрасте до 18 лет.</w:t>
      </w:r>
    </w:p>
    <w:p w:rsidR="00A44669" w:rsidRDefault="00A44669">
      <w:pPr>
        <w:pStyle w:val="H23"/>
      </w:pPr>
      <w:r>
        <w:t>1.3.</w:t>
      </w:r>
      <w:r>
        <w:tab/>
        <w:t>Злоупотребление наркотическими средствами среди девушек</w:t>
      </w:r>
    </w:p>
    <w:p w:rsidR="00A44669" w:rsidRDefault="00A44669">
      <w:r>
        <w:t>202.</w:t>
      </w:r>
      <w:r>
        <w:tab/>
        <w:t>По данным Обследования состояния здоровья и образа жизни подростков</w:t>
      </w:r>
      <w:r>
        <w:rPr>
          <w:rStyle w:val="FootnoteReference"/>
          <w:spacing w:val="0"/>
          <w:w w:val="100"/>
          <w:position w:val="0"/>
        </w:rPr>
        <w:footnoteReference w:id="28"/>
      </w:r>
      <w:r>
        <w:t>, доля девушек, которые пьют столь много, что напиваются по меньшей мере раз в месяц, значительно увеличилась за последние 20 лет. Согласно Обследованию, в 1985 году доля 16-летних девушек, которые сильно напивались по меньшей мере раз в месяц, составляла 12 процентов, а в 2005 году – 18 процентов, тогда как аналогичная доля 18-летних девушек составляла 9 процентов в 1985 году и 32 процента в 2005 году.</w:t>
      </w:r>
    </w:p>
    <w:p w:rsidR="00A44669" w:rsidRDefault="00A44669">
      <w:r>
        <w:t>203.</w:t>
      </w:r>
      <w:r>
        <w:tab/>
        <w:t>По данным Обследования состояния здоровья и образа жизни подростков, следующие группы подростков употребляли алкогольные напитки по меньшей мере раз в месяц: 22 процента девушек и 15 процентов юношей в возрасте 14 лет, 49 процентов девушек и 51 процент юношей в возрасте 16 лет и 79 процентов девушек и 78 процентов юношей в возрасте 18 лет.</w:t>
      </w:r>
    </w:p>
    <w:p w:rsidR="00A44669" w:rsidRDefault="00A44669">
      <w:r>
        <w:t>204.</w:t>
      </w:r>
      <w:r>
        <w:tab/>
        <w:t>Согласно результатам этого Обследования, наркотики предлагались следующим группам в следующем долевом выражении: 6 процентам девушек и 4 процентам юношей в возрасте 14 лет, 13 процентам девушек и 12 процентам юношей в возрасте 16 лет и 16 процентам девушек и 21 проценту юношей в возрасте 18 лет.</w:t>
      </w:r>
    </w:p>
    <w:p w:rsidR="00A44669" w:rsidRDefault="00A44669">
      <w:pPr>
        <w:pStyle w:val="H23"/>
      </w:pPr>
      <w:r>
        <w:t>2.</w:t>
      </w:r>
      <w:r>
        <w:tab/>
        <w:t>Охрана здоровья во время и после беременности</w:t>
      </w:r>
    </w:p>
    <w:p w:rsidR="00A44669" w:rsidRDefault="00A44669">
      <w:r>
        <w:t>205.</w:t>
      </w:r>
      <w:r>
        <w:tab/>
        <w:t xml:space="preserve">Весной 2007 года был подготовлен первый Финский национальный план действий по охране сексуального и репродуктивного здоровья на 2007–2011 годы. Он включает предложения по развитию медицинского обслуживания женщин в период беременности, во время родов и в послеродовой период. Кроме того, в нем изложены задачи и меры, касающиеся контрацепции, медицинского обслуживания после аборта, предупреждения заболеваний, передаваемых половым путем, и снижения уровня и раннего выявления случаев сексуального насилия. Наряду с этим разработано руководство по сексуальным вопросам с учетом потребностей меньшинств и инвалидов. Основное внимание </w:t>
      </w:r>
      <w:r>
        <w:br/>
        <w:t>в программе уделяется поощрению гендерного равенства, потребностям в обслуживании и особенностям женщин и мужчин.</w:t>
      </w:r>
    </w:p>
    <w:p w:rsidR="00A44669" w:rsidRDefault="00A44669">
      <w:r>
        <w:t>206.</w:t>
      </w:r>
      <w:r>
        <w:tab/>
        <w:t>В своем заявлении с изложением позиции в связи с настоящим периодическим докладом Финская ассоциация лиц с нарушением двигательных функций (Инвалидилиитто рю) подчеркивает важную роль содействия обеспечению доступности медицинского оборудования в целях улучшения положения инвалидов. По данным этой Ассоциации, столы для проведения гинекологического обследования или костные денситометры, например, часто неприспособлены для обследования женщин-инвалидов. В связи с проведением общенациональных медицинских обследований женщин, которые могут бесплатно пройти все женщины, живущие в Финляндии, приходится говорить о неподготовленности соответствующего персонала оказать помощь женщинам-инвалидам, в отличие, например, от специалистов в области физиотерапии, реабилитации или хирургии. То же самое относится к родильным домам и детским поликлиникам. Кроме того, бывает так, что по месту жительства инвалида имеется всего одна, а в худшем случае ни одной клиники или отделения, где общенациональные обследования здоровья проводятся, не создавая физических препятствий для инвалидов.</w:t>
      </w:r>
    </w:p>
    <w:p w:rsidR="00A44669" w:rsidRDefault="00A44669">
      <w:pPr>
        <w:pStyle w:val="H23"/>
      </w:pPr>
      <w:r>
        <w:t xml:space="preserve">3. </w:t>
      </w:r>
      <w:r>
        <w:tab/>
        <w:t>Планирование размера семьи и аборты</w:t>
      </w:r>
    </w:p>
    <w:p w:rsidR="00A44669" w:rsidRDefault="00A44669">
      <w:pPr>
        <w:pStyle w:val="H23"/>
      </w:pPr>
      <w:r>
        <w:t>3.1.</w:t>
      </w:r>
      <w:r>
        <w:tab/>
        <w:t>Закон об оказании медицинской помощи в области репродукции человека</w:t>
      </w:r>
    </w:p>
    <w:p w:rsidR="00A44669" w:rsidRDefault="00A44669">
      <w:r>
        <w:t>207.</w:t>
      </w:r>
      <w:r>
        <w:tab/>
        <w:t>Закон об оказании медицинской помощи в области репродукции человека (1237/2006), который долго готовился, вступил в силу 1 сентября 2007 года. В целях обеспечения условий для получения лечения в Законе предусматривается, что помимо женщин, состоящих в браке, право на лечение от бесплодия также имеют женщины, которые не состоят в браке или не живут в рамках отношений, напоминающих супружеские. В соответствии с новой Правительственной программой право женских и мужских супружеских пар на межсемейное усыновление станет возможным при условии принятия во внимание прав биологического родителя.</w:t>
      </w:r>
    </w:p>
    <w:p w:rsidR="00A44669" w:rsidRDefault="00A44669">
      <w:pPr>
        <w:pStyle w:val="H23"/>
      </w:pPr>
      <w:r>
        <w:t>3.2.</w:t>
      </w:r>
      <w:r>
        <w:tab/>
        <w:t>Аборты</w:t>
      </w:r>
    </w:p>
    <w:p w:rsidR="00A44669" w:rsidRDefault="00A44669">
      <w:r>
        <w:t>208.</w:t>
      </w:r>
      <w:r>
        <w:tab/>
        <w:t>В 2005 году был произведен 10 931 аборт, то есть на 1000 женщин фертильного возраста (15–49 лет) приходилось 9,3 аборта. Количество абортов уменьшилось на 2 процента, что составило немногим более 200 абортов в предыдущем году. Наибольшее уменьшение количества абортов было отмечено в возрастной группе до 20 лет (–5,4 процента) и в возрастной группе старше 45 лет (–4,3 процента). Количество абортов возросло в группах женщин в возрасте 40–44 лет (+5,2 процента) и 25–29 лет (+1,1 процента).</w:t>
      </w:r>
    </w:p>
    <w:p w:rsidR="00A44669" w:rsidRDefault="00A44669">
      <w:r>
        <w:t>209.</w:t>
      </w:r>
      <w:r>
        <w:tab/>
        <w:t>В 2005 году 86,9 процента абортов было произведено по социальным мотивам, то есть из-за материальных условий жизни или чрезмерных расходов, вызванных другими обстоятельствами. К числу других наиболее распространенных причин относится возраст до 17 лет (6,2 процента) или старше 40 лет (4,0 процента) или наличие четверых детей (2,2 процента). 0,5 процента абортов были произведены по медицинским показаниям, то есть из-за болезни, физического недостатка или слабости, угрожающих жизни или здоровью женщины. Доля абортов, произведенных на основании предполагаемого или диагностированного поражения плода, составила 2,6 процента от всех абортов.</w:t>
      </w:r>
    </w:p>
    <w:p w:rsidR="00A44669" w:rsidRDefault="00A44669">
      <w:r>
        <w:t>210.</w:t>
      </w:r>
      <w:r>
        <w:tab/>
        <w:t>По предварительной информации, в 2006 году было произведено 10 493 аборта, то есть на 1000 женщин фертильного возраста приходилось 8,9 аборта. Это на 440 абортов меньше (–4,0 процента), чем в 2005 году.</w:t>
      </w:r>
    </w:p>
    <w:p w:rsidR="00A44669" w:rsidRDefault="00A44669">
      <w:r>
        <w:t>211.</w:t>
      </w:r>
      <w:r>
        <w:tab/>
        <w:t>В 2006 году по сравнению с предыдущим годом количество абортов уменьшилось во всех возрастных группах. Этот показатель для женщин в возрасте до 20 лет снизился на 5,1 процента. Наибольшее количество абортов по-прежнему приходится на женщин в возрастной группе 20–24 лет, но даже в этой группе показатель уменьшился на 2,0 процента.</w:t>
      </w:r>
    </w:p>
    <w:p w:rsidR="00A44669" w:rsidRDefault="00A44669">
      <w:pPr>
        <w:pStyle w:val="H23"/>
      </w:pPr>
      <w:r>
        <w:t>4.</w:t>
      </w:r>
      <w:r>
        <w:tab/>
        <w:t>Заболевания, передаваемые половым путем</w:t>
      </w:r>
    </w:p>
    <w:p w:rsidR="00A44669" w:rsidRDefault="00A44669">
      <w:r>
        <w:t>212.</w:t>
      </w:r>
      <w:r>
        <w:tab/>
        <w:t>К настоящему докладу прилагаются статистические данные Национального института здравоохранения, которые дают представление о ситуации, касающейся распространенности ВИЧ/СПИДа в Финляндии. Они представлены в разбивке по полу.</w:t>
      </w:r>
    </w:p>
    <w:p w:rsidR="00A44669" w:rsidRDefault="00A44669"/>
    <w:p w:rsidR="00A44669" w:rsidRDefault="00A44669">
      <w:pPr>
        <w:pStyle w:val="H1"/>
      </w:pPr>
      <w:r>
        <w:t>Статья 13</w:t>
      </w:r>
    </w:p>
    <w:p w:rsidR="00A44669" w:rsidRDefault="00A44669">
      <w:pPr>
        <w:rPr>
          <w:i/>
          <w:iCs/>
        </w:rPr>
      </w:pPr>
      <w:r>
        <w:rPr>
          <w:i/>
          <w:iCs/>
        </w:rPr>
        <w:tab/>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A44669" w:rsidRDefault="00A44669">
      <w:pPr>
        <w:rPr>
          <w:i/>
          <w:iCs/>
        </w:rPr>
      </w:pPr>
      <w:r>
        <w:rPr>
          <w:i/>
          <w:iCs/>
        </w:rPr>
        <w:tab/>
        <w:t>a)</w:t>
      </w:r>
      <w:r>
        <w:rPr>
          <w:i/>
          <w:iCs/>
        </w:rPr>
        <w:tab/>
        <w:t>право на семейные пособия;</w:t>
      </w:r>
    </w:p>
    <w:p w:rsidR="00A44669" w:rsidRDefault="00A44669">
      <w:pPr>
        <w:rPr>
          <w:i/>
          <w:iCs/>
        </w:rPr>
      </w:pPr>
      <w:r>
        <w:rPr>
          <w:i/>
          <w:iCs/>
        </w:rPr>
        <w:tab/>
        <w:t>b)</w:t>
      </w:r>
      <w:r>
        <w:rPr>
          <w:i/>
          <w:iCs/>
        </w:rPr>
        <w:tab/>
        <w:t>право на получение займов, ссуд под недвижимость и других форм финансовых кредитов;</w:t>
      </w:r>
    </w:p>
    <w:p w:rsidR="00A44669" w:rsidRDefault="00A44669">
      <w:r>
        <w:rPr>
          <w:i/>
          <w:iCs/>
        </w:rPr>
        <w:tab/>
        <w:t>c)</w:t>
      </w:r>
      <w:r>
        <w:rPr>
          <w:i/>
          <w:iCs/>
        </w:rPr>
        <w:tab/>
        <w:t>прав участвовать в мероприятиях, связанных с отдыхом, занятиях спортом и во всех областях культурной жизни.</w:t>
      </w:r>
    </w:p>
    <w:p w:rsidR="00A44669" w:rsidRDefault="00A44669">
      <w:r>
        <w:t>213.</w:t>
      </w:r>
      <w:r>
        <w:tab/>
        <w:t>Правительство обращает в этой связи внимание на информацию, изложенную в его предыдущих докладах.</w:t>
      </w:r>
    </w:p>
    <w:p w:rsidR="00A44669" w:rsidRDefault="00A44669"/>
    <w:p w:rsidR="00A44669" w:rsidRDefault="00A44669">
      <w:pPr>
        <w:pStyle w:val="H1"/>
      </w:pPr>
      <w:r>
        <w:t>Статья 14</w:t>
      </w:r>
    </w:p>
    <w:p w:rsidR="00A44669" w:rsidRDefault="00A44669">
      <w:pPr>
        <w:rPr>
          <w:i/>
          <w:iCs/>
        </w:rPr>
      </w:pPr>
      <w:r>
        <w:rPr>
          <w:i/>
          <w:iCs/>
        </w:rPr>
        <w:tab/>
        <w:t>1.</w:t>
      </w:r>
      <w:r>
        <w:rPr>
          <w:i/>
          <w:iCs/>
        </w:rPr>
        <w:tab/>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A44669" w:rsidRDefault="00A44669">
      <w:pPr>
        <w:rPr>
          <w:i/>
          <w:iCs/>
        </w:rPr>
      </w:pPr>
      <w:r>
        <w:rPr>
          <w:i/>
          <w:iCs/>
        </w:rPr>
        <w:tab/>
        <w:t>2.</w:t>
      </w:r>
      <w:r>
        <w:rPr>
          <w:i/>
          <w:iCs/>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получении выгод от такого развития, и, в частности, обеспечивают таким женщинам право:</w:t>
      </w:r>
    </w:p>
    <w:p w:rsidR="00A44669" w:rsidRDefault="00A44669">
      <w:pPr>
        <w:rPr>
          <w:i/>
          <w:iCs/>
        </w:rPr>
      </w:pPr>
      <w:r>
        <w:rPr>
          <w:i/>
          <w:iCs/>
        </w:rPr>
        <w:tab/>
        <w:t>a)</w:t>
      </w:r>
      <w:r>
        <w:rPr>
          <w:i/>
          <w:iCs/>
        </w:rPr>
        <w:tab/>
        <w:t>участвовать в разработке и осуществлении планов развития на всех уровнях;</w:t>
      </w:r>
    </w:p>
    <w:p w:rsidR="00A44669" w:rsidRDefault="00A44669">
      <w:pPr>
        <w:rPr>
          <w:i/>
          <w:iCs/>
        </w:rPr>
      </w:pPr>
      <w:r>
        <w:rPr>
          <w:i/>
          <w:iCs/>
        </w:rPr>
        <w:tab/>
        <w:t>b)</w:t>
      </w:r>
      <w:r>
        <w:rPr>
          <w:i/>
          <w:iCs/>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A44669" w:rsidRDefault="00A44669">
      <w:pPr>
        <w:rPr>
          <w:i/>
          <w:iCs/>
        </w:rPr>
      </w:pPr>
      <w:r>
        <w:rPr>
          <w:i/>
          <w:iCs/>
        </w:rPr>
        <w:tab/>
        <w:t>c)</w:t>
      </w:r>
      <w:r>
        <w:rPr>
          <w:i/>
          <w:iCs/>
        </w:rPr>
        <w:tab/>
        <w:t>непосредственно пользоваться благами программ социального страхования;</w:t>
      </w:r>
    </w:p>
    <w:p w:rsidR="00A44669" w:rsidRDefault="00A44669">
      <w:pPr>
        <w:rPr>
          <w:i/>
          <w:iCs/>
        </w:rPr>
      </w:pPr>
      <w:r>
        <w:rPr>
          <w:i/>
          <w:iCs/>
        </w:rPr>
        <w:tab/>
        <w:t>d)</w:t>
      </w:r>
      <w:r>
        <w:rPr>
          <w:i/>
          <w:iCs/>
        </w:rPr>
        <w:tab/>
        <w:t>получать все виды подготовки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A44669" w:rsidRDefault="00A44669">
      <w:pPr>
        <w:rPr>
          <w:i/>
          <w:iCs/>
        </w:rPr>
      </w:pPr>
      <w:r>
        <w:rPr>
          <w:i/>
          <w:iCs/>
        </w:rPr>
        <w:tab/>
        <w:t>e)</w:t>
      </w:r>
      <w:r>
        <w:rPr>
          <w:i/>
          <w:iCs/>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A44669" w:rsidRDefault="00A44669">
      <w:pPr>
        <w:rPr>
          <w:i/>
          <w:iCs/>
        </w:rPr>
      </w:pPr>
      <w:r>
        <w:rPr>
          <w:i/>
          <w:iCs/>
        </w:rPr>
        <w:tab/>
        <w:t>f)</w:t>
      </w:r>
      <w:r>
        <w:rPr>
          <w:i/>
          <w:iCs/>
        </w:rPr>
        <w:tab/>
        <w:t>участвовать во всех видах коллективной деятельности;</w:t>
      </w:r>
    </w:p>
    <w:p w:rsidR="00A44669" w:rsidRDefault="00A44669">
      <w:pPr>
        <w:rPr>
          <w:i/>
          <w:iCs/>
        </w:rPr>
      </w:pPr>
      <w:r>
        <w:rPr>
          <w:i/>
          <w:iCs/>
        </w:rPr>
        <w:tab/>
        <w:t>g)</w:t>
      </w:r>
      <w:r>
        <w:rPr>
          <w:i/>
          <w:iCs/>
        </w:rPr>
        <w:tab/>
        <w:t>иметь доступ к сельскохозяйственным кредитам и займам, системе сбыта, соответствующей технологии и на равный статус в земельной и аграрной реформах, а также в планах перезаселения земель;</w:t>
      </w:r>
    </w:p>
    <w:p w:rsidR="00A44669" w:rsidRDefault="00A44669">
      <w:r>
        <w:rPr>
          <w:i/>
          <w:iCs/>
        </w:rPr>
        <w:tab/>
        <w:t>h)</w:t>
      </w:r>
      <w:r>
        <w:rPr>
          <w:i/>
          <w:iCs/>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A44669" w:rsidRDefault="00A44669">
      <w:pPr>
        <w:pStyle w:val="H23"/>
      </w:pPr>
      <w:r>
        <w:t>1.</w:t>
      </w:r>
      <w:r>
        <w:tab/>
        <w:t>Развитие сельских районов</w:t>
      </w:r>
    </w:p>
    <w:p w:rsidR="00A44669" w:rsidRDefault="00A44669">
      <w:r>
        <w:t>214.</w:t>
      </w:r>
      <w:r>
        <w:tab/>
        <w:t>Осуществление Финской программы политики развития сельских районов, подготовка которой была завершена в 2000 году, координируется Координационной группой. В рамках этой программы функционировала специальная Целевая группа по женщинам. О деятельности данной Группы рассказывалось в предыдущем докладе. Работа Группы была завершена летом 2007 года.</w:t>
      </w:r>
    </w:p>
    <w:p w:rsidR="00A44669" w:rsidRDefault="00A44669">
      <w:r>
        <w:t>215.</w:t>
      </w:r>
      <w:r>
        <w:tab/>
        <w:t>В задачи Целевой группы по женщинам входили содействие развитию деятельности сельских женщин и придание ей общественной значимости. Сотрудничество было направлено на расширение возможностей женщин по более эффективному обеспечению средств к существованию в сельских районах при содействии учету факторов равноправия в усилиях по развитию сельских районов. Целевая группа функционировала как общенациональная сеть женщин, живущих в сельской местности и городах, которые участвовали в ее деятельности. Некоторые из них работали в административных органах, консультационных организациях и научно-исследовательских институтах. Некоторыми партнерами по сотрудничеству с Группой являлись финские региональные советы, центры занятости и экономического развития, женские центры документации, консультационные организации и проекты по всей стране.</w:t>
      </w:r>
    </w:p>
    <w:p w:rsidR="00A44669" w:rsidRDefault="00A44669">
      <w:r>
        <w:t>216.</w:t>
      </w:r>
      <w:r>
        <w:tab/>
        <w:t>В период своей деятельности в 2005–2007 годах Целевая группа по женщинам реализовала План действий для сельских женщин, четвертую Программу политики развития сельских районов и предложения по мерам, которые были включены в Национальную программу действий по обеспечению равноправия. Основные усилия Группы были направлены на поощрение гендерного равенства в деятельности по региональному развитию, осуществляемой в рамках реализации программ, деятельности по развитию предпринимательства и научно-исследовательской деятельности. В 2007 году основное внимание Целевая группа уделяла упрочению условий, благоприятных для учета гендерного фактора в политике регионального развития и развития сельских районов.</w:t>
      </w:r>
    </w:p>
    <w:p w:rsidR="00A44669" w:rsidRDefault="00A44669"/>
    <w:p w:rsidR="00A44669" w:rsidRDefault="00A44669">
      <w:pPr>
        <w:pStyle w:val="H1"/>
      </w:pPr>
      <w:r>
        <w:t>Статья 15</w:t>
      </w:r>
    </w:p>
    <w:p w:rsidR="00A44669" w:rsidRDefault="00A44669">
      <w:pPr>
        <w:rPr>
          <w:i/>
          <w:iCs/>
        </w:rPr>
      </w:pPr>
      <w:r>
        <w:rPr>
          <w:i/>
          <w:iCs/>
        </w:rPr>
        <w:tab/>
        <w:t>1.</w:t>
      </w:r>
      <w:r>
        <w:rPr>
          <w:i/>
          <w:iCs/>
        </w:rPr>
        <w:tab/>
        <w:t>Государства-участники признают за женщинами равенство с мужчинами перед законом.</w:t>
      </w:r>
    </w:p>
    <w:p w:rsidR="00A44669" w:rsidRDefault="00A44669">
      <w:pPr>
        <w:rPr>
          <w:i/>
          <w:iCs/>
        </w:rPr>
      </w:pPr>
      <w:r>
        <w:rPr>
          <w:i/>
          <w:iCs/>
        </w:rPr>
        <w:tab/>
        <w:t>2.</w:t>
      </w:r>
      <w:r>
        <w:rPr>
          <w:i/>
          <w:iCs/>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трибуналах.</w:t>
      </w:r>
    </w:p>
    <w:p w:rsidR="00A44669" w:rsidRDefault="00A44669">
      <w:pPr>
        <w:rPr>
          <w:i/>
          <w:iCs/>
        </w:rPr>
      </w:pPr>
      <w:r>
        <w:rPr>
          <w:i/>
          <w:iCs/>
        </w:rPr>
        <w:tab/>
        <w:t>3.</w:t>
      </w:r>
      <w:r>
        <w:rPr>
          <w:i/>
          <w:iCs/>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A44669" w:rsidRDefault="00A44669">
      <w:r>
        <w:rPr>
          <w:i/>
          <w:iCs/>
        </w:rPr>
        <w:tab/>
        <w:t>4.</w:t>
      </w:r>
      <w:r>
        <w:rPr>
          <w:i/>
          <w:iCs/>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места жительства.</w:t>
      </w:r>
    </w:p>
    <w:p w:rsidR="00A44669" w:rsidRDefault="00A44669">
      <w:r>
        <w:t>217.</w:t>
      </w:r>
      <w:r>
        <w:tab/>
        <w:t>В Финляндии женщины и мужчины равны перед законом, как это предусматривается статьей 15 Конвенции. В этом отношении правительство рекомендует обратиться к предыдущим периодическим докладам Финляндии.</w:t>
      </w:r>
    </w:p>
    <w:p w:rsidR="00A44669" w:rsidRDefault="00A44669"/>
    <w:p w:rsidR="00A44669" w:rsidRDefault="00A44669">
      <w:pPr>
        <w:pStyle w:val="H1"/>
      </w:pPr>
      <w:r>
        <w:t>Статья 16</w:t>
      </w:r>
    </w:p>
    <w:p w:rsidR="00A44669" w:rsidRDefault="00A44669">
      <w:pPr>
        <w:rPr>
          <w:i/>
          <w:iCs/>
        </w:rPr>
      </w:pPr>
      <w:r>
        <w:rPr>
          <w:i/>
          <w:iCs/>
        </w:rPr>
        <w:tab/>
        <w:t>1.</w:t>
      </w:r>
      <w:r>
        <w:rPr>
          <w:i/>
          <w:iCs/>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A44669" w:rsidRDefault="00A44669">
      <w:pPr>
        <w:rPr>
          <w:i/>
          <w:iCs/>
        </w:rPr>
      </w:pPr>
      <w:r>
        <w:rPr>
          <w:i/>
          <w:iCs/>
        </w:rPr>
        <w:tab/>
        <w:t>a)</w:t>
      </w:r>
      <w:r>
        <w:rPr>
          <w:i/>
          <w:iCs/>
        </w:rPr>
        <w:tab/>
        <w:t>одинаковые права на вступление в брак;</w:t>
      </w:r>
    </w:p>
    <w:p w:rsidR="00A44669" w:rsidRDefault="00A44669">
      <w:pPr>
        <w:rPr>
          <w:i/>
          <w:iCs/>
        </w:rPr>
      </w:pPr>
      <w:r>
        <w:rPr>
          <w:i/>
          <w:iCs/>
        </w:rPr>
        <w:tab/>
        <w:t>b)</w:t>
      </w:r>
      <w:r>
        <w:rPr>
          <w:i/>
          <w:iCs/>
        </w:rPr>
        <w:tab/>
        <w:t>одинаковые права на свободный выбор супруга и на вступление в брак только со своего свободного и полного согласия;</w:t>
      </w:r>
    </w:p>
    <w:p w:rsidR="00A44669" w:rsidRDefault="00A44669">
      <w:pPr>
        <w:rPr>
          <w:i/>
          <w:iCs/>
        </w:rPr>
      </w:pPr>
      <w:r>
        <w:rPr>
          <w:i/>
          <w:iCs/>
        </w:rPr>
        <w:tab/>
        <w:t>c)</w:t>
      </w:r>
      <w:r>
        <w:rPr>
          <w:i/>
          <w:iCs/>
        </w:rPr>
        <w:tab/>
        <w:t>одинаковые права и обязанности в период брака и при его расторжении;</w:t>
      </w:r>
    </w:p>
    <w:p w:rsidR="00A44669" w:rsidRDefault="00A44669">
      <w:pPr>
        <w:rPr>
          <w:i/>
          <w:iCs/>
        </w:rPr>
      </w:pPr>
      <w:r>
        <w:rPr>
          <w:i/>
          <w:iCs/>
        </w:rPr>
        <w:tab/>
        <w:t>d)</w:t>
      </w:r>
      <w:r>
        <w:rPr>
          <w:i/>
          <w:iCs/>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A44669" w:rsidRDefault="00A44669">
      <w:pPr>
        <w:rPr>
          <w:i/>
          <w:iCs/>
        </w:rPr>
      </w:pPr>
      <w:r>
        <w:rPr>
          <w:i/>
          <w:iCs/>
        </w:rPr>
        <w:tab/>
        <w:t>e)</w:t>
      </w:r>
      <w:r>
        <w:rPr>
          <w:i/>
          <w:iCs/>
        </w:rPr>
        <w:tab/>
        <w:t>одинаковые права свободно и ответственно решать вопрос о числе детей и промежутках между их рождениями, иметь доступ к информации, образованию, а также к средствам, позволяющим им осуществлять это право;</w:t>
      </w:r>
    </w:p>
    <w:p w:rsidR="00A44669" w:rsidRDefault="00A44669">
      <w:pPr>
        <w:rPr>
          <w:i/>
          <w:iCs/>
        </w:rPr>
      </w:pPr>
      <w:r>
        <w:rPr>
          <w:i/>
          <w:iCs/>
        </w:rPr>
        <w:tab/>
        <w:t>f)</w:t>
      </w:r>
      <w:r>
        <w:rPr>
          <w:i/>
          <w:iCs/>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A44669" w:rsidRDefault="00A44669">
      <w:pPr>
        <w:rPr>
          <w:i/>
          <w:iCs/>
        </w:rPr>
      </w:pPr>
      <w:r>
        <w:rPr>
          <w:i/>
          <w:iCs/>
        </w:rPr>
        <w:tab/>
        <w:t>g)</w:t>
      </w:r>
      <w:r>
        <w:rPr>
          <w:i/>
          <w:iCs/>
        </w:rPr>
        <w:tab/>
        <w:t>одинаковые личные права мужа и жены, в том числе право выбора фамилии, профессии и занятий;</w:t>
      </w:r>
    </w:p>
    <w:p w:rsidR="00A44669" w:rsidRDefault="00A44669">
      <w:pPr>
        <w:rPr>
          <w:i/>
          <w:iCs/>
        </w:rPr>
      </w:pPr>
      <w:r>
        <w:rPr>
          <w:i/>
          <w:iCs/>
        </w:rPr>
        <w:tab/>
        <w:t>h)</w:t>
      </w:r>
      <w:r>
        <w:rPr>
          <w:i/>
          <w:iCs/>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A44669" w:rsidRDefault="00A44669">
      <w:pPr>
        <w:rPr>
          <w:i/>
          <w:iCs/>
        </w:rPr>
      </w:pPr>
      <w:r>
        <w:rPr>
          <w:i/>
          <w:iCs/>
        </w:rPr>
        <w:tab/>
        <w:t>2.</w:t>
      </w:r>
      <w:r>
        <w:rPr>
          <w:i/>
          <w:iCs/>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A44669" w:rsidRDefault="00A44669">
      <w:r>
        <w:t>218.</w:t>
      </w:r>
      <w:r>
        <w:tab/>
        <w:t>К настоящему докладу прилагается ответ, датируемый 14 сентября 2007 года, на письмо Генерального секретаря Организации Объединенных Наций, в котором запрашивается информация о выполнении Финляндией резолюции 51/3 Комиссии по положению женщин. Эта резолюция касается принуждения девочек к вступлению в брак. Что касается информации по другим вопросам, то правительство рекомендует обратиться к предыдущим периодическим докладам.</w:t>
      </w:r>
    </w:p>
    <w:p w:rsidR="00A44669" w:rsidRDefault="00A44669">
      <w:pPr>
        <w:pStyle w:val="H1"/>
      </w:pPr>
      <w:r>
        <w:br w:type="page"/>
        <w:t>Приложения</w:t>
      </w:r>
    </w:p>
    <w:p w:rsidR="00A44669" w:rsidRDefault="00A44669">
      <w:r>
        <w:t>1.</w:t>
      </w:r>
      <w:r>
        <w:tab/>
        <w:t>Планирование мер по обеспечению гендерного равенства на рабочих местах; Министерство социальных дел и здравоохранения, 2005:6</w:t>
      </w:r>
    </w:p>
    <w:p w:rsidR="00A44669" w:rsidRDefault="00A44669">
      <w:r>
        <w:t>2.</w:t>
      </w:r>
      <w:r>
        <w:tab/>
        <w:t>Закон о равноправии мужчин и женщин 2005 года; Министерство социальных дел и здравоохранения, 2005:2</w:t>
      </w:r>
    </w:p>
    <w:p w:rsidR="00A44669" w:rsidRDefault="00A44669">
      <w:r>
        <w:t>3.</w:t>
      </w:r>
      <w:r>
        <w:tab/>
        <w:t>Закон о борьбе с дискриминацией (21/2004) с поправками, внесенными в соответствии с законодательным актом № 50/2006</w:t>
      </w:r>
    </w:p>
    <w:p w:rsidR="00A44669" w:rsidRDefault="00A44669">
      <w:r>
        <w:t>4.</w:t>
      </w:r>
      <w:r>
        <w:tab/>
        <w:t>Закон о трудовых соглашениях (55/2001, с поправками, внесенными в соответствии с законодательным актом 579/2006 включительно)</w:t>
      </w:r>
    </w:p>
    <w:p w:rsidR="00A44669" w:rsidRDefault="00A44669">
      <w:r>
        <w:t>5.</w:t>
      </w:r>
      <w:r>
        <w:tab/>
        <w:t>Статистическое управление Финляндии; гендерная статистика; "Женщины и мужчины в Финляндии", 2005 год</w:t>
      </w:r>
    </w:p>
    <w:p w:rsidR="00A44669" w:rsidRDefault="00A44669">
      <w:r>
        <w:t>6.</w:t>
      </w:r>
      <w:r>
        <w:tab/>
        <w:t>Статистика: случаи ВИЧ-инфицирования в Финляндии, случаи заболевания СПИДом в Финляндии</w:t>
      </w:r>
    </w:p>
    <w:p w:rsidR="00A44669" w:rsidRDefault="00A44669">
      <w:r>
        <w:t>7.</w:t>
      </w:r>
      <w:r>
        <w:tab/>
        <w:t xml:space="preserve">Ответ правительства Финляндии на просьбу о предоставлении информации о выполнении резолюции 51/3 Комиссии по положению женщин о принуждении к вступлению в брак девочек </w:t>
      </w:r>
    </w:p>
    <w:p w:rsidR="00A44669" w:rsidRDefault="00A44669">
      <w:pPr>
        <w:spacing w:after="240"/>
        <w:rPr>
          <w:szCs w:val="22"/>
        </w:rPr>
      </w:pPr>
      <w:r>
        <w:t>8.</w:t>
      </w:r>
      <w:r>
        <w:tab/>
        <w:t>Ответ правительства Финляндии на просьбу о предоставлении информации о выполнении резолюции 51/2 Комиссии по положению женщин "о прекращении практики калечащих операций на женских гениталиях"</w:t>
      </w:r>
    </w:p>
    <w:p w:rsidR="00A44669" w:rsidRDefault="00A44669">
      <w:pPr>
        <w:ind w:left="567" w:firstLine="0"/>
        <w:jc w:val="center"/>
      </w:pPr>
      <w:r>
        <w:t>____________</w:t>
      </w:r>
    </w:p>
    <w:sectPr w:rsidR="00A44669">
      <w:type w:val="continuous"/>
      <w:pgSz w:w="12240" w:h="15840" w:code="1"/>
      <w:pgMar w:top="1741" w:right="1196" w:bottom="1900" w:left="1196" w:header="578" w:footer="1038"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28T16:07:00Z" w:initials="Start">
    <w:p w:rsidR="008E7D73" w:rsidRPr="00B80F56" w:rsidRDefault="008E7D73">
      <w:pPr>
        <w:pStyle w:val="CommentText"/>
        <w:rPr>
          <w:lang w:val="en-US"/>
        </w:rPr>
      </w:pPr>
      <w:r>
        <w:fldChar w:fldCharType="begin"/>
      </w:r>
      <w:r w:rsidRPr="00B80F56">
        <w:rPr>
          <w:rStyle w:val="CommentReference"/>
          <w:lang w:val="en-US"/>
        </w:rPr>
        <w:instrText xml:space="preserve"> </w:instrText>
      </w:r>
      <w:r w:rsidRPr="00B80F56">
        <w:rPr>
          <w:lang w:val="en-US"/>
        </w:rPr>
        <w:instrText>PAGE \# "'Page: '#'</w:instrText>
      </w:r>
      <w:r w:rsidRPr="00B80F56">
        <w:rPr>
          <w:lang w:val="en-US"/>
        </w:rPr>
        <w:br/>
        <w:instrText>'"</w:instrText>
      </w:r>
      <w:r w:rsidRPr="00B80F56">
        <w:rPr>
          <w:rStyle w:val="CommentReference"/>
          <w:lang w:val="en-US"/>
        </w:rPr>
        <w:instrText xml:space="preserve"> </w:instrText>
      </w:r>
      <w:r>
        <w:fldChar w:fldCharType="end"/>
      </w:r>
      <w:r>
        <w:rPr>
          <w:rStyle w:val="CommentReference"/>
        </w:rPr>
        <w:annotationRef/>
      </w:r>
      <w:r w:rsidRPr="00B80F56">
        <w:rPr>
          <w:lang w:val="en-US"/>
        </w:rPr>
        <w:t>&lt;&lt;ODS JOB NO&gt;&gt;N0759652R&lt;&lt;ODS JOB NO&gt;&gt;</w:t>
      </w:r>
    </w:p>
    <w:p w:rsidR="008E7D73" w:rsidRPr="00B80F56" w:rsidRDefault="008E7D73">
      <w:pPr>
        <w:pStyle w:val="CommentText"/>
        <w:rPr>
          <w:lang w:val="en-US"/>
        </w:rPr>
      </w:pPr>
      <w:r w:rsidRPr="00B80F56">
        <w:rPr>
          <w:lang w:val="en-US"/>
        </w:rPr>
        <w:t>&lt;&lt;ODS DOC SYMBOL1&gt;&gt;CEDAW/C/FIN/6&lt;&lt;ODS DOC SYMBOL1&gt;&gt;</w:t>
      </w:r>
    </w:p>
    <w:p w:rsidR="008E7D73" w:rsidRPr="00B80F56" w:rsidRDefault="008E7D73">
      <w:pPr>
        <w:pStyle w:val="CommentText"/>
        <w:rPr>
          <w:lang w:val="en-US"/>
        </w:rPr>
      </w:pPr>
      <w:r w:rsidRPr="00B80F5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481" w:rsidRDefault="00155481">
      <w:r>
        <w:separator/>
      </w:r>
    </w:p>
  </w:endnote>
  <w:endnote w:type="continuationSeparator" w:id="0">
    <w:p w:rsidR="00155481" w:rsidRDefault="0015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ourier 12cpi">
    <w:altName w:val="MS Mincho"/>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7D73">
      <w:tblPrEx>
        <w:tblCellMar>
          <w:top w:w="0" w:type="dxa"/>
          <w:bottom w:w="0" w:type="dxa"/>
        </w:tblCellMar>
      </w:tblPrEx>
      <w:tc>
        <w:tcPr>
          <w:tcW w:w="5033" w:type="dxa"/>
        </w:tcPr>
        <w:p w:rsidR="008E7D73" w:rsidRDefault="008E7D73">
          <w:pPr>
            <w:pStyle w:val="Footer"/>
            <w:jc w:val="right"/>
            <w:rPr>
              <w:b w:val="0"/>
              <w:w w:val="103"/>
              <w:sz w:val="14"/>
            </w:rPr>
          </w:pPr>
          <w:r>
            <w:rPr>
              <w:b w:val="0"/>
              <w:w w:val="103"/>
              <w:sz w:val="14"/>
            </w:rPr>
            <w:t>07-</w:t>
          </w:r>
          <w:r>
            <w:rPr>
              <w:b w:val="0"/>
              <w:w w:val="103"/>
              <w:sz w:val="14"/>
              <w:lang w:val="ru-RU"/>
            </w:rPr>
            <w:t>5</w:t>
          </w:r>
          <w:r>
            <w:rPr>
              <w:b w:val="0"/>
              <w:w w:val="103"/>
              <w:sz w:val="14"/>
            </w:rPr>
            <w:t>9652</w:t>
          </w:r>
        </w:p>
      </w:tc>
      <w:tc>
        <w:tcPr>
          <w:tcW w:w="5033" w:type="dxa"/>
        </w:tcPr>
        <w:p w:rsidR="008E7D73" w:rsidRDefault="008E7D73">
          <w:pPr>
            <w:pStyle w:val="Footer"/>
            <w:rPr>
              <w:w w:val="103"/>
            </w:rPr>
          </w:pPr>
          <w:r>
            <w:rPr>
              <w:w w:val="103"/>
            </w:rPr>
            <w:fldChar w:fldCharType="begin"/>
          </w:r>
          <w:r>
            <w:rPr>
              <w:w w:val="103"/>
            </w:rPr>
            <w:instrText xml:space="preserve"> PAGE  \* MERGEFORMAT </w:instrText>
          </w:r>
          <w:r>
            <w:rPr>
              <w:w w:val="103"/>
            </w:rPr>
            <w:fldChar w:fldCharType="separate"/>
          </w:r>
          <w:r>
            <w:rPr>
              <w:w w:val="103"/>
            </w:rPr>
            <w:t>56</w:t>
          </w:r>
          <w:r>
            <w:rPr>
              <w:w w:val="103"/>
            </w:rPr>
            <w:fldChar w:fldCharType="end"/>
          </w:r>
        </w:p>
      </w:tc>
    </w:tr>
  </w:tbl>
  <w:p w:rsidR="008E7D73" w:rsidRDefault="008E7D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E7D73">
      <w:tblPrEx>
        <w:tblCellMar>
          <w:top w:w="0" w:type="dxa"/>
          <w:bottom w:w="0" w:type="dxa"/>
        </w:tblCellMar>
      </w:tblPrEx>
      <w:tc>
        <w:tcPr>
          <w:tcW w:w="5033" w:type="dxa"/>
        </w:tcPr>
        <w:p w:rsidR="008E7D73" w:rsidRDefault="008E7D7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57</w:t>
          </w:r>
          <w:r>
            <w:rPr>
              <w:w w:val="103"/>
            </w:rPr>
            <w:fldChar w:fldCharType="end"/>
          </w:r>
        </w:p>
      </w:tc>
      <w:tc>
        <w:tcPr>
          <w:tcW w:w="5033" w:type="dxa"/>
        </w:tcPr>
        <w:p w:rsidR="008E7D73" w:rsidRDefault="008E7D73">
          <w:pPr>
            <w:pStyle w:val="Footer"/>
            <w:rPr>
              <w:b w:val="0"/>
              <w:w w:val="103"/>
              <w:sz w:val="14"/>
            </w:rPr>
          </w:pPr>
          <w:r>
            <w:rPr>
              <w:b w:val="0"/>
              <w:w w:val="103"/>
              <w:sz w:val="14"/>
            </w:rPr>
            <w:t>07-</w:t>
          </w:r>
          <w:r>
            <w:rPr>
              <w:b w:val="0"/>
              <w:w w:val="103"/>
              <w:sz w:val="14"/>
              <w:lang w:val="ru-RU"/>
            </w:rPr>
            <w:t>5</w:t>
          </w:r>
          <w:r>
            <w:rPr>
              <w:b w:val="0"/>
              <w:w w:val="103"/>
              <w:sz w:val="14"/>
            </w:rPr>
            <w:t>9652</w:t>
          </w:r>
        </w:p>
      </w:tc>
    </w:tr>
  </w:tbl>
  <w:p w:rsidR="008E7D73" w:rsidRDefault="008E7D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D73" w:rsidRDefault="008E7D73">
    <w:pPr>
      <w:pStyle w:val="Footer"/>
    </w:pPr>
  </w:p>
  <w:p w:rsidR="008E7D73" w:rsidRDefault="008E7D73">
    <w:pPr>
      <w:pStyle w:val="Footer"/>
      <w:spacing w:before="80" w:line="210" w:lineRule="exact"/>
      <w:rPr>
        <w:b w:val="0"/>
        <w:sz w:val="20"/>
      </w:rPr>
    </w:pPr>
    <w:r>
      <w:rPr>
        <w:b w:val="0"/>
        <w:sz w:val="20"/>
      </w:rPr>
      <w:t>07-</w:t>
    </w:r>
    <w:r>
      <w:rPr>
        <w:b w:val="0"/>
        <w:sz w:val="20"/>
        <w:lang w:val="ru-RU"/>
      </w:rPr>
      <w:t>5</w:t>
    </w:r>
    <w:r>
      <w:rPr>
        <w:b w:val="0"/>
        <w:sz w:val="20"/>
      </w:rPr>
      <w:t xml:space="preserve">9652 </w:t>
    </w:r>
    <w:r>
      <w:rPr>
        <w:b w:val="0"/>
        <w:sz w:val="20"/>
        <w:lang w:val="ru-RU"/>
      </w:rPr>
      <w:t>(</w:t>
    </w:r>
    <w:r>
      <w:rPr>
        <w:b w:val="0"/>
        <w:sz w:val="20"/>
      </w:rPr>
      <w:t>R</w:t>
    </w:r>
    <w:r>
      <w:rPr>
        <w:b w:val="0"/>
        <w:sz w:val="20"/>
        <w:lang w:val="ru-RU"/>
      </w:rPr>
      <w:t>)</w:t>
    </w:r>
  </w:p>
  <w:p w:rsidR="008E7D73" w:rsidRPr="00B80F56" w:rsidRDefault="008E7D73">
    <w:pPr>
      <w:pStyle w:val="Footer"/>
      <w:spacing w:before="80" w:line="210" w:lineRule="exact"/>
      <w:rPr>
        <w:rFonts w:ascii="Barcode 3 of 9 by request" w:hAnsi="Barcode 3 of 9 by request"/>
        <w:b w:val="0"/>
        <w:sz w:val="24"/>
        <w:szCs w:val="24"/>
      </w:rPr>
    </w:pPr>
    <w:r w:rsidRPr="00B80F56">
      <w:rPr>
        <w:rFonts w:ascii="Barcode 3 of 9 by request" w:hAnsi="Barcode 3 of 9 by request"/>
        <w:b w:val="0"/>
        <w:sz w:val="24"/>
        <w:szCs w:val="24"/>
      </w:rPr>
      <w:t>*0759652*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481" w:rsidRDefault="00155481">
      <w:pPr>
        <w:pStyle w:val="Footer"/>
        <w:tabs>
          <w:tab w:val="clear" w:pos="4320"/>
          <w:tab w:val="clear" w:pos="8640"/>
          <w:tab w:val="left" w:pos="907"/>
          <w:tab w:val="left" w:leader="underscore" w:pos="2381"/>
        </w:tabs>
        <w:spacing w:after="80"/>
        <w:rPr>
          <w:lang w:val="ru-RU"/>
        </w:rPr>
      </w:pPr>
      <w:r>
        <w:rPr>
          <w:lang w:val="ru-RU"/>
        </w:rPr>
        <w:tab/>
      </w:r>
      <w:r>
        <w:rPr>
          <w:lang w:val="ru-RU"/>
        </w:rPr>
        <w:tab/>
      </w:r>
    </w:p>
  </w:footnote>
  <w:footnote w:type="continuationSeparator" w:id="0">
    <w:p w:rsidR="00155481" w:rsidRDefault="00155481">
      <w:r>
        <w:continuationSeparator/>
      </w:r>
    </w:p>
  </w:footnote>
  <w:footnote w:id="1">
    <w:p w:rsidR="008E7D73" w:rsidRDefault="008E7D73">
      <w:pPr>
        <w:tabs>
          <w:tab w:val="right" w:pos="1021"/>
          <w:tab w:val="left" w:pos="1134"/>
        </w:tabs>
        <w:spacing w:after="80"/>
        <w:ind w:left="1264" w:right="1264" w:hanging="1264"/>
        <w:rPr>
          <w:bCs/>
          <w:sz w:val="17"/>
        </w:rPr>
      </w:pPr>
      <w:r>
        <w:rPr>
          <w:sz w:val="17"/>
        </w:rPr>
        <w:tab/>
      </w:r>
      <w:r>
        <w:rPr>
          <w:sz w:val="17"/>
        </w:rPr>
        <w:tab/>
      </w:r>
      <w:r>
        <w:rPr>
          <w:rStyle w:val="FootnoteReference"/>
          <w:spacing w:val="0"/>
          <w:w w:val="100"/>
          <w:position w:val="0"/>
        </w:rPr>
        <w:t>*</w:t>
      </w:r>
      <w:r>
        <w:rPr>
          <w:sz w:val="17"/>
        </w:rPr>
        <w:tab/>
        <w:t>Шестой периодический доклад Финляндии получен Секретариатом 6 ноября 2007 года.</w:t>
      </w:r>
    </w:p>
    <w:p w:rsidR="008E7D73" w:rsidRDefault="008E7D73">
      <w:pPr>
        <w:pStyle w:val="FootnoteText"/>
        <w:widowControl/>
        <w:tabs>
          <w:tab w:val="right" w:pos="1021"/>
          <w:tab w:val="left" w:pos="1134"/>
        </w:tabs>
        <w:spacing w:line="240" w:lineRule="auto"/>
        <w:ind w:left="1264" w:right="1264" w:hanging="1264"/>
        <w:jc w:val="left"/>
      </w:pPr>
      <w:r>
        <w:tab/>
      </w:r>
      <w:r>
        <w:tab/>
      </w:r>
      <w:r>
        <w:tab/>
        <w:t>Первоначальный доклад, представленный правительством Финляндии, см. в документе CEDAW/C/5/Add.56, который был рассмотрен Комитетом на его восьмой сессии. Второй периодический доклад см. в документе CEDAW/C/FIN/2, который был рассмотрен Комитетом на его четырнадцатой сессии. Третий периодический доклад см. в документе CEDAW/C/FIN/3, который был рассмотрен Комитетом на его двадцать четвертой сессии. Четвертый периодический доклад см. в документе CEDAW/C/FIN/4, который был рассмотрен Комитетом на его двадцать четвертой сессии. Пятый периодический доклад см. в документе CEDAW/C/FIN/5.</w:t>
      </w:r>
    </w:p>
  </w:footnote>
  <w:footnote w:id="2">
    <w:p w:rsidR="008E7D73" w:rsidRDefault="008E7D73">
      <w:pPr>
        <w:pStyle w:val="FootnoteText"/>
      </w:pPr>
      <w:r>
        <w:tab/>
      </w:r>
      <w:r>
        <w:rPr>
          <w:rStyle w:val="FootnoteReference"/>
          <w:spacing w:val="0"/>
          <w:w w:val="100"/>
          <w:position w:val="0"/>
        </w:rPr>
        <w:footnoteRef/>
      </w:r>
      <w:r>
        <w:t xml:space="preserve"> </w:t>
      </w:r>
      <w:r>
        <w:tab/>
        <w:t>См. приложение: Закон о равноправии женщин и мужчин 2005 года; Министерство социальных дел и здравоохранения, 2005:2.</w:t>
      </w:r>
    </w:p>
  </w:footnote>
  <w:footnote w:id="3">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Директива Европейского парламента и Совета 2002/73/ЕС от 23 сентября 2002 года, вносящая поправки в Директиву Совета 76/207/ЕЭС об осуществлении принципа равного обращения в отношении мужчин и женщин, касающегося доступа к занятости, профессионального обучения и продвижения по службе, а также условий труда.</w:t>
      </w:r>
    </w:p>
  </w:footnote>
  <w:footnote w:id="4">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Директива Совета 97/80/ЕС от 15 декабря 1997 года о бремени доказательства в случаях дискриминации по признаку пола.</w:t>
      </w:r>
    </w:p>
  </w:footnote>
  <w:footnote w:id="5">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Директива Совета 96/34/ЕС от 3 июня 1996 года о рамочном соглашении о родительском отпуске, заключенном ЮНИСЕФ, Европейским центром работников государственных предприятий (СЕЕП) и Европейской конфедерацией профсоюзов (ЕКП).</w:t>
      </w:r>
    </w:p>
  </w:footnote>
  <w:footnote w:id="6">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 xml:space="preserve">См. приложение: Планирование мер по обеспечению гендерного равенства на рабочих местах; Министерство социальных дел и здравоохранения </w:t>
      </w:r>
      <w:r>
        <w:rPr>
          <w:lang w:val="en-US"/>
        </w:rPr>
        <w:t>CEDAW</w:t>
      </w:r>
      <w:r>
        <w:t>/</w:t>
      </w:r>
      <w:r>
        <w:rPr>
          <w:lang w:val="en-US"/>
        </w:rPr>
        <w:t>C</w:t>
      </w:r>
      <w:r>
        <w:t>/</w:t>
      </w:r>
      <w:r>
        <w:rPr>
          <w:lang w:val="en-US"/>
        </w:rPr>
        <w:t>FIN</w:t>
      </w:r>
      <w:r>
        <w:t>/52.5, 2005:6.</w:t>
      </w:r>
    </w:p>
  </w:footnote>
  <w:footnote w:id="7">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Правительственный доклад о политике в отношении инвалидов за 2006 год. Хельсинки, 2006 год (Министерство социальных дел и здравоохранения, 2006:9).</w:t>
      </w:r>
    </w:p>
  </w:footnote>
  <w:footnote w:id="8">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Использовалось в качестве справочного материала для подготовки Правительственного доклада о политике в отношении инвалидов; Министерство социальных дел и здравоохранения, 2006:23.</w:t>
      </w:r>
    </w:p>
  </w:footnote>
  <w:footnote w:id="9">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Обеспечение учета аспектов гендерного равенства в системе государственного управления Финляндии; Министерство социальных дел и здравоохранения, 2006:77.</w:t>
      </w:r>
    </w:p>
  </w:footnote>
  <w:footnote w:id="10">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Опрос общественного мнения о равноправии мужчин и женщин 2004 года; Министерство социальных дел и здравоохранения, 2004:20.</w:t>
      </w:r>
    </w:p>
  </w:footnote>
  <w:footnote w:id="11">
    <w:p w:rsidR="008E7D73" w:rsidRDefault="008E7D73">
      <w:pPr>
        <w:pStyle w:val="FootnoteText"/>
        <w:tabs>
          <w:tab w:val="right" w:pos="1021"/>
          <w:tab w:val="left" w:pos="1134"/>
        </w:tabs>
      </w:pPr>
      <w:r>
        <w:tab/>
      </w:r>
      <w:r>
        <w:rPr>
          <w:rStyle w:val="FootnoteReference"/>
          <w:spacing w:val="0"/>
          <w:w w:val="100"/>
          <w:position w:val="0"/>
        </w:rPr>
        <w:footnoteRef/>
      </w:r>
      <w:r>
        <w:rPr>
          <w:lang w:val="en-US"/>
        </w:rPr>
        <w:t xml:space="preserve"> </w:t>
      </w:r>
      <w:r>
        <w:rPr>
          <w:lang w:val="en-US"/>
        </w:rPr>
        <w:tab/>
      </w:r>
      <w:r>
        <w:rPr>
          <w:lang w:val="fi-FI"/>
        </w:rPr>
        <w:t xml:space="preserve">Piispa, Minna &amp; Heiskanen, Markku &amp; Kääriäinen, Juha &amp; Sirén, Reino (2006). </w:t>
      </w:r>
      <w:r>
        <w:t>Naisiin kohdistuva väkivalta</w:t>
      </w:r>
      <w:r>
        <w:rPr>
          <w:lang w:val="fi-FI"/>
        </w:rPr>
        <w:t xml:space="preserve"> </w:t>
      </w:r>
      <w:r>
        <w:t xml:space="preserve">(Насилие в отношении женщин) 2005. Публикации Национального научно-исследовательского института правовой политики 225 и серийное издание </w:t>
      </w:r>
      <w:r>
        <w:rPr>
          <w:lang w:val="en-US"/>
        </w:rPr>
        <w:t>HEUNI</w:t>
      </w:r>
      <w:r>
        <w:t xml:space="preserve"> № 51, Хельсинки. Данная публикация имеется в Интернете по адресу: </w:t>
      </w:r>
      <w:r>
        <w:rPr>
          <w:lang w:val="en-US"/>
        </w:rPr>
        <w:t>www</w:t>
      </w:r>
      <w:r>
        <w:t>.</w:t>
      </w:r>
      <w:r>
        <w:rPr>
          <w:lang w:val="en-US"/>
        </w:rPr>
        <w:t>optula</w:t>
      </w:r>
      <w:r>
        <w:t>.</w:t>
      </w:r>
      <w:r>
        <w:rPr>
          <w:lang w:val="en-US"/>
        </w:rPr>
        <w:t>om</w:t>
      </w:r>
      <w:r>
        <w:t>.</w:t>
      </w:r>
      <w:r>
        <w:rPr>
          <w:lang w:val="en-US"/>
        </w:rPr>
        <w:t>fi</w:t>
      </w:r>
      <w:r>
        <w:t>.</w:t>
      </w:r>
    </w:p>
  </w:footnote>
  <w:footnote w:id="12">
    <w:p w:rsidR="008E7D73" w:rsidRDefault="008E7D73">
      <w:pPr>
        <w:pStyle w:val="FootnoteText"/>
        <w:tabs>
          <w:tab w:val="right" w:pos="1021"/>
          <w:tab w:val="left" w:pos="1134"/>
        </w:tabs>
      </w:pPr>
      <w:r>
        <w:tab/>
      </w:r>
      <w:r>
        <w:rPr>
          <w:rStyle w:val="FootnoteReference"/>
          <w:spacing w:val="0"/>
          <w:w w:val="100"/>
          <w:position w:val="0"/>
        </w:rPr>
        <w:footnoteRef/>
      </w:r>
      <w:r>
        <w:rPr>
          <w:lang w:val="en-US"/>
        </w:rPr>
        <w:t xml:space="preserve"> </w:t>
      </w:r>
      <w:r>
        <w:rPr>
          <w:lang w:val="en-US"/>
        </w:rPr>
        <w:tab/>
      </w:r>
      <w:r>
        <w:rPr>
          <w:lang w:val="fi-FI"/>
        </w:rPr>
        <w:t xml:space="preserve">Piispa, Minna &amp; Heiskanen, Markku &amp; Kääriäinen, Juha &amp; Sirén, Reino (2006). </w:t>
      </w:r>
      <w:r>
        <w:t xml:space="preserve">Naisiin kohdistuva väkivalta (Насилие в отношении женщин) 2005. Публикации Национального научно-исследовательского института правовой политики 225 и серийное издание </w:t>
      </w:r>
      <w:r>
        <w:rPr>
          <w:lang w:val="en-US"/>
        </w:rPr>
        <w:t>HEUNI</w:t>
      </w:r>
      <w:r>
        <w:t xml:space="preserve"> № 51, Хельсинки. Данная публикация имеется в Интернете по адресу: </w:t>
      </w:r>
      <w:r>
        <w:rPr>
          <w:lang w:val="en-US"/>
        </w:rPr>
        <w:t>www</w:t>
      </w:r>
      <w:r>
        <w:t>.</w:t>
      </w:r>
      <w:r>
        <w:rPr>
          <w:lang w:val="en-US"/>
        </w:rPr>
        <w:t>optula</w:t>
      </w:r>
      <w:r>
        <w:t>.</w:t>
      </w:r>
      <w:r>
        <w:rPr>
          <w:lang w:val="en-US"/>
        </w:rPr>
        <w:t>om</w:t>
      </w:r>
      <w:r>
        <w:t>.</w:t>
      </w:r>
      <w:r>
        <w:rPr>
          <w:lang w:val="en-US"/>
        </w:rPr>
        <w:t>fi</w:t>
      </w:r>
      <w:r>
        <w:t>.</w:t>
      </w:r>
    </w:p>
  </w:footnote>
  <w:footnote w:id="13">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r>
      <w:r>
        <w:rPr>
          <w:lang w:val="en-US"/>
        </w:rPr>
        <w:t>Ibid</w:t>
      </w:r>
      <w:r>
        <w:t>.</w:t>
      </w:r>
    </w:p>
  </w:footnote>
  <w:footnote w:id="14">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 xml:space="preserve">40-я сессия Комитета по правам ребенка; </w:t>
      </w:r>
      <w:r>
        <w:rPr>
          <w:lang w:val="en-US"/>
        </w:rPr>
        <w:t>CRC</w:t>
      </w:r>
      <w:r>
        <w:t>/</w:t>
      </w:r>
      <w:r>
        <w:rPr>
          <w:lang w:val="en-US"/>
        </w:rPr>
        <w:t>C</w:t>
      </w:r>
      <w:r>
        <w:t>/15/</w:t>
      </w:r>
      <w:r>
        <w:rPr>
          <w:lang w:val="en-US"/>
        </w:rPr>
        <w:t>add</w:t>
      </w:r>
      <w:r>
        <w:t>.272;30.9.2005.</w:t>
      </w:r>
    </w:p>
  </w:footnote>
  <w:footnote w:id="15">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r>
      <w:r>
        <w:rPr>
          <w:lang w:val="fi-FI"/>
        </w:rPr>
        <w:t>Ellonen</w:t>
      </w:r>
      <w:r>
        <w:t xml:space="preserve"> – </w:t>
      </w:r>
      <w:r>
        <w:rPr>
          <w:lang w:val="fi-FI"/>
        </w:rPr>
        <w:t>Kivivuori</w:t>
      </w:r>
      <w:r>
        <w:t xml:space="preserve"> – </w:t>
      </w:r>
      <w:r>
        <w:rPr>
          <w:lang w:val="fi-FI"/>
        </w:rPr>
        <w:t>K</w:t>
      </w:r>
      <w:r>
        <w:t>ää</w:t>
      </w:r>
      <w:r>
        <w:rPr>
          <w:lang w:val="fi-FI"/>
        </w:rPr>
        <w:t>ri</w:t>
      </w:r>
      <w:r>
        <w:t>ä</w:t>
      </w:r>
      <w:r>
        <w:rPr>
          <w:lang w:val="fi-FI"/>
        </w:rPr>
        <w:t>inen</w:t>
      </w:r>
      <w:r>
        <w:t xml:space="preserve">: </w:t>
      </w:r>
      <w:r>
        <w:rPr>
          <w:lang w:val="fi-FI"/>
        </w:rPr>
        <w:t>Lapset</w:t>
      </w:r>
      <w:r>
        <w:t xml:space="preserve"> </w:t>
      </w:r>
      <w:r>
        <w:rPr>
          <w:lang w:val="fi-FI"/>
        </w:rPr>
        <w:t>ja</w:t>
      </w:r>
      <w:r>
        <w:t xml:space="preserve"> </w:t>
      </w:r>
      <w:r>
        <w:rPr>
          <w:lang w:val="fi-FI"/>
        </w:rPr>
        <w:t>nuoret</w:t>
      </w:r>
      <w:r>
        <w:t xml:space="preserve"> </w:t>
      </w:r>
      <w:r>
        <w:rPr>
          <w:lang w:val="fi-FI"/>
        </w:rPr>
        <w:t>v</w:t>
      </w:r>
      <w:r>
        <w:t>ä</w:t>
      </w:r>
      <w:r>
        <w:rPr>
          <w:lang w:val="fi-FI"/>
        </w:rPr>
        <w:t>kivallan</w:t>
      </w:r>
      <w:r>
        <w:t xml:space="preserve"> </w:t>
      </w:r>
      <w:r>
        <w:rPr>
          <w:lang w:val="fi-FI"/>
        </w:rPr>
        <w:t>uhreina</w:t>
      </w:r>
      <w:r>
        <w:t xml:space="preserve"> (Дети и молодые люди – жертвы насилия); Полицейский колледж Финляндии: Доклады 64/2007; Национальный научно-исследовательский институт правовой политики: доклады о результатах исследований 80.</w:t>
      </w:r>
    </w:p>
  </w:footnote>
  <w:footnote w:id="16">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r>
      <w:r>
        <w:rPr>
          <w:lang w:val="en-US"/>
        </w:rPr>
        <w:t>Ibid</w:t>
      </w:r>
      <w:r>
        <w:t>.</w:t>
      </w:r>
    </w:p>
  </w:footnote>
  <w:footnote w:id="17">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Решение Европейского парламента и Совета № 803/2004/</w:t>
      </w:r>
      <w:r>
        <w:rPr>
          <w:lang w:val="en-US"/>
        </w:rPr>
        <w:t>EC</w:t>
      </w:r>
      <w:r>
        <w:t xml:space="preserve"> от 21 апреля 2004 года о принятии Программы действий Сообщества (на 2004–2008 годы) по предупреждению насилия в отношении детей, молодых людей и женщин, борьбе с ним и защите жертв и групп, подвергающихся риску (Программа Дафна-</w:t>
      </w:r>
      <w:r>
        <w:rPr>
          <w:lang w:val="en-US"/>
        </w:rPr>
        <w:t>II</w:t>
      </w:r>
      <w:r>
        <w:t>).</w:t>
      </w:r>
    </w:p>
  </w:footnote>
  <w:footnote w:id="18">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r>
      <w:r>
        <w:rPr>
          <w:lang w:val="en-US"/>
        </w:rPr>
        <w:t>www</w:t>
      </w:r>
      <w:r>
        <w:t>.</w:t>
      </w:r>
      <w:r>
        <w:rPr>
          <w:lang w:val="en-US"/>
        </w:rPr>
        <w:t>lyomat</w:t>
      </w:r>
      <w:r>
        <w:rPr>
          <w:lang w:val="en-US"/>
        </w:rPr>
        <w:t>o</w:t>
      </w:r>
      <w:r>
        <w:rPr>
          <w:lang w:val="en-US"/>
        </w:rPr>
        <w:t>nlinja</w:t>
      </w:r>
      <w:r>
        <w:t>.</w:t>
      </w:r>
      <w:r>
        <w:rPr>
          <w:lang w:val="en-US"/>
        </w:rPr>
        <w:t>fi</w:t>
      </w:r>
      <w:r>
        <w:t>.</w:t>
      </w:r>
    </w:p>
  </w:footnote>
  <w:footnote w:id="19">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r>
      <w:r>
        <w:rPr>
          <w:lang w:val="fi-FI"/>
        </w:rPr>
        <w:t>Paula Närhi (2006): Kun alttari erottaa</w:t>
      </w:r>
      <w:r>
        <w:t xml:space="preserve"> (Когда алтарь разделяет нас). </w:t>
      </w:r>
      <w:r>
        <w:rPr>
          <w:lang w:val="fi-FI"/>
        </w:rPr>
        <w:t>Erilaisten pappisvirkaa koskevien näkemysten aiheuttamat ristiriidat Suomen evankelis-luterilaisessa kirkossa.</w:t>
      </w:r>
      <w:r>
        <w:rPr>
          <w:lang w:val="en-US"/>
        </w:rPr>
        <w:t xml:space="preserve"> </w:t>
      </w:r>
      <w:r>
        <w:t>(Конфликты, вызванные расхождением во взглядах на назначения на должности священнослужителей в Евангелической лютеранской церкви Финляндии.) Церковный научно-исследовательский институт, публикации 94.</w:t>
      </w:r>
    </w:p>
  </w:footnote>
  <w:footnote w:id="20">
    <w:p w:rsidR="008E7D73" w:rsidRDefault="008E7D73">
      <w:pPr>
        <w:pStyle w:val="FootnoteText"/>
        <w:tabs>
          <w:tab w:val="right" w:pos="1021"/>
          <w:tab w:val="left" w:pos="1134"/>
        </w:tabs>
        <w:rPr>
          <w:lang w:val="en-US"/>
        </w:rPr>
      </w:pPr>
      <w:r>
        <w:tab/>
      </w:r>
      <w:r>
        <w:rPr>
          <w:rStyle w:val="FootnoteReference"/>
          <w:spacing w:val="0"/>
          <w:w w:val="100"/>
          <w:position w:val="0"/>
        </w:rPr>
        <w:footnoteRef/>
      </w:r>
      <w:r>
        <w:rPr>
          <w:lang w:val="en-US"/>
        </w:rPr>
        <w:t xml:space="preserve"> </w:t>
      </w:r>
      <w:r>
        <w:rPr>
          <w:lang w:val="en-US"/>
        </w:rPr>
        <w:tab/>
        <w:t>Bishops</w:t>
      </w:r>
      <w:r>
        <w:rPr>
          <w:lang w:val="fi-FI"/>
        </w:rPr>
        <w:t>'</w:t>
      </w:r>
      <w:r>
        <w:rPr>
          <w:lang w:val="en-US"/>
        </w:rPr>
        <w:t xml:space="preserve"> Conference</w:t>
      </w:r>
      <w:r>
        <w:rPr>
          <w:lang w:val="fi-FI"/>
        </w:rPr>
        <w:t>,</w:t>
      </w:r>
      <w:r>
        <w:rPr>
          <w:lang w:val="en-US"/>
        </w:rPr>
        <w:t xml:space="preserve"> Communication</w:t>
      </w:r>
      <w:r>
        <w:rPr>
          <w:lang w:val="fi-FI"/>
        </w:rPr>
        <w:t xml:space="preserve"> 1 /2006, </w:t>
      </w:r>
      <w:r>
        <w:t>дело</w:t>
      </w:r>
      <w:r>
        <w:rPr>
          <w:lang w:val="en-US"/>
        </w:rPr>
        <w:t xml:space="preserve"> № </w:t>
      </w:r>
      <w:r>
        <w:rPr>
          <w:lang w:val="fi-FI"/>
        </w:rPr>
        <w:t>200301121</w:t>
      </w:r>
      <w:r>
        <w:rPr>
          <w:lang w:val="en-US"/>
        </w:rPr>
        <w:t>.</w:t>
      </w:r>
    </w:p>
  </w:footnote>
  <w:footnote w:id="21">
    <w:p w:rsidR="008E7D73" w:rsidRDefault="008E7D73">
      <w:pPr>
        <w:pStyle w:val="FootnoteText"/>
      </w:pPr>
      <w:r>
        <w:rPr>
          <w:lang w:val="en-US"/>
        </w:rPr>
        <w:tab/>
      </w:r>
      <w:r>
        <w:rPr>
          <w:rStyle w:val="FootnoteReference"/>
          <w:spacing w:val="0"/>
          <w:w w:val="100"/>
          <w:position w:val="0"/>
          <w:sz w:val="20"/>
        </w:rPr>
        <w:footnoteRef/>
      </w:r>
      <w:r>
        <w:rPr>
          <w:lang w:val="en-US"/>
        </w:rPr>
        <w:t xml:space="preserve"> </w:t>
      </w:r>
      <w:r>
        <w:rPr>
          <w:lang w:val="en-US"/>
        </w:rPr>
        <w:tab/>
      </w:r>
      <w:r>
        <w:rPr>
          <w:lang w:val="fi-FI"/>
        </w:rPr>
        <w:t>Kontula, Osmo and Meriläinen, Henna.</w:t>
      </w:r>
      <w:r>
        <w:rPr>
          <w:lang w:val="en-US"/>
        </w:rPr>
        <w:t xml:space="preserve"> </w:t>
      </w:r>
      <w:r>
        <w:t xml:space="preserve">Koulun seksuaalikasvatus 2000-luvun Suomessa (Половое воспитание в школах Финляндии в первом десятилетии </w:t>
      </w:r>
      <w:r>
        <w:rPr>
          <w:lang w:val="en-US"/>
        </w:rPr>
        <w:t>XXI </w:t>
      </w:r>
      <w:r>
        <w:t xml:space="preserve">века). Центр демографических исследований Федерации семей (Вяестёлиитто). Доклады E26/2007. </w:t>
      </w:r>
    </w:p>
  </w:footnote>
  <w:footnote w:id="22">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Меморандум рабочей группы по вопросам науки и общества. Меморандумы и доклады рабочей группы при Министерстве просвещения, 2004:28.</w:t>
      </w:r>
    </w:p>
  </w:footnote>
  <w:footnote w:id="23">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Заключительный доклад рабочей группы по вопросам содействия карьерному росту в сфере научных исследований. Меморандумы и доклады рабочей группы при Министерстве просвещения, 2006:13.</w:t>
      </w:r>
    </w:p>
  </w:footnote>
  <w:footnote w:id="24">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Финское агентство финансирования технологий и инноваций обеспечивает активизацию и финансирование перспективных проектов в области научных исследований и разработок, осуществляемых компаниями, университетами, технологическими университетами и научно-исследовательскими центрами.</w:t>
      </w:r>
    </w:p>
  </w:footnote>
  <w:footnote w:id="25">
    <w:p w:rsidR="008E7D73" w:rsidRDefault="008E7D73">
      <w:pPr>
        <w:pStyle w:val="FootnoteText"/>
        <w:tabs>
          <w:tab w:val="right" w:pos="1021"/>
          <w:tab w:val="left" w:pos="1134"/>
        </w:tabs>
      </w:pPr>
      <w:r>
        <w:tab/>
      </w:r>
      <w:r>
        <w:rPr>
          <w:rStyle w:val="FootnoteReference"/>
          <w:spacing w:val="0"/>
          <w:w w:val="100"/>
          <w:position w:val="0"/>
        </w:rPr>
        <w:footnoteRef/>
      </w:r>
      <w:r>
        <w:t xml:space="preserve"> </w:t>
      </w:r>
      <w:r>
        <w:tab/>
        <w:t>Программа мер по обеспечению развития системы образования исследователей и содействию карьерному росту в области научных исследований на период 2007–2011 годов. Министерство</w:t>
      </w:r>
      <w:r>
        <w:rPr>
          <w:lang w:val="en-US"/>
        </w:rPr>
        <w:t xml:space="preserve"> </w:t>
      </w:r>
      <w:r>
        <w:t>просвещения</w:t>
      </w:r>
      <w:r>
        <w:rPr>
          <w:lang w:val="en-US"/>
        </w:rPr>
        <w:t>, 2007:7</w:t>
      </w:r>
      <w:r>
        <w:t>.</w:t>
      </w:r>
    </w:p>
  </w:footnote>
  <w:footnote w:id="26">
    <w:p w:rsidR="008E7D73" w:rsidRDefault="008E7D73">
      <w:pPr>
        <w:pStyle w:val="FootnoteText"/>
        <w:tabs>
          <w:tab w:val="right" w:pos="1021"/>
          <w:tab w:val="left" w:pos="1134"/>
        </w:tabs>
        <w:rPr>
          <w:lang w:val="en-US"/>
        </w:rPr>
      </w:pPr>
      <w:r>
        <w:tab/>
      </w:r>
      <w:r>
        <w:rPr>
          <w:rStyle w:val="FootnoteReference"/>
          <w:spacing w:val="0"/>
          <w:w w:val="100"/>
          <w:position w:val="0"/>
        </w:rPr>
        <w:footnoteRef/>
      </w:r>
      <w:r>
        <w:rPr>
          <w:lang w:val="en-US"/>
        </w:rPr>
        <w:t xml:space="preserve"> </w:t>
      </w:r>
      <w:r>
        <w:rPr>
          <w:lang w:val="en-US"/>
        </w:rPr>
        <w:tab/>
        <w:t xml:space="preserve">Virta L. Observations on the targeting of support for the disabled. </w:t>
      </w:r>
      <w:smartTag w:uri="urn:schemas-microsoft-com:office:smarttags" w:element="City">
        <w:smartTag w:uri="urn:schemas-microsoft-com:office:smarttags" w:element="place">
          <w:r>
            <w:rPr>
              <w:lang w:val="en-US"/>
            </w:rPr>
            <w:t>Helsinki</w:t>
          </w:r>
        </w:smartTag>
      </w:smartTag>
      <w:r>
        <w:rPr>
          <w:lang w:val="en-US"/>
        </w:rPr>
        <w:t>: the Social Insurance Institution, Reports in social and health security 53, 2006.</w:t>
      </w:r>
    </w:p>
  </w:footnote>
  <w:footnote w:id="27">
    <w:p w:rsidR="008E7D73" w:rsidRDefault="008E7D73">
      <w:pPr>
        <w:pStyle w:val="FootnoteText"/>
        <w:tabs>
          <w:tab w:val="right" w:pos="1021"/>
          <w:tab w:val="left" w:pos="1134"/>
        </w:tabs>
      </w:pPr>
      <w:r>
        <w:tab/>
      </w:r>
      <w:r>
        <w:rPr>
          <w:rStyle w:val="FootnoteReference"/>
          <w:spacing w:val="0"/>
          <w:w w:val="100"/>
          <w:position w:val="0"/>
        </w:rPr>
        <w:footnoteRef/>
      </w:r>
      <w:r>
        <w:rPr>
          <w:lang w:val="en-US"/>
        </w:rPr>
        <w:t xml:space="preserve"> </w:t>
      </w:r>
      <w:r>
        <w:rPr>
          <w:lang w:val="en-US"/>
        </w:rPr>
        <w:tab/>
        <w:t xml:space="preserve">Arja Rimpelä, Susanna Rainio, Lasse Pere, Tomi Lintonen, Matti Rimpelä. </w:t>
      </w:r>
      <w:r>
        <w:t>Употребление табачных изделий и психотропных веществ в 1977–2005 годах. Обследование состояния здоровья и образа жизни подростков 2005 года. Министерство социальных дел и здравоохранения, 2005:23</w:t>
      </w:r>
    </w:p>
  </w:footnote>
  <w:footnote w:id="28">
    <w:p w:rsidR="008E7D73" w:rsidRDefault="008E7D73">
      <w:pPr>
        <w:pStyle w:val="FootnoteText"/>
        <w:tabs>
          <w:tab w:val="right" w:pos="1021"/>
          <w:tab w:val="left" w:pos="1134"/>
        </w:tabs>
      </w:pPr>
      <w:r>
        <w:tab/>
      </w:r>
      <w:r>
        <w:rPr>
          <w:rStyle w:val="FootnoteReference"/>
          <w:spacing w:val="0"/>
          <w:w w:val="100"/>
          <w:position w:val="0"/>
        </w:rPr>
        <w:footnoteRef/>
      </w:r>
      <w:r>
        <w:rPr>
          <w:lang w:val="en-US"/>
        </w:rPr>
        <w:t xml:space="preserve"> </w:t>
      </w:r>
      <w:r>
        <w:rPr>
          <w:lang w:val="en-US"/>
        </w:rPr>
        <w:tab/>
        <w:t xml:space="preserve">Arja Rimpelä, Susanna Rainio, Lasse Pere, Tomi Lintonen, Matti Rimpelä. </w:t>
      </w:r>
      <w:r>
        <w:t>Употребление табачных изделий и психотропных веществ в 1977–2005 годах. Обследование состояния здоровья и образа жизни подростков 2005 года. Министерство социальных дел и здравоохранения, 2005:23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7D73">
      <w:tblPrEx>
        <w:tblCellMar>
          <w:top w:w="0" w:type="dxa"/>
          <w:bottom w:w="0" w:type="dxa"/>
        </w:tblCellMar>
      </w:tblPrEx>
      <w:trPr>
        <w:trHeight w:hRule="exact" w:val="864"/>
      </w:trPr>
      <w:tc>
        <w:tcPr>
          <w:tcW w:w="4838" w:type="dxa"/>
          <w:vAlign w:val="bottom"/>
        </w:tcPr>
        <w:p w:rsidR="008E7D73" w:rsidRDefault="008E7D73">
          <w:pPr>
            <w:pStyle w:val="Header"/>
            <w:spacing w:after="80"/>
            <w:rPr>
              <w:b/>
            </w:rPr>
          </w:pPr>
          <w:r>
            <w:rPr>
              <w:b/>
            </w:rPr>
            <w:t>CEDAW/C/FIN/6</w:t>
          </w:r>
        </w:p>
      </w:tc>
      <w:tc>
        <w:tcPr>
          <w:tcW w:w="5033" w:type="dxa"/>
          <w:vAlign w:val="bottom"/>
        </w:tcPr>
        <w:p w:rsidR="008E7D73" w:rsidRDefault="008E7D73">
          <w:pPr>
            <w:pStyle w:val="Header"/>
          </w:pPr>
        </w:p>
      </w:tc>
    </w:tr>
  </w:tbl>
  <w:p w:rsidR="008E7D73" w:rsidRDefault="008E7D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E7D73">
      <w:tblPrEx>
        <w:tblCellMar>
          <w:top w:w="0" w:type="dxa"/>
          <w:bottom w:w="0" w:type="dxa"/>
        </w:tblCellMar>
      </w:tblPrEx>
      <w:trPr>
        <w:trHeight w:hRule="exact" w:val="864"/>
      </w:trPr>
      <w:tc>
        <w:tcPr>
          <w:tcW w:w="4838" w:type="dxa"/>
          <w:vAlign w:val="bottom"/>
        </w:tcPr>
        <w:p w:rsidR="008E7D73" w:rsidRDefault="008E7D73">
          <w:pPr>
            <w:pStyle w:val="Header"/>
          </w:pPr>
        </w:p>
      </w:tc>
      <w:tc>
        <w:tcPr>
          <w:tcW w:w="5033" w:type="dxa"/>
          <w:vAlign w:val="bottom"/>
        </w:tcPr>
        <w:p w:rsidR="008E7D73" w:rsidRDefault="008E7D73">
          <w:pPr>
            <w:pStyle w:val="Header"/>
            <w:spacing w:after="80"/>
            <w:jc w:val="right"/>
            <w:rPr>
              <w:b/>
            </w:rPr>
          </w:pPr>
          <w:r>
            <w:rPr>
              <w:b/>
            </w:rPr>
            <w:t>CEDAW/C/FIN/6</w:t>
          </w:r>
        </w:p>
      </w:tc>
    </w:tr>
  </w:tbl>
  <w:p w:rsidR="008E7D73" w:rsidRDefault="008E7D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8E7D73">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8E7D73" w:rsidRDefault="008E7D73">
          <w:pPr>
            <w:pStyle w:val="HCh"/>
            <w:spacing w:after="80"/>
            <w:ind w:left="1260"/>
            <w:rPr>
              <w:b w:val="0"/>
              <w:spacing w:val="0"/>
            </w:rPr>
          </w:pPr>
          <w:r>
            <w:rPr>
              <w:b w:val="0"/>
              <w:spacing w:val="0"/>
            </w:rPr>
            <w:t>Организация Объединенных Наций</w:t>
          </w:r>
        </w:p>
      </w:tc>
      <w:tc>
        <w:tcPr>
          <w:tcW w:w="140" w:type="dxa"/>
          <w:tcBorders>
            <w:top w:val="nil"/>
            <w:left w:val="nil"/>
            <w:bottom w:val="single" w:sz="6" w:space="0" w:color="auto"/>
            <w:right w:val="nil"/>
          </w:tcBorders>
          <w:vAlign w:val="bottom"/>
        </w:tcPr>
        <w:p w:rsidR="008E7D73" w:rsidRDefault="008E7D73">
          <w:pPr>
            <w:pStyle w:val="Header"/>
            <w:spacing w:after="120"/>
            <w:rPr>
              <w:lang w:val="ru-RU"/>
            </w:rPr>
          </w:pPr>
        </w:p>
      </w:tc>
      <w:tc>
        <w:tcPr>
          <w:tcW w:w="2415" w:type="dxa"/>
          <w:tcBorders>
            <w:top w:val="nil"/>
            <w:left w:val="nil"/>
            <w:bottom w:val="single" w:sz="6" w:space="0" w:color="auto"/>
            <w:right w:val="nil"/>
          </w:tcBorders>
          <w:vAlign w:val="bottom"/>
        </w:tcPr>
        <w:p w:rsidR="008E7D73" w:rsidRPr="00B80F56" w:rsidRDefault="008E7D73" w:rsidP="00B80F56">
          <w:pPr>
            <w:pStyle w:val="Header"/>
            <w:spacing w:after="20"/>
            <w:jc w:val="right"/>
            <w:rPr>
              <w:position w:val="-4"/>
              <w:sz w:val="20"/>
            </w:rPr>
          </w:pPr>
          <w:r>
            <w:rPr>
              <w:position w:val="-4"/>
              <w:sz w:val="40"/>
            </w:rPr>
            <w:t>CEDAW</w:t>
          </w:r>
          <w:r>
            <w:rPr>
              <w:position w:val="-4"/>
              <w:sz w:val="20"/>
            </w:rPr>
            <w:t>/C/FIN/6</w:t>
          </w:r>
        </w:p>
      </w:tc>
    </w:tr>
    <w:tr w:rsidR="008E7D73">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8E7D73" w:rsidRDefault="008E7D73">
          <w:pPr>
            <w:pStyle w:val="Foot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E7D73" w:rsidRDefault="008E7D73">
          <w:pPr>
            <w:pStyle w:val="Footer"/>
            <w:spacing w:before="109"/>
            <w:rPr>
              <w:lang w:val="ru-RU"/>
            </w:rPr>
          </w:pPr>
        </w:p>
      </w:tc>
      <w:tc>
        <w:tcPr>
          <w:tcW w:w="6050" w:type="dxa"/>
          <w:tcBorders>
            <w:top w:val="single" w:sz="6" w:space="0" w:color="auto"/>
            <w:left w:val="nil"/>
            <w:bottom w:val="single" w:sz="12" w:space="0" w:color="auto"/>
            <w:right w:val="nil"/>
          </w:tcBorders>
        </w:tcPr>
        <w:p w:rsidR="008E7D73" w:rsidRDefault="008E7D73">
          <w:pPr>
            <w:pStyle w:val="XLarge"/>
            <w:spacing w:before="240"/>
            <w:rPr>
              <w:w w:val="100"/>
            </w:rPr>
          </w:pPr>
          <w:r>
            <w:rPr>
              <w:w w:val="100"/>
            </w:rPr>
            <w:t xml:space="preserve">Конвенция о ликвидации </w:t>
          </w:r>
          <w:r>
            <w:rPr>
              <w:w w:val="100"/>
            </w:rPr>
            <w:br/>
            <w:t xml:space="preserve">всех форм дискриминации </w:t>
          </w:r>
          <w:r>
            <w:rPr>
              <w:w w:val="100"/>
            </w:rPr>
            <w:br/>
            <w:t>в отношении женщин</w:t>
          </w:r>
        </w:p>
      </w:tc>
      <w:tc>
        <w:tcPr>
          <w:tcW w:w="140" w:type="dxa"/>
          <w:tcBorders>
            <w:top w:val="single" w:sz="6" w:space="0" w:color="auto"/>
            <w:left w:val="nil"/>
            <w:bottom w:val="single" w:sz="12" w:space="0" w:color="auto"/>
            <w:right w:val="nil"/>
          </w:tcBorders>
        </w:tcPr>
        <w:p w:rsidR="008E7D73" w:rsidRDefault="008E7D73">
          <w:pPr>
            <w:pStyle w:val="Header"/>
            <w:spacing w:before="109"/>
            <w:rPr>
              <w:lang w:val="ru-RU"/>
            </w:rPr>
          </w:pPr>
        </w:p>
      </w:tc>
      <w:tc>
        <w:tcPr>
          <w:tcW w:w="2415" w:type="dxa"/>
          <w:tcBorders>
            <w:top w:val="single" w:sz="6" w:space="0" w:color="auto"/>
            <w:left w:val="nil"/>
            <w:bottom w:val="single" w:sz="12" w:space="0" w:color="auto"/>
            <w:right w:val="nil"/>
          </w:tcBorders>
        </w:tcPr>
        <w:p w:rsidR="008E7D73" w:rsidRDefault="008E7D73">
          <w:pPr>
            <w:spacing w:before="240" w:after="0"/>
            <w:ind w:left="0" w:firstLine="0"/>
            <w:rPr>
              <w:sz w:val="20"/>
              <w:lang w:val="en-US"/>
            </w:rPr>
          </w:pPr>
          <w:r>
            <w:rPr>
              <w:sz w:val="20"/>
              <w:lang w:val="en-US"/>
            </w:rPr>
            <w:t>Distr.: General</w:t>
          </w:r>
        </w:p>
        <w:p w:rsidR="008E7D73" w:rsidRDefault="008E7D73">
          <w:pPr>
            <w:pStyle w:val="H56"/>
            <w:keepNext w:val="0"/>
            <w:keepLines w:val="0"/>
            <w:suppressAutoHyphens w:val="0"/>
            <w:spacing w:after="0"/>
            <w:ind w:left="0" w:right="0" w:firstLine="0"/>
            <w:outlineLvl w:val="9"/>
            <w:rPr>
              <w:sz w:val="20"/>
              <w:lang w:val="en-US"/>
            </w:rPr>
          </w:pPr>
          <w:r>
            <w:rPr>
              <w:sz w:val="20"/>
              <w:lang w:val="en-US"/>
            </w:rPr>
            <w:t>8</w:t>
          </w:r>
          <w:r>
            <w:rPr>
              <w:sz w:val="20"/>
            </w:rPr>
            <w:t xml:space="preserve"> </w:t>
          </w:r>
          <w:r>
            <w:rPr>
              <w:sz w:val="20"/>
              <w:lang w:val="en-US"/>
            </w:rPr>
            <w:t>November</w:t>
          </w:r>
          <w:r>
            <w:rPr>
              <w:sz w:val="20"/>
            </w:rPr>
            <w:t xml:space="preserve"> 2007</w:t>
          </w:r>
        </w:p>
        <w:p w:rsidR="008E7D73" w:rsidRDefault="008E7D73">
          <w:pPr>
            <w:spacing w:after="0"/>
            <w:ind w:left="0" w:firstLine="0"/>
            <w:rPr>
              <w:sz w:val="20"/>
              <w:lang w:val="en-US"/>
            </w:rPr>
          </w:pPr>
        </w:p>
        <w:p w:rsidR="008E7D73" w:rsidRDefault="008E7D73">
          <w:pPr>
            <w:spacing w:after="0"/>
            <w:ind w:left="0" w:firstLine="0"/>
            <w:rPr>
              <w:sz w:val="20"/>
              <w:lang w:val="en-US"/>
            </w:rPr>
          </w:pPr>
          <w:r>
            <w:rPr>
              <w:sz w:val="20"/>
              <w:lang w:val="en-US"/>
            </w:rPr>
            <w:t>Russian</w:t>
          </w:r>
        </w:p>
        <w:p w:rsidR="008E7D73" w:rsidRDefault="008E7D73">
          <w:pPr>
            <w:pStyle w:val="H56"/>
            <w:keepNext w:val="0"/>
            <w:keepLines w:val="0"/>
            <w:suppressAutoHyphens w:val="0"/>
            <w:spacing w:after="0"/>
            <w:ind w:left="0" w:right="0" w:firstLine="0"/>
            <w:outlineLvl w:val="9"/>
            <w:rPr>
              <w:lang w:val="en-US"/>
            </w:rPr>
          </w:pPr>
          <w:r>
            <w:rPr>
              <w:sz w:val="20"/>
              <w:lang w:val="en-US"/>
            </w:rPr>
            <w:t xml:space="preserve">Original: </w:t>
          </w:r>
          <w:r>
            <w:rPr>
              <w:sz w:val="20"/>
            </w:rPr>
            <w:t>English</w:t>
          </w:r>
        </w:p>
      </w:tc>
    </w:tr>
  </w:tbl>
  <w:p w:rsidR="008E7D73" w:rsidRDefault="008E7D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14FB"/>
    <w:multiLevelType w:val="hybridMultilevel"/>
    <w:tmpl w:val="2BD2A2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0400AD"/>
    <w:multiLevelType w:val="hybridMultilevel"/>
    <w:tmpl w:val="357C5C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76863AC"/>
    <w:multiLevelType w:val="multilevel"/>
    <w:tmpl w:val="F2900B5A"/>
    <w:lvl w:ilvl="0">
      <w:start w:val="3"/>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16E4652C"/>
    <w:multiLevelType w:val="hybridMultilevel"/>
    <w:tmpl w:val="114E46F0"/>
    <w:lvl w:ilvl="0" w:tplc="EC9477F0">
      <w:start w:val="1"/>
      <w:numFmt w:val="bullet"/>
      <w:lvlText w:val=""/>
      <w:lvlJc w:val="left"/>
      <w:pPr>
        <w:tabs>
          <w:tab w:val="num" w:pos="1080"/>
        </w:tabs>
        <w:ind w:left="1080" w:hanging="360"/>
      </w:pPr>
      <w:rPr>
        <w:rFonts w:ascii="Symbol" w:hAnsi="Symbol" w:hint="default"/>
      </w:rPr>
    </w:lvl>
    <w:lvl w:ilvl="1" w:tplc="496E51CC">
      <w:start w:val="24"/>
      <w:numFmt w:val="decimal"/>
      <w:lvlText w:val="%2."/>
      <w:lvlJc w:val="left"/>
      <w:pPr>
        <w:tabs>
          <w:tab w:val="num" w:pos="540"/>
        </w:tabs>
        <w:ind w:left="540" w:hanging="360"/>
      </w:pPr>
      <w:rPr>
        <w:rFonts w:hint="default"/>
      </w:rPr>
    </w:lvl>
    <w:lvl w:ilvl="2" w:tplc="F2960488">
      <w:start w:val="51"/>
      <w:numFmt w:val="decimal"/>
      <w:lvlText w:val="%3"/>
      <w:lvlJc w:val="left"/>
      <w:pPr>
        <w:tabs>
          <w:tab w:val="num" w:pos="1260"/>
        </w:tabs>
        <w:ind w:left="1260" w:hanging="360"/>
      </w:pPr>
      <w:rPr>
        <w:rFont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4">
    <w:nsid w:val="1F2C164C"/>
    <w:multiLevelType w:val="multilevel"/>
    <w:tmpl w:val="2D0A1F2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F31494F"/>
    <w:multiLevelType w:val="hybridMultilevel"/>
    <w:tmpl w:val="7720608C"/>
    <w:lvl w:ilvl="0" w:tplc="7A940162">
      <w:start w:val="21"/>
      <w:numFmt w:val="decimal"/>
      <w:lvlText w:val="%1."/>
      <w:lvlJc w:val="left"/>
      <w:pPr>
        <w:tabs>
          <w:tab w:val="num" w:pos="927"/>
        </w:tabs>
        <w:ind w:left="567" w:firstLine="0"/>
      </w:pPr>
      <w:rPr>
        <w:rFonts w:hint="default"/>
        <w:b w:val="0"/>
        <w:sz w:val="22"/>
        <w:szCs w:val="22"/>
      </w:r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20837861"/>
    <w:multiLevelType w:val="multilevel"/>
    <w:tmpl w:val="099859F0"/>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nsid w:val="23D130A1"/>
    <w:multiLevelType w:val="hybridMultilevel"/>
    <w:tmpl w:val="9DD695AC"/>
    <w:lvl w:ilvl="0" w:tplc="2DA21A74">
      <w:start w:val="1"/>
      <w:numFmt w:val="decimal"/>
      <w:lvlText w:val="%1."/>
      <w:lvlJc w:val="left"/>
      <w:pPr>
        <w:tabs>
          <w:tab w:val="num" w:pos="1134"/>
        </w:tabs>
        <w:ind w:left="1134" w:hanging="567"/>
      </w:pPr>
      <w:rPr>
        <w:rFonts w:ascii="Times New Roman" w:hAnsi="Times New Roman" w:hint="default"/>
        <w:color w:val="auto"/>
        <w:sz w:val="22"/>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9187D4B"/>
    <w:multiLevelType w:val="multilevel"/>
    <w:tmpl w:val="913E75BE"/>
    <w:lvl w:ilvl="0">
      <w:start w:val="3"/>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4"/>
      <w:numFmt w:val="decimal"/>
      <w:lvlText w:val="%1.%2.%3"/>
      <w:lvlJc w:val="left"/>
      <w:pPr>
        <w:tabs>
          <w:tab w:val="num" w:pos="1145"/>
        </w:tabs>
        <w:ind w:left="851" w:hanging="426"/>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C747171"/>
    <w:multiLevelType w:val="hybridMultilevel"/>
    <w:tmpl w:val="21E82316"/>
    <w:lvl w:ilvl="0" w:tplc="51D2522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C8150D0"/>
    <w:multiLevelType w:val="hybridMultilevel"/>
    <w:tmpl w:val="17F46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4257CAA"/>
    <w:multiLevelType w:val="multilevel"/>
    <w:tmpl w:val="D0D62540"/>
    <w:lvl w:ilvl="0">
      <w:start w:val="2"/>
      <w:numFmt w:val="decimal"/>
      <w:lvlText w:val="%1"/>
      <w:lvlJc w:val="left"/>
      <w:pPr>
        <w:tabs>
          <w:tab w:val="num" w:pos="525"/>
        </w:tabs>
        <w:ind w:left="525" w:hanging="525"/>
      </w:pPr>
      <w:rPr>
        <w:rFonts w:cs="Arial" w:hint="default"/>
        <w:b/>
      </w:rPr>
    </w:lvl>
    <w:lvl w:ilvl="1">
      <w:start w:val="2"/>
      <w:numFmt w:val="decimal"/>
      <w:lvlText w:val="%1.%2"/>
      <w:lvlJc w:val="left"/>
      <w:pPr>
        <w:tabs>
          <w:tab w:val="num" w:pos="525"/>
        </w:tabs>
        <w:ind w:left="525" w:hanging="525"/>
      </w:pPr>
      <w:rPr>
        <w:rFonts w:cs="Arial" w:hint="default"/>
        <w:b/>
      </w:rPr>
    </w:lvl>
    <w:lvl w:ilvl="2">
      <w:start w:val="5"/>
      <w:numFmt w:val="decimal"/>
      <w:lvlText w:val="%1.%2.%3"/>
      <w:lvlJc w:val="left"/>
      <w:pPr>
        <w:tabs>
          <w:tab w:val="num" w:pos="720"/>
        </w:tabs>
        <w:ind w:left="720" w:hanging="720"/>
      </w:pPr>
      <w:rPr>
        <w:rFonts w:cs="Arial" w:hint="default"/>
        <w:b/>
      </w:rPr>
    </w:lvl>
    <w:lvl w:ilvl="3">
      <w:start w:val="1"/>
      <w:numFmt w:val="decimal"/>
      <w:lvlText w:val="%1.%2.%3.%4"/>
      <w:lvlJc w:val="left"/>
      <w:pPr>
        <w:tabs>
          <w:tab w:val="num" w:pos="1080"/>
        </w:tabs>
        <w:ind w:left="1080" w:hanging="1080"/>
      </w:pPr>
      <w:rPr>
        <w:rFonts w:cs="Arial" w:hint="default"/>
        <w:b/>
      </w:rPr>
    </w:lvl>
    <w:lvl w:ilvl="4">
      <w:start w:val="1"/>
      <w:numFmt w:val="decimal"/>
      <w:lvlText w:val="%1.%2.%3.%4.%5"/>
      <w:lvlJc w:val="left"/>
      <w:pPr>
        <w:tabs>
          <w:tab w:val="num" w:pos="1080"/>
        </w:tabs>
        <w:ind w:left="1080" w:hanging="1080"/>
      </w:pPr>
      <w:rPr>
        <w:rFonts w:cs="Arial" w:hint="default"/>
        <w:b/>
      </w:rPr>
    </w:lvl>
    <w:lvl w:ilvl="5">
      <w:start w:val="1"/>
      <w:numFmt w:val="decimal"/>
      <w:lvlText w:val="%1.%2.%3.%4.%5.%6"/>
      <w:lvlJc w:val="left"/>
      <w:pPr>
        <w:tabs>
          <w:tab w:val="num" w:pos="1440"/>
        </w:tabs>
        <w:ind w:left="1440" w:hanging="1440"/>
      </w:pPr>
      <w:rPr>
        <w:rFonts w:cs="Arial" w:hint="default"/>
        <w:b/>
      </w:rPr>
    </w:lvl>
    <w:lvl w:ilvl="6">
      <w:start w:val="1"/>
      <w:numFmt w:val="decimal"/>
      <w:lvlText w:val="%1.%2.%3.%4.%5.%6.%7"/>
      <w:lvlJc w:val="left"/>
      <w:pPr>
        <w:tabs>
          <w:tab w:val="num" w:pos="1440"/>
        </w:tabs>
        <w:ind w:left="1440" w:hanging="1440"/>
      </w:pPr>
      <w:rPr>
        <w:rFonts w:cs="Arial" w:hint="default"/>
        <w:b/>
      </w:rPr>
    </w:lvl>
    <w:lvl w:ilvl="7">
      <w:start w:val="1"/>
      <w:numFmt w:val="decimal"/>
      <w:lvlText w:val="%1.%2.%3.%4.%5.%6.%7.%8"/>
      <w:lvlJc w:val="left"/>
      <w:pPr>
        <w:tabs>
          <w:tab w:val="num" w:pos="1800"/>
        </w:tabs>
        <w:ind w:left="1800" w:hanging="1800"/>
      </w:pPr>
      <w:rPr>
        <w:rFonts w:cs="Arial" w:hint="default"/>
        <w:b/>
      </w:rPr>
    </w:lvl>
    <w:lvl w:ilvl="8">
      <w:start w:val="1"/>
      <w:numFmt w:val="decimal"/>
      <w:lvlText w:val="%1.%2.%3.%4.%5.%6.%7.%8.%9"/>
      <w:lvlJc w:val="left"/>
      <w:pPr>
        <w:tabs>
          <w:tab w:val="num" w:pos="1800"/>
        </w:tabs>
        <w:ind w:left="1800" w:hanging="1800"/>
      </w:pPr>
      <w:rPr>
        <w:rFonts w:cs="Arial" w:hint="default"/>
        <w:b/>
      </w:rPr>
    </w:lvl>
  </w:abstractNum>
  <w:abstractNum w:abstractNumId="12">
    <w:nsid w:val="451E4763"/>
    <w:multiLevelType w:val="hybridMultilevel"/>
    <w:tmpl w:val="9A1807BE"/>
    <w:lvl w:ilvl="0" w:tplc="DF3220A4">
      <w:start w:val="99"/>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5B621CE"/>
    <w:multiLevelType w:val="hybridMultilevel"/>
    <w:tmpl w:val="0EE81C4C"/>
    <w:lvl w:ilvl="0" w:tplc="812E67BC">
      <w:start w:val="26"/>
      <w:numFmt w:val="decimal"/>
      <w:lvlText w:val="%1."/>
      <w:lvlJc w:val="left"/>
      <w:pPr>
        <w:tabs>
          <w:tab w:val="num" w:pos="1064"/>
        </w:tabs>
        <w:ind w:left="1064" w:hanging="70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7DD3D7D"/>
    <w:multiLevelType w:val="multilevel"/>
    <w:tmpl w:val="CBFE87C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4ACD516D"/>
    <w:multiLevelType w:val="hybridMultilevel"/>
    <w:tmpl w:val="57282D28"/>
    <w:lvl w:ilvl="0" w:tplc="0F26A974">
      <w:start w:val="1"/>
      <w:numFmt w:val="decimal"/>
      <w:lvlText w:val="%1."/>
      <w:lvlJc w:val="left"/>
      <w:pPr>
        <w:tabs>
          <w:tab w:val="num" w:pos="851"/>
        </w:tabs>
        <w:ind w:left="851" w:hanging="426"/>
      </w:pPr>
      <w:rPr>
        <w:rFonts w:ascii="Times New Roman" w:hAnsi="Times New Roman" w:cs="Times New Roman"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03720FA"/>
    <w:multiLevelType w:val="hybridMultilevel"/>
    <w:tmpl w:val="E4CABB3C"/>
    <w:lvl w:ilvl="0" w:tplc="75C447C2">
      <w:start w:val="1"/>
      <w:numFmt w:val="bullet"/>
      <w:lvlText w:val=""/>
      <w:lvlJc w:val="left"/>
      <w:pPr>
        <w:tabs>
          <w:tab w:val="num" w:pos="1180"/>
        </w:tabs>
        <w:ind w:left="1180" w:hanging="360"/>
      </w:pPr>
      <w:rPr>
        <w:rFonts w:ascii="Symbol" w:hAnsi="Symbol" w:hint="default"/>
      </w:rPr>
    </w:lvl>
    <w:lvl w:ilvl="1" w:tplc="04090019">
      <w:start w:val="35"/>
      <w:numFmt w:val="decimal"/>
      <w:lvlText w:val="%2."/>
      <w:lvlJc w:val="left"/>
      <w:pPr>
        <w:tabs>
          <w:tab w:val="num" w:pos="1900"/>
        </w:tabs>
        <w:ind w:left="1900" w:hanging="360"/>
      </w:pPr>
      <w:rPr>
        <w:rFonts w:hint="default"/>
        <w:b w:val="0"/>
      </w:rPr>
    </w:lvl>
    <w:lvl w:ilvl="2" w:tplc="0409001B" w:tentative="1">
      <w:start w:val="1"/>
      <w:numFmt w:val="bullet"/>
      <w:lvlText w:val=""/>
      <w:lvlJc w:val="left"/>
      <w:pPr>
        <w:tabs>
          <w:tab w:val="num" w:pos="2620"/>
        </w:tabs>
        <w:ind w:left="2620" w:hanging="360"/>
      </w:pPr>
      <w:rPr>
        <w:rFonts w:ascii="Wingdings" w:hAnsi="Wingdings" w:hint="default"/>
      </w:rPr>
    </w:lvl>
    <w:lvl w:ilvl="3" w:tplc="0409000F" w:tentative="1">
      <w:start w:val="1"/>
      <w:numFmt w:val="bullet"/>
      <w:lvlText w:val=""/>
      <w:lvlJc w:val="left"/>
      <w:pPr>
        <w:tabs>
          <w:tab w:val="num" w:pos="3340"/>
        </w:tabs>
        <w:ind w:left="3340" w:hanging="360"/>
      </w:pPr>
      <w:rPr>
        <w:rFonts w:ascii="Symbol" w:hAnsi="Symbol" w:hint="default"/>
      </w:rPr>
    </w:lvl>
    <w:lvl w:ilvl="4" w:tplc="04090019" w:tentative="1">
      <w:start w:val="1"/>
      <w:numFmt w:val="bullet"/>
      <w:lvlText w:val="o"/>
      <w:lvlJc w:val="left"/>
      <w:pPr>
        <w:tabs>
          <w:tab w:val="num" w:pos="4060"/>
        </w:tabs>
        <w:ind w:left="4060" w:hanging="360"/>
      </w:pPr>
      <w:rPr>
        <w:rFonts w:ascii="Courier New" w:hAnsi="Courier New" w:cs="Courier New" w:hint="default"/>
      </w:rPr>
    </w:lvl>
    <w:lvl w:ilvl="5" w:tplc="0409001B" w:tentative="1">
      <w:start w:val="1"/>
      <w:numFmt w:val="bullet"/>
      <w:lvlText w:val=""/>
      <w:lvlJc w:val="left"/>
      <w:pPr>
        <w:tabs>
          <w:tab w:val="num" w:pos="4780"/>
        </w:tabs>
        <w:ind w:left="4780" w:hanging="360"/>
      </w:pPr>
      <w:rPr>
        <w:rFonts w:ascii="Wingdings" w:hAnsi="Wingdings" w:hint="default"/>
      </w:rPr>
    </w:lvl>
    <w:lvl w:ilvl="6" w:tplc="0409000F" w:tentative="1">
      <w:start w:val="1"/>
      <w:numFmt w:val="bullet"/>
      <w:lvlText w:val=""/>
      <w:lvlJc w:val="left"/>
      <w:pPr>
        <w:tabs>
          <w:tab w:val="num" w:pos="5500"/>
        </w:tabs>
        <w:ind w:left="5500" w:hanging="360"/>
      </w:pPr>
      <w:rPr>
        <w:rFonts w:ascii="Symbol" w:hAnsi="Symbol" w:hint="default"/>
      </w:rPr>
    </w:lvl>
    <w:lvl w:ilvl="7" w:tplc="04090019" w:tentative="1">
      <w:start w:val="1"/>
      <w:numFmt w:val="bullet"/>
      <w:lvlText w:val="o"/>
      <w:lvlJc w:val="left"/>
      <w:pPr>
        <w:tabs>
          <w:tab w:val="num" w:pos="6220"/>
        </w:tabs>
        <w:ind w:left="6220" w:hanging="360"/>
      </w:pPr>
      <w:rPr>
        <w:rFonts w:ascii="Courier New" w:hAnsi="Courier New" w:cs="Courier New" w:hint="default"/>
      </w:rPr>
    </w:lvl>
    <w:lvl w:ilvl="8" w:tplc="0409001B" w:tentative="1">
      <w:start w:val="1"/>
      <w:numFmt w:val="bullet"/>
      <w:lvlText w:val=""/>
      <w:lvlJc w:val="left"/>
      <w:pPr>
        <w:tabs>
          <w:tab w:val="num" w:pos="6940"/>
        </w:tabs>
        <w:ind w:left="6940" w:hanging="360"/>
      </w:pPr>
      <w:rPr>
        <w:rFonts w:ascii="Wingdings" w:hAnsi="Wingdings" w:hint="default"/>
      </w:rPr>
    </w:lvl>
  </w:abstractNum>
  <w:abstractNum w:abstractNumId="17">
    <w:nsid w:val="51F84D42"/>
    <w:multiLevelType w:val="hybridMultilevel"/>
    <w:tmpl w:val="7D56AD5E"/>
    <w:lvl w:ilvl="0" w:tplc="CFB62366">
      <w:start w:val="1"/>
      <w:numFmt w:val="bullet"/>
      <w:lvlText w:val=""/>
      <w:lvlJc w:val="left"/>
      <w:pPr>
        <w:tabs>
          <w:tab w:val="num" w:pos="720"/>
        </w:tabs>
        <w:ind w:left="720" w:hanging="360"/>
      </w:pPr>
      <w:rPr>
        <w:rFonts w:ascii="Symbol" w:hAnsi="Symbol" w:hint="default"/>
      </w:rPr>
    </w:lvl>
    <w:lvl w:ilvl="1" w:tplc="04090019">
      <w:start w:val="47"/>
      <w:numFmt w:val="decimal"/>
      <w:lvlText w:val="%2."/>
      <w:lvlJc w:val="left"/>
      <w:pPr>
        <w:tabs>
          <w:tab w:val="num" w:pos="1440"/>
        </w:tabs>
        <w:ind w:left="1440" w:hanging="360"/>
      </w:pPr>
      <w:rPr>
        <w:rFonts w:hint="default"/>
        <w:b w:val="0"/>
      </w:rPr>
    </w:lvl>
    <w:lvl w:ilvl="2" w:tplc="0409001B">
      <w:start w:val="118"/>
      <w:numFmt w:val="decimal"/>
      <w:lvlText w:val="%3"/>
      <w:lvlJc w:val="left"/>
      <w:pPr>
        <w:tabs>
          <w:tab w:val="num" w:pos="2205"/>
        </w:tabs>
        <w:ind w:left="2205" w:hanging="405"/>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53F17BB5"/>
    <w:multiLevelType w:val="hybridMultilevel"/>
    <w:tmpl w:val="294817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6524F65"/>
    <w:multiLevelType w:val="hybridMultilevel"/>
    <w:tmpl w:val="1778B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A680ADB"/>
    <w:multiLevelType w:val="multilevel"/>
    <w:tmpl w:val="188E5DDC"/>
    <w:lvl w:ilvl="0">
      <w:start w:val="1"/>
      <w:numFmt w:val="decimal"/>
      <w:lvlText w:val="%1.0 PART"/>
      <w:lvlJc w:val="left"/>
      <w:pPr>
        <w:tabs>
          <w:tab w:val="num" w:pos="1728"/>
        </w:tabs>
        <w:ind w:left="1728" w:hanging="1728"/>
      </w:pPr>
      <w:rPr>
        <w:rFonts w:ascii="Arial Black" w:hAnsi="Arial Black" w:hint="default"/>
        <w:sz w:val="28"/>
        <w:szCs w:val="28"/>
      </w:rPr>
    </w:lvl>
    <w:lvl w:ilvl="1">
      <w:start w:val="1"/>
      <w:numFmt w:val="decimalZero"/>
      <w:isLgl/>
      <w:lvlText w:val="Section %1.%2"/>
      <w:lvlJc w:val="left"/>
      <w:pPr>
        <w:tabs>
          <w:tab w:val="num" w:pos="1800"/>
        </w:tabs>
        <w:ind w:left="720" w:firstLine="0"/>
      </w:pPr>
      <w:rPr>
        <w:rFonts w:hint="default"/>
      </w:rPr>
    </w:lvl>
    <w:lvl w:ilvl="2">
      <w:start w:val="1"/>
      <w:numFmt w:val="lowerLetter"/>
      <w:lvlText w:val="(%3)"/>
      <w:lvlJc w:val="left"/>
      <w:pPr>
        <w:tabs>
          <w:tab w:val="num" w:pos="1440"/>
        </w:tabs>
        <w:ind w:left="1440" w:hanging="432"/>
      </w:pPr>
      <w:rPr>
        <w:rFonts w:hint="default"/>
      </w:rPr>
    </w:lvl>
    <w:lvl w:ilvl="3">
      <w:start w:val="1"/>
      <w:numFmt w:val="lowerRoman"/>
      <w:lvlText w:val="(%4)"/>
      <w:lvlJc w:val="right"/>
      <w:pPr>
        <w:tabs>
          <w:tab w:val="num" w:pos="1584"/>
        </w:tabs>
        <w:ind w:left="1584" w:hanging="144"/>
      </w:pPr>
      <w:rPr>
        <w:rFonts w:hint="default"/>
      </w:rPr>
    </w:lvl>
    <w:lvl w:ilvl="4">
      <w:start w:val="1"/>
      <w:numFmt w:val="decimal"/>
      <w:lvlText w:val="%5)"/>
      <w:lvlJc w:val="left"/>
      <w:pPr>
        <w:tabs>
          <w:tab w:val="num" w:pos="1728"/>
        </w:tabs>
        <w:ind w:left="1728" w:hanging="432"/>
      </w:pPr>
      <w:rPr>
        <w:rFonts w:hint="default"/>
      </w:rPr>
    </w:lvl>
    <w:lvl w:ilvl="5">
      <w:start w:val="1"/>
      <w:numFmt w:val="lowerLetter"/>
      <w:lvlText w:val="%6)"/>
      <w:lvlJc w:val="left"/>
      <w:pPr>
        <w:tabs>
          <w:tab w:val="num" w:pos="1872"/>
        </w:tabs>
        <w:ind w:left="1872" w:hanging="432"/>
      </w:pPr>
      <w:rPr>
        <w:rFonts w:hint="default"/>
      </w:rPr>
    </w:lvl>
    <w:lvl w:ilvl="6">
      <w:start w:val="1"/>
      <w:numFmt w:val="lowerRoman"/>
      <w:lvlText w:val="%7)"/>
      <w:lvlJc w:val="right"/>
      <w:pPr>
        <w:tabs>
          <w:tab w:val="num" w:pos="2016"/>
        </w:tabs>
        <w:ind w:left="2016" w:hanging="288"/>
      </w:pPr>
      <w:rPr>
        <w:rFonts w:hint="default"/>
      </w:rPr>
    </w:lvl>
    <w:lvl w:ilvl="7">
      <w:start w:val="1"/>
      <w:numFmt w:val="lowerLetter"/>
      <w:lvlText w:val="%8."/>
      <w:lvlJc w:val="left"/>
      <w:pPr>
        <w:tabs>
          <w:tab w:val="num" w:pos="2160"/>
        </w:tabs>
        <w:ind w:left="2160" w:hanging="432"/>
      </w:pPr>
      <w:rPr>
        <w:rFonts w:hint="default"/>
      </w:rPr>
    </w:lvl>
    <w:lvl w:ilvl="8">
      <w:start w:val="1"/>
      <w:numFmt w:val="lowerRoman"/>
      <w:lvlText w:val="%9."/>
      <w:lvlJc w:val="right"/>
      <w:pPr>
        <w:tabs>
          <w:tab w:val="num" w:pos="2304"/>
        </w:tabs>
        <w:ind w:left="2304" w:hanging="144"/>
      </w:pPr>
      <w:rPr>
        <w:rFonts w:hint="default"/>
      </w:rPr>
    </w:lvl>
  </w:abstractNum>
  <w:abstractNum w:abstractNumId="21">
    <w:nsid w:val="62EB1DBE"/>
    <w:multiLevelType w:val="hybridMultilevel"/>
    <w:tmpl w:val="FD2E748E"/>
    <w:lvl w:ilvl="0" w:tplc="B50073B8">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nsid w:val="6B463314"/>
    <w:multiLevelType w:val="hybridMultilevel"/>
    <w:tmpl w:val="B9D0D5CA"/>
    <w:lvl w:ilvl="0" w:tplc="4200893E">
      <w:start w:val="38"/>
      <w:numFmt w:val="decimal"/>
      <w:lvlText w:val="%1."/>
      <w:lvlJc w:val="left"/>
      <w:pPr>
        <w:tabs>
          <w:tab w:val="num" w:pos="360"/>
        </w:tabs>
        <w:ind w:left="360" w:hanging="360"/>
      </w:pPr>
      <w:rPr>
        <w:rFonts w:hint="default"/>
        <w:b w:val="0"/>
      </w:rPr>
    </w:lvl>
    <w:lvl w:ilvl="1" w:tplc="04090001">
      <w:start w:val="1"/>
      <w:numFmt w:val="bullet"/>
      <w:lvlText w:val=""/>
      <w:lvlJc w:val="left"/>
      <w:pPr>
        <w:tabs>
          <w:tab w:val="num" w:pos="1080"/>
        </w:tabs>
        <w:ind w:left="1080" w:hanging="360"/>
      </w:pPr>
      <w:rPr>
        <w:rFonts w:ascii="Symbol" w:hAnsi="Symbol"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1B45738"/>
    <w:multiLevelType w:val="hybridMultilevel"/>
    <w:tmpl w:val="49F490BC"/>
    <w:lvl w:ilvl="0" w:tplc="343EB4FC">
      <w:start w:val="35"/>
      <w:numFmt w:val="decimal"/>
      <w:lvlText w:val="%1."/>
      <w:lvlJc w:val="left"/>
      <w:pPr>
        <w:tabs>
          <w:tab w:val="num" w:pos="360"/>
        </w:tabs>
        <w:ind w:left="360" w:hanging="360"/>
      </w:pPr>
      <w:rPr>
        <w:rFonts w:hint="default"/>
        <w:b w:val="0"/>
      </w:rPr>
    </w:lvl>
    <w:lvl w:ilvl="1" w:tplc="04090019">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36079F9"/>
    <w:multiLevelType w:val="hybridMultilevel"/>
    <w:tmpl w:val="43544D0A"/>
    <w:lvl w:ilvl="0" w:tplc="7B8E5B1E">
      <w:start w:val="1"/>
      <w:numFmt w:val="decimal"/>
      <w:lvlText w:val="%1."/>
      <w:lvlJc w:val="left"/>
      <w:pPr>
        <w:tabs>
          <w:tab w:val="num" w:pos="1134"/>
        </w:tabs>
        <w:ind w:left="1134" w:hanging="567"/>
      </w:pPr>
      <w:rPr>
        <w:rFonts w:ascii="Times New Roman" w:hAnsi="Times New Roman" w:hint="default"/>
        <w:color w:val="auto"/>
        <w:sz w:val="22"/>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6F847BF"/>
    <w:multiLevelType w:val="hybridMultilevel"/>
    <w:tmpl w:val="4A065D8A"/>
    <w:lvl w:ilvl="0" w:tplc="7B8E5B1E">
      <w:start w:val="1"/>
      <w:numFmt w:val="decimal"/>
      <w:lvlText w:val="%1."/>
      <w:lvlJc w:val="left"/>
      <w:pPr>
        <w:tabs>
          <w:tab w:val="num" w:pos="1134"/>
        </w:tabs>
        <w:ind w:left="1134" w:hanging="567"/>
      </w:pPr>
      <w:rPr>
        <w:rFonts w:ascii="Times New Roman" w:hAnsi="Times New Roman" w:hint="default"/>
        <w:color w:val="auto"/>
        <w:sz w:val="22"/>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ABE1357"/>
    <w:multiLevelType w:val="hybridMultilevel"/>
    <w:tmpl w:val="2E18DC64"/>
    <w:lvl w:ilvl="0" w:tplc="13982DB6">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CF80BC8"/>
    <w:multiLevelType w:val="hybridMultilevel"/>
    <w:tmpl w:val="4C3295C0"/>
    <w:lvl w:ilvl="0" w:tplc="040C0017">
      <w:start w:val="1"/>
      <w:numFmt w:val="lowerRoman"/>
      <w:lvlText w:val="(%1)"/>
      <w:lvlJc w:val="left"/>
      <w:pPr>
        <w:tabs>
          <w:tab w:val="num" w:pos="1080"/>
        </w:tabs>
        <w:ind w:left="108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4"/>
  </w:num>
  <w:num w:numId="2">
    <w:abstractNumId w:val="3"/>
  </w:num>
  <w:num w:numId="3">
    <w:abstractNumId w:val="27"/>
  </w:num>
  <w:num w:numId="4">
    <w:abstractNumId w:val="15"/>
  </w:num>
  <w:num w:numId="5">
    <w:abstractNumId w:val="5"/>
  </w:num>
  <w:num w:numId="6">
    <w:abstractNumId w:val="4"/>
  </w:num>
  <w:num w:numId="7">
    <w:abstractNumId w:val="9"/>
  </w:num>
  <w:num w:numId="8">
    <w:abstractNumId w:val="10"/>
  </w:num>
  <w:num w:numId="9">
    <w:abstractNumId w:val="16"/>
  </w:num>
  <w:num w:numId="10">
    <w:abstractNumId w:val="23"/>
  </w:num>
  <w:num w:numId="11">
    <w:abstractNumId w:val="17"/>
  </w:num>
  <w:num w:numId="12">
    <w:abstractNumId w:val="2"/>
  </w:num>
  <w:num w:numId="13">
    <w:abstractNumId w:val="6"/>
  </w:num>
  <w:num w:numId="14">
    <w:abstractNumId w:val="21"/>
  </w:num>
  <w:num w:numId="15">
    <w:abstractNumId w:val="26"/>
  </w:num>
  <w:num w:numId="16">
    <w:abstractNumId w:val="22"/>
  </w:num>
  <w:num w:numId="17">
    <w:abstractNumId w:val="0"/>
  </w:num>
  <w:num w:numId="18">
    <w:abstractNumId w:val="11"/>
  </w:num>
  <w:num w:numId="19">
    <w:abstractNumId w:val="8"/>
  </w:num>
  <w:num w:numId="20">
    <w:abstractNumId w:val="19"/>
  </w:num>
  <w:num w:numId="21">
    <w:abstractNumId w:val="20"/>
  </w:num>
  <w:num w:numId="22">
    <w:abstractNumId w:val="7"/>
  </w:num>
  <w:num w:numId="23">
    <w:abstractNumId w:val="25"/>
  </w:num>
  <w:num w:numId="24">
    <w:abstractNumId w:val="24"/>
  </w:num>
  <w:num w:numId="25">
    <w:abstractNumId w:val="18"/>
  </w:num>
  <w:num w:numId="26">
    <w:abstractNumId w:val="1"/>
  </w:num>
  <w:num w:numId="27">
    <w:abstractNumId w:val="1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9652*"/>
    <w:docVar w:name="CreationDt" w:val="14/05/2007 09:56:45"/>
    <w:docVar w:name="DocCategory" w:val="Doc"/>
    <w:docVar w:name="DocType" w:val="Final"/>
    <w:docVar w:name="FooterJN" w:val="07-59652"/>
    <w:docVar w:name="Jobn" w:val="07-59652 (R)"/>
    <w:docVar w:name="jobnDT" w:val="07-26484 (E)   140507"/>
    <w:docVar w:name="jobnDTDT" w:val="07-26484 (E)   140507   140507"/>
    <w:docVar w:name="JobNo" w:val="0759652R"/>
    <w:docVar w:name="OandT" w:val=" "/>
    <w:docVar w:name="sss1" w:val="CEDAW/C/FIN/6"/>
    <w:docVar w:name="sss2" w:val="-"/>
    <w:docVar w:name="Symbol1" w:val="CEDAW/C/FIN/6"/>
    <w:docVar w:name="Symbol2" w:val="-"/>
  </w:docVars>
  <w:rsids>
    <w:rsidRoot w:val="00A44669"/>
    <w:rsid w:val="00155481"/>
    <w:rsid w:val="00716439"/>
    <w:rsid w:val="008E7D73"/>
    <w:rsid w:val="00A20EE2"/>
    <w:rsid w:val="00A44669"/>
    <w:rsid w:val="00B80F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120"/>
      <w:ind w:left="1134" w:hanging="567"/>
      <w:jc w:val="both"/>
    </w:pPr>
    <w:rPr>
      <w:sz w:val="22"/>
      <w:lang w:val="ru-RU" w:eastAsia="en-US"/>
    </w:rPr>
  </w:style>
  <w:style w:type="paragraph" w:styleId="Heading1">
    <w:name w:val="heading 1"/>
    <w:basedOn w:val="Normal"/>
    <w:next w:val="Normal"/>
    <w:qFormat/>
    <w:pPr>
      <w:keepNext/>
      <w:tabs>
        <w:tab w:val="center" w:pos="4680"/>
      </w:tabs>
      <w:suppressAutoHyphens w:val="0"/>
      <w:outlineLvl w:val="0"/>
    </w:pPr>
    <w:rPr>
      <w:sz w:val="40"/>
    </w:rPr>
  </w:style>
  <w:style w:type="paragraph" w:styleId="Heading2">
    <w:name w:val="heading 2"/>
    <w:basedOn w:val="Normal"/>
    <w:next w:val="Normal"/>
    <w:qFormat/>
    <w:pPr>
      <w:keepNext/>
      <w:suppressAutoHyphens w:val="0"/>
      <w:jc w:val="right"/>
      <w:outlineLvl w:val="1"/>
    </w:pPr>
    <w:rPr>
      <w:b/>
      <w:sz w:val="24"/>
    </w:rPr>
  </w:style>
  <w:style w:type="paragraph" w:styleId="Heading3">
    <w:name w:val="heading 3"/>
    <w:aliases w:val="chart title"/>
    <w:basedOn w:val="Normal"/>
    <w:next w:val="Normal"/>
    <w:qFormat/>
    <w:pPr>
      <w:keepNext/>
      <w:ind w:left="425" w:firstLine="0"/>
      <w:outlineLvl w:val="2"/>
    </w:pPr>
    <w:rPr>
      <w:b/>
      <w:bCs/>
    </w:rPr>
  </w:style>
  <w:style w:type="paragraph" w:styleId="Heading4">
    <w:name w:val="heading 4"/>
    <w:basedOn w:val="Normal"/>
    <w:next w:val="Normal"/>
    <w:qFormat/>
    <w:pPr>
      <w:keepNext/>
      <w:tabs>
        <w:tab w:val="center" w:pos="4680"/>
      </w:tabs>
      <w:overflowPunct w:val="0"/>
      <w:autoSpaceDE w:val="0"/>
      <w:autoSpaceDN w:val="0"/>
      <w:adjustRightInd w:val="0"/>
      <w:spacing w:after="0"/>
      <w:ind w:left="0" w:firstLine="0"/>
      <w:jc w:val="center"/>
      <w:textAlignment w:val="baseline"/>
      <w:outlineLvl w:val="3"/>
    </w:pPr>
    <w:rPr>
      <w:b/>
      <w:bCs/>
      <w:spacing w:val="-3"/>
      <w:sz w:val="24"/>
      <w:lang w:eastAsia="ru-RU"/>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z w:val="24"/>
      <w:lang w:val="en-US"/>
    </w:rPr>
  </w:style>
  <w:style w:type="paragraph" w:styleId="Heading6">
    <w:name w:val="heading 6"/>
    <w:basedOn w:val="Normal"/>
    <w:next w:val="Normal"/>
    <w:qFormat/>
    <w:pPr>
      <w:keepNext/>
      <w:jc w:val="right"/>
      <w:outlineLvl w:val="5"/>
    </w:pPr>
    <w:rPr>
      <w:b/>
      <w:bCs/>
      <w:lang w:val="en-US"/>
    </w:rPr>
  </w:style>
  <w:style w:type="paragraph" w:styleId="Heading7">
    <w:name w:val="heading 7"/>
    <w:basedOn w:val="Normal"/>
    <w:next w:val="Normal"/>
    <w:qFormat/>
    <w:pPr>
      <w:keepNext/>
      <w:jc w:val="center"/>
      <w:outlineLvl w:val="6"/>
    </w:pPr>
    <w:rPr>
      <w:b/>
      <w:bCs/>
      <w:lang w:val="en-US"/>
    </w:rPr>
  </w:style>
  <w:style w:type="paragraph" w:styleId="Heading8">
    <w:name w:val="heading 8"/>
    <w:basedOn w:val="Normal"/>
    <w:next w:val="Normal"/>
    <w:qFormat/>
    <w:pPr>
      <w:keepNext/>
      <w:outlineLvl w:val="7"/>
    </w:pPr>
    <w:rPr>
      <w:b/>
      <w:bCs/>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left" w:pos="567"/>
      </w:tabs>
      <w:spacing w:line="270" w:lineRule="exact"/>
      <w:ind w:left="567"/>
      <w:jc w:val="lef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style>
  <w:style w:type="paragraph" w:customStyle="1" w:styleId="HCh">
    <w:name w:val="_ H _Ch"/>
    <w:basedOn w:val="H1"/>
    <w:next w:val="SingleTxt"/>
    <w:pPr>
      <w:spacing w:line="300" w:lineRule="exact"/>
      <w:ind w:lef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tabs>
        <w:tab w:val="left" w:pos="1134"/>
      </w:tabs>
      <w:spacing w:before="120" w:line="240" w:lineRule="exact"/>
      <w:ind w:left="1134"/>
      <w:outlineLvl w:val="1"/>
    </w:pPr>
    <w:rPr>
      <w:sz w:val="22"/>
      <w:szCs w:val="22"/>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1021"/>
        <w:tab w:val="left" w:pos="1134"/>
      </w:tabs>
      <w:spacing w:after="0" w:line="210" w:lineRule="exact"/>
      <w:ind w:hanging="1134"/>
    </w:pPr>
    <w:rPr>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styleId="CommentText">
    <w:name w:val="annotation text"/>
    <w:basedOn w:val="Normal"/>
    <w:semiHidden/>
  </w:style>
  <w:style w:type="paragraph" w:customStyle="1" w:styleId="7P">
    <w:name w:val="_ 7_ P"/>
    <w:basedOn w:val="H4"/>
    <w:next w:val="Normal"/>
    <w:pPr>
      <w:spacing w:line="200" w:lineRule="exact"/>
    </w:pPr>
    <w:rPr>
      <w:i w:val="0"/>
      <w:sz w:val="14"/>
      <w:lang w:val="es-ES"/>
    </w:rPr>
  </w:style>
  <w:style w:type="paragraph" w:customStyle="1" w:styleId="a">
    <w:name w:val="__Втяжка"/>
    <w:basedOn w:val="Normal"/>
    <w:pPr>
      <w:numPr>
        <w:numId w:val="2"/>
      </w:numPr>
      <w:suppressAutoHyphens w:val="0"/>
      <w:ind w:left="1728" w:hanging="720"/>
    </w:pPr>
    <w:rPr>
      <w:szCs w:val="22"/>
    </w:rPr>
  </w:style>
  <w:style w:type="character" w:styleId="Hyperlink">
    <w:name w:val="Hyperlink"/>
    <w:rPr>
      <w:color w:val="0000FF"/>
      <w:u w:val="none"/>
    </w:rPr>
  </w:style>
  <w:style w:type="character" w:styleId="PageNumber">
    <w:name w:val="page number"/>
    <w:basedOn w:val="DefaultParagraphFont"/>
  </w:style>
  <w:style w:type="paragraph" w:styleId="NormalWeb">
    <w:name w:val="Normal (Web)"/>
    <w:basedOn w:val="Normal"/>
    <w:pPr>
      <w:suppressAutoHyphens w:val="0"/>
      <w:spacing w:before="100" w:beforeAutospacing="1" w:after="100" w:afterAutospacing="1"/>
      <w:ind w:left="0" w:firstLine="0"/>
      <w:jc w:val="left"/>
    </w:pPr>
    <w:rPr>
      <w:color w:val="000000"/>
      <w:sz w:val="24"/>
      <w:szCs w:val="24"/>
      <w:lang w:eastAsia="ru-RU"/>
    </w:rPr>
  </w:style>
  <w:style w:type="paragraph" w:styleId="BodyTextIndent">
    <w:name w:val="Body Text Indent"/>
    <w:basedOn w:val="Normal"/>
    <w:pPr>
      <w:jc w:val="left"/>
    </w:pPr>
  </w:style>
  <w:style w:type="paragraph" w:styleId="BodyTextIndent2">
    <w:name w:val="Body Text Indent 2"/>
    <w:basedOn w:val="Normal"/>
    <w:pPr>
      <w:ind w:firstLine="0"/>
    </w:pPr>
  </w:style>
  <w:style w:type="paragraph" w:styleId="BodyTextIndent3">
    <w:name w:val="Body Text Indent 3"/>
    <w:basedOn w:val="Normal"/>
    <w:pPr>
      <w:ind w:firstLine="0"/>
    </w:pPr>
    <w:rPr>
      <w:i/>
      <w:iCs/>
    </w:rPr>
  </w:style>
  <w:style w:type="paragraph" w:customStyle="1" w:styleId="XLarge">
    <w:name w:val="XLarge"/>
    <w:basedOn w:val="HM"/>
    <w:pPr>
      <w:spacing w:line="390" w:lineRule="exact"/>
    </w:pPr>
    <w:rPr>
      <w:spacing w:val="-4"/>
      <w:w w:val="98"/>
      <w:sz w:val="40"/>
    </w:rPr>
  </w:style>
  <w:style w:type="paragraph" w:styleId="CommentSubject">
    <w:name w:val="annotation subject"/>
    <w:basedOn w:val="CommentText"/>
    <w:next w:val="CommentText"/>
    <w:semiHidden/>
    <w:rsid w:val="00A44669"/>
    <w:rPr>
      <w:b/>
      <w:bCs/>
      <w:sz w:val="20"/>
    </w:rPr>
  </w:style>
  <w:style w:type="paragraph" w:styleId="BalloonText">
    <w:name w:val="Balloon Text"/>
    <w:basedOn w:val="Normal"/>
    <w:semiHidden/>
    <w:rsid w:val="00A20E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284</TotalTime>
  <Pages>2</Pages>
  <Words>23889</Words>
  <Characters>136172</Characters>
  <Application>Microsoft Office Word</Application>
  <DocSecurity>4</DocSecurity>
  <Lines>1134</Lines>
  <Paragraphs>319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159742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ID+</dc:creator>
  <cp:keywords/>
  <dc:description/>
  <cp:lastModifiedBy>Maria.Griaznova_2</cp:lastModifiedBy>
  <cp:revision>72</cp:revision>
  <cp:lastPrinted>2008-01-28T14:13:00Z</cp:lastPrinted>
  <dcterms:created xsi:type="dcterms:W3CDTF">2008-01-24T14:33:00Z</dcterms:created>
  <dcterms:modified xsi:type="dcterms:W3CDTF">2008-01-28T14:50:00Z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0759652R</vt:lpwstr>
  </property>
  <property fmtid="{D5CDD505-2E9C-101B-9397-08002B2CF9AE}" pid="5" name="Symbol1">
    <vt:lpwstr>CEDAW/C/FIN/6</vt:lpwstr>
  </property>
  <property fmtid="{D5CDD505-2E9C-101B-9397-08002B2CF9AE}" pid="6" name="sss1">
    <vt:lpwstr>CEDAW/C/FIN/6</vt:lpwstr>
  </property>
  <property fmtid="{D5CDD505-2E9C-101B-9397-08002B2CF9AE}" pid="7" name="Comment">
    <vt:lpwstr/>
  </property>
  <property fmtid="{D5CDD505-2E9C-101B-9397-08002B2CF9AE}" pid="8" name="DraftPages">
    <vt:lpwstr>57</vt:lpwstr>
  </property>
  <property fmtid="{D5CDD505-2E9C-101B-9397-08002B2CF9AE}" pid="9" name="Operator">
    <vt:lpwstr>Nikitina</vt:lpwstr>
  </property>
</Properties>
</file>