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 xml:space="preserve">в отношении женщин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Четвертые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Чили</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center"/>
        <w:rPr>
          <w:b/>
          <w:sz w:val="24"/>
        </w:rPr>
      </w:pPr>
      <w:r>
        <w:br w:type="page"/>
      </w: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spacing w:line="240" w:lineRule="auto"/>
        <w:jc w:val="center"/>
        <w:rPr>
          <w:b/>
          <w:caps/>
          <w:sz w:val="24"/>
        </w:rPr>
      </w:pPr>
    </w:p>
    <w:p w:rsidR="00000000" w:rsidRDefault="00000000">
      <w:pPr>
        <w:pStyle w:val="SingleTxt"/>
        <w:spacing w:after="0" w:line="240" w:lineRule="auto"/>
        <w:jc w:val="center"/>
        <w:rPr>
          <w:b/>
          <w:caps/>
          <w:sz w:val="28"/>
        </w:rPr>
      </w:pPr>
      <w:r>
        <w:rPr>
          <w:b/>
          <w:caps/>
          <w:sz w:val="28"/>
        </w:rPr>
        <w:t>Четвертый периодический доклад государства Чили о мерах, принятых для осуществления положений Конвенции о ликвидации всех форм</w:t>
      </w:r>
    </w:p>
    <w:p w:rsidR="00000000" w:rsidRDefault="00000000">
      <w:pPr>
        <w:pStyle w:val="SingleTxt"/>
        <w:spacing w:after="0" w:line="240" w:lineRule="auto"/>
        <w:jc w:val="center"/>
        <w:rPr>
          <w:b/>
          <w:caps/>
          <w:sz w:val="28"/>
        </w:rPr>
      </w:pPr>
      <w:r>
        <w:rPr>
          <w:b/>
          <w:caps/>
          <w:sz w:val="28"/>
        </w:rPr>
        <w:t xml:space="preserve"> дискриминации в отношении женщин</w:t>
      </w: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p>
    <w:p w:rsidR="00000000" w:rsidRDefault="00000000">
      <w:pPr>
        <w:pStyle w:val="SingleTxt"/>
        <w:jc w:val="center"/>
        <w:rPr>
          <w:b/>
          <w:sz w:val="24"/>
        </w:rPr>
      </w:pPr>
      <w:r>
        <w:rPr>
          <w:b/>
          <w:sz w:val="24"/>
        </w:rPr>
        <w:t>Республика Чили</w:t>
      </w:r>
    </w:p>
    <w:p w:rsidR="00000000" w:rsidRDefault="00000000">
      <w:pPr>
        <w:pStyle w:val="SingleTxt"/>
        <w:jc w:val="center"/>
        <w:rPr>
          <w:b/>
          <w:sz w:val="24"/>
        </w:rPr>
      </w:pPr>
    </w:p>
    <w:p w:rsidR="00000000" w:rsidRDefault="00000000">
      <w:pPr>
        <w:pStyle w:val="SingleTxt"/>
        <w:jc w:val="center"/>
        <w:rPr>
          <w:b/>
          <w:sz w:val="24"/>
        </w:rPr>
      </w:pPr>
      <w:r>
        <w:rPr>
          <w:b/>
          <w:sz w:val="24"/>
        </w:rPr>
        <w:t>Апрель 2004 года</w:t>
      </w:r>
    </w:p>
    <w:p w:rsidR="00000000" w:rsidRDefault="00000000">
      <w:pPr>
        <w:pStyle w:val="SingleTxt"/>
        <w:spacing w:after="0" w:line="120" w:lineRule="exact"/>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580"/>
        <w:gridCol w:w="720"/>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580" w:type="dxa"/>
          </w:tcPr>
          <w:p w:rsidR="00000000" w:rsidRDefault="00000000">
            <w:pPr>
              <w:spacing w:after="120" w:line="240" w:lineRule="auto"/>
              <w:rPr>
                <w:i/>
                <w:sz w:val="14"/>
              </w:rPr>
            </w:pPr>
          </w:p>
        </w:tc>
        <w:tc>
          <w:tcPr>
            <w:tcW w:w="720" w:type="dxa"/>
          </w:tcPr>
          <w:p w:rsidR="00000000" w:rsidRDefault="00000000">
            <w:pPr>
              <w:spacing w:after="120" w:line="240" w:lineRule="auto"/>
              <w:jc w:val="right"/>
              <w:rPr>
                <w:i/>
                <w:sz w:val="14"/>
              </w:rPr>
            </w:pPr>
            <w:r>
              <w:rPr>
                <w:i/>
                <w:sz w:val="14"/>
              </w:rPr>
              <w:t>Пун</w:t>
            </w:r>
            <w:r>
              <w:rPr>
                <w:i/>
                <w:sz w:val="14"/>
              </w:rPr>
              <w:t>к</w:t>
            </w:r>
            <w:r>
              <w:rPr>
                <w:i/>
                <w:sz w:val="14"/>
              </w:rPr>
              <w:t>ты.</w:t>
            </w:r>
          </w:p>
        </w:tc>
      </w:tr>
      <w:tr w:rsidR="00000000">
        <w:tblPrEx>
          <w:tblCellMar>
            <w:top w:w="0" w:type="dxa"/>
            <w:left w:w="0" w:type="dxa"/>
            <w:bottom w:w="0" w:type="dxa"/>
            <w:right w:w="0" w:type="dxa"/>
          </w:tblCellMar>
        </w:tblPrEx>
        <w:trPr>
          <w:cantSplit/>
        </w:trPr>
        <w:tc>
          <w:tcPr>
            <w:tcW w:w="8640" w:type="dxa"/>
            <w:gridSpan w:val="2"/>
          </w:tcPr>
          <w:p w:rsidR="00000000" w:rsidRDefault="00000000">
            <w:pPr>
              <w:numPr>
                <w:ilvl w:val="0"/>
                <w:numId w:val="292"/>
              </w:numPr>
              <w:tabs>
                <w:tab w:val="right" w:pos="1080"/>
                <w:tab w:val="left" w:pos="1728"/>
                <w:tab w:val="right" w:leader="dot" w:pos="9360"/>
              </w:tabs>
              <w:spacing w:after="120"/>
              <w:rPr>
                <w:b/>
              </w:rPr>
            </w:pPr>
            <w:r>
              <w:rPr>
                <w:b/>
              </w:rPr>
              <w:tab/>
              <w:t>Введение</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w:t>
            </w:r>
          </w:p>
        </w:tc>
      </w:tr>
      <w:tr w:rsidR="00000000">
        <w:tblPrEx>
          <w:tblCellMar>
            <w:top w:w="0" w:type="dxa"/>
            <w:left w:w="0" w:type="dxa"/>
            <w:bottom w:w="0" w:type="dxa"/>
            <w:right w:w="0" w:type="dxa"/>
          </w:tblCellMar>
        </w:tblPrEx>
        <w:trPr>
          <w:cantSplit/>
        </w:trPr>
        <w:tc>
          <w:tcPr>
            <w:tcW w:w="8640" w:type="dxa"/>
            <w:gridSpan w:val="2"/>
          </w:tcPr>
          <w:p w:rsidR="00000000" w:rsidRDefault="00000000">
            <w:pPr>
              <w:numPr>
                <w:ilvl w:val="0"/>
                <w:numId w:val="292"/>
              </w:numPr>
              <w:tabs>
                <w:tab w:val="right" w:pos="1080"/>
                <w:tab w:val="left" w:pos="1728"/>
                <w:tab w:val="right" w:leader="dot" w:pos="9360"/>
              </w:tabs>
              <w:spacing w:after="120"/>
              <w:rPr>
                <w:b/>
              </w:rPr>
            </w:pPr>
            <w:r>
              <w:rPr>
                <w:b/>
              </w:rPr>
              <w:tab/>
              <w:t>Нынешнее положение чилийских женщин</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080"/>
            </w:pPr>
            <w:r>
              <w:tab/>
              <w:t>Население и его географическое распределение</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728" w:hanging="648"/>
            </w:pPr>
            <w:r>
              <w:tab/>
              <w:t>Население и возрастные группы</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17</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right" w:leader="dot" w:pos="9360"/>
              </w:tabs>
              <w:spacing w:after="120"/>
              <w:ind w:left="1728" w:hanging="648"/>
            </w:pPr>
            <w:r>
              <w:tab/>
              <w:t>Плодовитость</w:t>
            </w:r>
            <w:r>
              <w:tab/>
            </w:r>
            <w:r>
              <w:tab/>
            </w:r>
            <w:r>
              <w:tab/>
            </w:r>
            <w:r>
              <w:tab/>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19</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left" w:pos="3024"/>
                <w:tab w:val="right" w:leader="dot" w:pos="9360"/>
              </w:tabs>
              <w:spacing w:after="120"/>
              <w:ind w:left="1728" w:hanging="648"/>
            </w:pPr>
            <w:r>
              <w:tab/>
              <w:t>Семейное состояние</w:t>
            </w:r>
            <w:r>
              <w:tab/>
            </w:r>
            <w:r>
              <w:tab/>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23</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728" w:hanging="648"/>
            </w:pPr>
            <w:r>
              <w:tab/>
              <w:t>Женщины - главы домашних хозяйств и виды хозяйств</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27</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right" w:leader="dot" w:pos="9360"/>
              </w:tabs>
              <w:spacing w:after="120"/>
              <w:ind w:left="1728" w:hanging="648"/>
            </w:pPr>
            <w:r>
              <w:tab/>
              <w:t>Образование</w:t>
            </w:r>
            <w:r>
              <w:tab/>
            </w:r>
            <w:r>
              <w:tab/>
            </w:r>
            <w:r>
              <w:tab/>
            </w:r>
            <w:r>
              <w:tab/>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31</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left" w:pos="3024"/>
                <w:tab w:val="right" w:leader="dot" w:pos="9360"/>
              </w:tabs>
              <w:spacing w:after="120"/>
              <w:ind w:left="1728" w:hanging="648"/>
            </w:pPr>
            <w:r>
              <w:tab/>
              <w:t>Участие на рынке труда</w:t>
            </w:r>
            <w:r>
              <w:tab/>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left" w:pos="3024"/>
                <w:tab w:val="left" w:pos="3456"/>
                <w:tab w:val="left" w:pos="3888"/>
                <w:tab w:val="right" w:leader="dot" w:pos="9360"/>
              </w:tabs>
              <w:spacing w:after="120"/>
              <w:ind w:left="1728" w:hanging="648"/>
            </w:pPr>
            <w:r>
              <w:tab/>
              <w:t>Использование бытовой техники в домашних хозяйствах</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41</w:t>
            </w:r>
          </w:p>
        </w:tc>
      </w:tr>
      <w:tr w:rsidR="00000000">
        <w:tblPrEx>
          <w:tblCellMar>
            <w:top w:w="0" w:type="dxa"/>
            <w:left w:w="0" w:type="dxa"/>
            <w:bottom w:w="0" w:type="dxa"/>
            <w:right w:w="0" w:type="dxa"/>
          </w:tblCellMar>
        </w:tblPrEx>
        <w:trPr>
          <w:cantSplit/>
        </w:trPr>
        <w:tc>
          <w:tcPr>
            <w:tcW w:w="8640" w:type="dxa"/>
            <w:gridSpan w:val="2"/>
          </w:tcPr>
          <w:p w:rsidR="00000000" w:rsidRDefault="00000000">
            <w:pPr>
              <w:numPr>
                <w:ilvl w:val="0"/>
                <w:numId w:val="292"/>
              </w:numPr>
              <w:tabs>
                <w:tab w:val="right" w:pos="1080"/>
                <w:tab w:val="left" w:pos="1728"/>
                <w:tab w:val="right" w:leader="dot" w:pos="9360"/>
              </w:tabs>
              <w:spacing w:after="120"/>
              <w:rPr>
                <w:b/>
              </w:rPr>
            </w:pPr>
            <w:r>
              <w:rPr>
                <w:b/>
              </w:rPr>
              <w:tab/>
              <w:t>Постатейная информация</w:t>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rPr>
                <w:b/>
              </w:rPr>
            </w:pPr>
            <w:r>
              <w:rPr>
                <w:b/>
              </w:rPr>
              <w:tab/>
              <w:t>1.</w:t>
            </w:r>
            <w:r>
              <w:rPr>
                <w:b/>
              </w:rPr>
              <w:tab/>
              <w:t>Принцип равенства женщин и мужчин перед законом</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43</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r>
            <w:r>
              <w:tab/>
              <w:t>Принцип конституционного равноправия</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r>
            <w:r>
              <w:tab/>
              <w:t>Равенство перед законом и ликвидация дискриминации в законодательс</w:t>
            </w:r>
            <w:r>
              <w:t>т</w:t>
            </w:r>
            <w:r>
              <w:t>ве</w:t>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46</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right" w:leader="dot" w:pos="9360"/>
              </w:tabs>
              <w:suppressAutoHyphens/>
              <w:spacing w:after="120"/>
              <w:ind w:left="1728" w:hanging="648"/>
            </w:pPr>
            <w:r>
              <w:tab/>
            </w:r>
            <w:r>
              <w:tab/>
              <w:t>Защита материнства и общая ответственность за развитие и обучение детей</w:t>
            </w:r>
            <w:r>
              <w:tab/>
            </w:r>
            <w:r>
              <w:tab/>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78</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r>
            <w:r>
              <w:tab/>
              <w:t>Гражданская правоспособность и ее реализация</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86</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r>
            <w:r>
              <w:tab/>
              <w:t>Ратификация международных договоров и соглашений</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89</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r>
            <w:r>
              <w:rPr>
                <w:b/>
              </w:rPr>
              <w:t>2.</w:t>
            </w:r>
            <w:r>
              <w:rPr>
                <w:b/>
              </w:rPr>
              <w:tab/>
              <w:t>Антидискриминационные меры (статьи 2 и 3)</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Ликвидация дискриминации в сфере законодательства, а также в деятельности и практике государственных учреждений</w:t>
            </w:r>
            <w:r>
              <w:tab/>
            </w:r>
          </w:p>
        </w:tc>
        <w:tc>
          <w:tcPr>
            <w:tcW w:w="72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Доступ к правосудию, юридической защите на равной основе в судах и недискриминация в уголовной системе</w:t>
            </w:r>
            <w:r>
              <w:tab/>
            </w:r>
          </w:p>
        </w:tc>
        <w:tc>
          <w:tcPr>
            <w:tcW w:w="72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114</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pacing w:after="120"/>
              <w:ind w:left="1728" w:hanging="648"/>
            </w:pPr>
            <w:r>
              <w:tab/>
            </w:r>
            <w:r>
              <w:rPr>
                <w:b/>
              </w:rPr>
              <w:t>3.</w:t>
            </w:r>
            <w:r>
              <w:rPr>
                <w:b/>
              </w:rPr>
              <w:tab/>
              <w:t>Изменение социальных и культурных моделей (статья 5)</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Искоренение предрассудков и упразднение обычаев и всей прочей практики, которые основаны на идее неполноценности или превосходства одного из полов или стереотипности роли мужчин и женщин</w:t>
            </w:r>
            <w:r>
              <w:tab/>
            </w:r>
          </w:p>
        </w:tc>
        <w:tc>
          <w:tcPr>
            <w:tcW w:w="72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121</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Совместная ответственность мужчин и женщин в вопросах образования и воспитания детей и материнство как социальная функция</w:t>
            </w:r>
            <w:r>
              <w:tab/>
            </w:r>
          </w:p>
        </w:tc>
        <w:tc>
          <w:tcPr>
            <w:tcW w:w="72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129</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rPr>
                <w:b/>
              </w:rPr>
            </w:pPr>
            <w:r>
              <w:tab/>
            </w:r>
            <w:r>
              <w:rPr>
                <w:b/>
              </w:rPr>
              <w:t>4.</w:t>
            </w:r>
            <w:r>
              <w:rPr>
                <w:b/>
              </w:rPr>
              <w:tab/>
              <w:t>Гражданские и политические права и ускорение установления равенства между мужчинами и женщинами (ст. 4, 7, 8 и 9)</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Участие в государственной деятельности и публичных выборах</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142</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Специальные меры временного характера</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157</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Взаимоотношения государства и гражданского общества</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161</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rPr>
                <w:b/>
              </w:rPr>
            </w:pPr>
            <w:r>
              <w:tab/>
            </w:r>
            <w:r>
              <w:rPr>
                <w:b/>
              </w:rPr>
              <w:t>5.</w:t>
            </w:r>
            <w:r>
              <w:rPr>
                <w:b/>
              </w:rPr>
              <w:tab/>
              <w:t>Экономические, социальные и культурные права, повышение статуса женщины в социальной, экономической и культурной сферах (ст. 3, 10, 11, 12 и 13)</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Борьба с нищетой</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180</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Равенство прав на образование</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191</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Равенство возможностей в сфере труда и занятости</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204</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Доступ к здравоохранению</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265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rPr>
                <w:b/>
              </w:rPr>
              <w:t>6.</w:t>
            </w:r>
            <w:r>
              <w:rPr>
                <w:b/>
              </w:rPr>
              <w:tab/>
              <w:t>Брак и семейные отношений (статья 16)</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309</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rPr>
                <w:b/>
              </w:rPr>
              <w:tab/>
              <w:t>7.</w:t>
            </w:r>
            <w:r>
              <w:rPr>
                <w:b/>
              </w:rPr>
              <w:tab/>
              <w:t>Пресечение насилия в отношении женщин (статья 6 и резолюция Организации Объ</w:t>
            </w:r>
            <w:r>
              <w:rPr>
                <w:b/>
              </w:rPr>
              <w:t>е</w:t>
            </w:r>
            <w:r>
              <w:rPr>
                <w:b/>
              </w:rPr>
              <w:t>диненных Наций № 19)</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Бытовое насилие в семье</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315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Сексуальное насилие</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344</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Торговля женщинами и эксплуатация проституции третьими лицами</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356</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rPr>
                <w:b/>
              </w:rPr>
              <w:tab/>
              <w:t>8.</w:t>
            </w:r>
            <w:r>
              <w:rPr>
                <w:b/>
              </w:rPr>
              <w:tab/>
              <w:t>Ликвидация дискриминации в отношении женщин из особых групп</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Сельские женщины (статья 14)</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361</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Женщины коренных народностей</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390</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Положение девочек</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405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Женщины-инвалиды</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409</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Женщины пожилого возраста</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418</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728"/>
                <w:tab w:val="left" w:pos="1800"/>
                <w:tab w:val="left" w:pos="2232"/>
                <w:tab w:val="left" w:pos="2592"/>
                <w:tab w:val="right" w:leader="dot" w:pos="9360"/>
              </w:tabs>
              <w:suppressAutoHyphens/>
              <w:spacing w:after="120"/>
              <w:ind w:left="1728" w:hanging="648"/>
            </w:pPr>
            <w:r>
              <w:tab/>
            </w:r>
            <w:r>
              <w:tab/>
              <w:t>Женщины, больные ВИЧ/СПИДом</w:t>
            </w:r>
            <w:r>
              <w:tab/>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425</w:t>
            </w:r>
          </w:p>
        </w:tc>
      </w:tr>
      <w:tr w:rsidR="00000000">
        <w:tblPrEx>
          <w:tblCellMar>
            <w:top w:w="0" w:type="dxa"/>
            <w:left w:w="0" w:type="dxa"/>
            <w:bottom w:w="0" w:type="dxa"/>
            <w:right w:w="0" w:type="dxa"/>
          </w:tblCellMar>
        </w:tblPrEx>
        <w:trPr>
          <w:cantSplit/>
        </w:trPr>
        <w:tc>
          <w:tcPr>
            <w:tcW w:w="8640" w:type="dxa"/>
            <w:gridSpan w:val="2"/>
          </w:tcPr>
          <w:p w:rsidR="00000000" w:rsidRDefault="00000000">
            <w:pPr>
              <w:tabs>
                <w:tab w:val="right" w:pos="1080"/>
                <w:tab w:val="left" w:pos="1296"/>
                <w:tab w:val="left" w:pos="1800"/>
                <w:tab w:val="left" w:pos="2232"/>
                <w:tab w:val="left" w:pos="2592"/>
                <w:tab w:val="right" w:leader="dot" w:pos="9360"/>
              </w:tabs>
              <w:suppressAutoHyphens/>
              <w:spacing w:after="120"/>
              <w:ind w:left="2700" w:hanging="1620"/>
            </w:pPr>
            <w:r>
              <w:t>ПРИЛОЖЕНИЕ:</w:t>
            </w:r>
            <w:r>
              <w:tab/>
              <w:t>План по обеспечению равенства возможностей мужчин и женщин на 2000-2010 годы*</w:t>
            </w:r>
          </w:p>
        </w:tc>
        <w:tc>
          <w:tcPr>
            <w:tcW w:w="720"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360" w:lineRule="auto"/>
      </w:pPr>
      <w:r>
        <w:t>*Приложение предоставляется по требованию.</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rPr>
          <w:lang w:val="en-US"/>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rPr>
          <w:lang w:val="fr-CA"/>
        </w:rPr>
      </w:pPr>
      <w:r>
        <w:rPr>
          <w:lang w:val="en-US"/>
        </w:rPr>
        <w:t>Представление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Настоящим правительство Чили представляет четвертый доклад об ос</w:t>
      </w:r>
      <w:r>
        <w:t>у</w:t>
      </w:r>
      <w:r>
        <w:t>ществлении Конвенции Организации Объединенных Наций о ликвидации всех форм дискриминации в отношении женщин. Настоящий документ призван с</w:t>
      </w:r>
      <w:r>
        <w:t>о</w:t>
      </w:r>
      <w:r>
        <w:t>действовать выполнению государством Чили его обязательства по принятию мер для выполнения подписанных им международных договоров по правам ч</w:t>
      </w:r>
      <w:r>
        <w:t>е</w:t>
      </w:r>
      <w:r>
        <w:t>ловека. В нем, в частности, представлена информация о принятых мерах, до</w:t>
      </w:r>
      <w:r>
        <w:t>с</w:t>
      </w:r>
      <w:r>
        <w:t>тигнутом прогрессе и трудностях, возникших в деле осуществления прав, з</w:t>
      </w:r>
      <w:r>
        <w:t>а</w:t>
      </w:r>
      <w:r>
        <w:t>фиксированных в упомянутой Конвенции. Доклад охватывает четырехлетний период - с января 1999 года по декабрь 2002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С момента представления третьего доклада в 1998 году в Чили не только существенно изменилось положение женщин, но и были проведены реформы в области законодательства, государственной политики, а также реализованы в указанный период важные программы и мероприятия. Тем не менее в разли</w:t>
      </w:r>
      <w:r>
        <w:t>ч</w:t>
      </w:r>
      <w:r>
        <w:t>ных областях по-прежнему сохраняются препятствия для достижения полного равенства между чилийскими мужчинами и женщинами, в результате чего п</w:t>
      </w:r>
      <w:r>
        <w:t>о</w:t>
      </w:r>
      <w:r>
        <w:t>следние оказываются в менее выгодном положении. Именно поэтому цель н</w:t>
      </w:r>
      <w:r>
        <w:t>а</w:t>
      </w:r>
      <w:r>
        <w:t>стоящего доклада заключается в том, чтобы представить действительное пол</w:t>
      </w:r>
      <w:r>
        <w:t>о</w:t>
      </w:r>
      <w:r>
        <w:t>жение дел и отразить как достигнутые успехи, так и трудности, преодоление которых зачастую не зависит от воли правительства, возглавляемого президе</w:t>
      </w:r>
      <w:r>
        <w:t>н</w:t>
      </w:r>
      <w:r>
        <w:t>том Рикардо Лагосом, которое стремится ускорить процесс изменений, напра</w:t>
      </w:r>
      <w:r>
        <w:t>в</w:t>
      </w:r>
      <w:r>
        <w:t>ленных на ликвидацию гендерной дискр</w:t>
      </w:r>
      <w:r>
        <w:t>и</w:t>
      </w:r>
      <w:r>
        <w:t>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Для подготовки настоящего доклада потребовалось участие различных секторов, в частности ряда министерств и государственных служб, работу к</w:t>
      </w:r>
      <w:r>
        <w:t>о</w:t>
      </w:r>
      <w:r>
        <w:t>торых координировало Национальное управление по делам женщин (НУДЖ). Методология подготовки доклада предусматривала представление различными государственными учреждениями необходимой информации и ее систематиз</w:t>
      </w:r>
      <w:r>
        <w:t>а</w:t>
      </w:r>
      <w:r>
        <w:t>цию в соответствии с тематикой доклада. Для этого потребовалось также ра</w:t>
      </w:r>
      <w:r>
        <w:t>з</w:t>
      </w:r>
      <w:r>
        <w:t>работать основные критерии представления информации и осуществлять п</w:t>
      </w:r>
      <w:r>
        <w:t>о</w:t>
      </w:r>
      <w:r>
        <w:t>стоянную координацию деятельности с теми, кто отвечал за эту работу в ка</w:t>
      </w:r>
      <w:r>
        <w:t>ж</w:t>
      </w:r>
      <w:r>
        <w:t>дом правительственном учреждении. В этой связи следует выразить призн</w:t>
      </w:r>
      <w:r>
        <w:t>а</w:t>
      </w:r>
      <w:r>
        <w:t>тельность министерствам и государственным службам за содействие в получ</w:t>
      </w:r>
      <w:r>
        <w:t>е</w:t>
      </w:r>
      <w:r>
        <w:t xml:space="preserve">нии и анализе представленной в докладе информации.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4.</w:t>
      </w:r>
      <w:r>
        <w:tab/>
        <w:t>Настоящий доклад состоит из двух основных разделов. В первом освещ</w:t>
      </w:r>
      <w:r>
        <w:t>е</w:t>
      </w:r>
      <w:r>
        <w:t>ны общие аспекты положения женщин в Чили и изменения, произошедшие в последнее десятилетие</w:t>
      </w:r>
      <w:r>
        <w:rPr>
          <w:rStyle w:val="FootnoteReference"/>
        </w:rPr>
        <w:footnoteReference w:id="2"/>
      </w:r>
      <w:r>
        <w:t>; во втором разделе представлена информация о пол</w:t>
      </w:r>
      <w:r>
        <w:t>и</w:t>
      </w:r>
      <w:r>
        <w:t>тике, а также мерах и инициативах, которые предпринимает государство в з</w:t>
      </w:r>
      <w:r>
        <w:t>а</w:t>
      </w:r>
      <w:r>
        <w:t>конодательной сфере с целью выполнения обязательств, вытекающих из КЛДЖ. Эта информация представлена в порядке следования статей Конвенции, объединенных в восемь тематических групп, которые включают также аспекты, имеющие отношение к женщинам, и которые являются предметом рассмотр</w:t>
      </w:r>
      <w:r>
        <w:t>е</w:t>
      </w:r>
      <w:r>
        <w:t>ния различных резолюций Организации Объединенных Наций. В этот раздел включены также ответы правительства Чили на замечания, высказанные Ком</w:t>
      </w:r>
      <w:r>
        <w:t>и</w:t>
      </w:r>
      <w:r>
        <w:t>тетом КЛДЖ по предыдущему докладу.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rPr>
          <w:lang w:val="en-US"/>
        </w:rPr>
        <w:t>I</w:t>
      </w:r>
      <w:r>
        <w:t>.</w:t>
      </w:r>
      <w:r>
        <w:tab/>
      </w:r>
      <w:r>
        <w:tab/>
        <w:t>Введение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В 90</w:t>
      </w:r>
      <w:r>
        <w:noBreakHyphen/>
        <w:t>х годах в Чили происходил процесс восстановления и укрепления демократии, а также активного вовлечения страны в структуру мировой экон</w:t>
      </w:r>
      <w:r>
        <w:t>о</w:t>
      </w:r>
      <w:r>
        <w:t>мики, сопровождавшегося высокими темпами экономического роста. Эти пр</w:t>
      </w:r>
      <w:r>
        <w:t>о</w:t>
      </w:r>
      <w:r>
        <w:t>цессы обеспечили политическую, экономическую и социальную стабильность в стране, что повсеместно признавалось как в самой стране, так и на междун</w:t>
      </w:r>
      <w:r>
        <w:t>а</w:t>
      </w:r>
      <w:r>
        <w:t>родной арене. И все же, несмотря на это, еще предстоит осуществить демокр</w:t>
      </w:r>
      <w:r>
        <w:t>а</w:t>
      </w:r>
      <w:r>
        <w:t>тизацию различных сфер институциональной структуры страны, что необх</w:t>
      </w:r>
      <w:r>
        <w:t>о</w:t>
      </w:r>
      <w:r>
        <w:t>димо отразить в соответствующих изменениях положений Конституции. В частности, необходимо изменить институт назначаемых сенаторов, состав Национального совета безопасности, а также покончить с положением, когда президент Республики лишен возможности смещать со своих постов кома</w:t>
      </w:r>
      <w:r>
        <w:t>н</w:t>
      </w:r>
      <w:r>
        <w:t>дующих вооруженными силами. Необходимо также изменить все еще дейс</w:t>
      </w:r>
      <w:r>
        <w:t>т</w:t>
      </w:r>
      <w:r>
        <w:t>вующую двухмандатную избир</w:t>
      </w:r>
      <w:r>
        <w:t>а</w:t>
      </w:r>
      <w:r>
        <w:t>тельную систему.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Кроме того, необходимо обеспечить более справедливый доступ всего н</w:t>
      </w:r>
      <w:r>
        <w:t>а</w:t>
      </w:r>
      <w:r>
        <w:t>селения к результатам экономического роста, и в частности для женщин, кот</w:t>
      </w:r>
      <w:r>
        <w:t>о</w:t>
      </w:r>
      <w:r>
        <w:t>рые обладают наименьшими ресурсами. Быстрое вовлечение Чили в процессы глобализации и ее включение в структуру мировых рынков, свидетельством ч</w:t>
      </w:r>
      <w:r>
        <w:t>е</w:t>
      </w:r>
      <w:r>
        <w:t>го являются, в частности, заключенные в последнее время Соглашение об а</w:t>
      </w:r>
      <w:r>
        <w:t>с</w:t>
      </w:r>
      <w:r>
        <w:t>социации с Европейским союзом, договоры о свободной торговле с Соедине</w:t>
      </w:r>
      <w:r>
        <w:t>н</w:t>
      </w:r>
      <w:r>
        <w:t>ными Штатами и Южной Кореей, показывают, какое важное значение для эк</w:t>
      </w:r>
      <w:r>
        <w:t>о</w:t>
      </w:r>
      <w:r>
        <w:t>номического, социального и политического развития страны имеет этот пр</w:t>
      </w:r>
      <w:r>
        <w:t>о</w:t>
      </w:r>
      <w:r>
        <w:t>цесс либерализации торговли. Необходимо проанализировать, каковы будут п</w:t>
      </w:r>
      <w:r>
        <w:t>о</w:t>
      </w:r>
      <w:r>
        <w:t>следствия этого процесса для женщин и какие он может открыть для них пе</w:t>
      </w:r>
      <w:r>
        <w:t>р</w:t>
      </w:r>
      <w:r>
        <w:t>спективы; принять соответствующие меры для того, чтобы он не отразился н</w:t>
      </w:r>
      <w:r>
        <w:t>е</w:t>
      </w:r>
      <w:r>
        <w:t>гативно на положении женщин, а напротив, обеспечил реальные возможности для улучшения положения женщин в стране.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w:t>
      </w:r>
      <w:r>
        <w:tab/>
        <w:t>В последнее десятилетие в стране произошли исключительно важные и</w:t>
      </w:r>
      <w:r>
        <w:t>з</w:t>
      </w:r>
      <w:r>
        <w:t>менения, которые радикально изменили образ жизни чилийцев и отношения в обществе. В течение относительно непродолжительного периода времени н</w:t>
      </w:r>
      <w:r>
        <w:t>а</w:t>
      </w:r>
      <w:r>
        <w:t>селение пережило процесс исключительно быстрых преобразований, в резул</w:t>
      </w:r>
      <w:r>
        <w:t>ь</w:t>
      </w:r>
      <w:r>
        <w:t>тате чего изменились его культурные модели, его ориентиры, стиль жизни и структура семьи, а также механизмы социальной мобильности и соотношение между ч</w:t>
      </w:r>
      <w:r>
        <w:t>а</w:t>
      </w:r>
      <w:r>
        <w:t>стным и коллективным</w:t>
      </w:r>
      <w:r>
        <w:rPr>
          <w:rStyle w:val="FootnoteReference"/>
        </w:rPr>
        <w:footnoteReference w:id="3"/>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w:t>
      </w:r>
      <w:r>
        <w:tab/>
        <w:t>В течение этого периода существенно изменилось также положение ч</w:t>
      </w:r>
      <w:r>
        <w:t>и</w:t>
      </w:r>
      <w:r>
        <w:t>лийских женщин, что привело к демографическим изменениям, которые затр</w:t>
      </w:r>
      <w:r>
        <w:t>о</w:t>
      </w:r>
      <w:r>
        <w:t>нули все население страны. Отмечаются сокращение темпов прироста насел</w:t>
      </w:r>
      <w:r>
        <w:t>е</w:t>
      </w:r>
      <w:r>
        <w:t>ния и его постепенное старение; неуклонный приток населения в города, в ч</w:t>
      </w:r>
      <w:r>
        <w:t>а</w:t>
      </w:r>
      <w:r>
        <w:t>стности женского населения; сокращение коэффициента фертильности; увел</w:t>
      </w:r>
      <w:r>
        <w:t>и</w:t>
      </w:r>
      <w:r>
        <w:t>чение числа женщин - глав семей и повышение уровня образования молодых же</w:t>
      </w:r>
      <w:r>
        <w:t>н</w:t>
      </w:r>
      <w:r>
        <w:t>щин, в частности тех, кто получает высшее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9.</w:t>
      </w:r>
      <w:r>
        <w:tab/>
        <w:t>Эти процессы и преобразования наряду с государственной политикой, к</w:t>
      </w:r>
      <w:r>
        <w:t>о</w:t>
      </w:r>
      <w:r>
        <w:t>торую проводили в последние годы демократические правительства, привели к улучшению положения женщин в различных областях. И все же, в некоторых областях по-прежнему существует дискриминация, как в сфере законодател</w:t>
      </w:r>
      <w:r>
        <w:t>ь</w:t>
      </w:r>
      <w:r>
        <w:t>ства, так и в его практическом применении; кроме того, по-прежнему сохран</w:t>
      </w:r>
      <w:r>
        <w:t>я</w:t>
      </w:r>
      <w:r>
        <w:t>ется практика, которая свидетельствует о сохранении стереотипов и дискрим</w:t>
      </w:r>
      <w:r>
        <w:t>и</w:t>
      </w:r>
      <w:r>
        <w:t>национных подходов. Предстоит еще решить целый ряд труднейших задач, чтобы обеспечить благоприятное воздействие достигнутого в стране прогресса на улучшение положения всего женского населения. Необходимо дальнейшее совершенствование государственной политики для того, чтобы эти изменения обеспечили реальную возможность участия женщин на равноправной основе в процессе политического, социального, культурного и экономического развития страны.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rPr>
          <w:lang w:val="en-US"/>
        </w:rPr>
        <w:t>II</w:t>
      </w:r>
      <w:r>
        <w:t>.</w:t>
      </w:r>
      <w:r>
        <w:tab/>
        <w:t>Нынешнее положение чилийских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w:t>
      </w:r>
      <w:r>
        <w:tab/>
        <w:t>Ниже излагается информация об основных изменениях, которые пр</w:t>
      </w:r>
      <w:r>
        <w:t>о</w:t>
      </w:r>
      <w:r>
        <w:t>изошли за последнее десятилетие в жизни чилийского общества, в частности женщин. Информация подготовлена по результатам семнадцатой переписи н</w:t>
      </w:r>
      <w:r>
        <w:t>а</w:t>
      </w:r>
      <w:r>
        <w:t>селения и жилого фонда, проведенной 24 апреля 2002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 xml:space="preserve">Население и его географическое распределение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11.</w:t>
      </w:r>
      <w:r>
        <w:tab/>
        <w:t>Как показывают результаты переписи 2002 года, население страны увел</w:t>
      </w:r>
      <w:r>
        <w:t>и</w:t>
      </w:r>
      <w:r>
        <w:t>чилось с 13 348 401 человека в 1992 году до 15 116 435 человек в 2002 году, что представляет собой увеличение на 1 768 034 человека за десятилетний период. В период с 1992 по 2002 год средний ежегодный коэффициент прироста нас</w:t>
      </w:r>
      <w:r>
        <w:t>е</w:t>
      </w:r>
      <w:r>
        <w:t>ления в Чили составлял 1,2 человека на каждые 100 человек, т.е. меньше, чем за предыдущее десятилетие, когда средний ежегодный прирост населения с</w:t>
      </w:r>
      <w:r>
        <w:t>о</w:t>
      </w:r>
      <w:r>
        <w:t xml:space="preserve">ставлял 1,6 человека. </w:t>
      </w:r>
      <w:r>
        <w:rPr>
          <w:i/>
        </w:rPr>
        <w:t xml:space="preserve">В результате сокращения темпов прироста населения страна оказалась в начале </w:t>
      </w:r>
      <w:r>
        <w:rPr>
          <w:i/>
          <w:lang w:val="en-US"/>
        </w:rPr>
        <w:t>XXI </w:t>
      </w:r>
      <w:r>
        <w:rPr>
          <w:i/>
        </w:rPr>
        <w:t>века среди четырех стран Латинской Америки, в которых отмечаются наименьшие темпы прироста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w:t>
      </w:r>
      <w:r>
        <w:tab/>
      </w:r>
      <w:r>
        <w:rPr>
          <w:i/>
        </w:rPr>
        <w:t>В 2002 году, так же как и в предыдущие годы, количество женщин пр</w:t>
      </w:r>
      <w:r>
        <w:rPr>
          <w:i/>
        </w:rPr>
        <w:t>е</w:t>
      </w:r>
      <w:r>
        <w:rPr>
          <w:i/>
        </w:rPr>
        <w:t>вышало количество мужчин.</w:t>
      </w:r>
      <w:r>
        <w:t xml:space="preserve"> В настоящее время в Чили насчитывается 7 668 740 женщин и 7 447 695 мужчин, т.е. 50,7 процента женщин и 49,2 процента мужчин. Такое соотношение полов остается практически неи</w:t>
      </w:r>
      <w:r>
        <w:t>з</w:t>
      </w:r>
      <w:r>
        <w:t>менным с 1992 года. За десять лет показатель численности женского насел</w:t>
      </w:r>
      <w:r>
        <w:t>е</w:t>
      </w:r>
      <w:r>
        <w:t>ния</w:t>
      </w:r>
      <w:r>
        <w:rPr>
          <w:rStyle w:val="FootnoteReference"/>
        </w:rPr>
        <w:footnoteReference w:id="4"/>
      </w:r>
      <w:r>
        <w:t xml:space="preserve"> сократился всего лишь со 104 женщин на каждые 100 мужчин в 1992 году до 103 женщин на каждые 100 мужчин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w:t>
      </w:r>
      <w:r>
        <w:tab/>
      </w:r>
      <w:r>
        <w:rPr>
          <w:i/>
        </w:rPr>
        <w:t>В последние годы степень урбанизации страны неуклонно возрастала. Население страны все больше концентрируется в городских районах, причем там преобладают женщины</w:t>
      </w:r>
      <w:r>
        <w:t>. В 2002 году количество населения, проживающ</w:t>
      </w:r>
      <w:r>
        <w:t>е</w:t>
      </w:r>
      <w:r>
        <w:t>го в городских районах, составляло 86,6 процента, в то время как в сельских районах - 13,4 процента всего населения страны. В 1992 году в городских ра</w:t>
      </w:r>
      <w:r>
        <w:t>й</w:t>
      </w:r>
      <w:r>
        <w:t>онах проживало 83,5 процента населения, в то время как в сельских районах - 16,5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w:t>
      </w:r>
      <w:r>
        <w:tab/>
      </w:r>
      <w:r>
        <w:rPr>
          <w:i/>
        </w:rPr>
        <w:t>В городских районах проживает больше женщин, нежели мужчин, в то время как в сельских районах наблюдается обратная картина</w:t>
      </w:r>
      <w:r>
        <w:t>. Соотношение количества женского и мужского населения на протяжении этого десятилетия было различным в зависимости от места проживания. В городских районах д</w:t>
      </w:r>
      <w:r>
        <w:t>а</w:t>
      </w:r>
      <w:r>
        <w:t>же при наличии большего числа женщин по сравнению с мужчинами доля женщин сокращалась: со 108 женщин на каждые 100 мужчин в 1992  году до 106 женщин на каждые 100 мужчин в 2002 году. В сельской же местности, где показатель количества женского населения составлял 86 женщин на каждые 100 мужчин в 1992 году, он увеличился до 87 женщин на каждые 100 мужчин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w:t>
      </w:r>
      <w:r>
        <w:tab/>
        <w:t>Наличие большего количества женщин в городских районах по сравнению с мужским населением обусловлено отсутствием возможностей для занятости женщин на селе, что и вынуждает их эмигрировать в городские районы. Однако в городах женский труд используется, как правило, на непостоянных и низк</w:t>
      </w:r>
      <w:r>
        <w:t>о</w:t>
      </w:r>
      <w:r>
        <w:t>оплачиваемых работах. Кроме того, решающим фактором, который привел к незначительным изменениям в показателях соотношения женского и мужского населения, является различная смертность представителей разных полов, кот</w:t>
      </w:r>
      <w:r>
        <w:t>о</w:t>
      </w:r>
      <w:r>
        <w:t>рая меняется с течением времени и в зависимости от возраста л</w:t>
      </w:r>
      <w:r>
        <w:t>ю</w:t>
      </w:r>
      <w:r>
        <w:t>дей.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w:t>
      </w:r>
      <w:r>
        <w:tab/>
      </w:r>
      <w:r>
        <w:rPr>
          <w:i/>
        </w:rPr>
        <w:t>В структуре населения страны увеличивается доля иностранцев, кот</w:t>
      </w:r>
      <w:r>
        <w:rPr>
          <w:i/>
        </w:rPr>
        <w:t>о</w:t>
      </w:r>
      <w:r>
        <w:rPr>
          <w:i/>
        </w:rPr>
        <w:t>рые прибывают главным образом из стран Южной Америки. Доля женщин среди иностранцев превышает долю мужчин.</w:t>
      </w:r>
      <w:r>
        <w:t xml:space="preserve"> По данным переписи 2002 года, в Чили проживало 184 464 иммигранта, которые составляли 1,2 процента от общей численности населения страны. В 1992 году их насчитывалось 105 070 человек, что составляло 0,8 процента от общей численности насел</w:t>
      </w:r>
      <w:r>
        <w:t>е</w:t>
      </w:r>
      <w:r>
        <w:t>ния. Большинство иммигрантов прибывают из стран Южной Америки, о чем свидетельствуют также результаты предыдущих переписей, доля которых от общего числа иностранцев, проживающих в стране, составляет 67,9 процента. 51,5 процента от общего числа иностранцев, проживающих в стране, соста</w:t>
      </w:r>
      <w:r>
        <w:t>в</w:t>
      </w:r>
      <w:r>
        <w:t>ляют женщины, остальные 48,5 процента - мужчины.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Население и возрастные группы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w:t>
      </w:r>
      <w:r>
        <w:tab/>
      </w:r>
      <w:r>
        <w:rPr>
          <w:i/>
        </w:rPr>
        <w:t>Отмечается неуклонное сокращение численности возрастной группы н</w:t>
      </w:r>
      <w:r>
        <w:rPr>
          <w:i/>
        </w:rPr>
        <w:t>а</w:t>
      </w:r>
      <w:r>
        <w:rPr>
          <w:i/>
        </w:rPr>
        <w:t>селения моложе 15 лет и увеличение доли населения старшего возраста. В этой последней группе явно преобладают женщины.</w:t>
      </w:r>
      <w:r>
        <w:t xml:space="preserve"> По данным переписи 2002 года количество населения моложе 15 лет составляет 25,7 процента, а д</w:t>
      </w:r>
      <w:r>
        <w:t>о</w:t>
      </w:r>
      <w:r>
        <w:t xml:space="preserve">ля пожилых в возрасте от 60 лет </w:t>
      </w:r>
      <w:r>
        <w:noBreakHyphen/>
        <w:t xml:space="preserve"> 11,4 процента, в то время как в 1960 году д</w:t>
      </w:r>
      <w:r>
        <w:t>о</w:t>
      </w:r>
      <w:r>
        <w:t xml:space="preserve">ля этих возрастных групп составляла соответственно 39,6 процента и 6,8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w:t>
      </w:r>
      <w:r>
        <w:tab/>
        <w:t>Наибольшие различия в составе населения по полу отмечаются среди старших возрастных групп, в которых явное преобладание доли женщин явл</w:t>
      </w:r>
      <w:r>
        <w:t>я</w:t>
      </w:r>
      <w:r>
        <w:t>ется результатом общей тенденции к увеличению продолжительности жизни среди женщин. Это увеличение продолжительности жизни и постоянное ув</w:t>
      </w:r>
      <w:r>
        <w:t>е</w:t>
      </w:r>
      <w:r>
        <w:t>личение доли пожилого населения в стране ставит перед государством весьма трудную задачу в плане предоставления этой группе населения, и в частности пожилым женщинам, соответствующих услуг с учетом ее более высокой уя</w:t>
      </w:r>
      <w:r>
        <w:t>з</w:t>
      </w:r>
      <w:r>
        <w:t>вимости.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Плодовитость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w:t>
      </w:r>
      <w:r>
        <w:tab/>
      </w:r>
      <w:r>
        <w:rPr>
          <w:i/>
        </w:rPr>
        <w:t>Коэффициент плодовитости чилийских женщин в настоящее время сн</w:t>
      </w:r>
      <w:r>
        <w:rPr>
          <w:i/>
        </w:rPr>
        <w:t>и</w:t>
      </w:r>
      <w:r>
        <w:rPr>
          <w:i/>
        </w:rPr>
        <w:t>зился.</w:t>
      </w:r>
      <w:r>
        <w:t xml:space="preserve"> В последние годы репродуктивная модель чилийской женщины измен</w:t>
      </w:r>
      <w:r>
        <w:t>и</w:t>
      </w:r>
      <w:r>
        <w:t>лась. По данным переписи 2002 года, на каждую женщину приходится в сре</w:t>
      </w:r>
      <w:r>
        <w:t>д</w:t>
      </w:r>
      <w:r>
        <w:t>нем 2,3 ребенка. До 1960 года на каждую женщину приходилось примерно 5 детей. Если в 1992 году на каждую женщину в стране приходилось 2,39 ребенка, то в 2002 году этот показатель сократился до 2,26, что свидетел</w:t>
      </w:r>
      <w:r>
        <w:t>ь</w:t>
      </w:r>
      <w:r>
        <w:t>с</w:t>
      </w:r>
      <w:r>
        <w:t>т</w:t>
      </w:r>
      <w:r>
        <w:t>вует о неуклонной тенденции к снижению коэффициента плодовитости.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20.</w:t>
      </w:r>
      <w:r>
        <w:tab/>
      </w:r>
      <w:r>
        <w:rPr>
          <w:i/>
        </w:rPr>
        <w:t xml:space="preserve">В городских районах на каждую женщину приходится в среднем меньше детей, чем в сельских районах. </w:t>
      </w:r>
      <w:r>
        <w:t>В 2002 году на каждую женщину в городских районах приходилось 2,1 ребенка, в то время как в сельских районах -2,9 ребенка. Средний показатель количества детей на каждую женщину сокр</w:t>
      </w:r>
      <w:r>
        <w:t>а</w:t>
      </w:r>
      <w:r>
        <w:t>тился как в городских, так и в сельских районах, однако в сельских районах этот показатель сократился еще более, несмотря на то, что на каждую женщину приходится больше детей. В городских районах среднее число детей на каждую женщину сократилось с 2,3 в 1992 году до 2,1 в 2002 году. В сельских же ра</w:t>
      </w:r>
      <w:r>
        <w:t>й</w:t>
      </w:r>
      <w:r>
        <w:t>онах этот показ</w:t>
      </w:r>
      <w:r>
        <w:t>а</w:t>
      </w:r>
      <w:r>
        <w:t>тель сократился с 3,2 в 1992 году до 2,9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w:t>
      </w:r>
      <w:r>
        <w:tab/>
      </w:r>
      <w:r>
        <w:rPr>
          <w:i/>
        </w:rPr>
        <w:t>Несмотря на общую тенденцию сокращения коэффициента плодовит</w:t>
      </w:r>
      <w:r>
        <w:rPr>
          <w:i/>
        </w:rPr>
        <w:t>о</w:t>
      </w:r>
      <w:r>
        <w:rPr>
          <w:i/>
        </w:rPr>
        <w:t>сти, отмечается увеличение среднего числа детей на каждую женщину в во</w:t>
      </w:r>
      <w:r>
        <w:rPr>
          <w:i/>
        </w:rPr>
        <w:t>з</w:t>
      </w:r>
      <w:r>
        <w:rPr>
          <w:i/>
        </w:rPr>
        <w:t>растной категории до 20 лет.</w:t>
      </w:r>
      <w:r>
        <w:t xml:space="preserve"> Если сравнивать данные переписи населения 2002 года с данными предыдущей переписи, то можно заметить, что среднее число детей у женщин возрастной категории от 15 до 25 лет сократилось. Так, в 1992 году на каждую женщину этой возрастной категории приходилось в среднем 0,45 ребенка, а в 2002 году - 0,43. Однако если разбить эту группу на две возрастные подгруппы от 15 до 19 лет и от 20 до 24 лет, то можно заметить, что этот показатель у женщин моложе 20 лет увеличился с 0,15 до 0,20, в то время как в возрастной категории от 20 до 24 лет среднее количество детей, приходящихся на каждую женщину, напротив, сократилось с 0,77 до 0,64. Эти данные представляются особенно важными, если учесть, что беременность б</w:t>
      </w:r>
      <w:r>
        <w:t>о</w:t>
      </w:r>
      <w:r>
        <w:t>лее молодых женщин включает и подростковую беременность, в связи с чем государство в рамках своих программ должно решать нелегкую задачу пред</w:t>
      </w:r>
      <w:r>
        <w:t>у</w:t>
      </w:r>
      <w:r>
        <w:t>преждения подростковой беременности и регулирования размеров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w:t>
      </w:r>
      <w:r>
        <w:tab/>
        <w:t>Если говорить о ретроспективной плодовитости, то на возрастную катег</w:t>
      </w:r>
      <w:r>
        <w:t>о</w:t>
      </w:r>
      <w:r>
        <w:t>рию от 50 лет и старше приходилось в среднем почти 4 ребенка, в то время как для возрастной категории от 30 до 34 лет этот коэффициент составлял в сре</w:t>
      </w:r>
      <w:r>
        <w:t>д</w:t>
      </w:r>
      <w:r>
        <w:t xml:space="preserve">нем 1,8 ребенка.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Семейное состояние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w:t>
      </w:r>
      <w:r>
        <w:tab/>
      </w:r>
      <w:r>
        <w:rPr>
          <w:i/>
        </w:rPr>
        <w:t>В настоящее время отмечается тенденция к поддержанию менее форм</w:t>
      </w:r>
      <w:r>
        <w:rPr>
          <w:i/>
        </w:rPr>
        <w:t>а</w:t>
      </w:r>
      <w:r>
        <w:rPr>
          <w:i/>
        </w:rPr>
        <w:t>лизованных отношений между мужчинами и женщинами в устойчивых бра</w:t>
      </w:r>
      <w:r>
        <w:rPr>
          <w:i/>
        </w:rPr>
        <w:t>ч</w:t>
      </w:r>
      <w:r>
        <w:rPr>
          <w:i/>
        </w:rPr>
        <w:t>ных отношениях. Число пар, заявляющих о том, что они состоят в браке, с</w:t>
      </w:r>
      <w:r>
        <w:rPr>
          <w:i/>
        </w:rPr>
        <w:t>о</w:t>
      </w:r>
      <w:r>
        <w:rPr>
          <w:i/>
        </w:rPr>
        <w:t>кращается, и вместе с тем</w:t>
      </w:r>
      <w:r>
        <w:t xml:space="preserve"> </w:t>
      </w:r>
      <w:r>
        <w:rPr>
          <w:i/>
        </w:rPr>
        <w:t>увеличивается численность категории незаконного сожительства/фактического брака</w:t>
      </w:r>
      <w:r>
        <w:t>. Если процент лиц, не состоящих в браке, а также вдов и вдовцов остается практически неизменным, то число супругов, имеющих раздельное жительство, и особенно тех, кто состоит в незаконном сожительстве/фактическом браке, в течение десятилетия заметно возросло (с 5,7 процента до 8,9 процента), в то время как число состоящих в браке сокр</w:t>
      </w:r>
      <w:r>
        <w:t>а</w:t>
      </w:r>
      <w:r>
        <w:t>тилось с 51,8 процента в 1992 году до 46,2 процента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w:t>
      </w:r>
      <w:r>
        <w:tab/>
      </w:r>
      <w:r>
        <w:rPr>
          <w:i/>
        </w:rPr>
        <w:t>Отмечается увеличение числа лиц, чей брак объявляется недействител</w:t>
      </w:r>
      <w:r>
        <w:rPr>
          <w:i/>
        </w:rPr>
        <w:t>ь</w:t>
      </w:r>
      <w:r>
        <w:rPr>
          <w:i/>
        </w:rPr>
        <w:t xml:space="preserve">ным, в частности увеличивается число лиц, имеющих раздельное жительство. В обеих этих категориях процентное число женщин превышает количество мужчин. </w:t>
      </w:r>
      <w:r>
        <w:t>Число лиц, имеющих раздельное жительство, увеличилось с 3,4 процента в 1992 году до 4,7 процента в 2002 году. Говоря об увеличении числа аннулированных браков и случаев раздельного жительства, следует о</w:t>
      </w:r>
      <w:r>
        <w:t>т</w:t>
      </w:r>
      <w:r>
        <w:t>метить, что к 2002 году процент женщин, аннулировавших брак, практически в два раза превышал число мужчин (0,6 процента для женщин и 0,3 процента для мужчин), но и в категории раздельного жительства число женщин также пр</w:t>
      </w:r>
      <w:r>
        <w:t>е</w:t>
      </w:r>
      <w:r>
        <w:t>вышает число мужчин (5,5 процента для женщин и 3,9 процента для мужчин). Такое положение можно объяснить тем фактом, что мужчины чаще вступают в брак вторично. Именно поэтому в 2002 году количество женатых мужчин (47,5 процента) превышало количество замужних женщин (44,8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w:t>
      </w:r>
      <w:r>
        <w:tab/>
      </w:r>
      <w:r>
        <w:rPr>
          <w:i/>
        </w:rPr>
        <w:t>Вдовы живут значительно дольше, чем вдовцы, поскольку средняя пр</w:t>
      </w:r>
      <w:r>
        <w:rPr>
          <w:i/>
        </w:rPr>
        <w:t>о</w:t>
      </w:r>
      <w:r>
        <w:rPr>
          <w:i/>
        </w:rPr>
        <w:t xml:space="preserve">должительность предстоящей жизни у женщин больше, чем у мужчин, в среднем на шесть лет. </w:t>
      </w:r>
      <w:r>
        <w:t>Количество вдов в 2002 году почти в четыре раза пр</w:t>
      </w:r>
      <w:r>
        <w:t>е</w:t>
      </w:r>
      <w:r>
        <w:t>вышало количество вдовцов (8,1 процента и 2,2 процента соответственно). Этим обстоятельством и объясняется тот факт, что с увеличением возраста ув</w:t>
      </w:r>
      <w:r>
        <w:t>е</w:t>
      </w:r>
      <w:r>
        <w:t>личивается и процент женщин - глав домашних хозяйств, в результате чего эти женщины оказываются в более уязвимом положении. Поэтому они нуждаются в особой заботе и должны быть объектом социальной политики.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w:t>
      </w:r>
      <w:r>
        <w:tab/>
      </w:r>
      <w:r>
        <w:rPr>
          <w:i/>
        </w:rPr>
        <w:t>Следует напомнить о том, что в настоящее время в стране существуют ограниченные категории семейного состояния, которые не отражают реал</w:t>
      </w:r>
      <w:r>
        <w:rPr>
          <w:i/>
        </w:rPr>
        <w:t>ь</w:t>
      </w:r>
      <w:r>
        <w:rPr>
          <w:i/>
        </w:rPr>
        <w:t>ных отношений, существующих между людьми.</w:t>
      </w:r>
      <w:r>
        <w:t xml:space="preserve"> Нынешняя юридическая си</w:t>
      </w:r>
      <w:r>
        <w:t>с</w:t>
      </w:r>
      <w:r>
        <w:t>тема признает лишь категории лиц, не состоящих в браке, состоящих в браке или категорию вдовства. Если какое-либо лицо имеет раздельное жительство, оно считается состоящим в браке, если только оно не начало процедуру пр</w:t>
      </w:r>
      <w:r>
        <w:t>е</w:t>
      </w:r>
      <w:r>
        <w:t>кращения брака, и в этом случае оно считается не состоящим в браке, если только позже вновь не вступит в брак. В случае внебрачного сожительства лицо считается не состоящим в браке или состоящим в браке в зависимости от св</w:t>
      </w:r>
      <w:r>
        <w:t>о</w:t>
      </w:r>
      <w:r>
        <w:t>его статуса до внебрачного сожительства. Описанные ситуации обусловлены отсутствием категорий семейного состояния, квалифицируемых как внебрачное сожительство, аннулированный брак и раздельное жительство. В проекте зак</w:t>
      </w:r>
      <w:r>
        <w:t>о</w:t>
      </w:r>
      <w:r>
        <w:t>на о гражданском браке, который рассматривается ниже, предполагается юр</w:t>
      </w:r>
      <w:r>
        <w:t>и</w:t>
      </w:r>
      <w:r>
        <w:t>дическое признание практически всех этих реалий, что позволит уменьшить дискриминацию, которой подвергаются женщины, оказывающиеся в описа</w:t>
      </w:r>
      <w:r>
        <w:t>н</w:t>
      </w:r>
      <w:r>
        <w:t>ных выше ситуациях.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Женщины - главы домашних хозяйств и виды хозяйств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w:t>
      </w:r>
      <w:r>
        <w:tab/>
      </w:r>
      <w:r>
        <w:rPr>
          <w:i/>
        </w:rPr>
        <w:t>Число домашних хозяйств, в которых главой является женщина, сущес</w:t>
      </w:r>
      <w:r>
        <w:rPr>
          <w:i/>
        </w:rPr>
        <w:t>т</w:t>
      </w:r>
      <w:r>
        <w:rPr>
          <w:i/>
        </w:rPr>
        <w:t>венно возросло.</w:t>
      </w:r>
      <w:r>
        <w:t xml:space="preserve"> Число женщин - глав домашних хозяйств увеличилось с 25,3 процента в 1992 году до 31,5 процента в 2002 году. Этот процесс особенно заметен в городских районах, где число женщин- глав домашних хозяйств ув</w:t>
      </w:r>
      <w:r>
        <w:t>е</w:t>
      </w:r>
      <w:r>
        <w:t>личилось с 26,9 процента в 1992 году до 33,0 процента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w:t>
      </w:r>
      <w:r>
        <w:tab/>
      </w:r>
      <w:r>
        <w:rPr>
          <w:i/>
        </w:rPr>
        <w:t>Отмечается повышение уровня образования и степень участия женщин - глав домашних хозяйств на рынке труда</w:t>
      </w:r>
      <w:r>
        <w:t>. Уровень образования женщин - глав домашних хозяйств, так же как и населения в целом, за последние десять лет значительно повысился: в процентом отношении их стало больше как на обр</w:t>
      </w:r>
      <w:r>
        <w:t>а</w:t>
      </w:r>
      <w:r>
        <w:t>зовательных уровнях от 7 до 12 лет обучения, так и от 13 и более лет. Особенно заметно увеличился процент женщин - глав домашних хозяйств со сроком об</w:t>
      </w:r>
      <w:r>
        <w:t>у</w:t>
      </w:r>
      <w:r>
        <w:t>чения 13 и более лет, а именно: с 9,7 процента в 1992 году до 20,2 процента в 2002 году. Так же, как и в случае увеличения общего коэффициента трудового участия женщин, процент экономически активных женщин - глав домашних хозяйств увеличился за период с 1992 по 2002 год с 34,7 процента до 42,2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w:t>
      </w:r>
      <w:r>
        <w:tab/>
      </w:r>
      <w:r>
        <w:rPr>
          <w:i/>
        </w:rPr>
        <w:t>Количество домашних хозяйств возросло, однако средняя численность членов домашних хозяйств сократилась.</w:t>
      </w:r>
      <w:r>
        <w:t xml:space="preserve"> По сравнению с 1992 годом количес</w:t>
      </w:r>
      <w:r>
        <w:t>т</w:t>
      </w:r>
      <w:r>
        <w:t>во домашних хозяйств возросло на 25,7 процента. Среднее число членов, пр</w:t>
      </w:r>
      <w:r>
        <w:t>о</w:t>
      </w:r>
      <w:r>
        <w:t>живающих в одном домашнем хозяйстве, составляет в настоящее время в стр</w:t>
      </w:r>
      <w:r>
        <w:t>а</w:t>
      </w:r>
      <w:r>
        <w:t>не 3,6 человек, т.е. меньше, чем в 1992 году (3,9 человека). Это сокращение н</w:t>
      </w:r>
      <w:r>
        <w:t>а</w:t>
      </w:r>
      <w:r>
        <w:t>блюдается как в городских, так и в сельских районах.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w:t>
      </w:r>
      <w:r>
        <w:tab/>
      </w:r>
      <w:r>
        <w:rPr>
          <w:i/>
        </w:rPr>
        <w:t>Домашнее хозяйство, состоящее из биологической семьи - отца, матери и детей - по-прежнему преобладает, однако неуклонно возрастает число д</w:t>
      </w:r>
      <w:r>
        <w:rPr>
          <w:i/>
        </w:rPr>
        <w:t>о</w:t>
      </w:r>
      <w:r>
        <w:rPr>
          <w:i/>
        </w:rPr>
        <w:t>машних хозяйств, состоящих из одного лица.</w:t>
      </w:r>
      <w:r>
        <w:t xml:space="preserve"> Наиболее распространенным в</w:t>
      </w:r>
      <w:r>
        <w:t>и</w:t>
      </w:r>
      <w:r>
        <w:t>дом домашнего хозяйства является хозяйство биологической семьи, доля кот</w:t>
      </w:r>
      <w:r>
        <w:t>о</w:t>
      </w:r>
      <w:r>
        <w:t>рого составляла в 2002 году 57,0 процента от общего числа всех домашних х</w:t>
      </w:r>
      <w:r>
        <w:t>о</w:t>
      </w:r>
      <w:r>
        <w:t>зяйств. Существует также немало расширенных хозяйств, доля которых в ук</w:t>
      </w:r>
      <w:r>
        <w:t>а</w:t>
      </w:r>
      <w:r>
        <w:t>занном году составила 21,9 процента от общего числа домашних хозяйств. Н</w:t>
      </w:r>
      <w:r>
        <w:t>а</w:t>
      </w:r>
      <w:r>
        <w:t>блюдается, кроме того, постепенное, однако систематическое, увеличение чи</w:t>
      </w:r>
      <w:r>
        <w:t>с</w:t>
      </w:r>
      <w:r>
        <w:t>ла домашних хозяйств, состоящих из одного лица, доля которых увеличилась с 8,3 процента в 1992 году до 11,6 процента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w:t>
      </w:r>
      <w:r>
        <w:tab/>
      </w:r>
      <w:r>
        <w:rPr>
          <w:i/>
        </w:rPr>
        <w:t>Уровень образования в стране, особенно среди женщин, неуклонно во</w:t>
      </w:r>
      <w:r>
        <w:rPr>
          <w:i/>
        </w:rPr>
        <w:t>з</w:t>
      </w:r>
      <w:r>
        <w:rPr>
          <w:i/>
        </w:rPr>
        <w:t>растает</w:t>
      </w:r>
      <w:r>
        <w:t>. Доля грамотного населения, имеющего десятилетнее и более пр</w:t>
      </w:r>
      <w:r>
        <w:t>о</w:t>
      </w:r>
      <w:r>
        <w:t>должительное образование, составила в 2002 году 95,9 процента, причем кол</w:t>
      </w:r>
      <w:r>
        <w:t>и</w:t>
      </w:r>
      <w:r>
        <w:t>чество мужчин и женщин практически одинаково. По сравнению с 1992 годом количество грамотного населения в стране увеличилось на 1,2 процента: на 1,3 процента среди женщин и на 1,0 процента среди му</w:t>
      </w:r>
      <w:r>
        <w:t>ж</w:t>
      </w:r>
      <w:r>
        <w:t>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w:t>
      </w:r>
      <w:r>
        <w:tab/>
      </w:r>
      <w:r>
        <w:rPr>
          <w:i/>
        </w:rPr>
        <w:t>В течение указанного десятилетия отмечался значительный прогресс в повышении уровня грамотности, особенно среди сельских женщин, хотя он и ниже уровня грамотности женщин в городских районах.</w:t>
      </w:r>
      <w:r>
        <w:t xml:space="preserve"> Самый высокий ур</w:t>
      </w:r>
      <w:r>
        <w:t>о</w:t>
      </w:r>
      <w:r>
        <w:t>вень концентрации грамотного населения - в городах (96,8 процента в 2002 году и 94,3 процента в 1992 году); однако в эти же годы наблюдается на</w:t>
      </w:r>
      <w:r>
        <w:t>и</w:t>
      </w:r>
      <w:r>
        <w:t>большее увеличение грамотного населения в сельских районах: с 85,97 процента в 1992 году до 89,16 процента в 2002 году. Особенно быстро уровень образования возрастал среди сельских женщин. Если сравнить уровень грамотности в сельских районах с уровнем грамотности женщин в городских районах, то можно заметить, что в 2002 году он составлял 89,2 процента, т.е. значительно ниже 96,7 процента для женщин в городских районах. Тем не м</w:t>
      </w:r>
      <w:r>
        <w:t>е</w:t>
      </w:r>
      <w:r>
        <w:t>нее именно в сельских районах отмечается наибольшее повышение уровня грамотности среди женщин, который возрос с 85,6 процента в 1992 году до 89,2 процента в 2002 году. Этот прогресс свидетельствует о сокращении разр</w:t>
      </w:r>
      <w:r>
        <w:t>ы</w:t>
      </w:r>
      <w:r>
        <w:t>ва между городским и сельским населением, в частности среди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w:t>
      </w:r>
      <w:r>
        <w:tab/>
      </w:r>
      <w:r>
        <w:rPr>
          <w:i/>
        </w:rPr>
        <w:t xml:space="preserve">Уровень грамотности населения возрастает, особенно среди молодых женщин, причем особенно заметным был рост в сфере высшего образования. </w:t>
      </w:r>
      <w:r>
        <w:t>Заметно повысился уровень образования среди женщин возрастной группы от 25 до 29 лет. В 1992  году число женщин этой возрастной группы, которые имели лишь начальное образование, составляло 34,4 процента, а в 2002 году их доля сократилась уже до 19 процентов. Аналогичный процесс наблюдается и на уровне среднего образования, хотя сокращение и менее значительно (с 38,4</w:t>
      </w:r>
      <w:r>
        <w:rPr>
          <w:lang w:val="en-US"/>
        </w:rPr>
        <w:t> </w:t>
      </w:r>
      <w:r>
        <w:t>процента до 34,4 процента). Существенно повысился уровень универс</w:t>
      </w:r>
      <w:r>
        <w:t>и</w:t>
      </w:r>
      <w:r>
        <w:t>тетского образования среди женщин этой группы: с 7,5 процента до 17,1 процента, т.е. на 10 процентов за десятилетие.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34.</w:t>
      </w:r>
      <w:r>
        <w:tab/>
        <w:t>Уровень образования женщин повышается не только в Чили, но и в о</w:t>
      </w:r>
      <w:r>
        <w:t>с</w:t>
      </w:r>
      <w:r>
        <w:t>тальных странах латиноамериканского региона. Женщины Латинской Америки стали в целом более образованными, причем особенно заметных успехов они добились в сфере высшего образования. Тем не менее, как будет показано н</w:t>
      </w:r>
      <w:r>
        <w:t>и</w:t>
      </w:r>
      <w:r>
        <w:t>же, женщины по-прежнему подвергаются самым разным формам дискримин</w:t>
      </w:r>
      <w:r>
        <w:t>а</w:t>
      </w:r>
      <w:r>
        <w:t xml:space="preserve">ции. Во многих странах региона молодые женщины, имеющие образование выше среднего (10 лет), составляют большинство, однако безработных среди них больше, чем среди мужчин. Все это свидетельствует о том, что </w:t>
      </w:r>
      <w:r>
        <w:rPr>
          <w:i/>
        </w:rPr>
        <w:t>наличие б</w:t>
      </w:r>
      <w:r>
        <w:rPr>
          <w:i/>
        </w:rPr>
        <w:t>о</w:t>
      </w:r>
      <w:r>
        <w:rPr>
          <w:i/>
        </w:rPr>
        <w:t>лее высокого уровня образования у женщин, особенно высшего образования, не обеспечивает им тех же преимуществ, что и мужчинам, т.е. не обеспечивает равных возможностей ни для занятости, ни для получения доходов при нал</w:t>
      </w:r>
      <w:r>
        <w:rPr>
          <w:i/>
        </w:rPr>
        <w:t>и</w:t>
      </w:r>
      <w:r>
        <w:rPr>
          <w:i/>
        </w:rPr>
        <w:t>чии одинакового количества затраченных на образ</w:t>
      </w:r>
      <w:r>
        <w:rPr>
          <w:i/>
        </w:rPr>
        <w:t>о</w:t>
      </w:r>
      <w:r>
        <w:rPr>
          <w:i/>
        </w:rPr>
        <w:t>вание лет</w:t>
      </w:r>
      <w:r>
        <w:rPr>
          <w:rStyle w:val="FootnoteReference"/>
          <w:i/>
        </w:rPr>
        <w:footnoteReference w:id="5"/>
      </w:r>
      <w:r>
        <w:rPr>
          <w:i/>
        </w:rP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Участие на рынке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w:t>
      </w:r>
      <w:r>
        <w:tab/>
      </w:r>
      <w:r>
        <w:rPr>
          <w:i/>
        </w:rPr>
        <w:t>В течение последнего десятилетия значительно увеличился коэффициент участия женщин на рынке труда.</w:t>
      </w:r>
      <w:r>
        <w:t xml:space="preserve"> Он повысился с 28,06 процента в 1992 году до 35,57 процента в 2002 году, т.е. более чем на 7 процентов за период между переписями населения. Коэффициент же трудового участия мужчин, напротив, сократился за этот период на 1,49 процента. И все же коэффициент трудового участия чилийских женщин по-прежнему ниже аналогичного коэффициента для всей Латинской Америки, который составляет 45,2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w:t>
      </w:r>
      <w:r>
        <w:tab/>
      </w:r>
      <w:r>
        <w:rPr>
          <w:i/>
        </w:rPr>
        <w:t>Увеличение коэффициента участия женщин отмечается во всех возра</w:t>
      </w:r>
      <w:r>
        <w:rPr>
          <w:i/>
        </w:rPr>
        <w:t>с</w:t>
      </w:r>
      <w:r>
        <w:rPr>
          <w:i/>
        </w:rPr>
        <w:t>тных группах. Оно особенно заметно в возрастной группе от 25 до 34 лет.</w:t>
      </w:r>
      <w:r>
        <w:t xml:space="preserve"> С учетом варьирующих признаков возраста и пола можно отметить, что макс</w:t>
      </w:r>
      <w:r>
        <w:t>и</w:t>
      </w:r>
      <w:r>
        <w:t>мальное относительное увеличение за последние десять лет произошло в во</w:t>
      </w:r>
      <w:r>
        <w:t>з</w:t>
      </w:r>
      <w:r>
        <w:t>растной группе женщин от 25 до 34 лет и затем в возрастной группе от 45 до 54 лет. Такое положение, возможно, является следствием того, что женщины создают свои семьи в более позднем возрасте.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w:t>
      </w:r>
      <w:r>
        <w:tab/>
        <w:t>Трудовое участие мужчин всех возрастных групп, напротив, сократилось за исключением возрастной группы от 55 до 64 лет, которое незначительно возросло. Сокращение коэффициента участия мужчин объясняется, главным образом, тем, что самые молодые из них (в возрасте от 15 до 24 лет) не тор</w:t>
      </w:r>
      <w:r>
        <w:t>о</w:t>
      </w:r>
      <w:r>
        <w:t>пятся с приходом на рынок труда. Это свидетельствует о том, что они могут позволить себе продлить свое пребывание в школе и/или продолжать свое о</w:t>
      </w:r>
      <w:r>
        <w:t>б</w:t>
      </w:r>
      <w:r>
        <w:t>разов</w:t>
      </w:r>
      <w:r>
        <w:t>а</w:t>
      </w:r>
      <w:r>
        <w:t>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w:t>
      </w:r>
      <w:r>
        <w:tab/>
      </w:r>
      <w:r>
        <w:rPr>
          <w:i/>
        </w:rPr>
        <w:t>Участие женщин в экономической жизни страны возрастает как в сел</w:t>
      </w:r>
      <w:r>
        <w:rPr>
          <w:i/>
        </w:rPr>
        <w:t>ь</w:t>
      </w:r>
      <w:r>
        <w:rPr>
          <w:i/>
        </w:rPr>
        <w:t xml:space="preserve">ских, так и в городских районах, однако в сельских районах оно по-прежнему остается значительно более низким </w:t>
      </w:r>
      <w:r>
        <w:t>(19,2 процента и 37,81 процента соотве</w:t>
      </w:r>
      <w:r>
        <w:t>т</w:t>
      </w:r>
      <w:r>
        <w:t>ственно)</w:t>
      </w:r>
      <w:r>
        <w:rPr>
          <w:i/>
        </w:rPr>
        <w:t>.</w:t>
      </w:r>
      <w:r>
        <w:t xml:space="preserve"> При этом, однако, в обоих случаях увеличение составляет примерно 7 процентов, что означает, что в сельских районах это увеличение было все же несколько большим. Одним из факторов, проясняющих эту ситуацию, является, вероятно, продолжающееся участие женщин в сезонных сельскохозяйственных работах, связанных с экспортом сельскохозяйственной продукции, в связи с чем встает задача обеспечить женщинам доступ к более привлекательной зан</w:t>
      </w:r>
      <w:r>
        <w:t>я</w:t>
      </w:r>
      <w:r>
        <w:t>тости с точки зрения стабильности и условий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w:t>
      </w:r>
      <w:r>
        <w:tab/>
      </w:r>
      <w:r>
        <w:rPr>
          <w:i/>
        </w:rPr>
        <w:t>Уровень школьного образования работающих женщин выше аналогичного уровня у мужчин.</w:t>
      </w:r>
      <w:r>
        <w:t xml:space="preserve"> Доля работающих женщин, имеющих продолжительное школьное образование (13 и более лет учебы), составляет 37,79 процента от общего числа, в то время как у мужчин она равна 26,83 процента. Доля раб</w:t>
      </w:r>
      <w:r>
        <w:t>о</w:t>
      </w:r>
      <w:r>
        <w:t>тающих женщин, имеющих невысокий уровень школьного образования (6 и менее лет), составляет 12,05 процента, при этом аналогичный показатель для мужчин составляет 17,75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w:t>
      </w:r>
      <w:r>
        <w:tab/>
      </w:r>
      <w:r>
        <w:rPr>
          <w:i/>
        </w:rPr>
        <w:t>Виды работ по-прежнему подразделяются на женские и мужские. Бол</w:t>
      </w:r>
      <w:r>
        <w:rPr>
          <w:i/>
        </w:rPr>
        <w:t>ь</w:t>
      </w:r>
      <w:r>
        <w:rPr>
          <w:i/>
        </w:rPr>
        <w:t>шинство женщин по-прежнему выполняют работу, которая в обществе сч</w:t>
      </w:r>
      <w:r>
        <w:rPr>
          <w:i/>
        </w:rPr>
        <w:t>и</w:t>
      </w:r>
      <w:r>
        <w:rPr>
          <w:i/>
        </w:rPr>
        <w:t xml:space="preserve">тается женской. </w:t>
      </w:r>
      <w:r>
        <w:t>Обслуживающий сектор чилийской экономики был единс</w:t>
      </w:r>
      <w:r>
        <w:t>т</w:t>
      </w:r>
      <w:r>
        <w:t>венным, в котором произошло увеличение занятости представителей обоих п</w:t>
      </w:r>
      <w:r>
        <w:t>о</w:t>
      </w:r>
      <w:r>
        <w:t>лов. За период с 1992 по 2002 год занятость в обслуживающем секторе увел</w:t>
      </w:r>
      <w:r>
        <w:t>и</w:t>
      </w:r>
      <w:r>
        <w:t xml:space="preserve">чилась на 43,1 процента, в то время как в добывающей промышленности и сельском хозяйстве она сократилась на 20,5 процента, а в обрабатывающей промышленности - на 1,1 процента. Большинство женщин выполняют работы, которые в обществе традиционно считаются женскими, например они заняты в сфере услуг и выполняют технические работы, и в этой сфере занято 16,5 процента женщин от общего числа работающих женщин. Среди женщин есть также специалисты и сотрудники учреждений, их доля составляет 13,0 процента и 11,5 процента соответственно. Все это свидетельствует о том, что более высокий уровень образования женщин по сравнению с мужчинами отнюдь не обеспечивает им более широкие и разнообразные возможности в сфере занятости.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Использование бытовой техники в домашних хозяйствах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w:t>
      </w:r>
      <w:r>
        <w:tab/>
      </w:r>
      <w:r>
        <w:rPr>
          <w:i/>
        </w:rPr>
        <w:t>В домашних хозяйствах стали значительно шире использовать бытовую технику, что облегчает домашний труд, который по-прежнему лежит в о</w:t>
      </w:r>
      <w:r>
        <w:rPr>
          <w:i/>
        </w:rPr>
        <w:t>с</w:t>
      </w:r>
      <w:r>
        <w:rPr>
          <w:i/>
        </w:rPr>
        <w:t>новном на женщинах. Значительно расширился доступ к технологии и широко используются бытовые электроприборы</w:t>
      </w:r>
      <w:r>
        <w:t>. В 2002 году в 20,5 процента дома</w:t>
      </w:r>
      <w:r>
        <w:t>ш</w:t>
      </w:r>
      <w:r>
        <w:t>них хозяйств имелся компьютер, в 23,9 процента - кабельное или спутниковое телевидение и 10,2 процента домашних хозяйств были подключены к Интерн</w:t>
      </w:r>
      <w:r>
        <w:t>е</w:t>
      </w:r>
      <w:r>
        <w:t>ту. В 1992 году стиральные машины имелись лишь в 48,2 процента домашних хозяйств, в то время как в 2002 году их количество возросло до 78,8 процента; количество холодильников - с 54,6 процента до 82,1 процента; микроволновых печей - с 4,2 процента до 30,0 процента. Количество обычных телефонов ув</w:t>
      </w:r>
      <w:r>
        <w:t>е</w:t>
      </w:r>
      <w:r>
        <w:t>личилось с 23,6 процента до 51,5 процента, а количество домашних хозяйств, в которых имеются сотовые телефоны, возросло с 1,0 процента до 51,0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42.</w:t>
      </w:r>
      <w:r>
        <w:tab/>
        <w:t>Все это свидетельствует об определенном прогрессе, который облегчает женщинам доступ на рынок труда и одновременно уменьшает домашнюю н</w:t>
      </w:r>
      <w:r>
        <w:t>а</w:t>
      </w:r>
      <w:r>
        <w:t>грузку. Тем не менее это отнюдь не снимает необходимости коренным образом пересмотреть вопрос о распределении обязанностей в домашнем хозяйстве и тем более покончить с второстепенной ролью женщин в семье. Вместе с тем следует отметить, что в вопросе распределения домашних обязанностей пост</w:t>
      </w:r>
      <w:r>
        <w:t>е</w:t>
      </w:r>
      <w:r>
        <w:t>пенно происходят позитивные изменения, особенно в отношениях между м</w:t>
      </w:r>
      <w:r>
        <w:t>о</w:t>
      </w:r>
      <w:r>
        <w:t>лодыми, хотя предстоит еще пройти долгий путь, прежде чем будет достигнуто полное равноправие между мужчинами и женщинами и домашняя нагрузка б</w:t>
      </w:r>
      <w:r>
        <w:t>у</w:t>
      </w:r>
      <w:r>
        <w:t>дет распределяться абсолютно справедливо, а не так, как того требуют стере</w:t>
      </w:r>
      <w:r>
        <w:t>о</w:t>
      </w:r>
      <w:r>
        <w:t>типы, нав</w:t>
      </w:r>
      <w:r>
        <w:t>я</w:t>
      </w:r>
      <w:r>
        <w:t>занные представителями господствующего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rPr>
          <w:lang w:val="en-US"/>
        </w:rPr>
        <w:t>III</w:t>
      </w:r>
      <w:r>
        <w:t>.</w:t>
      </w:r>
      <w:r>
        <w:tab/>
        <w:t>Постатейная информация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1.</w:t>
      </w:r>
      <w:r>
        <w:tab/>
      </w:r>
      <w:r>
        <w:tab/>
        <w:t xml:space="preserve">Принцип равенства женщин и мужчин перед законом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43.</w:t>
      </w:r>
      <w:r>
        <w:tab/>
        <w:t>В отчетный период, охватываемый настоящим докладом, в законодател</w:t>
      </w:r>
      <w:r>
        <w:t>ь</w:t>
      </w:r>
      <w:r>
        <w:t>ство был внесен целый ряд изменений, которые позволили существенно пр</w:t>
      </w:r>
      <w:r>
        <w:t>о</w:t>
      </w:r>
      <w:r>
        <w:t>двинуться вперед по пути обеспечения гарантий равенства мужчин и женщин в осуществлении их гражданских, политических, экономических, социальных и культурных прав.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44.</w:t>
      </w:r>
      <w:r>
        <w:tab/>
        <w:t>И все же, несмотря на эти важные достижения, женщины по-прежнему нередко оказываются в менее выгодном по сравнению с мужчинами полож</w:t>
      </w:r>
      <w:r>
        <w:t>е</w:t>
      </w:r>
      <w:r>
        <w:t>нии, что обусловлено сохранением в юридической системе дискриминацио</w:t>
      </w:r>
      <w:r>
        <w:t>н</w:t>
      </w:r>
      <w:r>
        <w:t>ных норм, а также тем фактом, что некоторые законодательные инициативы, направленные на преодоление этих норм, все еще находятся на стадии ра</w:t>
      </w:r>
      <w:r>
        <w:t>с</w:t>
      </w:r>
      <w:r>
        <w:t>смотрения. Кроме того, несмотря на определенное усовершенствование зак</w:t>
      </w:r>
      <w:r>
        <w:t>о</w:t>
      </w:r>
      <w:r>
        <w:t>нодательства, в некоторых случаях по-прежнему возникают проблемы с толк</w:t>
      </w:r>
      <w:r>
        <w:t>о</w:t>
      </w:r>
      <w:r>
        <w:t>ванием законов в судах, что затрудняет достижение в полном объеме тех целей, р</w:t>
      </w:r>
      <w:r>
        <w:t>а</w:t>
      </w:r>
      <w:r>
        <w:t xml:space="preserve">ди которых был разработан закон, при его применении на практике.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u w:val="single"/>
        </w:rPr>
        <w:t>Принцип конституционного равноправия</w:t>
      </w:r>
      <w:r>
        <w:rPr>
          <w:u w:val="single"/>
        </w:rPr>
        <w:t xml:space="preserve"> </w:t>
      </w:r>
      <w:r>
        <w:rPr>
          <w:b/>
        </w:rPr>
        <w:t>(статья 2 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45.</w:t>
      </w:r>
      <w:r>
        <w:tab/>
      </w:r>
      <w:r>
        <w:rPr>
          <w:b/>
        </w:rPr>
        <w:t>Изменение Политической конституции Чили</w:t>
      </w:r>
      <w:r>
        <w:rPr>
          <w:rStyle w:val="FootnoteReference"/>
        </w:rPr>
        <w:footnoteReference w:id="6"/>
      </w:r>
      <w:r>
        <w:rPr>
          <w:b/>
        </w:rPr>
        <w:t>, недвусмысленно уст</w:t>
      </w:r>
      <w:r>
        <w:rPr>
          <w:b/>
        </w:rPr>
        <w:t>а</w:t>
      </w:r>
      <w:r>
        <w:rPr>
          <w:b/>
        </w:rPr>
        <w:t>навливающей равенство между мужчинами и женщинами</w:t>
      </w:r>
      <w:r>
        <w:t>. В частности, изменена статья 1 основного закона, в которой отмечается, что "</w:t>
      </w:r>
      <w:r>
        <w:rPr>
          <w:lang w:val="en-US"/>
        </w:rPr>
        <w:t>las</w:t>
      </w:r>
      <w:r>
        <w:t xml:space="preserve"> </w:t>
      </w:r>
      <w:r>
        <w:rPr>
          <w:lang w:val="en-US"/>
        </w:rPr>
        <w:t>personas</w:t>
      </w:r>
      <w:r>
        <w:t>"</w:t>
      </w:r>
      <w:r>
        <w:rPr>
          <w:rStyle w:val="FootnoteReference"/>
          <w:lang w:val="en-US"/>
        </w:rPr>
        <w:footnoteReference w:customMarkFollows="1" w:id="7"/>
        <w:sym w:font="Symbol" w:char="F02A"/>
      </w:r>
      <w:r>
        <w:t>, а не "</w:t>
      </w:r>
      <w:r>
        <w:rPr>
          <w:lang w:val="en-US"/>
        </w:rPr>
        <w:t>los</w:t>
      </w:r>
      <w:r>
        <w:t xml:space="preserve"> </w:t>
      </w:r>
      <w:r>
        <w:rPr>
          <w:lang w:val="en-US"/>
        </w:rPr>
        <w:t>hombres</w:t>
      </w:r>
      <w:r>
        <w:t>"</w:t>
      </w:r>
      <w:r>
        <w:rPr>
          <w:rStyle w:val="FootnoteReference"/>
        </w:rPr>
        <w:footnoteReference w:customMarkFollows="1" w:id="8"/>
        <w:sym w:font="Symbol" w:char="F02A"/>
      </w:r>
      <w:r>
        <w:rPr>
          <w:rStyle w:val="FootnoteReference"/>
        </w:rPr>
        <w:sym w:font="Symbol" w:char="F02A"/>
      </w:r>
      <w:r>
        <w:t xml:space="preserve"> рождаются свободными и равными в достоинстве и правах; и в качестве конституционной гарантии равенства перед законом (пункт 2 </w:t>
      </w:r>
      <w:r>
        <w:rPr>
          <w:lang w:val="en-US"/>
        </w:rPr>
        <w:t>l</w:t>
      </w:r>
      <w:r>
        <w:t xml:space="preserve"> ст</w:t>
      </w:r>
      <w:r>
        <w:t>а</w:t>
      </w:r>
      <w:r>
        <w:t>тьи 19) добавлено, что "мужчины и женщины равны перед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u w:val="single"/>
        </w:rPr>
        <w:t>Равенство перед законом и ликвидация дискриминации в законодательс</w:t>
      </w:r>
      <w:r>
        <w:rPr>
          <w:b/>
          <w:u w:val="single"/>
        </w:rPr>
        <w:t>т</w:t>
      </w:r>
      <w:r>
        <w:rPr>
          <w:b/>
          <w:u w:val="single"/>
        </w:rPr>
        <w:t>ве</w:t>
      </w:r>
      <w:r>
        <w:rPr>
          <w:b/>
        </w:rPr>
        <w:t xml:space="preserve"> (статьи 2</w:t>
      </w:r>
      <w:r>
        <w:rPr>
          <w:b/>
          <w:lang w:val="en-US"/>
        </w:rPr>
        <w:t>b</w:t>
      </w:r>
      <w:r>
        <w:rPr>
          <w:b/>
        </w:rPr>
        <w:t>, 2с, 7, 15, пункт 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46.</w:t>
      </w:r>
      <w:r>
        <w:tab/>
      </w:r>
      <w:r>
        <w:rPr>
          <w:b/>
        </w:rPr>
        <w:t>Закон № 19741</w:t>
      </w:r>
      <w:r>
        <w:rPr>
          <w:rStyle w:val="FootnoteReference"/>
        </w:rPr>
        <w:footnoteReference w:id="9"/>
      </w:r>
      <w:r>
        <w:rPr>
          <w:b/>
        </w:rPr>
        <w:t>, изменяющий Закон об уходе из семьи и выплате алиментов, с целью обеспечить своевременную и справедливую выплату алиментов.</w:t>
      </w:r>
      <w:r>
        <w:t xml:space="preserve"> В законе, в частности, предусмотрена презумпция того, что отве</w:t>
      </w:r>
      <w:r>
        <w:t>т</w:t>
      </w:r>
      <w:r>
        <w:t>чик имеет доходы, для того чтобы выплачивать свому(ей) несовершеннолетн</w:t>
      </w:r>
      <w:r>
        <w:t>е</w:t>
      </w:r>
      <w:r>
        <w:t>му(ей) сыну/дочери 40 процентов от своего минимального дохода; и 30 процентов своего минимального дохода на каждого ребенка, если у него н</w:t>
      </w:r>
      <w:r>
        <w:t>е</w:t>
      </w:r>
      <w:r>
        <w:t>сколько детей. Кроме того, он требует от судьи принять постановление о вр</w:t>
      </w:r>
      <w:r>
        <w:t>е</w:t>
      </w:r>
      <w:r>
        <w:t>менной выплате алиментов с момента, когда возникает возможное основание для установления права на получение алиментов. В тех случаях, когда речь идет о несовершеннолетних детях, закон не только обязывает судью вынести постановление о временной уплате алиментов, но и устанавливает для этого десятидневный срок с момента уведомления о получении соответствующего иска. Если ответчик не в состоянии уплатить алименты, он должен представить доказательства т</w:t>
      </w:r>
      <w:r>
        <w:t>о</w:t>
      </w:r>
      <w:r>
        <w:t xml:space="preserve">го, что не может сделать это в указанный срок.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47.</w:t>
      </w:r>
      <w:r>
        <w:tab/>
        <w:t>Кроме того, если речь идет о служащих, судья обязан отдать распоряж</w:t>
      </w:r>
      <w:r>
        <w:t>е</w:t>
      </w:r>
      <w:r>
        <w:t>ние об удержании, в качестве формы уплаты, алиментов работодателем из з</w:t>
      </w:r>
      <w:r>
        <w:t>а</w:t>
      </w:r>
      <w:r>
        <w:t>работной платы. Иными словами, работодатель обязан вычитать из заработной платы работника сумму, причитающуюся в качестве алиментов, и выплачивать ее непосредственно получателю алиментов. В случае увольнения работника работодатель также должен вычитать из причитающихся работнику выплат с</w:t>
      </w:r>
      <w:r>
        <w:t>о</w:t>
      </w:r>
      <w:r>
        <w:t>ответству</w:t>
      </w:r>
      <w:r>
        <w:t>ю</w:t>
      </w:r>
      <w:r>
        <w:t>щий процент алиментов.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48.</w:t>
      </w:r>
      <w:r>
        <w:tab/>
      </w:r>
      <w:r>
        <w:rPr>
          <w:b/>
        </w:rPr>
        <w:t>Проект закона</w:t>
      </w:r>
      <w:r>
        <w:rPr>
          <w:rStyle w:val="FootnoteReference"/>
        </w:rPr>
        <w:footnoteReference w:id="10"/>
      </w:r>
      <w:r>
        <w:rPr>
          <w:b/>
        </w:rPr>
        <w:t>, изменяющего Закон № 19325 о насилии в семье</w:t>
      </w:r>
      <w:r>
        <w:rPr>
          <w:rStyle w:val="FootnoteReference"/>
        </w:rPr>
        <w:footnoteReference w:id="11"/>
      </w:r>
      <w:r>
        <w:t>. Цель этого проекта состоит в том, чтобы внести соответствующие изменения в законодательство, касающееся насилия в семье, для того чтобы устранить из</w:t>
      </w:r>
      <w:r>
        <w:t>ъ</w:t>
      </w:r>
      <w:r>
        <w:t>яны в нынешнем законодательстве. Изменения призваны усовершенствовать процедуру и установить надлежащие наказания за наказуемое поведение. Пр</w:t>
      </w:r>
      <w:r>
        <w:t>е</w:t>
      </w:r>
      <w:r>
        <w:t>дусматривается, в частности, расширить концепцию насилия в семье, обесп</w:t>
      </w:r>
      <w:r>
        <w:t>е</w:t>
      </w:r>
      <w:r>
        <w:t>чить более широкие возможности для обращения с просьбой о предоставлении помощи и обеспечения мер защиты, ограничить возможность достижения д</w:t>
      </w:r>
      <w:r>
        <w:t>о</w:t>
      </w:r>
      <w:r>
        <w:t>говоренности между сторонами, предоставить более широкие полномочия п</w:t>
      </w:r>
      <w:r>
        <w:t>о</w:t>
      </w:r>
      <w:r>
        <w:t>лиции, чтобы дать ей возможность принимать соответствующие меры в случ</w:t>
      </w:r>
      <w:r>
        <w:t>а</w:t>
      </w:r>
      <w:r>
        <w:t>ях нарушений, а также регламентировать режим действенных наказаний.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49.</w:t>
      </w:r>
      <w:r>
        <w:tab/>
      </w:r>
      <w:r>
        <w:rPr>
          <w:b/>
        </w:rPr>
        <w:t>Проект закона</w:t>
      </w:r>
      <w:r>
        <w:rPr>
          <w:rStyle w:val="FootnoteReference"/>
        </w:rPr>
        <w:footnoteReference w:id="12"/>
      </w:r>
      <w:r>
        <w:rPr>
          <w:b/>
        </w:rPr>
        <w:t xml:space="preserve"> о создании судов по семейным делам и установлении системы посредничества</w:t>
      </w:r>
      <w:r>
        <w:t>. Цель этого проекта состоит в создании специал</w:t>
      </w:r>
      <w:r>
        <w:t>ь</w:t>
      </w:r>
      <w:r>
        <w:t>ных судов для рассмотрения вопросов, касающихся семьи, при содействии межотраслевых групп специалистов. Кроме того, предполагается дать гражд</w:t>
      </w:r>
      <w:r>
        <w:t>а</w:t>
      </w:r>
      <w:r>
        <w:t>нам возможность обращения в инстанции, способные обеспечить достижение совместных решений, для чего предусматривается создать систему посредн</w:t>
      </w:r>
      <w:r>
        <w:t>и</w:t>
      </w:r>
      <w:r>
        <w:t>чества.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50.</w:t>
      </w:r>
      <w:r>
        <w:tab/>
        <w:t>Трудности, связанные с конкретизацией этой инициативы, обусловлены тем, что совершенствование системы отправления правосудия предусматривает целый комплекс первоочередных инициатив в сфере законодательства, с пом</w:t>
      </w:r>
      <w:r>
        <w:t>о</w:t>
      </w:r>
      <w:r>
        <w:t>щью которых пытаются найти глобальное, гармоничное и эффективное реш</w:t>
      </w:r>
      <w:r>
        <w:t>е</w:t>
      </w:r>
      <w:r>
        <w:t>ние тех проблем, которые, по мнению экспертов и широко распространенному мнению граждан, разъедают в настоящее время систему правосудия. Масштаб задуманных преобразований, особенно замена уголовного процесса расслед</w:t>
      </w:r>
      <w:r>
        <w:t>о</w:t>
      </w:r>
      <w:r>
        <w:t>вания процессом обвинительным, требуют от правительства больших усилий и большого объема ресурсов для решения этой зад</w:t>
      </w:r>
      <w:r>
        <w:t>а</w:t>
      </w:r>
      <w:r>
        <w:t>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51.</w:t>
      </w:r>
      <w:r>
        <w:tab/>
      </w:r>
      <w:r>
        <w:rPr>
          <w:b/>
        </w:rPr>
        <w:t>Закон № 19688</w:t>
      </w:r>
      <w:r>
        <w:rPr>
          <w:rStyle w:val="FootnoteReference"/>
        </w:rPr>
        <w:footnoteReference w:id="13"/>
      </w:r>
      <w:r>
        <w:rPr>
          <w:b/>
        </w:rPr>
        <w:t>, который изменяет Конституционный закон об обр</w:t>
      </w:r>
      <w:r>
        <w:rPr>
          <w:b/>
        </w:rPr>
        <w:t>а</w:t>
      </w:r>
      <w:r>
        <w:rPr>
          <w:b/>
        </w:rPr>
        <w:t>зовании и устанавливает право беременных студенток или студенток - кормящих матерей на доступ в учебные заведения.</w:t>
      </w:r>
      <w:r>
        <w:t xml:space="preserve"> В статью 2 этого Закона добавлен пункт, в котором устанавливается, что "беременность и материнство не являются препятствием для поступления и учебы в учебных заведениях л</w:t>
      </w:r>
      <w:r>
        <w:t>ю</w:t>
      </w:r>
      <w:r>
        <w:t>бого уровня. Более того, эти заведения обеспечивают им необходимые условия для учебы".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52.</w:t>
      </w:r>
      <w:r>
        <w:tab/>
        <w:t>В своих замечаниях по предыдущему докладу Комитет КЛДЖ отмечает, что он обеспокоен "</w:t>
      </w:r>
      <w:r>
        <w:rPr>
          <w:i/>
        </w:rPr>
        <w:t>сохранением стереотипных концепций в отношении роли женщин и мужчин в обществе... прекращение(м) учебы в школах рано забер</w:t>
      </w:r>
      <w:r>
        <w:rPr>
          <w:i/>
        </w:rPr>
        <w:t>е</w:t>
      </w:r>
      <w:r>
        <w:rPr>
          <w:i/>
        </w:rPr>
        <w:t>меневшими девушками и подростками</w:t>
      </w:r>
      <w:r>
        <w:t>". В них также указывается, что "</w:t>
      </w:r>
      <w:r>
        <w:rPr>
          <w:i/>
        </w:rPr>
        <w:t>Ком</w:t>
      </w:r>
      <w:r>
        <w:rPr>
          <w:i/>
        </w:rPr>
        <w:t>и</w:t>
      </w:r>
      <w:r>
        <w:rPr>
          <w:i/>
        </w:rPr>
        <w:t>тет с обеспокоенностью отмечает далее, что только беременных девушек исключают из ч</w:t>
      </w:r>
      <w:r>
        <w:rPr>
          <w:i/>
        </w:rPr>
        <w:t>а</w:t>
      </w:r>
      <w:r>
        <w:rPr>
          <w:i/>
        </w:rPr>
        <w:t>стных учебных заведений</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53.</w:t>
      </w:r>
      <w:r>
        <w:tab/>
        <w:t>Важным шагом вперед в этом направлении стала упомянутая выше п</w:t>
      </w:r>
      <w:r>
        <w:t>о</w:t>
      </w:r>
      <w:r>
        <w:t>правка, внесенная в Конституционный закон об образовании, в соответствии с которой обеспечивается доступ и учеба в учебных заведениях всем береме</w:t>
      </w:r>
      <w:r>
        <w:t>н</w:t>
      </w:r>
      <w:r>
        <w:t>ным девушкам или кормящим матерям. Эта поправка призвана обеспечить г</w:t>
      </w:r>
      <w:r>
        <w:t>а</w:t>
      </w:r>
      <w:r>
        <w:t>рантии не только доступа таких студенток в учебные заведения, но и пребыв</w:t>
      </w:r>
      <w:r>
        <w:t>а</w:t>
      </w:r>
      <w:r>
        <w:t>ние в них, а также обеспечение соответствующих условий для учебы. Однако для действенного осуществления этой поправки необходим длительный пр</w:t>
      </w:r>
      <w:r>
        <w:t>о</w:t>
      </w:r>
      <w:r>
        <w:t>цесс укрепления сетей поддержки, других секторов общества, помимо системы образования, с которыми работает не только сектор образования, но и Наци</w:t>
      </w:r>
      <w:r>
        <w:t>о</w:t>
      </w:r>
      <w:r>
        <w:t>нальное управление по делам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54.</w:t>
      </w:r>
      <w:r>
        <w:tab/>
        <w:t>В числе осуществляемых в настоящее время инициатив можно отметить программу, которая призвана сократить отсев из школ. В рамках программы "Лицей для всех" разработаны дифференцированные стратегии для представ</w:t>
      </w:r>
      <w:r>
        <w:t>и</w:t>
      </w:r>
      <w:r>
        <w:t>телей разных полов для того, чтобы решить проблему ухода из школы; эта дифференциация обусловлена тем, что причины, по которым мальчики и д</w:t>
      </w:r>
      <w:r>
        <w:t>е</w:t>
      </w:r>
      <w:r>
        <w:t>вочки оставляют школы, различны. Девочкам, например, обеспечиваются более благоприятные условия для того, чтобы они могли ухаживать за своими мал</w:t>
      </w:r>
      <w:r>
        <w:t>о</w:t>
      </w:r>
      <w:r>
        <w:t>летними детьми и посещать учреждения по охране здоровья, детства и мат</w:t>
      </w:r>
      <w:r>
        <w:t>е</w:t>
      </w:r>
      <w:r>
        <w:t xml:space="preserve">ринства.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55.</w:t>
      </w:r>
      <w:r>
        <w:tab/>
      </w:r>
      <w:r>
        <w:rPr>
          <w:b/>
        </w:rPr>
        <w:t>Конституционная поправка, устанавливающая обязательное двен</w:t>
      </w:r>
      <w:r>
        <w:rPr>
          <w:b/>
        </w:rPr>
        <w:t>а</w:t>
      </w:r>
      <w:r>
        <w:rPr>
          <w:b/>
        </w:rPr>
        <w:t>дцатилетнее обучение</w:t>
      </w:r>
      <w:r>
        <w:rPr>
          <w:rStyle w:val="FootnoteReference"/>
        </w:rPr>
        <w:footnoteReference w:id="14"/>
      </w:r>
      <w:r>
        <w:t>. В соответствии с этой поправкой устанавливается обязательное двенадцатилетнее обучение, а также обязанность государства г</w:t>
      </w:r>
      <w:r>
        <w:t>а</w:t>
      </w:r>
      <w:r>
        <w:t>рантировать бесплатное обязательное обучение для всех чилийцев моложе 21 года</w:t>
      </w:r>
      <w:r>
        <w:rPr>
          <w:rStyle w:val="FootnoteReference"/>
        </w:rPr>
        <w:footnoteReference w:id="15"/>
      </w:r>
      <w:r>
        <w:t>. В Законе устанавливается, что "Начальное и среднее образование я</w:t>
      </w:r>
      <w:r>
        <w:t>в</w:t>
      </w:r>
      <w:r>
        <w:t>ляются бесплатными, и государство обязано финансировать с этой целью си</w:t>
      </w:r>
      <w:r>
        <w:t>с</w:t>
      </w:r>
      <w:r>
        <w:t>тему бесплатного обучения, призванную обеспечить доступ к такому образов</w:t>
      </w:r>
      <w:r>
        <w:t>а</w:t>
      </w:r>
      <w:r>
        <w:t>нию всего населения. Согласно этому Закону, система среднего образования распространяется на всех лиц в возрасте до 21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56.</w:t>
      </w:r>
      <w:r>
        <w:tab/>
      </w:r>
      <w:r>
        <w:rPr>
          <w:b/>
        </w:rPr>
        <w:t>Закон № 19602</w:t>
      </w:r>
      <w:r>
        <w:rPr>
          <w:rStyle w:val="FootnoteReference"/>
        </w:rPr>
        <w:footnoteReference w:id="16"/>
      </w:r>
      <w:r>
        <w:rPr>
          <w:b/>
        </w:rPr>
        <w:t>, который изменяет Конституционный закон о мун</w:t>
      </w:r>
      <w:r>
        <w:rPr>
          <w:b/>
        </w:rPr>
        <w:t>и</w:t>
      </w:r>
      <w:r>
        <w:rPr>
          <w:b/>
        </w:rPr>
        <w:t>ципалитетах</w:t>
      </w:r>
      <w:r>
        <w:t>. В соответствии с этим законом муниципалитеты, в частности, наделяются функциями по обеспечению равенства возможностей для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57.</w:t>
      </w:r>
      <w:r>
        <w:tab/>
      </w:r>
      <w:r>
        <w:rPr>
          <w:b/>
        </w:rPr>
        <w:t>Проект закона</w:t>
      </w:r>
      <w:r>
        <w:rPr>
          <w:rStyle w:val="FootnoteReference"/>
        </w:rPr>
        <w:footnoteReference w:id="17"/>
      </w:r>
      <w:r>
        <w:rPr>
          <w:b/>
        </w:rPr>
        <w:t>, в котором устанавливается наказание за сексуал</w:t>
      </w:r>
      <w:r>
        <w:rPr>
          <w:b/>
        </w:rPr>
        <w:t>ь</w:t>
      </w:r>
      <w:r>
        <w:rPr>
          <w:b/>
        </w:rPr>
        <w:t>ное домогательство на работе</w:t>
      </w:r>
      <w:r>
        <w:t>. Цель проекта состоит в том, чтобы предусмо</w:t>
      </w:r>
      <w:r>
        <w:t>т</w:t>
      </w:r>
      <w:r>
        <w:t>реть наказание за сексуальное домогательство на работе, объектом которого, по данным Главного управления по труду, являются примерно 20 процентов же</w:t>
      </w:r>
      <w:r>
        <w:t>н</w:t>
      </w:r>
      <w:r>
        <w:t>щин. В проекте дается определение этого преступления</w:t>
      </w:r>
      <w:r>
        <w:rPr>
          <w:rStyle w:val="FootnoteReference"/>
        </w:rPr>
        <w:footnoteReference w:id="18"/>
      </w:r>
      <w:r>
        <w:t xml:space="preserve"> и устанавливается наказание за него. С этой целью внесена поправка в Трудовой кодекс, пред</w:t>
      </w:r>
      <w:r>
        <w:t>у</w:t>
      </w:r>
      <w:r>
        <w:t>сматривающая увольнение тех, кто подвергает сексуальным домогательствам работника или работницу, угрожая осложнить их положение на работе. Если подобным образом ведет себя работодатель, то работник/работница могут пр</w:t>
      </w:r>
      <w:r>
        <w:t>е</w:t>
      </w:r>
      <w:r>
        <w:t>рвать трудовой договор и потребовать выплаты компенсации в соответствии с законом, а также компенсации за моральный ущерб, которую может определить судья.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58.</w:t>
      </w:r>
      <w:r>
        <w:tab/>
        <w:t>В проекте закона предусматривается также возможность требовать от с</w:t>
      </w:r>
      <w:r>
        <w:t>у</w:t>
      </w:r>
      <w:r>
        <w:t>дьи по трудовым спорам выплаты соответствующей компенсации за причин</w:t>
      </w:r>
      <w:r>
        <w:t>е</w:t>
      </w:r>
      <w:r>
        <w:t>ние морального ущерба без необходимости обращаться в другой суд; в проекте устанавливается также обязательство предусмотреть во внутренних инстру</w:t>
      </w:r>
      <w:r>
        <w:t>к</w:t>
      </w:r>
      <w:r>
        <w:t>циях предприятий, на которых занято более десяти трудящихся, процедуру п</w:t>
      </w:r>
      <w:r>
        <w:t>о</w:t>
      </w:r>
      <w:r>
        <w:t>дачи и рассмотрения жалоб на сексуальные домогательства. Кроме того, вн</w:t>
      </w:r>
      <w:r>
        <w:t>о</w:t>
      </w:r>
      <w:r>
        <w:t>сятся соответствующие изменения в административные правила и положения о работниках муниципалитетов с целью применения наказаний, предусмотре</w:t>
      </w:r>
      <w:r>
        <w:t>н</w:t>
      </w:r>
      <w:r>
        <w:t>ных за такое поведение.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59.</w:t>
      </w:r>
      <w:r>
        <w:tab/>
        <w:t>Правительство, используя имеющиеся в его распоряжении различные м</w:t>
      </w:r>
      <w:r>
        <w:t>е</w:t>
      </w:r>
      <w:r>
        <w:t>ханизмы, пыталось ускорить процесс одобрения этой законодательной иници</w:t>
      </w:r>
      <w:r>
        <w:t>а</w:t>
      </w:r>
      <w:r>
        <w:t>тивы</w:t>
      </w:r>
      <w:r>
        <w:rPr>
          <w:rStyle w:val="FootnoteReference"/>
        </w:rPr>
        <w:footnoteReference w:id="19"/>
      </w:r>
      <w:r>
        <w:t>. Однако медленный процесс его рассмотрения объясняется тем, что он не был признан первоочередным и не был включен в программу работы сена</w:t>
      </w:r>
      <w:r>
        <w:t>т</w:t>
      </w:r>
      <w:r>
        <w:t>ской комиссии по труду.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60.</w:t>
      </w:r>
      <w:r>
        <w:tab/>
      </w:r>
      <w:r>
        <w:rPr>
          <w:b/>
        </w:rPr>
        <w:t>Закон № 19617</w:t>
      </w:r>
      <w:r>
        <w:rPr>
          <w:rStyle w:val="FootnoteReference"/>
        </w:rPr>
        <w:footnoteReference w:id="20"/>
      </w:r>
      <w:r>
        <w:rPr>
          <w:b/>
        </w:rPr>
        <w:t>, который изменяет Уголовный кодекс, Уголовно-процессуальный кодекс и другие юридические документы, касающиеся вопросов, связанных с преступлением изнасилования</w:t>
      </w:r>
      <w:r>
        <w:t>. Эта поправка, кот</w:t>
      </w:r>
      <w:r>
        <w:t>о</w:t>
      </w:r>
      <w:r>
        <w:t>рая имеет огромное значение для женщин, изменяет понятие изнасилования как уголовного преступления и определяет теперь, что его жертвами могут быть как мужчины, так и женщины</w:t>
      </w:r>
      <w:r>
        <w:rPr>
          <w:rStyle w:val="FootnoteReference"/>
        </w:rPr>
        <w:footnoteReference w:id="21"/>
      </w:r>
      <w:r>
        <w:t>. Была изъята такая категория преступл</w:t>
      </w:r>
      <w:r>
        <w:t>е</w:t>
      </w:r>
      <w:r>
        <w:t>ния, как "похищение", для квалификации которого как такового требовалось, чтобы женщина была "девственницей". Была приведена в соответствие уголо</w:t>
      </w:r>
      <w:r>
        <w:t>в</w:t>
      </w:r>
      <w:r>
        <w:t>ная категория "изнасилования", из которой были исключены все дискримин</w:t>
      </w:r>
      <w:r>
        <w:t>а</w:t>
      </w:r>
      <w:r>
        <w:t>ционные ссылки, такие, в частности, как требование о том, чтобы жертва была "пор</w:t>
      </w:r>
      <w:r>
        <w:t>я</w:t>
      </w:r>
      <w:r>
        <w:t>дочной" женщиной</w:t>
      </w:r>
      <w:r>
        <w:rPr>
          <w:rStyle w:val="FootnoteReference"/>
        </w:rPr>
        <w:footnoteReference w:id="22"/>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61.</w:t>
      </w:r>
      <w:r>
        <w:tab/>
        <w:t>Было также изменено определение преступления гомосексуализма; теперь наказание предусмотрено лишь за гомосексуальные отношения с несоверше</w:t>
      </w:r>
      <w:r>
        <w:t>н</w:t>
      </w:r>
      <w:r>
        <w:t>нолетними. Отменены наказания за гомосексуальные отношения между сове</w:t>
      </w:r>
      <w:r>
        <w:t>р</w:t>
      </w:r>
      <w:r>
        <w:t>шеннолетними, если они совершаются по обоюдному согласию и в частном месте, если только такое поведение не представляет собой насилие, изнасил</w:t>
      </w:r>
      <w:r>
        <w:t>о</w:t>
      </w:r>
      <w:r>
        <w:t>вание или сексуальное злоупотребление.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62.</w:t>
      </w:r>
      <w:r>
        <w:tab/>
        <w:t>Понятие "развратные действия" заменено понятием "сексуальные зл</w:t>
      </w:r>
      <w:r>
        <w:t>о</w:t>
      </w:r>
      <w:r>
        <w:t>употребления". Кроме того, предусмотрены наказания для тех, кто использует несовершеннолетних для изготовления порнографических материалов. Четко определено понятие "супружеского насилия" и исключена возможность осв</w:t>
      </w:r>
      <w:r>
        <w:t>о</w:t>
      </w:r>
      <w:r>
        <w:t>бождения от уголовной ответственности в случаях, когда правонарушитель вступал с жертвой в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63.</w:t>
      </w:r>
      <w:r>
        <w:tab/>
        <w:t>Что касается процедуры, то расширена категория лиц, которые могут п</w:t>
      </w:r>
      <w:r>
        <w:t>о</w:t>
      </w:r>
      <w:r>
        <w:t>давать заявления о сексуальных преступлениях: теперь это право дано учит</w:t>
      </w:r>
      <w:r>
        <w:t>е</w:t>
      </w:r>
      <w:r>
        <w:t>лям, врачам или другим лицам, которым в силу их деятельности становится и</w:t>
      </w:r>
      <w:r>
        <w:t>з</w:t>
      </w:r>
      <w:r>
        <w:t>вестно о таких фактах. Изъято требование о проведении очной ставки между жертвой и правонарушителем и теперь разрешается принимать любые по</w:t>
      </w:r>
      <w:r>
        <w:t>д</w:t>
      </w:r>
      <w:r>
        <w:t>тверждающие медицинские справки</w:t>
      </w:r>
      <w:r>
        <w:rPr>
          <w:rStyle w:val="FootnoteReference"/>
        </w:rPr>
        <w:footnoteReference w:id="23"/>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64.</w:t>
      </w:r>
      <w:r>
        <w:tab/>
      </w:r>
      <w:r>
        <w:rPr>
          <w:b/>
        </w:rPr>
        <w:t>Проект закона</w:t>
      </w:r>
      <w:r>
        <w:rPr>
          <w:rStyle w:val="FootnoteReference"/>
        </w:rPr>
        <w:footnoteReference w:id="24"/>
      </w:r>
      <w:r>
        <w:rPr>
          <w:b/>
        </w:rPr>
        <w:t>, изменяющего Закон о гражданском браке</w:t>
      </w:r>
      <w:r>
        <w:t>. Цель пр</w:t>
      </w:r>
      <w:r>
        <w:t>о</w:t>
      </w:r>
      <w:r>
        <w:t>екта состоит в том, чтобы пересмотреть институт, который все еще регулируе</w:t>
      </w:r>
      <w:r>
        <w:t>т</w:t>
      </w:r>
      <w:r>
        <w:t>ся законом, принятым в 1884 году, и признать, что разрыв брачных уз не явл</w:t>
      </w:r>
      <w:r>
        <w:t>я</w:t>
      </w:r>
      <w:r>
        <w:t>ется каким-то необычным явлением, а требует признания самых разных форм исчерпывающего регулирования: от раздельного проживания супругов по р</w:t>
      </w:r>
      <w:r>
        <w:t>е</w:t>
      </w:r>
      <w:r>
        <w:t>шению суда до ра</w:t>
      </w:r>
      <w:r>
        <w:t>з</w:t>
      </w:r>
      <w:r>
        <w:t>вода.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65.</w:t>
      </w:r>
      <w:r>
        <w:tab/>
        <w:t>В этом смысле в проекте предпринята попытка урегулирования проблем, связанных с разрывом брачных отношений и серьезными кризисами, возн</w:t>
      </w:r>
      <w:r>
        <w:t>и</w:t>
      </w:r>
      <w:r>
        <w:t>кающими в браке, в частности проблемы недействительности брака, раздел</w:t>
      </w:r>
      <w:r>
        <w:t>ь</w:t>
      </w:r>
      <w:r>
        <w:t>ного проживания супругов и развода. В нем пересмотрены требования в отн</w:t>
      </w:r>
      <w:r>
        <w:t>о</w:t>
      </w:r>
      <w:r>
        <w:t>шении действительности брака и предлагается снять требование, касающееся компетенции гражданского должностного лица, повышается минимальный во</w:t>
      </w:r>
      <w:r>
        <w:t>з</w:t>
      </w:r>
      <w:r>
        <w:t>раст для вступления в брак и приводятся в соответствие нормы, касающиеся отсутствия согласия и правоспособности для вступления в брак. В проекте р</w:t>
      </w:r>
      <w:r>
        <w:t>е</w:t>
      </w:r>
      <w:r>
        <w:t>гулируется проблема раздельного проживания супругов, которое определяется теперь как физическое разделение лиц, и отменяется обязанность совместного проживания и сохранения верности; в проекте признается развод, в результате которого возникает новое гражданско-правовое положение, позволяющее вст</w:t>
      </w:r>
      <w:r>
        <w:t>у</w:t>
      </w:r>
      <w:r>
        <w:t>пать в новый брак. Как в случаях признания брака недействительным, так и в случаях раздельного проживания супругов и развода, супруги должны предст</w:t>
      </w:r>
      <w:r>
        <w:t>а</w:t>
      </w:r>
      <w:r>
        <w:t>вить доказательства достаточного и полного согласия относительно своих б</w:t>
      </w:r>
      <w:r>
        <w:t>у</w:t>
      </w:r>
      <w:r>
        <w:t>дущих отношений.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66.</w:t>
      </w:r>
      <w:r>
        <w:tab/>
        <w:t>Среди замечаний, высказанных Комитетом КЛДЖ по предыдущему до</w:t>
      </w:r>
      <w:r>
        <w:t>к</w:t>
      </w:r>
      <w:r>
        <w:t>ладу, есть, в частности, такое: "</w:t>
      </w:r>
      <w:r>
        <w:rPr>
          <w:i/>
        </w:rPr>
        <w:t>Комитет также обеспокоен отсутствием к</w:t>
      </w:r>
      <w:r>
        <w:rPr>
          <w:i/>
        </w:rPr>
        <w:t>а</w:t>
      </w:r>
      <w:r>
        <w:rPr>
          <w:i/>
        </w:rPr>
        <w:t>ких-либо норм, предусматривающих возможность расторжения брака</w:t>
      </w:r>
      <w:r>
        <w:t>". В этой связи следует отметить, что вышеупомянутый проект устанавливает одинаковые требования в отношении брака как для мужчин, так и для женщин, и гарантирует материальную компенсацию тому из супругов, кто в основном занимался воспитанием детей и выполнял домашние обязанности.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67.</w:t>
      </w:r>
      <w:r>
        <w:tab/>
        <w:t>В настоящее время процесс рассмотрения проекта закона, изменяющего Закон о гражданском браке, находится на завершающем этапе. Задержка с пр</w:t>
      </w:r>
      <w:r>
        <w:t>и</w:t>
      </w:r>
      <w:r>
        <w:t>нятием этого проекта в качестве закона объясняется противодействием по идейным соображениям влиятельных слоев общества, которые подходят к и</w:t>
      </w:r>
      <w:r>
        <w:t>н</w:t>
      </w:r>
      <w:r>
        <w:t>ституту брака с более консервативных и/или религиозных позиций и выступ</w:t>
      </w:r>
      <w:r>
        <w:t>а</w:t>
      </w:r>
      <w:r>
        <w:t>ют против законодательного признания развода. Этим и объясняется, что на протяжении длительного времени исполнительная власть недостаточно н</w:t>
      </w:r>
      <w:r>
        <w:t>а</w:t>
      </w:r>
      <w:r>
        <w:t>стойчиво добивалась принятия этого проекта, что является совершенно нео</w:t>
      </w:r>
      <w:r>
        <w:t>б</w:t>
      </w:r>
      <w:r>
        <w:t>ходимым условием в такой ярко выраженной системе президентского правл</w:t>
      </w:r>
      <w:r>
        <w:t>е</w:t>
      </w:r>
      <w:r>
        <w:t>ния, как чилийская. В вопросе урегулирования такой проблемы, как развод, правительство президента Лагоса заняло более прагматичную позицию, кот</w:t>
      </w:r>
      <w:r>
        <w:t>о</w:t>
      </w:r>
      <w:r>
        <w:t>рая способствует преод</w:t>
      </w:r>
      <w:r>
        <w:t>о</w:t>
      </w:r>
      <w:r>
        <w:t xml:space="preserve">лению указанных выше препятствий.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68.</w:t>
      </w:r>
      <w:r>
        <w:tab/>
        <w:t>Когда сопротивление представителей различных слоев чилийского общ</w:t>
      </w:r>
      <w:r>
        <w:t>е</w:t>
      </w:r>
      <w:r>
        <w:t>ства юридическому признанию развода стало ослабевать, в стране начали пр</w:t>
      </w:r>
      <w:r>
        <w:t>о</w:t>
      </w:r>
      <w:r>
        <w:t>водить опросы общественного мнения, результаты которых показали, что большинство населения выступает за юридическое признание развода</w:t>
      </w:r>
      <w:r>
        <w:rPr>
          <w:rStyle w:val="FootnoteReference"/>
        </w:rPr>
        <w:footnoteReference w:id="25"/>
      </w:r>
      <w:r>
        <w:t>. Все это обеспечило поддержку новому законопроекту, рассмотрение которого в парламенте находится в настоящее время на весьма продвинутом эт</w:t>
      </w:r>
      <w:r>
        <w:t>а</w:t>
      </w:r>
      <w:r>
        <w:t xml:space="preserve">пе.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69.</w:t>
      </w:r>
      <w:r>
        <w:tab/>
      </w:r>
      <w:r>
        <w:rPr>
          <w:b/>
        </w:rPr>
        <w:t>Проект закона</w:t>
      </w:r>
      <w:r>
        <w:rPr>
          <w:rStyle w:val="FootnoteReference"/>
        </w:rPr>
        <w:footnoteReference w:id="26"/>
      </w:r>
      <w:r>
        <w:rPr>
          <w:b/>
        </w:rPr>
        <w:t>, изменяющего различные правовые документы в ц</w:t>
      </w:r>
      <w:r>
        <w:rPr>
          <w:b/>
        </w:rPr>
        <w:t>е</w:t>
      </w:r>
      <w:r>
        <w:rPr>
          <w:b/>
        </w:rPr>
        <w:t>лях содействия праву женщин на участие в жизни общества.</w:t>
      </w:r>
      <w:r>
        <w:t xml:space="preserve"> Проект пр</w:t>
      </w:r>
      <w:r>
        <w:t>и</w:t>
      </w:r>
      <w:r>
        <w:t>зван установить систему квот в конституционных законах, касающихся пол</w:t>
      </w:r>
      <w:r>
        <w:t>и</w:t>
      </w:r>
      <w:r>
        <w:t>тических партий, проведения всеобщих выборов и подсчета голосов, а также деятельности муниципалитетов.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70.</w:t>
      </w:r>
      <w:r>
        <w:tab/>
        <w:t>В своих замечания по третьему докладу Комитет заявил, что "</w:t>
      </w:r>
      <w:r>
        <w:rPr>
          <w:i/>
        </w:rPr>
        <w:t>обеспокоен низкой представленностью женщин в политических органах и органах гос</w:t>
      </w:r>
      <w:r>
        <w:rPr>
          <w:i/>
        </w:rPr>
        <w:t>у</w:t>
      </w:r>
      <w:r>
        <w:rPr>
          <w:i/>
        </w:rPr>
        <w:t>дарственного управления, особенно на руководящем уровне</w:t>
      </w:r>
      <w:r>
        <w:t>". "</w:t>
      </w:r>
      <w:r>
        <w:rPr>
          <w:i/>
        </w:rPr>
        <w:t>Комитет н</w:t>
      </w:r>
      <w:r>
        <w:rPr>
          <w:i/>
        </w:rPr>
        <w:t>а</w:t>
      </w:r>
      <w:r>
        <w:rPr>
          <w:i/>
        </w:rPr>
        <w:t>стоятельно призывает правительство активизировать принимаемые меры на основе разработки всеобъемлющих стратегий, включая временные специал</w:t>
      </w:r>
      <w:r>
        <w:rPr>
          <w:i/>
        </w:rPr>
        <w:t>ь</w:t>
      </w:r>
      <w:r>
        <w:rPr>
          <w:i/>
        </w:rPr>
        <w:t>ные м</w:t>
      </w:r>
      <w:r>
        <w:rPr>
          <w:i/>
        </w:rPr>
        <w:t>е</w:t>
      </w:r>
      <w:r>
        <w:rPr>
          <w:i/>
        </w:rPr>
        <w:t>ры</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71.</w:t>
      </w:r>
      <w:r>
        <w:tab/>
        <w:t>В этой связи следует отметить, что предлагаемый проект об изменении закона, регулирующего создание и деятельность политических партий, пред</w:t>
      </w:r>
      <w:r>
        <w:t>у</w:t>
      </w:r>
      <w:r>
        <w:t>сматривает необходимость установления процедур, которые гарантировали бы такое положение, при котором представители того или иного пола могли бы з</w:t>
      </w:r>
      <w:r>
        <w:t>а</w:t>
      </w:r>
      <w:r>
        <w:t>нимать не более 60 процентов всех руководящих постов в этих партиях. Что касается предлагаемой системы квот в соответствии с "паритетной демократ</w:t>
      </w:r>
      <w:r>
        <w:t>и</w:t>
      </w:r>
      <w:r>
        <w:t>ей" на парламентских и муниципальных выборах, то в проекте предусматрив</w:t>
      </w:r>
      <w:r>
        <w:t>а</w:t>
      </w:r>
      <w:r>
        <w:t>ется, что в числе выдвигаемых кандидатов должно быть не более 60 процентов предст</w:t>
      </w:r>
      <w:r>
        <w:t>а</w:t>
      </w:r>
      <w:r>
        <w:t>вителей того или иного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72.</w:t>
      </w:r>
      <w:r>
        <w:tab/>
        <w:t>И тем не менее, несмотря на важность этого проекта, начать его обсужд</w:t>
      </w:r>
      <w:r>
        <w:t>е</w:t>
      </w:r>
      <w:r>
        <w:t>ние в парламенте оказалось нелегко. Это объясняется тем, что депутаты и даже некоторые руководители политических партий и общественные деятели не сч</w:t>
      </w:r>
      <w:r>
        <w:t>и</w:t>
      </w:r>
      <w:r>
        <w:t>тают этот вопрос достаточно важным и первоочередным.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73.</w:t>
      </w:r>
      <w:r>
        <w:tab/>
      </w:r>
      <w:r>
        <w:rPr>
          <w:b/>
        </w:rPr>
        <w:t>Закон 19582</w:t>
      </w:r>
      <w:r>
        <w:rPr>
          <w:rStyle w:val="FootnoteReference"/>
        </w:rPr>
        <w:footnoteReference w:id="27"/>
      </w:r>
      <w:r>
        <w:rPr>
          <w:b/>
        </w:rPr>
        <w:t>, который изменяет Конституционный закон о муниц</w:t>
      </w:r>
      <w:r>
        <w:rPr>
          <w:b/>
        </w:rPr>
        <w:t>и</w:t>
      </w:r>
      <w:r>
        <w:rPr>
          <w:b/>
        </w:rPr>
        <w:t>палитетах и устанавливает право женщин на занятие должности мэра и назначать на свое место исполняющего обязанности на время отпуска по беременности и в связи с рождением ребенка</w:t>
      </w:r>
      <w:r>
        <w:t xml:space="preserve"> на срок до 130 дней. Раньше такое назначение производил муниципальный совет из числа своих членов, причем это мог быть представитель других политических партий или член с</w:t>
      </w:r>
      <w:r>
        <w:t>о</w:t>
      </w:r>
      <w:r>
        <w:t>вета, избранный по другим спискам, что приводило к нарушению функцион</w:t>
      </w:r>
      <w:r>
        <w:t>и</w:t>
      </w:r>
      <w:r>
        <w:t>рования совета в т</w:t>
      </w:r>
      <w:r>
        <w:t>е</w:t>
      </w:r>
      <w:r>
        <w:t>чение всего отпускного периода.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Изменение трудового законодательства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74.</w:t>
      </w:r>
      <w:r>
        <w:tab/>
        <w:t>Правительство направило в парламент многочисленные законодательные инициативы, призванные устранить существующую несправедливость или улучшить положение трудящихся, в том числе женщин. Все эти инициативы активно обсуждались в парламенте, и в результате были одобрены законы, пр</w:t>
      </w:r>
      <w:r>
        <w:t>е</w:t>
      </w:r>
      <w:r>
        <w:t>дусматривающие выполнение некоторых международных обязательств, однако другие, по мн</w:t>
      </w:r>
      <w:r>
        <w:t>е</w:t>
      </w:r>
      <w:r>
        <w:t>нию правительства столь же важные, приняты не были.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75.</w:t>
      </w:r>
      <w:r>
        <w:tab/>
        <w:t xml:space="preserve">В числе упомянутых законодательных инициатив можно выделить </w:t>
      </w:r>
      <w:r>
        <w:rPr>
          <w:b/>
        </w:rPr>
        <w:t>Закон № 19759</w:t>
      </w:r>
      <w:r>
        <w:rPr>
          <w:rStyle w:val="FootnoteReference"/>
        </w:rPr>
        <w:footnoteReference w:id="28"/>
      </w:r>
      <w:r>
        <w:t>,</w:t>
      </w:r>
      <w:r>
        <w:rPr>
          <w:b/>
        </w:rPr>
        <w:t xml:space="preserve"> который изменяет положения Трудового кодекса</w:t>
      </w:r>
      <w:r>
        <w:t xml:space="preserve"> в аспектах, к</w:t>
      </w:r>
      <w:r>
        <w:t>а</w:t>
      </w:r>
      <w:r>
        <w:t xml:space="preserve">сающихся: </w:t>
      </w:r>
    </w:p>
    <w:p w:rsidR="00000000" w:rsidRDefault="00000000">
      <w:pPr>
        <w:pStyle w:val="SingleTxt"/>
        <w:numPr>
          <w:ilvl w:val="0"/>
          <w:numId w:val="293"/>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num" w:pos="1987"/>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987"/>
      </w:pPr>
      <w:r>
        <w:t>уважения индивидуальных прав трудящихся на предприятиях;</w:t>
      </w:r>
    </w:p>
    <w:p w:rsidR="00000000" w:rsidRDefault="00000000">
      <w:pPr>
        <w:pStyle w:val="SingleTxt"/>
        <w:numPr>
          <w:ilvl w:val="0"/>
          <w:numId w:val="293"/>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num" w:pos="1987"/>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987"/>
      </w:pPr>
      <w:r>
        <w:t>сокращения продолжительности рабочего дня;</w:t>
      </w:r>
    </w:p>
    <w:p w:rsidR="00000000" w:rsidRDefault="00000000">
      <w:pPr>
        <w:pStyle w:val="SingleTxt"/>
        <w:numPr>
          <w:ilvl w:val="0"/>
          <w:numId w:val="293"/>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num" w:pos="1987"/>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987"/>
      </w:pPr>
      <w:r>
        <w:t>защиты и укрепления права трудящихся на создание профсоюзных объ</w:t>
      </w:r>
      <w:r>
        <w:t>е</w:t>
      </w:r>
      <w:r>
        <w:t>дин</w:t>
      </w:r>
      <w:r>
        <w:t>е</w:t>
      </w:r>
      <w:r>
        <w:t>ний;</w:t>
      </w:r>
    </w:p>
    <w:p w:rsidR="00000000" w:rsidRDefault="00000000">
      <w:pPr>
        <w:pStyle w:val="SingleTxt"/>
        <w:numPr>
          <w:ilvl w:val="0"/>
          <w:numId w:val="293"/>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num" w:pos="1987"/>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987"/>
      </w:pPr>
      <w:r>
        <w:t>защиты интересов трудящихся в ходе и после процесса коллективных п</w:t>
      </w:r>
      <w:r>
        <w:t>е</w:t>
      </w:r>
      <w:r>
        <w:t>реговоров;</w:t>
      </w:r>
    </w:p>
    <w:p w:rsidR="00000000" w:rsidRDefault="00000000">
      <w:pPr>
        <w:pStyle w:val="SingleTxt"/>
        <w:numPr>
          <w:ilvl w:val="0"/>
          <w:numId w:val="293"/>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num" w:pos="1987"/>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987"/>
      </w:pPr>
      <w:r>
        <w:t>регулирования новых форм занятости; и</w:t>
      </w:r>
    </w:p>
    <w:p w:rsidR="00000000" w:rsidRDefault="00000000">
      <w:pPr>
        <w:pStyle w:val="SingleTxt"/>
        <w:numPr>
          <w:ilvl w:val="0"/>
          <w:numId w:val="293"/>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num" w:pos="1987"/>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987"/>
      </w:pPr>
      <w:r>
        <w:t>усиления контрольных функций Главного управления по труду.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76.</w:t>
      </w:r>
      <w:r>
        <w:tab/>
        <w:t>В этом Законе предусматриваются новые формы трудовых договоров, к</w:t>
      </w:r>
      <w:r>
        <w:t>о</w:t>
      </w:r>
      <w:r>
        <w:t>торые содействуют найму женщин и обеспечивают их социальные права. Так, запрещается дискриминационная практика приема на работу; в Трудовой к</w:t>
      </w:r>
      <w:r>
        <w:t>о</w:t>
      </w:r>
      <w:r>
        <w:t>декс включены две новые нормы, которые способствуют обеспечению защиты тех, кто работает на дому, и недвусмысленно признается "телетруд". Другим важным для женщин аспектом с точки зрения трудностей обеспечения совме</w:t>
      </w:r>
      <w:r>
        <w:t>с</w:t>
      </w:r>
      <w:r>
        <w:t>тимости ролей является сокращение рабочей недели. В этом плане были пер</w:t>
      </w:r>
      <w:r>
        <w:t>е</w:t>
      </w:r>
      <w:r>
        <w:t>смотрены сл</w:t>
      </w:r>
      <w:r>
        <w:t>е</w:t>
      </w:r>
      <w:r>
        <w:t>дующие аспекты:</w:t>
      </w:r>
    </w:p>
    <w:p w:rsidR="00000000" w:rsidRDefault="00000000">
      <w:pPr>
        <w:pStyle w:val="SingleTxt"/>
        <w:numPr>
          <w:ilvl w:val="0"/>
          <w:numId w:val="300"/>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с 1 января 2005 года сокращается продолжительность рабочей недели с 48 до 46 часов;</w:t>
      </w:r>
    </w:p>
    <w:p w:rsidR="00000000" w:rsidRDefault="00000000">
      <w:pPr>
        <w:pStyle w:val="SingleTxt"/>
        <w:numPr>
          <w:ilvl w:val="0"/>
          <w:numId w:val="29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вновь устанавливается 48-часовая рабочая неделя, а с 2005 года - 46</w:t>
      </w:r>
      <w:r>
        <w:noBreakHyphen/>
        <w:t>часовая рабочая неделя для работников телеграфной, телефонной и т</w:t>
      </w:r>
      <w:r>
        <w:t>е</w:t>
      </w:r>
      <w:r>
        <w:t>лексной связи, служб энерго- и водоснабжения и театров; это изменение касается также лиц, работающих в гостиницах, ресторанах и клубах, кот</w:t>
      </w:r>
      <w:r>
        <w:t>о</w:t>
      </w:r>
      <w:r>
        <w:t xml:space="preserve">рые по-прежнему будут работать десять часов в день, однако будут заняты лишь пять дней в неделю; </w:t>
      </w:r>
    </w:p>
    <w:p w:rsidR="00000000" w:rsidRDefault="00000000">
      <w:pPr>
        <w:pStyle w:val="SingleTxt"/>
        <w:numPr>
          <w:ilvl w:val="0"/>
          <w:numId w:val="29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сверхурочная работа ограничивается двумя часами в день и соглашение о сверхурочной работе должно оформляться письменно;</w:t>
      </w:r>
    </w:p>
    <w:p w:rsidR="00000000" w:rsidRDefault="00000000">
      <w:pPr>
        <w:pStyle w:val="SingleTxt"/>
        <w:numPr>
          <w:ilvl w:val="0"/>
          <w:numId w:val="29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для работников торговли устанавливаются два выходных дня в месяц, к</w:t>
      </w:r>
      <w:r>
        <w:t>о</w:t>
      </w:r>
      <w:r>
        <w:t>торые должны выпадать на два воскресных дня и их нельзя накапливать;</w:t>
      </w:r>
    </w:p>
    <w:p w:rsidR="00000000" w:rsidRDefault="00000000">
      <w:pPr>
        <w:pStyle w:val="SingleTxt"/>
        <w:numPr>
          <w:ilvl w:val="0"/>
          <w:numId w:val="29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регулируется работа на полставки;</w:t>
      </w:r>
    </w:p>
    <w:p w:rsidR="00000000" w:rsidRDefault="00000000">
      <w:pPr>
        <w:pStyle w:val="SingleTxt"/>
        <w:numPr>
          <w:ilvl w:val="0"/>
          <w:numId w:val="29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новый закон устанавливает ясные нормы в отношении сезонных сельск</w:t>
      </w:r>
      <w:r>
        <w:t>о</w:t>
      </w:r>
      <w:r>
        <w:t>хозяйственных рабочих и улучшает условия их труда</w:t>
      </w:r>
      <w:r>
        <w:rPr>
          <w:rStyle w:val="FootnoteReference"/>
        </w:rPr>
        <w:footnoteReference w:id="29"/>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pPr>
      <w:r>
        <w:t>В частности, устанавливается, что: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pPr>
      <w:r>
        <w:t>-</w:t>
      </w:r>
      <w:r>
        <w:tab/>
        <w:t>лица, которые выступают в роли посредников сельскохозяйственных рабочих, а также тех, кто оказывают услуги торговым или агропромы</w:t>
      </w:r>
      <w:r>
        <w:t>ш</w:t>
      </w:r>
      <w:r>
        <w:t>ленным предприятиям, связанным с сельским хозяйством, должны регис</w:t>
      </w:r>
      <w:r>
        <w:t>т</w:t>
      </w:r>
      <w:r>
        <w:t>рироваться в специальном реестре, который ведет с этой целью соответс</w:t>
      </w:r>
      <w:r>
        <w:t>т</w:t>
      </w:r>
      <w:r>
        <w:t>вующая трудовая инспекция. Тем самым узаконивается положение сел</w:t>
      </w:r>
      <w:r>
        <w:t>ь</w:t>
      </w:r>
      <w:r>
        <w:t>скохозяйственных сцепщиков, что обеспечивает более широкие гарантии для занятых в этом секторе сезонных рабочих. Таким образом, Главное управление по труду сможет следить за соблюдением норм, регулирующих труд этих операторов. Эта норма должна улучшить также условия без</w:t>
      </w:r>
      <w:r>
        <w:t>о</w:t>
      </w:r>
      <w:r>
        <w:t>пасности при переброске рабочих, которых привлекают эти посреднич</w:t>
      </w:r>
      <w:r>
        <w:t>е</w:t>
      </w:r>
      <w:r>
        <w:t>ские компании;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pPr>
      <w:r>
        <w:t>-</w:t>
      </w:r>
      <w:r>
        <w:tab/>
        <w:t>в случаях, когда эти рабочие не имеют возможности возвращаться после работы домой, работодатель обязан за свой счет обеспечить для них надлежащие условия, отвечающие требованиям гигиены; обеспечить у</w:t>
      </w:r>
      <w:r>
        <w:t>с</w:t>
      </w:r>
      <w:r>
        <w:t>ловия для хранения продуктов, приготовления пищи и питания или обе</w:t>
      </w:r>
      <w:r>
        <w:t>с</w:t>
      </w:r>
      <w:r>
        <w:t>печивать их такими продуктами, если они не в состоянии приобретать их сами, а также обеспечивать их общественным транспортом, если они ж</w:t>
      </w:r>
      <w:r>
        <w:t>и</w:t>
      </w:r>
      <w:r>
        <w:t>вут на расстоянии более трех километров от места раб</w:t>
      </w:r>
      <w:r>
        <w:t>о</w:t>
      </w:r>
      <w:r>
        <w:t>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1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pPr>
      <w:r>
        <w:t>-</w:t>
      </w:r>
      <w:r>
        <w:tab/>
        <w:t>профсоюзам сельскохозяйственных сезонных рабочих предоставл</w:t>
      </w:r>
      <w:r>
        <w:t>я</w:t>
      </w:r>
      <w:r>
        <w:t>ется право представлять проект коллективного договора для проведения на его основе переговоров с работодателями до начала сезонных работ. На этих переговорах могут обсуждаться общие нормы труда, а также вопрос о выплате вознаграждений, в частности аспекты, касающиеся рисков, сан</w:t>
      </w:r>
      <w:r>
        <w:t>и</w:t>
      </w:r>
      <w:r>
        <w:t>тарии и безопасности; распорядок рабочего дня; нормы питания, переезда, проживания и ухода за малолетними. На этих переговорах можно также обсуждать нормы минимального вознаграждения, которые будут действ</w:t>
      </w:r>
      <w:r>
        <w:t>о</w:t>
      </w:r>
      <w:r>
        <w:t xml:space="preserve">вать в отношении рабочих, объединенных в профсоюз, а также обсуждать вопрос о формах и методах выполнения согласованных условий труда и занятости. Кроме того, в новом законе устанавливается, что работодатели, земельные участки которых или помещения для расфасовки находятся в одном месте, могут создавать и обеспечивать функционирование в течение всего сезона детских яслей для детей работниц.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77.</w:t>
      </w:r>
      <w:r>
        <w:tab/>
        <w:t>Эти законодательные инициативы наряду с теми, что будут рассмотрены в разделе, посвященном социально-экономическим правам женщин, призваны улучшить неблагоприятное положение этих работниц в трудовой сфере. Кроме того, они должны содействовать принятию мер, которые помогли бы развеять озабоченность, выраженную Комитетом КЛДЖ в его замечаниях по предыд</w:t>
      </w:r>
      <w:r>
        <w:t>у</w:t>
      </w:r>
      <w:r>
        <w:t>щему докладу, в которых, в частности, указывается: "</w:t>
      </w:r>
      <w:r>
        <w:rPr>
          <w:i/>
        </w:rPr>
        <w:t>Комитет также выр</w:t>
      </w:r>
      <w:r>
        <w:rPr>
          <w:i/>
        </w:rPr>
        <w:t>а</w:t>
      </w:r>
      <w:r>
        <w:rPr>
          <w:i/>
        </w:rPr>
        <w:t>жает озабоченность тем, что, несмотря на приложенные НУДЖ усилия, с</w:t>
      </w:r>
      <w:r>
        <w:rPr>
          <w:i/>
        </w:rPr>
        <w:t>е</w:t>
      </w:r>
      <w:r>
        <w:rPr>
          <w:i/>
        </w:rPr>
        <w:t>зонные рабочие-женщины находятся с точки зрения их условий труда, зан</w:t>
      </w:r>
      <w:r>
        <w:rPr>
          <w:i/>
        </w:rPr>
        <w:t>я</w:t>
      </w:r>
      <w:r>
        <w:rPr>
          <w:i/>
        </w:rPr>
        <w:t>тости и условий для ухода за детьми в особенно затруднительном полож</w:t>
      </w:r>
      <w:r>
        <w:rPr>
          <w:i/>
        </w:rPr>
        <w:t>е</w:t>
      </w:r>
      <w:r>
        <w:rPr>
          <w:i/>
        </w:rPr>
        <w:t>нии</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rPr>
          <w:b/>
          <w:u w:val="single"/>
        </w:rPr>
      </w:pPr>
      <w:r>
        <w:rPr>
          <w:b/>
          <w:u w:val="single"/>
        </w:rPr>
        <w:t>Защита материнства и общая ответственность за развитие и обучение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78.</w:t>
      </w:r>
      <w:r>
        <w:tab/>
      </w:r>
      <w:r>
        <w:rPr>
          <w:b/>
        </w:rPr>
        <w:t>Закон № 19670</w:t>
      </w:r>
      <w:r>
        <w:rPr>
          <w:rStyle w:val="FootnoteReference"/>
        </w:rPr>
        <w:footnoteReference w:id="30"/>
      </w:r>
      <w:r>
        <w:rPr>
          <w:b/>
        </w:rPr>
        <w:t>, в соответствии с которым женщинам и мужчинам - овдовевшим или не состоящим в браке, - которые заявили в суде о своем желании усыновить ребенка, предоставлено право на дополнительный о</w:t>
      </w:r>
      <w:r>
        <w:rPr>
          <w:b/>
        </w:rPr>
        <w:t>т</w:t>
      </w:r>
      <w:r>
        <w:rPr>
          <w:b/>
        </w:rPr>
        <w:t>пуск сроком до одного года</w:t>
      </w:r>
      <w:r>
        <w:t xml:space="preserve"> в соответствии с положениями закона об усыно</w:t>
      </w:r>
      <w:r>
        <w:t>в</w:t>
      </w:r>
      <w:r>
        <w:t>лении. Срок отпуска исчисляется с того момента, когда судья выносит решение о предоставлении этим работникам права на воспитание ребенка или защиту его и</w:t>
      </w:r>
      <w:r>
        <w:t>н</w:t>
      </w:r>
      <w:r>
        <w:t>тересов.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79.</w:t>
      </w:r>
      <w:r>
        <w:tab/>
        <w:t>Кроме того, этот Закон предоставляет право на дополнительный отпуск до одного года по уходу за ребенком также на отца в связи со смертью матери. Х</w:t>
      </w:r>
      <w:r>
        <w:t>о</w:t>
      </w:r>
      <w:r>
        <w:t>тя закон № 19250 от 1993 года предоставлял отцу право на послеродовой о</w:t>
      </w:r>
      <w:r>
        <w:t>т</w:t>
      </w:r>
      <w:r>
        <w:t>пуск в случае смерти матери во время родов или во время ее пребывания в этом отпуске, он не распространял на отца право, которым пользуется работающая женщина, в соответствии с которым ее не могут уволить с работы в течение одного года после окончания послеродового отпуска. В указанном законе сд</w:t>
      </w:r>
      <w:r>
        <w:t>е</w:t>
      </w:r>
      <w:r>
        <w:t>лана попытка уравнять в правах отцов, которые пользуются правом на посл</w:t>
      </w:r>
      <w:r>
        <w:t>е</w:t>
      </w:r>
      <w:r>
        <w:t>родовой отпуск в связи со смертью матери, распространяя право на дополн</w:t>
      </w:r>
      <w:r>
        <w:t>и</w:t>
      </w:r>
      <w:r>
        <w:t>тельный отпуск и на них.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80.</w:t>
      </w:r>
      <w:r>
        <w:tab/>
      </w:r>
      <w:r>
        <w:rPr>
          <w:b/>
        </w:rPr>
        <w:t>Проект закона</w:t>
      </w:r>
      <w:r>
        <w:rPr>
          <w:rStyle w:val="FootnoteReference"/>
        </w:rPr>
        <w:footnoteReference w:id="31"/>
      </w:r>
      <w:r>
        <w:rPr>
          <w:b/>
        </w:rPr>
        <w:t>, который позволяет более гибко использовать отпуск по уходу за ребенком.</w:t>
      </w:r>
      <w:r>
        <w:t xml:space="preserve"> Цель проекта состоит в том, чтобы внести изменения в положения, касающиеся права на использование дородового отпуска, и позв</w:t>
      </w:r>
      <w:r>
        <w:t>о</w:t>
      </w:r>
      <w:r>
        <w:t>лить, с предварительного разрешения врачей, переносить часть этого отпуска - до трех недель - на послеродовой период и дать возможность работать в теч</w:t>
      </w:r>
      <w:r>
        <w:t>е</w:t>
      </w:r>
      <w:r>
        <w:t>ние дополнительного времени неполный рабочий день, чтобы таким образом несколько продлить период грудного вскармлив</w:t>
      </w:r>
      <w:r>
        <w:t>а</w:t>
      </w:r>
      <w:r>
        <w:t>ния новорожденного.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81.</w:t>
      </w:r>
      <w:r>
        <w:tab/>
      </w:r>
      <w:r>
        <w:rPr>
          <w:b/>
        </w:rPr>
        <w:t>Проект закона</w:t>
      </w:r>
      <w:r>
        <w:rPr>
          <w:rStyle w:val="FootnoteReference"/>
        </w:rPr>
        <w:footnoteReference w:id="32"/>
      </w:r>
      <w:r>
        <w:rPr>
          <w:b/>
        </w:rPr>
        <w:t xml:space="preserve">, который распространяет право на кормление детей до двух лет на всех работающих женщин. </w:t>
      </w:r>
      <w:r>
        <w:t>Цель проекта состоит в том, чтобы распространить предоставленное работающим женщинам право на кормление два раза по полчаса в день своих детей, не достигших двухлетнего возраста, на всех работающих женщин, независимо от того, могут они пользоваться усл</w:t>
      </w:r>
      <w:r>
        <w:t>у</w:t>
      </w:r>
      <w:r>
        <w:t>гами детских яслей или нет.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82.</w:t>
      </w:r>
      <w:r>
        <w:tab/>
      </w:r>
      <w:r>
        <w:rPr>
          <w:b/>
        </w:rPr>
        <w:t>Закон о происхождении № 19585</w:t>
      </w:r>
      <w:r>
        <w:rPr>
          <w:rStyle w:val="FootnoteReference"/>
        </w:rPr>
        <w:footnoteReference w:id="33"/>
      </w:r>
      <w:r>
        <w:rPr>
          <w:b/>
        </w:rPr>
        <w:t>, который изменяет Гражданский кодекс и другие юридические документы по вопросам происхождения</w:t>
      </w:r>
      <w:r>
        <w:t xml:space="preserve"> и в котором устанавливается равный статус для всех детей независимо от того, р</w:t>
      </w:r>
      <w:r>
        <w:t>о</w:t>
      </w:r>
      <w:r>
        <w:t>дились они в браке или вне брака, чем обеспечивается их полное равенство п</w:t>
      </w:r>
      <w:r>
        <w:t>е</w:t>
      </w:r>
      <w:r>
        <w:t>ред законом. В нем также закрепляется принцип личности и свободного уст</w:t>
      </w:r>
      <w:r>
        <w:t>а</w:t>
      </w:r>
      <w:r>
        <w:t>новления как отцовства, так и материнства, а также возможность добиваться через суд признания отцовства или материнства.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83.</w:t>
      </w:r>
      <w:r>
        <w:tab/>
        <w:t>Закон устанавливает, что воспитанием детей должны заниматься оба р</w:t>
      </w:r>
      <w:r>
        <w:t>о</w:t>
      </w:r>
      <w:r>
        <w:t>дителя, если только они не проживают раздельно, и в этом случае детей оста</w:t>
      </w:r>
      <w:r>
        <w:t>в</w:t>
      </w:r>
      <w:r>
        <w:t>ляют на воспитание главным образом матери, хотя при наличии определенных ограничений судья может оставить ребенка с отцом. Вместе с тем в этом законе закреплена касающаяся отцовской власти норма, которая по-прежнему являе</w:t>
      </w:r>
      <w:r>
        <w:t>т</w:t>
      </w:r>
      <w:r>
        <w:t>ся дискриминационной по отношению к женщине, поскольку до тех пор, пока родители живут вместе, родительская власть признается за отцом, а в случае раздельного проживания - за родителем, на воспитании которого находятся д</w:t>
      </w:r>
      <w:r>
        <w:t>е</w:t>
      </w:r>
      <w:r>
        <w:t>ти, т.е., как правило, за матерью. Тем не менее практическое применение этой нормы сопряжено с определенными трудностями из-за того, что женщине б</w:t>
      </w:r>
      <w:r>
        <w:t>ы</w:t>
      </w:r>
      <w:r>
        <w:t>вает нелегко доказать факт раздельного проживания супругов, в результате чего зачастую по-прежнему требуется присутствие отца, например, для совершения имущественных сделок, которые затрагивают судьбу несовершеннолетнего р</w:t>
      </w:r>
      <w:r>
        <w:t>е</w:t>
      </w:r>
      <w:r>
        <w:t xml:space="preserve">бенка.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84.</w:t>
      </w:r>
      <w:r>
        <w:tab/>
      </w:r>
      <w:r>
        <w:rPr>
          <w:b/>
        </w:rPr>
        <w:t>Закон № 19711</w:t>
      </w:r>
      <w:r>
        <w:rPr>
          <w:rStyle w:val="FootnoteReference"/>
        </w:rPr>
        <w:footnoteReference w:id="34"/>
      </w:r>
      <w:r>
        <w:rPr>
          <w:b/>
        </w:rPr>
        <w:t>, который регулирует право посещения детей, нах</w:t>
      </w:r>
      <w:r>
        <w:rPr>
          <w:b/>
        </w:rPr>
        <w:t>о</w:t>
      </w:r>
      <w:r>
        <w:rPr>
          <w:b/>
        </w:rPr>
        <w:t xml:space="preserve">дящихся на попечение одного из родителей. </w:t>
      </w:r>
      <w:r>
        <w:t>Цель закона состоит в том, чт</w:t>
      </w:r>
      <w:r>
        <w:t>о</w:t>
      </w:r>
      <w:r>
        <w:t>бы обеспечить беспрепятственное и своевременное осуществление права род</w:t>
      </w:r>
      <w:r>
        <w:t>и</w:t>
      </w:r>
      <w:r>
        <w:t>телей, которые живут отдельно от своих детей, регулярно поддерживать с ними непосредс</w:t>
      </w:r>
      <w:r>
        <w:t>т</w:t>
      </w:r>
      <w:r>
        <w:t xml:space="preserve">венные отношения.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85.</w:t>
      </w:r>
      <w:r>
        <w:tab/>
      </w:r>
      <w:r>
        <w:rPr>
          <w:b/>
        </w:rPr>
        <w:t>Закон № 19591</w:t>
      </w:r>
      <w:r>
        <w:rPr>
          <w:rStyle w:val="FootnoteReference"/>
        </w:rPr>
        <w:footnoteReference w:id="35"/>
      </w:r>
      <w:r>
        <w:rPr>
          <w:b/>
        </w:rPr>
        <w:t>, который изменяет Трудовой кодекс в вопросах о</w:t>
      </w:r>
      <w:r>
        <w:rPr>
          <w:b/>
        </w:rPr>
        <w:t>х</w:t>
      </w:r>
      <w:r>
        <w:rPr>
          <w:b/>
        </w:rPr>
        <w:t>раны материнства.</w:t>
      </w:r>
      <w:r>
        <w:t xml:space="preserve"> Закон запрещает ограничивать права женщин при приеме на работу, на перевод на другую работу, на повышение по службе и возобно</w:t>
      </w:r>
      <w:r>
        <w:t>в</w:t>
      </w:r>
      <w:r>
        <w:t>ление трудовой деятельности в связи с беременностью. Из него изъято также ограничение, распространявшееся на надомных работниц, которые не имели права на отпуск в связи с рождением ребенка. В нем также расширяется право на пользование яслями для того, чтобы этими услугами могли пользоваться р</w:t>
      </w:r>
      <w:r>
        <w:t>а</w:t>
      </w:r>
      <w:r>
        <w:t>ботающие женщины</w:t>
      </w:r>
      <w:r>
        <w:rPr>
          <w:rStyle w:val="FootnoteReference"/>
        </w:rPr>
        <w:footnoteReference w:id="36"/>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u w:val="single"/>
        </w:rPr>
        <w:t>Гражданская правоспособность и ее реализация</w:t>
      </w:r>
      <w:r>
        <w:rPr>
          <w:b/>
        </w:rPr>
        <w:t xml:space="preserve"> (пункты 2 и 3 статьи 15 и подпункт </w:t>
      </w:r>
      <w:r>
        <w:rPr>
          <w:b/>
          <w:lang w:val="en-US"/>
        </w:rPr>
        <w:t>h</w:t>
      </w:r>
      <w:r>
        <w:rPr>
          <w:b/>
        </w:rPr>
        <w:t>) статьи 16)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86.</w:t>
      </w:r>
      <w:r>
        <w:tab/>
      </w:r>
      <w:r>
        <w:rPr>
          <w:b/>
        </w:rPr>
        <w:t>Проект закона</w:t>
      </w:r>
      <w:r>
        <w:rPr>
          <w:rStyle w:val="FootnoteReference"/>
        </w:rPr>
        <w:footnoteReference w:id="37"/>
      </w:r>
      <w:r>
        <w:t>,</w:t>
      </w:r>
      <w:r>
        <w:rPr>
          <w:b/>
        </w:rPr>
        <w:t xml:space="preserve"> устанавливающего новый режим правонаследов</w:t>
      </w:r>
      <w:r>
        <w:rPr>
          <w:b/>
        </w:rPr>
        <w:t>а</w:t>
      </w:r>
      <w:r>
        <w:rPr>
          <w:b/>
        </w:rPr>
        <w:t xml:space="preserve">ния, который заменяет режим общей совместной собственности супругов. </w:t>
      </w:r>
      <w:r>
        <w:t>Этот проект изменяет положения Гражданского кодекса и других законов, д</w:t>
      </w:r>
      <w:r>
        <w:t>о</w:t>
      </w:r>
      <w:r>
        <w:t>полняющих законодательство, касающееся общей совместной собственности супругов или общего имущества, приобретенного в браке, который устанавл</w:t>
      </w:r>
      <w:r>
        <w:t>и</w:t>
      </w:r>
      <w:r>
        <w:t>вает равные права и обязанности супругов.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87.</w:t>
      </w:r>
      <w:r>
        <w:tab/>
        <w:t>В своих замечаниях, представленных по предыдущему докладу прав</w:t>
      </w:r>
      <w:r>
        <w:t>и</w:t>
      </w:r>
      <w:r>
        <w:t>тельства Чили, Комитет КЛДЖ отмечает, что он "</w:t>
      </w:r>
      <w:r>
        <w:rPr>
          <w:i/>
        </w:rPr>
        <w:t>обеспокоен незащищенн</w:t>
      </w:r>
      <w:r>
        <w:rPr>
          <w:i/>
        </w:rPr>
        <w:t>о</w:t>
      </w:r>
      <w:r>
        <w:rPr>
          <w:i/>
        </w:rPr>
        <w:t>стью женщин в контексте норм семейного права, которые ограничивают, в частности, возможности женщин распоряжаться своим собственным или совместным имуществом</w:t>
      </w:r>
      <w:r>
        <w:t>". В этой связи в упомянутом проекте закона пред</w:t>
      </w:r>
      <w:r>
        <w:t>у</w:t>
      </w:r>
      <w:r>
        <w:t>сматриваются важные и существенные изменения в патримониальном брачном режиме, в соответствии с которыми режим брачного контракта заменяется ра</w:t>
      </w:r>
      <w:r>
        <w:t>в</w:t>
      </w:r>
      <w:r>
        <w:t>ноправным режимом общности имущества, приобретенного в браке. Этот р</w:t>
      </w:r>
      <w:r>
        <w:t>е</w:t>
      </w:r>
      <w:r>
        <w:t>жим общности имущества призван положить конец тому положению, при кот</w:t>
      </w:r>
      <w:r>
        <w:t>о</w:t>
      </w:r>
      <w:r>
        <w:t>ром "муж является главой супружеского союза", и, как таковой, управляет о</w:t>
      </w:r>
      <w:r>
        <w:t>б</w:t>
      </w:r>
      <w:r>
        <w:t>щим имуществом и имуществом своей жены</w:t>
      </w:r>
      <w:r>
        <w:rPr>
          <w:rStyle w:val="FootnoteReference"/>
        </w:rPr>
        <w:footnoteReference w:id="38"/>
      </w:r>
      <w:r>
        <w:t>. Кроме того, в этом проекте з</w:t>
      </w:r>
      <w:r>
        <w:t>а</w:t>
      </w:r>
      <w:r>
        <w:t>кона отменяется институт "удерживаемого имущества"</w:t>
      </w:r>
      <w:r>
        <w:rPr>
          <w:rStyle w:val="FootnoteReference"/>
        </w:rPr>
        <w:footnoteReference w:id="39"/>
      </w:r>
      <w:r>
        <w:t>, который, являясь своего рода компенсацией за то, что муж управляет имуществом, принадлеж</w:t>
      </w:r>
      <w:r>
        <w:t>а</w:t>
      </w:r>
      <w:r>
        <w:t>щим жене, теряет смысл, если она теперь управляет всем принадлежащим ей имущ</w:t>
      </w:r>
      <w:r>
        <w:t>е</w:t>
      </w:r>
      <w:r>
        <w:t>ством.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88.</w:t>
      </w:r>
      <w:r>
        <w:tab/>
        <w:t>Рассмотрение этого проекта идет медленно, если учесть, что оно началось в 1995 году. Причиной этого является то, что во время его рассмотрения в П</w:t>
      </w:r>
      <w:r>
        <w:t>а</w:t>
      </w:r>
      <w:r>
        <w:t>лате депутатов, в него были внесены различные изменения, которые фактич</w:t>
      </w:r>
      <w:r>
        <w:t>е</w:t>
      </w:r>
      <w:r>
        <w:t>ски выхолащивали его суть. В настоящее время исполнительная власть гот</w:t>
      </w:r>
      <w:r>
        <w:t>о</w:t>
      </w:r>
      <w:r>
        <w:t>вится представить еще один проект, который призван дополнить и улучшить первоначальный замысел.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rPr>
          <w:b/>
          <w:u w:val="single"/>
        </w:rPr>
        <w:t>Ратификация международных договоров и соглашений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Международный уголовный суд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89.</w:t>
      </w:r>
      <w:r>
        <w:tab/>
        <w:t>Чили пока не ратифицировала Римский договор; в 2002 году начался пр</w:t>
      </w:r>
      <w:r>
        <w:t>о</w:t>
      </w:r>
      <w:r>
        <w:t>цесс его одобрения парламентом, который затормозился из-за противодействия группы депутатов, направивших запрос в Конституционный суд.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90.</w:t>
      </w:r>
      <w:r>
        <w:tab/>
        <w:t>8 апреля 2002 года Суд постановил, что для одобрения этого Договора, содержащего Римский статут Международного уголовного суда, Национал</w:t>
      </w:r>
      <w:r>
        <w:t>ь</w:t>
      </w:r>
      <w:r>
        <w:t>ным конгрессом и последующей его ратификации Президентом Республики, необходимо внести вначале соответствующие изменения в Конституцию. В постановлении Суда отмечается, что для того чтобы признать суд, облада</w:t>
      </w:r>
      <w:r>
        <w:t>ю</w:t>
      </w:r>
      <w:r>
        <w:t>щий компетенцией для урегулирования конфликтов, которые отнесены в н</w:t>
      </w:r>
      <w:r>
        <w:t>а</w:t>
      </w:r>
      <w:r>
        <w:t>стоящее время к юрисдикции Чили, и включить его в созданные в соответствии с Конституцией властные структуры, согласно статье 74 основного закона с</w:t>
      </w:r>
      <w:r>
        <w:t>о</w:t>
      </w:r>
      <w:r>
        <w:t>вершенно необходимо разрешение законодательной власти; а для того чтобы Международный уголовный суд был наделен компетенцией для рассмотрения преступлений, совершенных в Чили, он должен быть включен в национальную систему на основании соответствующей поправки в Констит</w:t>
      </w:r>
      <w:r>
        <w:t>у</w:t>
      </w:r>
      <w:r>
        <w:t>цию.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91.</w:t>
      </w:r>
      <w:r>
        <w:tab/>
        <w:t>9 апреля 2002 года, на следующий день после того, как Конституционный суд вынес это постановление, правительство направило в Сенат проект конст</w:t>
      </w:r>
      <w:r>
        <w:t>и</w:t>
      </w:r>
      <w:r>
        <w:t>туционной поправки, в которой предлагается принять, как это сделали Фра</w:t>
      </w:r>
      <w:r>
        <w:t>н</w:t>
      </w:r>
      <w:r>
        <w:t>ция, Люксембург, Португалия и Ирландия, временное положение (сорок пе</w:t>
      </w:r>
      <w:r>
        <w:t>р</w:t>
      </w:r>
      <w:r>
        <w:t>вое) и предоставить Государству Чили право признать юрисдикцию Междун</w:t>
      </w:r>
      <w:r>
        <w:t>а</w:t>
      </w:r>
      <w:r>
        <w:t>родного уголовного суда в соответствии с условиями, предусмотренными в Д</w:t>
      </w:r>
      <w:r>
        <w:t>о</w:t>
      </w:r>
      <w:r>
        <w:t>говоре, принятом в Риме 17 июля 1998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Факультативный протокол к Конвенции о ликвидации всех форм дискр</w:t>
      </w:r>
      <w:r>
        <w:rPr>
          <w:b/>
        </w:rPr>
        <w:t>и</w:t>
      </w:r>
      <w:r>
        <w:rPr>
          <w:b/>
        </w:rPr>
        <w:t>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92.</w:t>
      </w:r>
      <w:r>
        <w:tab/>
        <w:t>Процесс ратификации Факультативного протокола к Конвенции о ликв</w:t>
      </w:r>
      <w:r>
        <w:t>и</w:t>
      </w:r>
      <w:r>
        <w:t>дации всех форм дискриминации в отношении женщин, подписанного прав</w:t>
      </w:r>
      <w:r>
        <w:t>и</w:t>
      </w:r>
      <w:r>
        <w:t>тельством Чили в декабре 1999 года, начался с представления 29 января 2001 года Президентом Республики соответствующего проекта Председателю Палаты депутатов. Комиссия по иностранным делам Палаты, рассмотрев з</w:t>
      </w:r>
      <w:r>
        <w:t>а</w:t>
      </w:r>
      <w:r>
        <w:t>ключения правительства и представителей частных организаций</w:t>
      </w:r>
      <w:r>
        <w:rPr>
          <w:rStyle w:val="FootnoteReference"/>
        </w:rPr>
        <w:footnoteReference w:id="40"/>
      </w:r>
      <w:r>
        <w:t xml:space="preserve"> как в по</w:t>
      </w:r>
      <w:r>
        <w:t>д</w:t>
      </w:r>
      <w:r>
        <w:t>держку, так и против р</w:t>
      </w:r>
      <w:r>
        <w:t>а</w:t>
      </w:r>
      <w:r>
        <w:t>тификации, одобрила этот Протокол</w:t>
      </w:r>
      <w:r>
        <w:rPr>
          <w:rStyle w:val="FootnoteReference"/>
        </w:rPr>
        <w:footnoteReference w:id="41"/>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93.</w:t>
      </w:r>
      <w:r>
        <w:tab/>
        <w:t>Палата депутатов, в свою очередь, одобрила этот Протокол на своем пл</w:t>
      </w:r>
      <w:r>
        <w:t>е</w:t>
      </w:r>
      <w:r>
        <w:t>нарном заседании</w:t>
      </w:r>
      <w:r>
        <w:rPr>
          <w:rStyle w:val="FootnoteReference"/>
        </w:rPr>
        <w:footnoteReference w:id="42"/>
      </w:r>
      <w:r>
        <w:t>. Сенат принял факт одобрения Протокола нижней палатой к сведению</w:t>
      </w:r>
      <w:r>
        <w:rPr>
          <w:rStyle w:val="FootnoteReference"/>
        </w:rPr>
        <w:footnoteReference w:id="43"/>
      </w:r>
      <w:r>
        <w:t>. Комиссия по иностранным делам верхней палаты включила этот вопрос в свою повестку дня и в январе 2002 года собралась на свое заседание во время внеочередной сессии</w:t>
      </w:r>
      <w:r>
        <w:rPr>
          <w:rStyle w:val="FootnoteReference"/>
        </w:rPr>
        <w:footnoteReference w:id="44"/>
      </w:r>
      <w:r>
        <w:t>. В этот период повестка дня законодательного органа определяется исполнительной властью, которая и сняла этот проект с пов</w:t>
      </w:r>
      <w:r>
        <w:t>е</w:t>
      </w:r>
      <w:r>
        <w:t>стки дня и до сих пор не включила его вновь.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94.</w:t>
      </w:r>
      <w:r>
        <w:tab/>
        <w:t>Рассмотрение этого вопроса в Палате депутатов средства массовой и</w:t>
      </w:r>
      <w:r>
        <w:t>н</w:t>
      </w:r>
      <w:r>
        <w:t>формации не освещали. Однако после его одобрения нижней палаты рассмо</w:t>
      </w:r>
      <w:r>
        <w:t>т</w:t>
      </w:r>
      <w:r>
        <w:t>рение этого вопроса в сенате сопровождалось активной кампанией в средствах массовой информации, направленной против этого Протокола, которую во</w:t>
      </w:r>
      <w:r>
        <w:t>з</w:t>
      </w:r>
      <w:r>
        <w:t>главляли два основных консорциума печатных изданий в Чили, обладающих большим влиянием и в немалой степени формирующих информационные теле- и радиопрограммы. Аргументы против ратификации Протокола в основном сводились к тому, что он, якобы, предусматривает "сдачу" национального сув</w:t>
      </w:r>
      <w:r>
        <w:t>е</w:t>
      </w:r>
      <w:r>
        <w:t>ренитета такому органу, как Комитет КЛДЖ, который будто бы способен нав</w:t>
      </w:r>
      <w:r>
        <w:t>я</w:t>
      </w:r>
      <w:r>
        <w:t>зать Чили закон, разрешающий аборты. Эти аргументы использовали в сена</w:t>
      </w:r>
      <w:r>
        <w:t>т</w:t>
      </w:r>
      <w:r>
        <w:t>ской комиссии представители церковной иерархии и они широко распростр</w:t>
      </w:r>
      <w:r>
        <w:t>а</w:t>
      </w:r>
      <w:r>
        <w:t>нялись депутатами от оппозиционных консервативных партий и консервати</w:t>
      </w:r>
      <w:r>
        <w:t>в</w:t>
      </w:r>
      <w:r>
        <w:t>ными неправительственными организациями в средствах массовой информ</w:t>
      </w:r>
      <w:r>
        <w:t>а</w:t>
      </w:r>
      <w:r>
        <w:t>ции, а также журналистами и работниками упомянутых средств массовой и</w:t>
      </w:r>
      <w:r>
        <w:t>н</w:t>
      </w:r>
      <w:r>
        <w:t>форм</w:t>
      </w:r>
      <w:r>
        <w:t>а</w:t>
      </w:r>
      <w:r>
        <w:t>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2.</w:t>
      </w:r>
      <w:r>
        <w:tab/>
      </w:r>
      <w:r>
        <w:tab/>
        <w:t xml:space="preserve">Антидискриминационные меры (статьи 2 и 3)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rPr>
          <w:b/>
          <w:u w:val="single"/>
        </w:rPr>
        <w:t>Ликвидация дискриминации в сфере законодательства, а также в де</w:t>
      </w:r>
      <w:r>
        <w:rPr>
          <w:b/>
          <w:u w:val="single"/>
        </w:rPr>
        <w:t>я</w:t>
      </w:r>
      <w:r>
        <w:rPr>
          <w:b/>
          <w:u w:val="single"/>
        </w:rPr>
        <w:t>тельности и практике государственных учреждений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95.</w:t>
      </w:r>
      <w:r>
        <w:tab/>
        <w:t>Согласно закону № 19023, созданное в 1991 году</w:t>
      </w:r>
      <w:r>
        <w:rPr>
          <w:b/>
        </w:rPr>
        <w:t xml:space="preserve"> Национальное упра</w:t>
      </w:r>
      <w:r>
        <w:rPr>
          <w:b/>
        </w:rPr>
        <w:t>в</w:t>
      </w:r>
      <w:r>
        <w:rPr>
          <w:b/>
        </w:rPr>
        <w:t>ление по делам женщин</w:t>
      </w:r>
      <w:r>
        <w:t>, является "органом, призванным совместно с орган</w:t>
      </w:r>
      <w:r>
        <w:t>а</w:t>
      </w:r>
      <w:r>
        <w:t>ми исполнительной власти разрабатывать и выносить на обсуждение общие программы и конкретные мероприятия, направленные на достижение равенства прав и возможностей женщин и мужчин в политической, экономической, соц</w:t>
      </w:r>
      <w:r>
        <w:t>и</w:t>
      </w:r>
      <w:r>
        <w:t>альной и культурной жизни страны с учетом природы и особенностей женщин, обусловленных различиями полов, в том числе его надлежащее влияние на с</w:t>
      </w:r>
      <w:r>
        <w:t>е</w:t>
      </w:r>
      <w:r>
        <w:t>мейные отношения".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96.</w:t>
      </w:r>
      <w:r>
        <w:tab/>
        <w:t>Одной из ключевых инициатив Национального управления по делам женщин стали разработка и осуществление Плана обеспечения равных во</w:t>
      </w:r>
      <w:r>
        <w:t>з</w:t>
      </w:r>
      <w:r>
        <w:t>можностей для женщин на 1994-1999 годы. В Плане подтверждена необход</w:t>
      </w:r>
      <w:r>
        <w:t>и</w:t>
      </w:r>
      <w:r>
        <w:t>мость учета гендерных аспектов в государственной политике во всех сферах; в 1995 году исполнительная власть включила этот План в правительственную программу.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97.</w:t>
      </w:r>
      <w:r>
        <w:tab/>
        <w:t>Реализация этого Плана содействовала изменению законодательства с ц</w:t>
      </w:r>
      <w:r>
        <w:t>е</w:t>
      </w:r>
      <w:r>
        <w:t>лью признания и осуществления равных прав женщин и мужчин, а также ос</w:t>
      </w:r>
      <w:r>
        <w:t>у</w:t>
      </w:r>
      <w:r>
        <w:t>ществлению конкретных действий, которые содействовали более справедлив</w:t>
      </w:r>
      <w:r>
        <w:t>о</w:t>
      </w:r>
      <w:r>
        <w:t>му доступу тех и других к благам, ресурсам и возможностям развития. План помог также осознать степень неравенства, которое существует в отношениях между людьми, и включить в повестку дня общества вопросы дискриминации, которой подвергаются женщины, а также проблемы неравенства п</w:t>
      </w:r>
      <w:r>
        <w:t>о</w:t>
      </w:r>
      <w:r>
        <w:t>лов.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98.</w:t>
      </w:r>
      <w:r>
        <w:tab/>
        <w:t xml:space="preserve">Позже на основе достигнутых результатов НУДЖ разработало второй </w:t>
      </w:r>
      <w:r>
        <w:rPr>
          <w:b/>
        </w:rPr>
        <w:t>План обеспечения равенства возможностей мужчин и женщин на 2000</w:t>
      </w:r>
      <w:r>
        <w:rPr>
          <w:b/>
        </w:rPr>
        <w:noBreakHyphen/>
        <w:t>2010 годы</w:t>
      </w:r>
      <w:r>
        <w:rPr>
          <w:rStyle w:val="FootnoteReference"/>
        </w:rPr>
        <w:footnoteReference w:id="45"/>
      </w:r>
      <w:r>
        <w:t>, который призван содействовать усилению гендерной пол</w:t>
      </w:r>
      <w:r>
        <w:t>и</w:t>
      </w:r>
      <w:r>
        <w:t>тики в системе государственных учреждений. Во втором Плане определены шесть основных областей деятельности, соответствующие цели, а также н</w:t>
      </w:r>
      <w:r>
        <w:t>а</w:t>
      </w:r>
      <w:r>
        <w:t>правления практических конкретных действий, которые должны быть пре</w:t>
      </w:r>
      <w:r>
        <w:t>д</w:t>
      </w:r>
      <w:r>
        <w:t>приняты в течение десятилетия. Речь идет о следующих областях: обеспечение гарантий формирования культуры равенства возможностей для мужчин и же</w:t>
      </w:r>
      <w:r>
        <w:t>н</w:t>
      </w:r>
      <w:r>
        <w:t>щин; содействие правам женщин и их осуществлению в полном объеме; соде</w:t>
      </w:r>
      <w:r>
        <w:t>й</w:t>
      </w:r>
      <w:r>
        <w:t>ствие их участию в структурах власти и в процессе принятия решений; обесп</w:t>
      </w:r>
      <w:r>
        <w:t>е</w:t>
      </w:r>
      <w:r>
        <w:t>чение экономической самостоятельности женщин и преодоление нищеты; обеспечение благополучия и качества жизни женщин и учет гендерных аспе</w:t>
      </w:r>
      <w:r>
        <w:t>к</w:t>
      </w:r>
      <w:r>
        <w:t>тов в п</w:t>
      </w:r>
      <w:r>
        <w:t>о</w:t>
      </w:r>
      <w:r>
        <w:t>литике государства.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99.</w:t>
      </w:r>
      <w:r>
        <w:tab/>
        <w:t>НУДЖ занималось разработкой оперативных планов на национальном, региональном и/или общинном уровнях с учетом особенностей и потребностей каждого района, которые призваны обеспечить достижение целей и реализ</w:t>
      </w:r>
      <w:r>
        <w:t>а</w:t>
      </w:r>
      <w:r>
        <w:t>цию политики, предусмотренной в рамках нового Плана обеспечения равных возможностей. Реализация этих планов пока не завершена, однако они служат основным стратегическим инструментом, который обеспечивает направление институциональной деятельности. Кроме того, для достижения намеченных целей предпринимаются соответствующие инициативы, осуществляются пол</w:t>
      </w:r>
      <w:r>
        <w:t>и</w:t>
      </w:r>
      <w:r>
        <w:t>тика и конкретные мероприятия на национальном уровне и в каждом из 13 регионов страны, в которых имеются региональные управления НУДЖ.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100.</w:t>
      </w:r>
      <w:r>
        <w:tab/>
        <w:t xml:space="preserve">Весьма важным достижением стало создание </w:t>
      </w:r>
      <w:r>
        <w:rPr>
          <w:b/>
        </w:rPr>
        <w:t>Совета министров по в</w:t>
      </w:r>
      <w:r>
        <w:rPr>
          <w:b/>
        </w:rPr>
        <w:t>о</w:t>
      </w:r>
      <w:r>
        <w:rPr>
          <w:b/>
        </w:rPr>
        <w:t>просам равенства возможностей</w:t>
      </w:r>
      <w:r>
        <w:rPr>
          <w:rStyle w:val="FootnoteReference"/>
        </w:rPr>
        <w:footnoteReference w:id="46"/>
      </w:r>
      <w:r>
        <w:t>, задачами которого являются контроль и обеспечение выполнения Плана обеспечения равенства возможностей мин</w:t>
      </w:r>
      <w:r>
        <w:t>и</w:t>
      </w:r>
      <w:r>
        <w:t>стерствами, ведомствами и предприятиями государства, которые обязаны в своей конкретной политике учитывать гендерную проблематику. Благодаря этому органу политика обеспечения равных возможностей стала важным эл</w:t>
      </w:r>
      <w:r>
        <w:t>е</w:t>
      </w:r>
      <w:r>
        <w:t>ментом государственной политики. Впервые гендерные аспекты стали ра</w:t>
      </w:r>
      <w:r>
        <w:t>с</w:t>
      </w:r>
      <w:r>
        <w:t>сматриваться в более широкой перспективе как вопросы государственной п</w:t>
      </w:r>
      <w:r>
        <w:t>о</w:t>
      </w:r>
      <w:r>
        <w:t>литики, к решению которых были привлечены различные министерства.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101.</w:t>
      </w:r>
      <w:r>
        <w:tab/>
        <w:t>Такой государственный подход к решению гендерных проблем был закр</w:t>
      </w:r>
      <w:r>
        <w:t>е</w:t>
      </w:r>
      <w:r>
        <w:t>плен президентским указом о создании Совета министров по вопросам раве</w:t>
      </w:r>
      <w:r>
        <w:t>н</w:t>
      </w:r>
      <w:r>
        <w:t>ства возможностей, в котором, в частности, отмечается: "</w:t>
      </w:r>
      <w:r>
        <w:rPr>
          <w:i/>
        </w:rPr>
        <w:t>Чили приняла на себя соответствующие обязательства, вытекающие из таких международных д</w:t>
      </w:r>
      <w:r>
        <w:rPr>
          <w:i/>
        </w:rPr>
        <w:t>о</w:t>
      </w:r>
      <w:r>
        <w:rPr>
          <w:i/>
        </w:rPr>
        <w:t>кументов, как Конвенция о ликвидации всех форм дискриминации в отношении женщин. Это требует осуществления политики равенства во всех сферах г</w:t>
      </w:r>
      <w:r>
        <w:rPr>
          <w:i/>
        </w:rPr>
        <w:t>о</w:t>
      </w:r>
      <w:r>
        <w:rPr>
          <w:i/>
        </w:rPr>
        <w:t>сударственной деятельности</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102.</w:t>
      </w:r>
      <w:r>
        <w:tab/>
        <w:t>Хотя в последние годы происходил процесс постепенного учета генде</w:t>
      </w:r>
      <w:r>
        <w:t>р</w:t>
      </w:r>
      <w:r>
        <w:t>ных аспектов в деятельности государственных органов, начиная с 2000 года этот процесс стал более углубленным и появились весьма конкретные свид</w:t>
      </w:r>
      <w:r>
        <w:t>е</w:t>
      </w:r>
      <w:r>
        <w:t>тельства их структурного оформления в рамках основных механизмов госуда</w:t>
      </w:r>
      <w:r>
        <w:t>р</w:t>
      </w:r>
      <w:r>
        <w:t>ственного управления</w:t>
      </w:r>
      <w:r>
        <w:rPr>
          <w:rStyle w:val="FootnoteReference"/>
        </w:rPr>
        <w:footnoteReference w:id="47"/>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103.</w:t>
      </w:r>
      <w:r>
        <w:tab/>
        <w:t xml:space="preserve">Среди этих механизмов следует особо отметить </w:t>
      </w:r>
      <w:r>
        <w:rPr>
          <w:b/>
        </w:rPr>
        <w:t>Программу совершенс</w:t>
      </w:r>
      <w:r>
        <w:rPr>
          <w:b/>
        </w:rPr>
        <w:t>т</w:t>
      </w:r>
      <w:r>
        <w:rPr>
          <w:b/>
        </w:rPr>
        <w:t>вования управления (ПСУ)</w:t>
      </w:r>
      <w:r>
        <w:t>, одним из компонентов которой является система гендерного равенства, призванная расширить возможности женщин и мужчин и обеспечить для них равный доступ к результатам государственной политики. С этой целью всем государственным учреждениям как на национальном, так и региональном уровнях поручено проанализировать результаты своей политики (товары и/или услуги), чтобы выявить препятствия для обеспечения равенства полов и предложить решения, которые обеспечили бы равный доступ к этим результатам всех пользователей, как женщин, так и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104.</w:t>
      </w:r>
      <w:r>
        <w:tab/>
        <w:t>Эта Программа, которую координирует министерство финансов и утве</w:t>
      </w:r>
      <w:r>
        <w:t>р</w:t>
      </w:r>
      <w:r>
        <w:t>ждает НУДЖ, рассчитана на 2002-2005 годы. Важно отметить, что результаты осуществления этой Программы непосредственно увязаны с доходами госуда</w:t>
      </w:r>
      <w:r>
        <w:t>р</w:t>
      </w:r>
      <w:r>
        <w:t>ственных служащих, поскольку от 3 до 6 процентов их окладов зависят от р</w:t>
      </w:r>
      <w:r>
        <w:t>е</w:t>
      </w:r>
      <w:r>
        <w:t>зультатов ее осуществления.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105.</w:t>
      </w:r>
      <w:r>
        <w:tab/>
        <w:t>В настоящее время наличие информации о сравнительном положении женщин и мужчин является основным элементом для принятия государстве</w:t>
      </w:r>
      <w:r>
        <w:t>н</w:t>
      </w:r>
      <w:r>
        <w:t xml:space="preserve">ных решений. Поэтому при содействии Национального института статистики (НИС) был начат </w:t>
      </w:r>
      <w:r>
        <w:rPr>
          <w:b/>
        </w:rPr>
        <w:t>процесс учета гендерных критериев в официальной ст</w:t>
      </w:r>
      <w:r>
        <w:rPr>
          <w:b/>
        </w:rPr>
        <w:t>а</w:t>
      </w:r>
      <w:r>
        <w:rPr>
          <w:b/>
        </w:rPr>
        <w:t>тистике государственных учреждений</w:t>
      </w:r>
      <w:r>
        <w:t>. С этой целью был осуществлен целый ряд мероприятий, например: произведена разбивка по полу, в частности пол</w:t>
      </w:r>
      <w:r>
        <w:t>ь</w:t>
      </w:r>
      <w:r>
        <w:t>зователей/получателей благ государственных услуг; создана база статистич</w:t>
      </w:r>
      <w:r>
        <w:t>е</w:t>
      </w:r>
      <w:r>
        <w:t>ских данных, содержащая информацию о положении женщин и мужчин в п</w:t>
      </w:r>
      <w:r>
        <w:t>о</w:t>
      </w:r>
      <w:r>
        <w:t>следнее десятилетие, доступ к которой обеспечивает страница НУДЖ в Инте</w:t>
      </w:r>
      <w:r>
        <w:t>р</w:t>
      </w:r>
      <w:r>
        <w:t>нете; и распространяется информация о положении женщин и мужчин в стране в рамках совместного издания</w:t>
      </w:r>
      <w:r>
        <w:rPr>
          <w:rStyle w:val="FootnoteReference"/>
        </w:rPr>
        <w:footnoteReference w:id="48"/>
      </w:r>
      <w:r>
        <w:t xml:space="preserve"> НУДЖ и Национального института статист</w:t>
      </w:r>
      <w:r>
        <w:t>и</w:t>
      </w:r>
      <w:r>
        <w:t>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106.</w:t>
      </w:r>
      <w:r>
        <w:tab/>
        <w:t>Международные организации, такие, в частности, как Фонд Организации Объединенных Наций для развития в интересах женщин (ЮНИФЕМ), ПРООН и Германское агентство по техническому сотрудничеству (ГАТС), расценили упомянутые меры как важное достижение.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107.</w:t>
      </w:r>
      <w:r>
        <w:tab/>
        <w:t xml:space="preserve">Кроме того, в частности во исполнение обязательств, принятых на себя правительством президента Рикардо Лагоса в ходе состоявшихся в 2000 году переговоров с работающими в государственном секторе членами профсоюзов, было предложено создать </w:t>
      </w:r>
      <w:r>
        <w:rPr>
          <w:b/>
        </w:rPr>
        <w:t>двустороннюю комиссию с целью разработки плана обеспечения равных возможностей для его реализации централ</w:t>
      </w:r>
      <w:r>
        <w:rPr>
          <w:b/>
        </w:rPr>
        <w:t>ь</w:t>
      </w:r>
      <w:r>
        <w:rPr>
          <w:b/>
        </w:rPr>
        <w:t>ными и деце</w:t>
      </w:r>
      <w:r>
        <w:rPr>
          <w:b/>
        </w:rPr>
        <w:t>н</w:t>
      </w:r>
      <w:r>
        <w:rPr>
          <w:b/>
        </w:rPr>
        <w:t>трализованными учреждениями государственного сектора.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108.</w:t>
      </w:r>
      <w:r>
        <w:tab/>
        <w:t>Эта Двусторонняя комиссия была создана в 2001 году, и в ее состав вошли представители министерства труда, НУДЖ и Объединенного профцентра тр</w:t>
      </w:r>
      <w:r>
        <w:t>у</w:t>
      </w:r>
      <w:r>
        <w:t>дящихся Чили (ОПТЧ), представляющего профсоюзные объединения в системе правительственных учреждений и децентрализованных служб государства</w:t>
      </w:r>
      <w:r>
        <w:rPr>
          <w:rStyle w:val="FootnoteReference"/>
        </w:rPr>
        <w:footnoteReference w:id="49"/>
      </w:r>
      <w:r>
        <w:t>, который объединяет в своих рядах более 320 000 работников государственного сектора, в том числе 56 процентов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109.</w:t>
      </w:r>
      <w:r>
        <w:tab/>
        <w:t>Цель разработки плана обеспечения равных возможностей для его реал</w:t>
      </w:r>
      <w:r>
        <w:t>и</w:t>
      </w:r>
      <w:r>
        <w:t>зации центральными и децентрализованными учреждениями государственного сектора состоит в том, чтобы обеспечить более эффективную защиту и общее улучшение условий труда женщин, занятых в государственном секторе, и п</w:t>
      </w:r>
      <w:r>
        <w:t>о</w:t>
      </w:r>
      <w:r>
        <w:t>кончить с любыми формами дискриминации, ограничений или ущемления прав, которым подвергаются работающие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110.</w:t>
      </w:r>
      <w:r>
        <w:tab/>
        <w:t>В целях содействия правам человека начиная с 2000 года информацио</w:t>
      </w:r>
      <w:r>
        <w:t>н</w:t>
      </w:r>
      <w:r>
        <w:t>ные центры по правам женщин (ИЦПЖ), за создание которых НУДЖ выступ</w:t>
      </w:r>
      <w:r>
        <w:t>а</w:t>
      </w:r>
      <w:r>
        <w:t xml:space="preserve">ло с самого первого момента своего образования, были преобразованы в </w:t>
      </w:r>
      <w:r>
        <w:rPr>
          <w:b/>
        </w:rPr>
        <w:t>бюро информации, рассмотрения жалоб и предложений (ОИРС)</w:t>
      </w:r>
      <w:r>
        <w:rPr>
          <w:rStyle w:val="FootnoteReference"/>
        </w:rPr>
        <w:footnoteReference w:id="50"/>
      </w:r>
      <w:r>
        <w:rPr>
          <w:b/>
        </w:rPr>
        <w:t xml:space="preserve">. </w:t>
      </w:r>
      <w:r>
        <w:t>Деятельность этих бюро осуществляется в рамках процесса модернизации государственной системы и Программы совершенствования управления, и они занимаются р</w:t>
      </w:r>
      <w:r>
        <w:t>е</w:t>
      </w:r>
      <w:r>
        <w:t>шением проблем пользователей. Они являются составной частью сети, объед</w:t>
      </w:r>
      <w:r>
        <w:t>и</w:t>
      </w:r>
      <w:r>
        <w:t>няющей более 150 бюро общественной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111.</w:t>
      </w:r>
      <w:r>
        <w:tab/>
        <w:t>Бюро информации, рассмотрения жалоб и предложений Национального управления по делам женщин призваны удовлетворять потребности в инфо</w:t>
      </w:r>
      <w:r>
        <w:t>р</w:t>
      </w:r>
      <w:r>
        <w:t>мации о правах женщин, содействуя своевременному доступу к информации служб, входящих в сеть государственных учреждений, а также осуществлению прав граждан. Структура и функционирование этих бюро призваны защищать интересы женщин в рамках проактивных действий, для того чтобы обеспечить доступ женщин к информации наравне с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112.</w:t>
      </w:r>
      <w:r>
        <w:tab/>
        <w:t>ОИРС активно работают в 13 регионах страны, оказывая прямую и ко</w:t>
      </w:r>
      <w:r>
        <w:t>с</w:t>
      </w:r>
      <w:r>
        <w:t>венную помощь пользователям. Непосредственная помощь включает помощь индивидуальную (личную и по телефону), проведение коллективных и масс</w:t>
      </w:r>
      <w:r>
        <w:t>о</w:t>
      </w:r>
      <w:r>
        <w:t>вых мероприятий с целью распространения информации о правах, в ходе кот</w:t>
      </w:r>
      <w:r>
        <w:t>о</w:t>
      </w:r>
      <w:r>
        <w:t>рых участникам раздают небольшие брошюрки. Косвенная помощь оказывае</w:t>
      </w:r>
      <w:r>
        <w:t>т</w:t>
      </w:r>
      <w:r>
        <w:t>ся в форме ответов на вопросы женщин в письменном виде, электронной фо</w:t>
      </w:r>
      <w:r>
        <w:t>р</w:t>
      </w:r>
      <w:r>
        <w:t>ме и в рамках радиопередач. Информация распространяется также на странице НУДЖ в Интернете</w:t>
      </w:r>
      <w:r>
        <w:rPr>
          <w:rStyle w:val="FootnoteReference"/>
        </w:rPr>
        <w:footnoteReference w:id="51"/>
      </w:r>
      <w:r>
        <w:t xml:space="preserve"> и на портале в Интернете "</w:t>
      </w:r>
      <w:r>
        <w:rPr>
          <w:lang w:val="en-US"/>
        </w:rPr>
        <w:t>Mujeres</w:t>
      </w:r>
      <w:r>
        <w:t xml:space="preserve"> </w:t>
      </w:r>
      <w:r>
        <w:rPr>
          <w:lang w:val="en-US"/>
        </w:rPr>
        <w:t>Chile</w:t>
      </w:r>
      <w:r>
        <w:t>" (Женщины Ч</w:t>
      </w:r>
      <w:r>
        <w:t>и</w:t>
      </w:r>
      <w:r>
        <w:t>ли)</w:t>
      </w:r>
      <w:r>
        <w:rPr>
          <w:rStyle w:val="FootnoteReference"/>
        </w:rPr>
        <w:footnoteReference w:id="52"/>
      </w:r>
      <w:r>
        <w:t xml:space="preserve">. На этих страницах имеется раздел </w:t>
      </w:r>
      <w:r>
        <w:rPr>
          <w:lang w:val="en-US"/>
        </w:rPr>
        <w:t>INFOMUJER</w:t>
      </w:r>
      <w:r>
        <w:t xml:space="preserve"> (</w:t>
      </w:r>
      <w:r>
        <w:rPr>
          <w:caps/>
        </w:rPr>
        <w:t>Инфоженщина</w:t>
      </w:r>
      <w:r>
        <w:t>), в котором в ясной и доступной форме представлена информация о правах же</w:t>
      </w:r>
      <w:r>
        <w:t>н</w:t>
      </w:r>
      <w:r>
        <w:t>щин. Наряду с "</w:t>
      </w:r>
      <w:r>
        <w:rPr>
          <w:lang w:val="en-US"/>
        </w:rPr>
        <w:t>link</w:t>
      </w:r>
      <w:r>
        <w:t xml:space="preserve"> </w:t>
      </w:r>
      <w:r>
        <w:rPr>
          <w:lang w:val="en-US"/>
        </w:rPr>
        <w:t>Diario</w:t>
      </w:r>
      <w:r>
        <w:t xml:space="preserve"> </w:t>
      </w:r>
      <w:r>
        <w:rPr>
          <w:lang w:val="en-US"/>
        </w:rPr>
        <w:t>Mural</w:t>
      </w:r>
      <w:r>
        <w:t>" (объявления) и "Витриной малого предпр</w:t>
      </w:r>
      <w:r>
        <w:t>и</w:t>
      </w:r>
      <w:r>
        <w:t>ятия" этот раздел является наиболее посещаемым. Ниже представлена инфо</w:t>
      </w:r>
      <w:r>
        <w:t>р</w:t>
      </w:r>
      <w:r>
        <w:t>мация также о других аспе</w:t>
      </w:r>
      <w:r>
        <w:t>к</w:t>
      </w:r>
      <w:r>
        <w:t>тах этого портала.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113.</w:t>
      </w:r>
      <w:r>
        <w:tab/>
        <w:t>С сокращением цифрового разрыва</w:t>
      </w:r>
      <w:r>
        <w:rPr>
          <w:rStyle w:val="FootnoteReference"/>
        </w:rPr>
        <w:footnoteReference w:id="53"/>
      </w:r>
      <w:r>
        <w:t xml:space="preserve"> электронные средства массовой и</w:t>
      </w:r>
      <w:r>
        <w:t>н</w:t>
      </w:r>
      <w:r>
        <w:t>формации приобретают для женщин все большее значение. Тем не менее же</w:t>
      </w:r>
      <w:r>
        <w:t>н</w:t>
      </w:r>
      <w:r>
        <w:t>щины пользуются Интернетом очень редко и используют электронную почту меньше чем мужчины</w:t>
      </w:r>
      <w:r>
        <w:rPr>
          <w:rStyle w:val="FootnoteReference"/>
        </w:rPr>
        <w:footnoteReference w:id="54"/>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u w:val="single"/>
        </w:rPr>
        <w:t>Доступ к правосудию, юридической защите на равной основе в судах и н</w:t>
      </w:r>
      <w:r>
        <w:rPr>
          <w:b/>
          <w:u w:val="single"/>
        </w:rPr>
        <w:t>е</w:t>
      </w:r>
      <w:r>
        <w:rPr>
          <w:b/>
          <w:u w:val="single"/>
        </w:rPr>
        <w:t>дискриминация в уголовной системе</w:t>
      </w:r>
      <w:r>
        <w:rPr>
          <w:b/>
        </w:rPr>
        <w:t xml:space="preserve"> (статья 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114.</w:t>
      </w:r>
      <w:r>
        <w:tab/>
        <w:t>Говоря о</w:t>
      </w:r>
      <w:r>
        <w:rPr>
          <w:b/>
        </w:rPr>
        <w:t xml:space="preserve"> доступе женщин к правосудию</w:t>
      </w:r>
      <w:r>
        <w:t>, следует отметить, что из общ</w:t>
      </w:r>
      <w:r>
        <w:t>е</w:t>
      </w:r>
      <w:r>
        <w:t>го числа лиц, пользующихся системой бесплатной юридической помощи, 70 процентов составляют женщины, которые обращаются за помощью и/или с ходатайствами от своего имени или от имени своих родственников и/или су</w:t>
      </w:r>
      <w:r>
        <w:t>п</w:t>
      </w:r>
      <w:r>
        <w:t>ругов. В основном это домохозяйки, причем 42 процента этих женщин имеют неполное начальное образование. Чаще всего женщины обращаются за ко</w:t>
      </w:r>
      <w:r>
        <w:t>н</w:t>
      </w:r>
      <w:r>
        <w:t>сультациями по семейным вопросам, в частности по вопросам выплаты ал</w:t>
      </w:r>
      <w:r>
        <w:t>и</w:t>
      </w:r>
      <w:r>
        <w:t>ментов и усыновления, на которые приходится 42 процента всех консультаций. Все это свидетельствует о том, насколько важно удовлетворять на равной осн</w:t>
      </w:r>
      <w:r>
        <w:t>о</w:t>
      </w:r>
      <w:r>
        <w:t>ве эти запросы женщин, чтобы обеспечить для них равноправный доступ к системе правосудия.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115.</w:t>
      </w:r>
      <w:r>
        <w:tab/>
        <w:t>НУДЖ наладило организационные связи с министерством юстиции и по</w:t>
      </w:r>
      <w:r>
        <w:t>д</w:t>
      </w:r>
      <w:r>
        <w:t>чиненными ему структурами. Это министерство взяло на себя обязательство по оказанию качественной помощи</w:t>
      </w:r>
      <w:r>
        <w:rPr>
          <w:rStyle w:val="FootnoteReference"/>
        </w:rPr>
        <w:footnoteReference w:id="55"/>
      </w:r>
      <w:r>
        <w:t xml:space="preserve"> через корпорации правовой помощи и пр</w:t>
      </w:r>
      <w:r>
        <w:t>о</w:t>
      </w:r>
      <w:r>
        <w:t>грамму правовой помощи "Доступ к правосудию", которые помогают решать конкретные проблемы, с которыми сталкиваются прежде всего женщины, в ч</w:t>
      </w:r>
      <w:r>
        <w:t>а</w:t>
      </w:r>
      <w:r>
        <w:t>стности проблемы насилия в семье, и оказывают также помощь жертвам секс</w:t>
      </w:r>
      <w:r>
        <w:t>у</w:t>
      </w:r>
      <w:r>
        <w:t>альных преступлений. Все учреждения этого сектора руководствуются в своей работе принципом равенства как в том, что касается доступа к правовой пом</w:t>
      </w:r>
      <w:r>
        <w:t>о</w:t>
      </w:r>
      <w:r>
        <w:t>щи, так и ее результатов, с учетом таких переменных, как возраст, этническое происхождение, социальное положение и гендерные аспекты.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116.</w:t>
      </w:r>
      <w:r>
        <w:tab/>
        <w:t>В целях содействия правам человека женщин и расширению их участия НУДЖ подготовило целую серию публикаций</w:t>
      </w:r>
      <w:r>
        <w:rPr>
          <w:rStyle w:val="FootnoteReference"/>
        </w:rPr>
        <w:footnoteReference w:id="56"/>
      </w:r>
      <w:r>
        <w:t xml:space="preserve"> для распространения инфо</w:t>
      </w:r>
      <w:r>
        <w:t>р</w:t>
      </w:r>
      <w:r>
        <w:t>мации о правах женщин, особенно в системе судебной власти.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117.</w:t>
      </w:r>
      <w:r>
        <w:tab/>
        <w:t xml:space="preserve">Начиная с 2000 года была предпринята </w:t>
      </w:r>
      <w:r>
        <w:rPr>
          <w:b/>
        </w:rPr>
        <w:t>уголовно-процессуальная р</w:t>
      </w:r>
      <w:r>
        <w:rPr>
          <w:b/>
        </w:rPr>
        <w:t>е</w:t>
      </w:r>
      <w:r>
        <w:rPr>
          <w:b/>
        </w:rPr>
        <w:t>форма</w:t>
      </w:r>
      <w:r>
        <w:rPr>
          <w:rStyle w:val="FootnoteReference"/>
        </w:rPr>
        <w:footnoteReference w:id="57"/>
      </w:r>
      <w:r>
        <w:t>. Новая система будет применяться в полном объеме по всей стране с 2005 года. НУДЖ добивалось того, чтобы гендерная проблематика приним</w:t>
      </w:r>
      <w:r>
        <w:t>а</w:t>
      </w:r>
      <w:r>
        <w:t>лась во внимание в деятельности новых институтов и в ходе применения новых процедур. Эта работа проводилась совместно с Государственной прокурат</w:t>
      </w:r>
      <w:r>
        <w:t>у</w:t>
      </w:r>
      <w:r>
        <w:t>рой</w:t>
      </w:r>
      <w:r>
        <w:rPr>
          <w:rStyle w:val="FootnoteReference"/>
        </w:rPr>
        <w:footnoteReference w:id="58"/>
      </w:r>
      <w:r>
        <w:t xml:space="preserve"> и была рассчитана главным образом на Группу по оказанию помощи жертвам и свидетелям в том, что касается первого приема женщин - жертв пр</w:t>
      </w:r>
      <w:r>
        <w:t>е</w:t>
      </w:r>
      <w:r>
        <w:t>ступления, а также защиты интересов рабочих групп этого подразделения. В частности, в регионах налажены контакты и подписаны рабочие протоколы между этими подразделениями и центрами по предупреждению насилия и ок</w:t>
      </w:r>
      <w:r>
        <w:t>а</w:t>
      </w:r>
      <w:r>
        <w:t>занию помощи жертвам насилия в семье, входящими в структуру НУДЖ. Все это сделано для того, чтобы обеспечить надлежащий прием жертв и свидетелей случаев грубого насилия в семье и оказать им надлежащую терапевтическую помощь.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118.</w:t>
      </w:r>
      <w:r>
        <w:tab/>
        <w:t>Совместно с Жандармерией Чили были предприняты инициативы в целях предотвращения и/или прекращения дискриминации в отношении женщин в исправительных учреждениях. В частности, при содействии Департамента по реадаптации осуществлялись мероприятия по подготовке и переподготовке по вопросам гендерной проблематики сотрудников/специалистов, занимающихся проблемами женщин, детей и семьи, а также мероприятия в целях улучшения систем оказания помощи женщинам, содержащимся в пенитенциарных учре</w:t>
      </w:r>
      <w:r>
        <w:t>ж</w:t>
      </w:r>
      <w:r>
        <w:t>дениях.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119.</w:t>
      </w:r>
      <w:r>
        <w:tab/>
        <w:t>В Положении о пенитенциарных учреждениях</w:t>
      </w:r>
      <w:r>
        <w:rPr>
          <w:rStyle w:val="FootnoteReference"/>
        </w:rPr>
        <w:footnoteReference w:id="59"/>
      </w:r>
      <w:r>
        <w:t xml:space="preserve"> предусмотрено, что "н</w:t>
      </w:r>
      <w:r>
        <w:t>а</w:t>
      </w:r>
      <w:r>
        <w:t>чальники тюрем могут разрешать визиты членов семьи или интимные визиты, если это позволяют условия учреждения, к заключенным, которые не имеют права покидать тюрьму и которые заранее обратились с соответствующей просьбой". До 2002 года в Центральной женской тюрьме, в которой содержатся более 95 процентов всех женщин, находящихся в заключении в столичном р</w:t>
      </w:r>
      <w:r>
        <w:t>е</w:t>
      </w:r>
      <w:r>
        <w:t>гионе, не было необходимых условий для организации интимных визитов. О</w:t>
      </w:r>
      <w:r>
        <w:t>д</w:t>
      </w:r>
      <w:r>
        <w:t>нако начиная с указанного года с этой целью было оборудовано специальное помещение, которое отвечает всем необходимым требованиям гигиены, искл</w:t>
      </w:r>
      <w:r>
        <w:t>ю</w:t>
      </w:r>
      <w:r>
        <w:t>ча</w:t>
      </w:r>
      <w:r>
        <w:t>ю</w:t>
      </w:r>
      <w:r>
        <w:t>щим передачу заболеваний половым путем</w:t>
      </w:r>
      <w:r>
        <w:rPr>
          <w:rStyle w:val="FootnoteReference"/>
        </w:rPr>
        <w:footnoteReference w:id="60"/>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120.</w:t>
      </w:r>
      <w:r>
        <w:tab/>
        <w:t xml:space="preserve">Кроме того, Жандармерия Чили реализует </w:t>
      </w:r>
      <w:r>
        <w:rPr>
          <w:b/>
        </w:rPr>
        <w:t>программу "Познай своего ребенка"</w:t>
      </w:r>
      <w:r>
        <w:t xml:space="preserve">, главная цель которой состоит в обучении родителей и оказании им практической помощи в вопросах воспитания и духовного развития детей и привития им соответствующих ценностей. Кроме того, она осуществляет </w:t>
      </w:r>
      <w:r>
        <w:rPr>
          <w:b/>
        </w:rPr>
        <w:t>Пр</w:t>
      </w:r>
      <w:r>
        <w:rPr>
          <w:b/>
        </w:rPr>
        <w:t>о</w:t>
      </w:r>
      <w:r>
        <w:rPr>
          <w:b/>
        </w:rPr>
        <w:t>грамму в интересах грудных младенцев</w:t>
      </w:r>
      <w:r>
        <w:t>, которая призвана обеспечить физ</w:t>
      </w:r>
      <w:r>
        <w:t>и</w:t>
      </w:r>
      <w:r>
        <w:t>ческую защиту, надлежащий уход, развитие психомоторных функций и соо</w:t>
      </w:r>
      <w:r>
        <w:t>т</w:t>
      </w:r>
      <w:r>
        <w:t>ветствующее питание для детей женщин, содержащихся в пенитенциарных у</w:t>
      </w:r>
      <w:r>
        <w:t>ч</w:t>
      </w:r>
      <w:r>
        <w:t>реждениях, а также условия жизни грудных младенцев и их матерей как можно более приближенные к условиям на воле. Кроме того, в 1999 году совместно с организацией "За всестороннее развитие" была начата программа создания в женских исправительных учреждениях страны детских яслей, в которых раб</w:t>
      </w:r>
      <w:r>
        <w:t>о</w:t>
      </w:r>
      <w:r>
        <w:t>тает специально подготовленный для этого персонал по четкой программе во</w:t>
      </w:r>
      <w:r>
        <w:t>с</w:t>
      </w:r>
      <w:r>
        <w:t>питания, причем в осуществлении этой программы принимают участие также матери.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3.</w:t>
      </w:r>
      <w:r>
        <w:tab/>
        <w:t xml:space="preserve">Изменение социальных и культурных моделей (статья 5)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rPr>
          <w:b/>
          <w:u w:val="single"/>
        </w:rPr>
        <w:t>Искоренение предрассудков и упразднение обычаев и всей прочей практ</w:t>
      </w:r>
      <w:r>
        <w:rPr>
          <w:b/>
          <w:u w:val="single"/>
        </w:rPr>
        <w:t>и</w:t>
      </w:r>
      <w:r>
        <w:rPr>
          <w:b/>
          <w:u w:val="single"/>
        </w:rPr>
        <w:t>ки, которые основаны на идее неполноценности или превосходства одного из полов или стереотипности роли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121.</w:t>
      </w:r>
      <w:r>
        <w:tab/>
        <w:t>С целью изменения социальных и культурных моделей поведения мужчин и женщин был предпринят ряд инициатив в сфере образования, в частности были пересмотрены и приведены в соответствие с учетом гендерной проблем</w:t>
      </w:r>
      <w:r>
        <w:t>а</w:t>
      </w:r>
      <w:r>
        <w:t xml:space="preserve">тики учебные планы и материалы различных образовательных уровней.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122.</w:t>
      </w:r>
      <w:r>
        <w:tab/>
        <w:t xml:space="preserve">В рамках этих усилий осуществляется </w:t>
      </w:r>
      <w:r>
        <w:rPr>
          <w:b/>
        </w:rPr>
        <w:t>проект "Образование, культура и изменение</w:t>
      </w:r>
      <w:r>
        <w:t>", суть которого состоит во включении гендерной составляющей и принципа ненасильственного урегулирования конфликтов в учебные матери</w:t>
      </w:r>
      <w:r>
        <w:t>а</w:t>
      </w:r>
      <w:r>
        <w:t>лы начального и среднего образования. Курс деятельности в этом же направл</w:t>
      </w:r>
      <w:r>
        <w:t>е</w:t>
      </w:r>
      <w:r>
        <w:t>нии был разработан совместно с Национальным советом детских садов (НСДС) и в области дошкольного образования; налажена систематическая работа с Н</w:t>
      </w:r>
      <w:r>
        <w:t>а</w:t>
      </w:r>
      <w:r>
        <w:t>циональным институтом по делам молодежи (НИДМ), подписавшим ряд соо</w:t>
      </w:r>
      <w:r>
        <w:t>т</w:t>
      </w:r>
      <w:r>
        <w:t xml:space="preserve">ветствующих конвенций.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123.</w:t>
      </w:r>
      <w:r>
        <w:tab/>
        <w:t>Кроме того, гендерный фактор учитывается в учебных планах всех уро</w:t>
      </w:r>
      <w:r>
        <w:t>в</w:t>
      </w:r>
      <w:r>
        <w:t>ней системы школьного образования (дошкольного, базового, среднего образ</w:t>
      </w:r>
      <w:r>
        <w:t>о</w:t>
      </w:r>
      <w:r>
        <w:t>вания и образования для взрослых), что чрезвычайно важно, поскольку эти планы составляют основу всего учебного процесса. Этот фактор учитывается также в учебных документах и на курсах повышения квалификации преподав</w:t>
      </w:r>
      <w:r>
        <w:t>а</w:t>
      </w:r>
      <w:r>
        <w:t>тельского состава.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124.</w:t>
      </w:r>
      <w:r>
        <w:tab/>
        <w:t>В целях содействия изменению социальных и культурных моделей с п</w:t>
      </w:r>
      <w:r>
        <w:t>о</w:t>
      </w:r>
      <w:r>
        <w:t>мощью средств коммуникаций была разработана информационная стратегия, в рамках осуществления которой следует особо выделить проект "Премия за о</w:t>
      </w:r>
      <w:r>
        <w:t>б</w:t>
      </w:r>
      <w:r>
        <w:t>раз: женщина в средствах информации". Эта премия вручается ежегодно с 1998 года печатным, радио- и телевизионным средствам информации за лу</w:t>
      </w:r>
      <w:r>
        <w:t>ч</w:t>
      </w:r>
      <w:r>
        <w:t>шие программы, отображающие образ женщины без стереотипов и предрассу</w:t>
      </w:r>
      <w:r>
        <w:t>д</w:t>
      </w:r>
      <w:r>
        <w:t>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125.</w:t>
      </w:r>
      <w:r>
        <w:tab/>
      </w:r>
      <w:r>
        <w:rPr>
          <w:b/>
        </w:rPr>
        <w:t>Кампании с участием средств массовой информации</w:t>
      </w:r>
      <w:r>
        <w:t xml:space="preserve"> составляют кл</w:t>
      </w:r>
      <w:r>
        <w:t>ю</w:t>
      </w:r>
      <w:r>
        <w:t>чевой элемент этой стратегии, направленной на содействие изменению с п</w:t>
      </w:r>
      <w:r>
        <w:t>о</w:t>
      </w:r>
      <w:r>
        <w:t>мощью этих средств социальных и культурных моделей поведения мужчин и женщин и на утверждение прав женщин в наиболее приоритетных сферах, к которым относятся: насилие в семье, трудовые, семейные и другие права же</w:t>
      </w:r>
      <w:r>
        <w:t>н</w:t>
      </w:r>
      <w:r>
        <w:t>щин. Из числа этих массовых кампаний следует выделить следующие: в период 2000-2001 годов кампания "Женщина с правами - женщина-гражданин"; в 1999 году </w:t>
      </w:r>
      <w:r>
        <w:noBreakHyphen/>
        <w:t xml:space="preserve"> информационная кампания "Без насилия мужчинам и женщинам живется лучше"; в 2001 году прошла получившая широкий общенациональный резонанс кампания под девизами "Есть слова, которые ранят", "Следи за своей речью" и "Не допускай, чтобы насилие разрушило твою супружескую пару". В 2002 году проходила информационная кампания против насилия в отнош</w:t>
      </w:r>
      <w:r>
        <w:t>е</w:t>
      </w:r>
      <w:r>
        <w:t>нии женщин, озаглавленная "Нет побоям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126.</w:t>
      </w:r>
      <w:r>
        <w:tab/>
        <w:t>Во всех этих кампаниях и других мероприятиях, осуществляемых с этой же целью, принимает участие общественность, состоящая из религиозных, н</w:t>
      </w:r>
      <w:r>
        <w:t>е</w:t>
      </w:r>
      <w:r>
        <w:t>правительственных организаций, студенческих и профессиональных союзов, агентств печати и рекламы, СМИ, а также государственные учреждения, пом</w:t>
      </w:r>
      <w:r>
        <w:t>о</w:t>
      </w:r>
      <w:r>
        <w:t>гающие своими действиями внедрить в сферу компетенции этих организаций принцип равенства полов</w:t>
      </w:r>
      <w:r>
        <w:rPr>
          <w:rStyle w:val="FootnoteReference"/>
        </w:rPr>
        <w:footnoteReference w:id="61"/>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127.</w:t>
      </w:r>
      <w:r>
        <w:tab/>
        <w:t xml:space="preserve">В 2001 году НУДЖ создало в </w:t>
      </w:r>
      <w:r>
        <w:rPr>
          <w:b/>
        </w:rPr>
        <w:t>Интернете сайт "Гражданин"</w:t>
      </w:r>
      <w:r>
        <w:rPr>
          <w:rStyle w:val="FootnoteReference"/>
        </w:rPr>
        <w:footnoteReference w:id="62"/>
      </w:r>
      <w:r>
        <w:t>, специал</w:t>
      </w:r>
      <w:r>
        <w:t>ь</w:t>
      </w:r>
      <w:r>
        <w:t>но предназначенный для женщин - пользователей сети, не имеющих доступа к участию в других мероприятиях НУДЖ. Цель сайта состоит в привлечении женщин к пользованию Интернетом и информировании их о своих правах, льготах и возможностях, а также в содействии укреплению интерактивной и структурной связи между сетями. Информацию, которую предлагает этот сайт, бесплатна, привлекательна, легко усвояема, своевременна и весьма значима.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128.</w:t>
      </w:r>
      <w:r>
        <w:tab/>
        <w:t>Сайт располагает инфотекой, которая предлагает информацию о правах женщин, данные гендерной статистики и исследований, а также сетевой пут</w:t>
      </w:r>
      <w:r>
        <w:t>е</w:t>
      </w:r>
      <w:r>
        <w:t>водитель. Сайтовая рубрика "Витрина" рекламирует некоторые микропре</w:t>
      </w:r>
      <w:r>
        <w:t>д</w:t>
      </w:r>
      <w:r>
        <w:t>приятия, способствуя тем самым сбыту их продукции по всей стране. Издаются специальные выпуски, посвященные 8 Марта, парламентским выборам, а та</w:t>
      </w:r>
      <w:r>
        <w:t>к</w:t>
      </w:r>
      <w:r>
        <w:t>же материалы в периоды кампаний по борьбе с насилием в семье. Постоянная интерактивная связь с пользователями достигается благодаря проведению ф</w:t>
      </w:r>
      <w:r>
        <w:t>о</w:t>
      </w:r>
      <w:r>
        <w:t>румов, опросов, персональных консультаций через электронную почту и н</w:t>
      </w:r>
      <w:r>
        <w:t>а</w:t>
      </w:r>
      <w:r>
        <w:t>стенный дневник</w:t>
      </w:r>
      <w:r>
        <w:rPr>
          <w:rStyle w:val="FootnoteReference"/>
        </w:rPr>
        <w:footnoteReference w:id="63"/>
      </w:r>
      <w:r>
        <w:t>. В 2001 году на первом фестивале чилийской части Инте</w:t>
      </w:r>
      <w:r>
        <w:t>р</w:t>
      </w:r>
      <w:r>
        <w:t>нета сайт был отмечен премией как лучший в категории общественных служб. В 2002 году он был выбран в числе трех лучших, на этот раз в категории тем</w:t>
      </w:r>
      <w:r>
        <w:t>а</w:t>
      </w:r>
      <w:r>
        <w:t xml:space="preserve">тических сайтов.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br w:type="page"/>
      </w:r>
      <w:r>
        <w:rPr>
          <w:b/>
          <w:u w:val="single"/>
        </w:rPr>
        <w:t>Совместная ответственность мужчин и женщин в вопросах образования и воспитания детей и материнство как социальная функция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129.</w:t>
      </w:r>
      <w:r>
        <w:tab/>
        <w:t>Принимая во внимание некоторые социальные перемены, происходящие в нашей стране, такие, например, как более широкое вовлечение женщин в си</w:t>
      </w:r>
      <w:r>
        <w:t>с</w:t>
      </w:r>
      <w:r>
        <w:t>тему оплачиваемого труда и повышение роли и статуса женщин в рамках с</w:t>
      </w:r>
      <w:r>
        <w:t>е</w:t>
      </w:r>
      <w:r>
        <w:t>мьи, особо важной представляется та форма, в какой учебные заведения во</w:t>
      </w:r>
      <w:r>
        <w:t>с</w:t>
      </w:r>
      <w:r>
        <w:t>принимают эту реальность и признают многообразие типов семьи. В этой связи начиная с 2000 года в стране осуществляется политика участия отцов, матерей и уполномоченных, которая имеет целью отстаивать признание этого многоо</w:t>
      </w:r>
      <w:r>
        <w:t>б</w:t>
      </w:r>
      <w:r>
        <w:t>разия и способствовать разделению ответственности за семью в стремлении приобщить отцов к воспитанию детей. Ставится задача создать в обществе представление о том, что ответственность за воспитание и образование детей должны нести не тол</w:t>
      </w:r>
      <w:r>
        <w:t>ь</w:t>
      </w:r>
      <w:r>
        <w:t>ко матери, ее должны разделять обои родители.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130.</w:t>
      </w:r>
      <w:r>
        <w:tab/>
        <w:t>В рамках этих усилий проводились кампании, направленные на просвет</w:t>
      </w:r>
      <w:r>
        <w:t>и</w:t>
      </w:r>
      <w:r>
        <w:t>тельскую работу среди отцов и матерей, на выработку у них чувства гражда</w:t>
      </w:r>
      <w:r>
        <w:t>н</w:t>
      </w:r>
      <w:r>
        <w:t>ской ответственности по отношению к школе, на формирование пропагандис</w:t>
      </w:r>
      <w:r>
        <w:t>т</w:t>
      </w:r>
      <w:r>
        <w:t>ско-информационных стратегий, которые позволяют изменить взаимоотнош</w:t>
      </w:r>
      <w:r>
        <w:t>е</w:t>
      </w:r>
      <w:r>
        <w:t>ния семьи и школы и обеспечить большее равенство между отцами и матерями и между различными типами семей.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131.</w:t>
      </w:r>
      <w:r>
        <w:tab/>
        <w:t>К числу других мероприятий, которые следует отметить, относятся разр</w:t>
      </w:r>
      <w:r>
        <w:t>а</w:t>
      </w:r>
      <w:r>
        <w:t xml:space="preserve">ботка </w:t>
      </w:r>
      <w:r>
        <w:rPr>
          <w:b/>
        </w:rPr>
        <w:t>Национальной политики и комплексного плана действий в интер</w:t>
      </w:r>
      <w:r>
        <w:rPr>
          <w:b/>
        </w:rPr>
        <w:t>е</w:t>
      </w:r>
      <w:r>
        <w:rPr>
          <w:b/>
        </w:rPr>
        <w:t>сах детей и юношества на 2001</w:t>
      </w:r>
      <w:r>
        <w:rPr>
          <w:b/>
        </w:rPr>
        <w:noBreakHyphen/>
        <w:t>2010 годы</w:t>
      </w:r>
      <w:r>
        <w:t>, подготовкой которой занимались общественные организации, ответственные за работу с этими возрастными к</w:t>
      </w:r>
      <w:r>
        <w:t>а</w:t>
      </w:r>
      <w:r>
        <w:t>тегориями населения. Этот План основывается на Конвенции о правах ребенка, в которой содержится статья, касающаяся общей и одинаковой ответственности обоих родителей за воспитание и развитие ребенка, - принципа, нашедшего о</w:t>
      </w:r>
      <w:r>
        <w:t>т</w:t>
      </w:r>
      <w:r>
        <w:t>ражение в упомянутой политике.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132.</w:t>
      </w:r>
      <w:r>
        <w:tab/>
        <w:t>Из содержащихся в Плане мероприятий, направленных на поддержку и укрепление семьи как главной ячейки общества, ответственной за всесторо</w:t>
      </w:r>
      <w:r>
        <w:t>н</w:t>
      </w:r>
      <w:r>
        <w:t>нее развитие детей, следует выделить следующие: создание возможностей для того, чтобы отцы могли присутствовать при рождении своих детей во всех г</w:t>
      </w:r>
      <w:r>
        <w:t>о</w:t>
      </w:r>
      <w:r>
        <w:t>сударственных родильных домах; поддержка парламентской инициативы, суть которой состоит в том, чтобы отец или мать, не проживающие со своими с</w:t>
      </w:r>
      <w:r>
        <w:t>ы</w:t>
      </w:r>
      <w:r>
        <w:t>новьями/дочерями, имели с ними прямую и регулярную связь с целью совм</w:t>
      </w:r>
      <w:r>
        <w:t>е</w:t>
      </w:r>
      <w:r>
        <w:t>стного участия в воспитании своих детей; предоставление в распоряжение с</w:t>
      </w:r>
      <w:r>
        <w:t>е</w:t>
      </w:r>
      <w:r>
        <w:t>мей и общин просветительских материалов о совместной родительской отве</w:t>
      </w:r>
      <w:r>
        <w:t>т</w:t>
      </w:r>
      <w:r>
        <w:t xml:space="preserve">ственности.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133.</w:t>
      </w:r>
      <w:r>
        <w:tab/>
        <w:t>Межминистерская комиссия по вопросам семьи, которую курирует Н</w:t>
      </w:r>
      <w:r>
        <w:t>а</w:t>
      </w:r>
      <w:r>
        <w:t xml:space="preserve">циональное управление по делам женщин, разработала </w:t>
      </w:r>
      <w:r>
        <w:rPr>
          <w:b/>
        </w:rPr>
        <w:t>Основные направл</w:t>
      </w:r>
      <w:r>
        <w:rPr>
          <w:b/>
        </w:rPr>
        <w:t>е</w:t>
      </w:r>
      <w:r>
        <w:rPr>
          <w:b/>
        </w:rPr>
        <w:t>ния правительственных действий в интересах семей</w:t>
      </w:r>
      <w:r>
        <w:t xml:space="preserve"> с целью активизации и сосредоточения общих усилий, предпринимаемых различными правительс</w:t>
      </w:r>
      <w:r>
        <w:t>т</w:t>
      </w:r>
      <w:r>
        <w:t>венными ведомствами в этой важной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134.</w:t>
      </w:r>
      <w:r>
        <w:tab/>
        <w:t>Принципы, лежащие в основе этих действий, следующие: защита семей как ячеек, формирующих и отстаивающих отношения, основанные на любви, взаимном уважении и доверии, безусловном согласии и солидарности между всеми их членами; обеспечение равенства прав и обязанностей женщин и му</w:t>
      </w:r>
      <w:r>
        <w:t>ж</w:t>
      </w:r>
      <w:r>
        <w:t xml:space="preserve">чин при выполнении своих семейных функций; обеспечение справедливости при осуществлении культурных, экономических, социальных и политических прав всех их членов.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135.</w:t>
      </w:r>
      <w:r>
        <w:tab/>
        <w:t>Основные направления предполагают также принятие других дополн</w:t>
      </w:r>
      <w:r>
        <w:t>и</w:t>
      </w:r>
      <w:r>
        <w:t>тельных мер по укреплению семьи. Суть этих мер состоит в том, чтобы разр</w:t>
      </w:r>
      <w:r>
        <w:t>а</w:t>
      </w:r>
      <w:r>
        <w:t>ботать и обеспечить учебно-образовательные инициативы, направленные на то, чтобы мужчины и женщины, мальчики и девочки, молодежь и взрослые ста</w:t>
      </w:r>
      <w:r>
        <w:t>р</w:t>
      </w:r>
      <w:r>
        <w:t>шего возраста приобретали на своих различных возрастных этапах и в соотве</w:t>
      </w:r>
      <w:r>
        <w:t>т</w:t>
      </w:r>
      <w:r>
        <w:t>ствии с циклом развития семьи необходимые для семейной жизни знания; с</w:t>
      </w:r>
      <w:r>
        <w:t>о</w:t>
      </w:r>
      <w:r>
        <w:t>действовать развитию равенства полов супружеской четы, что подразумевает взаимоуважение и гибкость в отношении распределения и выполнения семе</w:t>
      </w:r>
      <w:r>
        <w:t>й</w:t>
      </w:r>
      <w:r>
        <w:t>ных обязанностей; разработать и осуществить программы, законы и инициат</w:t>
      </w:r>
      <w:r>
        <w:t>и</w:t>
      </w:r>
      <w:r>
        <w:t>вы, направленные на достижение совместимости семейной и трудовой жизни мужчин и женщин; оказать помощь отцам и матерям как главным лицам, отве</w:t>
      </w:r>
      <w:r>
        <w:t>т</w:t>
      </w:r>
      <w:r>
        <w:t>ственным за воспитание и образование своих детей, путем создания социал</w:t>
      </w:r>
      <w:r>
        <w:t>ь</w:t>
      </w:r>
      <w:r>
        <w:t>но-культурных и институциональных условий для этого; признать и поощрять ответственное отцовство в воспитании и содержании детей, обеспечивающее их полноценное развитие; разработать профилактические и вспомоществов</w:t>
      </w:r>
      <w:r>
        <w:t>а</w:t>
      </w:r>
      <w:r>
        <w:t>тельные программы и услуги для отцов, матерей и/или других занятых восп</w:t>
      </w:r>
      <w:r>
        <w:t>и</w:t>
      </w:r>
      <w:r>
        <w:t>танием взрослых, испытывающих трудности при выполнении своих родител</w:t>
      </w:r>
      <w:r>
        <w:t>ь</w:t>
      </w:r>
      <w:r>
        <w:t xml:space="preserve">ских функций.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136.</w:t>
      </w:r>
      <w:r>
        <w:tab/>
        <w:t>Для претворения в жизнь вышеизложенных принципов и направлений деятельности совместно с ЮНИСЕФ была разработана рабочая программа, цель которой состоит в подготовке социальных работников местного уровня. Для этого в 2002 году в различных инстанциях</w:t>
      </w:r>
      <w:r>
        <w:rPr>
          <w:rStyle w:val="FootnoteReference"/>
        </w:rPr>
        <w:footnoteReference w:id="64"/>
      </w:r>
      <w:r>
        <w:t xml:space="preserve"> был организован ряд встреч и консультаций с лицами, работающими с семьями на местном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137.</w:t>
      </w:r>
      <w:r>
        <w:tab/>
        <w:t xml:space="preserve">Что же касается пропаганды в области </w:t>
      </w:r>
      <w:r>
        <w:rPr>
          <w:b/>
        </w:rPr>
        <w:t>распределения обязанностей и ответственности внутри семьи</w:t>
      </w:r>
      <w:r>
        <w:t>, то были проведены мероприятия по привл</w:t>
      </w:r>
      <w:r>
        <w:t>е</w:t>
      </w:r>
      <w:r>
        <w:t>чению внимания общественности к этим вопросам, был разработан и распр</w:t>
      </w:r>
      <w:r>
        <w:t>о</w:t>
      </w:r>
      <w:r>
        <w:t>странен среди специалистов и основных организаций, работающих с семьями на этапе воспитания детей, соответствующий учебный материал на данную т</w:t>
      </w:r>
      <w:r>
        <w:t>е</w:t>
      </w:r>
      <w:r>
        <w:t>му. Такой материал получили, в частности, учителя, сотрудники центров охр</w:t>
      </w:r>
      <w:r>
        <w:t>а</w:t>
      </w:r>
      <w:r>
        <w:t>ны здоровья семьи</w:t>
      </w:r>
      <w:r>
        <w:rPr>
          <w:rStyle w:val="FootnoteReference"/>
        </w:rPr>
        <w:footnoteReference w:id="65"/>
      </w:r>
      <w:r>
        <w:t>, сотрудники групп поддержки семей из программы "Си</w:t>
      </w:r>
      <w:r>
        <w:t>с</w:t>
      </w:r>
      <w:r>
        <w:t>тема Чили солидарьо"</w:t>
      </w:r>
      <w:r>
        <w:rPr>
          <w:rStyle w:val="FootnoteReference"/>
        </w:rPr>
        <w:footnoteReference w:id="66"/>
      </w:r>
      <w:r>
        <w:t>. Кроме того, в ходе осуществления этих инициатив широкое освещение получили положения Конвенции № 156 и № 103 МОТ, к</w:t>
      </w:r>
      <w:r>
        <w:t>а</w:t>
      </w:r>
      <w:r>
        <w:t xml:space="preserve">сающиеся этой области.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138.</w:t>
      </w:r>
      <w:r>
        <w:tab/>
        <w:t xml:space="preserve">С 1998 года НУДЖ проводит мероприятия, посвященные достижению </w:t>
      </w:r>
      <w:r>
        <w:rPr>
          <w:b/>
        </w:rPr>
        <w:t>с</w:t>
      </w:r>
      <w:r>
        <w:rPr>
          <w:b/>
        </w:rPr>
        <w:t>о</w:t>
      </w:r>
      <w:r>
        <w:rPr>
          <w:b/>
        </w:rPr>
        <w:t>вместимости семейной и трудовой жизни мужчин и женщин</w:t>
      </w:r>
      <w:r>
        <w:t>. Их цель с</w:t>
      </w:r>
      <w:r>
        <w:t>о</w:t>
      </w:r>
      <w:r>
        <w:t>стоит в поступательном совершенствовании государственной политики, мет</w:t>
      </w:r>
      <w:r>
        <w:t>о</w:t>
      </w:r>
      <w:r>
        <w:t>дов и распорядка труда в учреждениях и на производстве в интересах большей сочетаемости семейной и трудовой жизни мужчин и женщин. Речь идет о со</w:t>
      </w:r>
      <w:r>
        <w:t>з</w:t>
      </w:r>
      <w:r>
        <w:t>дании таких условий, чтобы трудовая деятельность была совместима с выпо</w:t>
      </w:r>
      <w:r>
        <w:t>л</w:t>
      </w:r>
      <w:r>
        <w:t>нением функций жизни в семье, и в первую очередь функций отцовства и мат</w:t>
      </w:r>
      <w:r>
        <w:t>е</w:t>
      </w:r>
      <w:r>
        <w:t>ринства.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139.</w:t>
      </w:r>
      <w:r>
        <w:tab/>
        <w:t>С этой целью осуществлен ряд инициатив, из которых следует выделить следующие: изучение мнений и представлений мужчин и женщин о том, в к</w:t>
      </w:r>
      <w:r>
        <w:t>а</w:t>
      </w:r>
      <w:r>
        <w:t>кой степени совместимы семья и работа</w:t>
      </w:r>
      <w:r>
        <w:rPr>
          <w:rStyle w:val="FootnoteReference"/>
        </w:rPr>
        <w:footnoteReference w:id="67"/>
      </w:r>
      <w:r>
        <w:t>, а также исследования с изложением и анализом мер, принимаемых учреждениями и предприятиями для достиж</w:t>
      </w:r>
      <w:r>
        <w:t>е</w:t>
      </w:r>
      <w:r>
        <w:t>ния большей совместимости трудовой и семейной жизни, как с учетом межд</w:t>
      </w:r>
      <w:r>
        <w:t>у</w:t>
      </w:r>
      <w:r>
        <w:t>народного, так и национального опыта</w:t>
      </w:r>
      <w:r>
        <w:rPr>
          <w:rStyle w:val="FootnoteReference"/>
        </w:rPr>
        <w:footnoteReference w:id="68"/>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140.</w:t>
      </w:r>
      <w:r>
        <w:tab/>
        <w:t>Кроме того, предпринимались действия по ознакомлению с подписанн</w:t>
      </w:r>
      <w:r>
        <w:t>ы</w:t>
      </w:r>
      <w:r>
        <w:t>ми Чили</w:t>
      </w:r>
      <w:r>
        <w:rPr>
          <w:rStyle w:val="FootnoteReference"/>
        </w:rPr>
        <w:footnoteReference w:id="69"/>
      </w:r>
      <w:r>
        <w:t xml:space="preserve"> Конвенцией № 156 и Рекомендацией № 165 МОТ и привлечению внимания различных лиц и организаций страны</w:t>
      </w:r>
      <w:r>
        <w:rPr>
          <w:rStyle w:val="FootnoteReference"/>
        </w:rPr>
        <w:footnoteReference w:id="70"/>
      </w:r>
      <w:r>
        <w:t xml:space="preserve"> к важности темы совмест</w:t>
      </w:r>
      <w:r>
        <w:t>и</w:t>
      </w:r>
      <w:r>
        <w:t>мости трудовой и семейной жизни в интересах улучшения качества жизни л</w:t>
      </w:r>
      <w:r>
        <w:t>ю</w:t>
      </w:r>
      <w:r>
        <w:t>дей, повышения производительности труда и создания благоприятной атм</w:t>
      </w:r>
      <w:r>
        <w:t>о</w:t>
      </w:r>
      <w:r>
        <w:t>сферы в трудовых коллективах. Следует выделить также подготовку и распр</w:t>
      </w:r>
      <w:r>
        <w:t>е</w:t>
      </w:r>
      <w:r>
        <w:t>деление руководств по разработке политики в области людских ресурсов, пр</w:t>
      </w:r>
      <w:r>
        <w:t>е</w:t>
      </w:r>
      <w:r>
        <w:t>дусматривающей меры по созданию условий для успешного совмещения тр</w:t>
      </w:r>
      <w:r>
        <w:t>у</w:t>
      </w:r>
      <w:r>
        <w:t>довой и с</w:t>
      </w:r>
      <w:r>
        <w:t>е</w:t>
      </w:r>
      <w:r>
        <w:t>мейной жизни работников и работниц</w:t>
      </w:r>
      <w:r>
        <w:rPr>
          <w:rStyle w:val="FootnoteReference"/>
        </w:rPr>
        <w:footnoteReference w:id="71"/>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141.</w:t>
      </w:r>
      <w:r>
        <w:tab/>
        <w:t>В трудовой кодекс был внесен ряд поправок</w:t>
      </w:r>
      <w:r>
        <w:rPr>
          <w:rStyle w:val="FootnoteReference"/>
        </w:rPr>
        <w:footnoteReference w:id="72"/>
      </w:r>
      <w:r>
        <w:t>, способствующих созданию таких условий: так, была учреждена льгота для работающих отцов, согласно которой в случае смерти при родах матери их ребенка, они получают право на отпуск в послеродовой период; право на одногодичный отпуск получили вд</w:t>
      </w:r>
      <w:r>
        <w:t>о</w:t>
      </w:r>
      <w:r>
        <w:t>вы, одинокие женщины и мужчины, заявившие в суде о своем желании усын</w:t>
      </w:r>
      <w:r>
        <w:t>о</w:t>
      </w:r>
      <w:r>
        <w:t>вить/удочерить ребенка в соответствии с положениями закона об усыновл</w:t>
      </w:r>
      <w:r>
        <w:t>е</w:t>
      </w:r>
      <w:r>
        <w:t>нии/удочерении. Начало такого отпуска исчисляется с момента оглашения судьей решения, согласно которому этим работникам доверяется персональный уход за ребенком или опекунство</w:t>
      </w:r>
      <w:r>
        <w:rPr>
          <w:rStyle w:val="FootnoteReference"/>
        </w:rPr>
        <w:footnoteReference w:id="73"/>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4.</w:t>
      </w:r>
      <w:r>
        <w:tab/>
        <w:t xml:space="preserve">Гражданские и политические права и ускорение установления равенства между мужчинами и женщинами (ст. 4, 7, 8 и 9)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rPr>
          <w:b/>
          <w:u w:val="single"/>
        </w:rPr>
        <w:t>Участие в государственной деятельности и публичных выборах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142.</w:t>
      </w:r>
      <w:r>
        <w:tab/>
        <w:t>В Чили, как и в большинстве стран мира, участие женщин в политической и государственной жизни пока ограничено, особенно на руководящих постах, кандидатуры на которые либо избираются на публичных выборах, либо назн</w:t>
      </w:r>
      <w:r>
        <w:t>а</w:t>
      </w:r>
      <w:r>
        <w:t>чаются властями. По данным Организации Объединенных Наций, в 2000 году Чили, согласно индексу развития людских ресурсов, находилась на 38</w:t>
      </w:r>
      <w:r>
        <w:noBreakHyphen/>
        <w:t>м месте (из 174), однако, согласно показателю степени реализации прав женщин, отр</w:t>
      </w:r>
      <w:r>
        <w:t>а</w:t>
      </w:r>
      <w:r>
        <w:t>жающему доступ женщины к постам руководителей, принимающих эконом</w:t>
      </w:r>
      <w:r>
        <w:t>и</w:t>
      </w:r>
      <w:r>
        <w:t>ческие, социальные и политические решения, занимала лишь 51</w:t>
      </w:r>
      <w:r>
        <w:noBreakHyphen/>
        <w:t>е место.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143.</w:t>
      </w:r>
      <w:r>
        <w:tab/>
        <w:t xml:space="preserve">В замечаниях Комитета КЛДЖ к последнему докладу, представленному правительством Чили, такое положение было прокомментировано следующим образом: </w:t>
      </w:r>
      <w:r>
        <w:rPr>
          <w:i/>
        </w:rPr>
        <w:t>"Комитет обеспокоен низкой представленностью женщин в полит</w:t>
      </w:r>
      <w:r>
        <w:rPr>
          <w:i/>
        </w:rPr>
        <w:t>и</w:t>
      </w:r>
      <w:r>
        <w:rPr>
          <w:i/>
        </w:rPr>
        <w:t>ческих органах и органах государственного управления, особенно на руковод</w:t>
      </w:r>
      <w:r>
        <w:rPr>
          <w:i/>
        </w:rPr>
        <w:t>я</w:t>
      </w:r>
      <w:r>
        <w:rPr>
          <w:i/>
        </w:rPr>
        <w:t>щем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144.</w:t>
      </w:r>
      <w:r>
        <w:tab/>
        <w:t>Несмотря на такую недопредставленность женщин в политических и г</w:t>
      </w:r>
      <w:r>
        <w:t>о</w:t>
      </w:r>
      <w:r>
        <w:t>сударственных органах страны, за последние 10 лет в Чили наблюдается рост числа женщин, занимающих государственные посты в результате назначения, и в меньшей степени - посты выборные. Исследование, проведенное Национал</w:t>
      </w:r>
      <w:r>
        <w:t>ь</w:t>
      </w:r>
      <w:r>
        <w:t>ным управлением по делам женщин</w:t>
      </w:r>
      <w:r>
        <w:rPr>
          <w:rStyle w:val="FootnoteReference"/>
        </w:rPr>
        <w:footnoteReference w:id="74"/>
      </w:r>
      <w:r>
        <w:t>, показало, что если в 1991 году ответс</w:t>
      </w:r>
      <w:r>
        <w:t>т</w:t>
      </w:r>
      <w:r>
        <w:t>венные посты в органах исполнительной власти занимали лишь 7 процентов женщин, то в 2001 году доля женщин, занимающих такие посты, возросла до 22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145.</w:t>
      </w:r>
      <w:r>
        <w:tab/>
        <w:t>По Конституции не существует ни трудностей, ни законодательных огр</w:t>
      </w:r>
      <w:r>
        <w:t>а</w:t>
      </w:r>
      <w:r>
        <w:t>ничений для того, чтобы женщины были представлены в органах государс</w:t>
      </w:r>
      <w:r>
        <w:t>т</w:t>
      </w:r>
      <w:r>
        <w:t>венного управления, участвовали в выборах и избирались, однако на практике все же имеет место неравенство в их доступе к власти. К тому же, система в</w:t>
      </w:r>
      <w:r>
        <w:t>ы</w:t>
      </w:r>
      <w:r>
        <w:t>боров</w:t>
      </w:r>
      <w:r>
        <w:rPr>
          <w:rStyle w:val="FootnoteReference"/>
        </w:rPr>
        <w:footnoteReference w:id="75"/>
      </w:r>
      <w:r>
        <w:t xml:space="preserve"> не гарантирует равноправного участия в ней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146.</w:t>
      </w:r>
      <w:r>
        <w:tab/>
        <w:t xml:space="preserve">Что же касается </w:t>
      </w:r>
      <w:r>
        <w:rPr>
          <w:b/>
        </w:rPr>
        <w:t>государственных должностей в президентских стру</w:t>
      </w:r>
      <w:r>
        <w:rPr>
          <w:b/>
        </w:rPr>
        <w:t>к</w:t>
      </w:r>
      <w:r>
        <w:rPr>
          <w:b/>
        </w:rPr>
        <w:t>турах</w:t>
      </w:r>
      <w:r>
        <w:t>, то правительства согласия создали ряд механизмов, помогающих ли</w:t>
      </w:r>
      <w:r>
        <w:t>к</w:t>
      </w:r>
      <w:r>
        <w:t>видировать существующее неравенство и сократить ограничения культурного порядка, которым подвергались женщины в официальной политике. В нынешней администрации президента Рикардо Лагоса взят четкий курс на участие и сотрудничество женщин в органах управления. Таким образом, по сравнению с предыдущими периодами отмечается явное увеличение числа женщин на большинстве государственных должностей президентских стру</w:t>
      </w:r>
      <w:r>
        <w:t>к</w:t>
      </w:r>
      <w:r>
        <w:t>тур. В частности, в период 1999</w:t>
      </w:r>
      <w:r>
        <w:noBreakHyphen/>
        <w:t>2000 годов наблюдалось значительное возра</w:t>
      </w:r>
      <w:r>
        <w:t>с</w:t>
      </w:r>
      <w:r>
        <w:t>тание числа женщин на должностях министров, заместителей министров, на ответственных постах в областных правительствах, и особенно в губернаторс</w:t>
      </w:r>
      <w:r>
        <w:t>т</w:t>
      </w:r>
      <w:r>
        <w:t>вах. В итоге доля представленности женщин в этих органах увеличилась с 10 процентов в 1999 году до 30 процентов в 2000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147.</w:t>
      </w:r>
      <w:r>
        <w:tab/>
        <w:t>В начале правления президента Лагоса появилось несколько министров-женщин, число которых достигло 5 (из 17 министерств). В настоящее время министерские посты занимают 3 женщины из 17 министерских постов в стр</w:t>
      </w:r>
      <w:r>
        <w:t>а</w:t>
      </w:r>
      <w:r>
        <w:t>не. Следует отметить, что два министерства, которыми традиционно руковод</w:t>
      </w:r>
      <w:r>
        <w:t>и</w:t>
      </w:r>
      <w:r>
        <w:t>ли мужчины, сегодня возглавляют женщины, это министерство обороны и м</w:t>
      </w:r>
      <w:r>
        <w:t>и</w:t>
      </w:r>
      <w:r>
        <w:t>нистерство иностранных дел.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148.</w:t>
      </w:r>
      <w:r>
        <w:tab/>
        <w:t>Однако в последующие годы (с 2001 по 2003 год) столь заметная тенде</w:t>
      </w:r>
      <w:r>
        <w:t>н</w:t>
      </w:r>
      <w:r>
        <w:t>ция к увеличению числа женщин, занимающих руководящие посты в исполн</w:t>
      </w:r>
      <w:r>
        <w:t>и</w:t>
      </w:r>
      <w:r>
        <w:t>тельной власти, несколько ослабла, а в отдельных случаях снизилась. В 2003 году меньше всего женщины были представлены на постах руководит</w:t>
      </w:r>
      <w:r>
        <w:t>е</w:t>
      </w:r>
      <w:r>
        <w:t>лей областных администраций</w:t>
      </w:r>
      <w:r>
        <w:rPr>
          <w:rStyle w:val="FootnoteReference"/>
        </w:rPr>
        <w:footnoteReference w:id="76"/>
      </w:r>
      <w:r>
        <w:t>, так из 13 таких должностей женщины были представлены лишь на одной. Несколько лучше положение с должностями з</w:t>
      </w:r>
      <w:r>
        <w:t>а</w:t>
      </w:r>
      <w:r>
        <w:t>местителей министра (из 29 заместителей министра - 8 женщины) и губернат</w:t>
      </w:r>
      <w:r>
        <w:t>о</w:t>
      </w:r>
      <w:r>
        <w:t>ров (из 51 -14 женщин)</w:t>
      </w:r>
      <w:r>
        <w:rPr>
          <w:rStyle w:val="FootnoteReference"/>
        </w:rPr>
        <w:footnoteReference w:id="77"/>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149.</w:t>
      </w:r>
      <w:r>
        <w:tab/>
        <w:t xml:space="preserve">Процентная доля женщин в </w:t>
      </w:r>
      <w:r>
        <w:rPr>
          <w:b/>
        </w:rPr>
        <w:t>органах судебной власти</w:t>
      </w:r>
      <w:r>
        <w:t xml:space="preserve"> в период 1992</w:t>
      </w:r>
      <w:r>
        <w:noBreakHyphen/>
        <w:t>2002 годов постепенно возрастала, однако их представленность по-прежнему неравномерна и стереотипы еще не изжиты. По данным в отношении различных постов за 2002 год, в Верховном суде женщины представлены на 9,5 процента; в Апелляционном суде - на 24,4 процента</w:t>
      </w:r>
      <w:r>
        <w:rPr>
          <w:rStyle w:val="FootnoteReference"/>
        </w:rPr>
        <w:footnoteReference w:id="78"/>
      </w:r>
      <w:r>
        <w:t>. При этом отмечае</w:t>
      </w:r>
      <w:r>
        <w:t>т</w:t>
      </w:r>
      <w:r>
        <w:t>ся, что чем менее влиятелен пост в обоих судах, тем чаще на нем представлены женщины, поэтому представленность женщин на ответственных постах незн</w:t>
      </w:r>
      <w:r>
        <w:t>а</w:t>
      </w:r>
      <w:r>
        <w:t>чительна. Несмотря на вышеизложенное, весьма примечательным фактом и даже исторической вехой с момента существования судебной власти стало н</w:t>
      </w:r>
      <w:r>
        <w:t>а</w:t>
      </w:r>
      <w:r>
        <w:t>значение в 2001 году двух женщин в Верховном суде на должности альгвазила и прокурора.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150.</w:t>
      </w:r>
      <w:r>
        <w:tab/>
        <w:t xml:space="preserve">В </w:t>
      </w:r>
      <w:r>
        <w:rPr>
          <w:b/>
        </w:rPr>
        <w:t>Национальном конгрессе</w:t>
      </w:r>
      <w:r>
        <w:t xml:space="preserve"> представленность женщин весьма незнач</w:t>
      </w:r>
      <w:r>
        <w:t>и</w:t>
      </w:r>
      <w:r>
        <w:t>тельна, однако на последних выборах было отмечено ее небольшое возраст</w:t>
      </w:r>
      <w:r>
        <w:t>а</w:t>
      </w:r>
      <w:r>
        <w:t>ние. Наибольшее число женщин в конгрессе было в 2001 году - периоде на</w:t>
      </w:r>
      <w:r>
        <w:t>и</w:t>
      </w:r>
      <w:r>
        <w:t>высшего парламентского участия женщин. На выборах 2001 года были избраны 15 депутатов-женщин (при этом 9 женщин были переизбраны повторно). Что же касается сената, в который избирается половина новых членов, то здесь с</w:t>
      </w:r>
      <w:r>
        <w:t>и</w:t>
      </w:r>
      <w:r>
        <w:t>туация менее благоприятна, поскольку в него баллотировались всего 2 женщины-кандидата, так и не получившие необходимой поддержки.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151.</w:t>
      </w:r>
      <w:r>
        <w:tab/>
        <w:t>Все это подтверждает тот факт, что на публичных выборах представле</w:t>
      </w:r>
      <w:r>
        <w:t>н</w:t>
      </w:r>
      <w:r>
        <w:t>ность женщин на постах органов власти снижается. В Национальном конгрессе численность депутатов-женщин составляет 11 процентов. Высшая палата с</w:t>
      </w:r>
      <w:r>
        <w:t>о</w:t>
      </w:r>
      <w:r>
        <w:t>стоит из 49 сенаторов, из которых 38 избираются демократическим путем. Женщин из всего этого количества всего 2 (5 процентов). В Нижней палате, с</w:t>
      </w:r>
      <w:r>
        <w:t>о</w:t>
      </w:r>
      <w:r>
        <w:t>стоящей из 120 депутатов, женщин-парламентариев 15 человек, или 12,5 процента от общего числа депутатов</w:t>
      </w:r>
      <w:r>
        <w:rPr>
          <w:rStyle w:val="FootnoteReference"/>
        </w:rPr>
        <w:footnoteReference w:id="79"/>
      </w:r>
      <w:r>
        <w:t>. Следует отметить, что за после</w:t>
      </w:r>
      <w:r>
        <w:t>д</w:t>
      </w:r>
      <w:r>
        <w:t xml:space="preserve">ние два года некоторые женщины возглавляли Палату депутатов.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152.</w:t>
      </w:r>
      <w:r>
        <w:tab/>
        <w:t>На последних трех парламентских выборах кандидатов-женщин было меньше, чем кандидатов-мужчин. В 2001 году число кандидатов-женщин с</w:t>
      </w:r>
      <w:r>
        <w:t>о</w:t>
      </w:r>
      <w:r>
        <w:t>кратилось до 41 (от 84 кандидатов-женщин в 1997 году), а число кандидатов-мужчин - до 281 человека (от 358 в этом же году). Из этого числа женщин было избрано 15, а мужчин - 105, в соотношении 37 процентов</w:t>
      </w:r>
      <w:r>
        <w:rPr>
          <w:rStyle w:val="FootnoteReference"/>
        </w:rPr>
        <w:footnoteReference w:id="80"/>
      </w:r>
      <w:r>
        <w:t xml:space="preserve"> для обоих полов.</w:t>
      </w:r>
      <w:r>
        <w:rPr>
          <w:lang w:val="en-US"/>
        </w:rPr>
        <w:t xml:space="preserve"> </w:t>
      </w:r>
      <w:r>
        <w:t>Это свидетельствует о том, что соотношение между лицами, выдвинувшими свои кандидатуры и избранными на государственные должности, одинаково и для женщин, и для мужчин. Однако на выборах в верхнюю палату наблюдалась другая картина, где кандидаты-женщины получили меньшее число гол</w:t>
      </w:r>
      <w:r>
        <w:t>о</w:t>
      </w:r>
      <w:r>
        <w:t>сов.</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153.</w:t>
      </w:r>
      <w:r>
        <w:tab/>
        <w:t xml:space="preserve">Рассматривая состав выборных должностей в </w:t>
      </w:r>
      <w:r>
        <w:rPr>
          <w:b/>
        </w:rPr>
        <w:t>органах местного сам</w:t>
      </w:r>
      <w:r>
        <w:rPr>
          <w:b/>
        </w:rPr>
        <w:t>о</w:t>
      </w:r>
      <w:r>
        <w:rPr>
          <w:b/>
        </w:rPr>
        <w:t>управления</w:t>
      </w:r>
      <w:r>
        <w:t>, следует отметить, что доля женщин-председателей муниципал</w:t>
      </w:r>
      <w:r>
        <w:t>ь</w:t>
      </w:r>
      <w:r>
        <w:t>ных советов составляет 12 процентов, что соответствует 42 из 341 муниципалитета, в то время как на женщин-членов муниципальных сов</w:t>
      </w:r>
      <w:r>
        <w:t>е</w:t>
      </w:r>
      <w:r>
        <w:t>тов приходится 308 из 1 783 мест, что в долевом отношении составляет 17 процентов</w:t>
      </w:r>
      <w:r>
        <w:rPr>
          <w:rStyle w:val="FootnoteReference"/>
        </w:rPr>
        <w:footnoteReference w:customMarkFollows="1" w:id="81"/>
        <w:t>78</w:t>
      </w:r>
      <w:r>
        <w:t>. Необходимо также учесть, что наблюдается рост количества женщин, занимающих выборные государственные должности, так, в 1996 году на долю женщин приходилось только 9,4 процента от общего числа председ</w:t>
      </w:r>
      <w:r>
        <w:t>а</w:t>
      </w:r>
      <w:r>
        <w:t>телей муниципалитетов и 14,4 процента от общего числа членов муниципал</w:t>
      </w:r>
      <w:r>
        <w:t>ь</w:t>
      </w:r>
      <w:r>
        <w:t>ных советов.</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154.</w:t>
      </w:r>
      <w:r>
        <w:tab/>
        <w:t>Что касается статистики по кандидатам, принимавшим участие в муниц</w:t>
      </w:r>
      <w:r>
        <w:t>и</w:t>
      </w:r>
      <w:r>
        <w:t>пальных выборах, доля женщин составила 17,3 процента, т.е. из 4 642 кандидатов 806 являлись женщинами, из которых 350 были избраны на должности председателей и членов муниципальных советов. Данная цифра свидетельствует о том, что из общего числа женщин-кандидатов были избраны 43,4 процента.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155.</w:t>
      </w:r>
      <w:r>
        <w:tab/>
        <w:t xml:space="preserve">Рассматривая </w:t>
      </w:r>
      <w:r>
        <w:rPr>
          <w:b/>
        </w:rPr>
        <w:t>внешнеполитическую деятельность правительства</w:t>
      </w:r>
      <w:r>
        <w:t>, сл</w:t>
      </w:r>
      <w:r>
        <w:t>е</w:t>
      </w:r>
      <w:r>
        <w:t>дует отметить, что наименьшее количество служащих женского пола наблюд</w:t>
      </w:r>
      <w:r>
        <w:t>а</w:t>
      </w:r>
      <w:r>
        <w:t>ется в системе Министерства иностранных дел, из числа которых только шесть являются консулами и семь – послами. Тем не менее, постоянный рост колич</w:t>
      </w:r>
      <w:r>
        <w:t>е</w:t>
      </w:r>
      <w:r>
        <w:t>ства женщин, поступающих в Дипломатическую академию, дает основания п</w:t>
      </w:r>
      <w:r>
        <w:t>о</w:t>
      </w:r>
      <w:r>
        <w:t>лагать, что в ближайшие годы женщины составят около 50 процентов от общ</w:t>
      </w:r>
      <w:r>
        <w:t>е</w:t>
      </w:r>
      <w:r>
        <w:t>го количества студентов. Этот рост уже выражается в увеличении количества женщин, состоящих на службе в Министерстве иностранных дел на должн</w:t>
      </w:r>
      <w:r>
        <w:t>о</w:t>
      </w:r>
      <w:r>
        <w:t>стях третьего, второго и первого секретаря</w:t>
      </w:r>
      <w:r>
        <w:rPr>
          <w:rStyle w:val="FootnoteReference"/>
        </w:rPr>
        <w:footnoteReference w:customMarkFollows="1" w:id="82"/>
        <w:t>79</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156.</w:t>
      </w:r>
      <w:r>
        <w:tab/>
        <w:t>Чили выступает в поддержку двух резолюций, касающихся вопроса об участии женщин в системе Организации Объединенных Наций: «Интеграция прав человека женщин в деятельность всей системы Организации Объедине</w:t>
      </w:r>
      <w:r>
        <w:t>н</w:t>
      </w:r>
      <w:r>
        <w:t>ных Наций», ежегодно принимаемой Комитетом по правам человека без гол</w:t>
      </w:r>
      <w:r>
        <w:t>о</w:t>
      </w:r>
      <w:r>
        <w:t>сования, соавторами которой являются Чили и Канада; и «Улучшение полож</w:t>
      </w:r>
      <w:r>
        <w:t>е</w:t>
      </w:r>
      <w:r>
        <w:t>ния женщин в системе Организации Объединенных Наций», в постановляющей части которой содержится призыв в адрес Генерального секретаря добиться «увеличения доли занимаемых женщинами должностей до 50 процентов в по</w:t>
      </w:r>
      <w:r>
        <w:t>л</w:t>
      </w:r>
      <w:r>
        <w:t>ном соответствии с принципом равного географического представительства, согласно разделу 3 статьи 101 Устава». В последней редакции указанной Рез</w:t>
      </w:r>
      <w:r>
        <w:t>о</w:t>
      </w:r>
      <w:r>
        <w:t>люции № 58/177, принятой на 77-й сессии Генеральной Ассамблеи в 2003 году, ставится аналогичная задача. Кроме того, правительство Чили поддержало кандидатуру выдающейся чилийской женщины-юриста</w:t>
      </w:r>
      <w:r>
        <w:rPr>
          <w:rStyle w:val="FootnoteReference"/>
        </w:rPr>
        <w:footnoteReference w:customMarkFollows="1" w:id="83"/>
        <w:t>80</w:t>
      </w:r>
      <w:r>
        <w:t>, которая была избрана на должность судьи Межамериканского суда при ОАГ.</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lang w:val="en-US"/>
        </w:rPr>
        <w:br w:type="page"/>
      </w:r>
      <w:r>
        <w:rPr>
          <w:b/>
          <w:u w:val="single"/>
        </w:rPr>
        <w:t>Специальные меры временного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157.</w:t>
      </w:r>
      <w:r>
        <w:tab/>
        <w:t>Комитет по ликвидации дискриминации в отношении женщин (КЛДЖ) в своих комментариях к Третьему докладу, представленному правительством Ч</w:t>
      </w:r>
      <w:r>
        <w:t>и</w:t>
      </w:r>
      <w:r>
        <w:t>ли, заявляет: «</w:t>
      </w:r>
      <w:r>
        <w:rPr>
          <w:i/>
        </w:rPr>
        <w:t>Комитет призывает правительство поддержать принимаемые меры путем расширения стратегического подхода, а также введения време</w:t>
      </w:r>
      <w:r>
        <w:rPr>
          <w:i/>
        </w:rPr>
        <w:t>н</w:t>
      </w:r>
      <w:r>
        <w:rPr>
          <w:i/>
        </w:rPr>
        <w:t>ных мер, … с целью обеспечения расширения участия женщин в общественной жизни</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158.</w:t>
      </w:r>
      <w:r>
        <w:tab/>
        <w:t>В</w:t>
      </w:r>
      <w:r>
        <w:rPr>
          <w:lang w:val="en-US"/>
        </w:rPr>
        <w:t> </w:t>
      </w:r>
      <w:r>
        <w:t xml:space="preserve">качестве конструктивной меры группа депутатов представила в 1997 году </w:t>
      </w:r>
      <w:r>
        <w:rPr>
          <w:b/>
        </w:rPr>
        <w:t>проект закона о квотах</w:t>
      </w:r>
      <w:r>
        <w:t xml:space="preserve"> «Об изменении ряда юридических инстит</w:t>
      </w:r>
      <w:r>
        <w:t>у</w:t>
      </w:r>
      <w:r>
        <w:t>тов с целью обеспечения права женщин на участие в общественной жизни страны». Данное предложение предусматривает три основных изменения</w:t>
      </w:r>
      <w:r>
        <w:rPr>
          <w:rStyle w:val="FootnoteReference"/>
        </w:rPr>
        <w:footnoteReference w:customMarkFollows="1" w:id="84"/>
        <w:t>81</w:t>
      </w:r>
      <w:r>
        <w:t>, в которых устанавливается, что партии должны согласовать процедуры и избир</w:t>
      </w:r>
      <w:r>
        <w:t>а</w:t>
      </w:r>
      <w:r>
        <w:t>тельные механизмы применительно к своим внутренним коллегиальным орг</w:t>
      </w:r>
      <w:r>
        <w:t>а</w:t>
      </w:r>
      <w:r>
        <w:t>нам, а также центральному руководящему органу, в соответствии с которыми доля представителей одного пола не может превышать 60 процентов от общего числа членов соответствующего органа. Кроме того, устанавливается, что при выдвижении кандидатов от каждой партии доля представителей одного пола не может превышать 60 процентов от общего числа кандидатов.</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159.</w:t>
      </w:r>
      <w:r>
        <w:tab/>
        <w:t>Данный законопроект был вновь вынесен на рассмотрение в начале 2003 года с небольшими изменениями и получил поддержку большего числа членов парламента от всех политических партий и в настоящее время рассма</w:t>
      </w:r>
      <w:r>
        <w:t>т</w:t>
      </w:r>
      <w:r>
        <w:t>ривается в первом чтении в Комитете по делам семьи Палаты депутатов. В данной инициативе ставится задача обеспечения равного присутствия мужчин и женщин в составе Национального Конгресса.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160.</w:t>
      </w:r>
      <w:r>
        <w:tab/>
        <w:t>Применительно к действиям, предпринятым СЕРНАМ в целях обеспеч</w:t>
      </w:r>
      <w:r>
        <w:t>е</w:t>
      </w:r>
      <w:r>
        <w:t>ния участия женщин в политической жизни, представляется возможным уп</w:t>
      </w:r>
      <w:r>
        <w:t>о</w:t>
      </w:r>
      <w:r>
        <w:t xml:space="preserve">мянуть </w:t>
      </w:r>
      <w:r>
        <w:rPr>
          <w:b/>
        </w:rPr>
        <w:t>различные исследования</w:t>
      </w:r>
      <w:r>
        <w:rPr>
          <w:rStyle w:val="FootnoteReference"/>
          <w:b/>
        </w:rPr>
        <w:footnoteReference w:customMarkFollows="1" w:id="85"/>
        <w:t>82</w:t>
      </w:r>
      <w:r>
        <w:t>, посвященные анализу причин незнач</w:t>
      </w:r>
      <w:r>
        <w:t>и</w:t>
      </w:r>
      <w:r>
        <w:t>тельного участия женщин в национальной политической жизни. Основные в</w:t>
      </w:r>
      <w:r>
        <w:t>ы</w:t>
      </w:r>
      <w:r>
        <w:t>воды</w:t>
      </w:r>
      <w:r>
        <w:rPr>
          <w:rStyle w:val="FootnoteReference"/>
        </w:rPr>
        <w:footnoteReference w:customMarkFollows="1" w:id="86"/>
        <w:t>83</w:t>
      </w:r>
      <w:r>
        <w:t xml:space="preserve"> указанных исследований послужили весомым аргументом в пользу вв</w:t>
      </w:r>
      <w:r>
        <w:t>е</w:t>
      </w:r>
      <w:r>
        <w:t>дения закона о квотах и способствовали разъяснению соответствующих юр</w:t>
      </w:r>
      <w:r>
        <w:t>и</w:t>
      </w:r>
      <w:r>
        <w:t xml:space="preserve">дических механизмов. В течение 2001 года </w:t>
      </w:r>
      <w:r>
        <w:rPr>
          <w:b/>
        </w:rPr>
        <w:t>во всех регионах страны были проведены семинары</w:t>
      </w:r>
      <w:r>
        <w:t>, к участию в которых были привлечены заинтересова</w:t>
      </w:r>
      <w:r>
        <w:t>н</w:t>
      </w:r>
      <w:r>
        <w:t>ные политические деятели, и их задачей стало формирование общественного мнения по вопросу необходимости введ</w:t>
      </w:r>
      <w:r>
        <w:t>е</w:t>
      </w:r>
      <w:r>
        <w:t>ния в Чили закона о квотах.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Взаимоотношения государства и гражданского общества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161.</w:t>
      </w:r>
      <w:r>
        <w:tab/>
        <w:t>Участие женщин в общественной и политической жизни государства ра</w:t>
      </w:r>
      <w:r>
        <w:t>с</w:t>
      </w:r>
      <w:r>
        <w:t>сматривалось с разных точек зрения. Одна из них ориентируется на форму и масштабы участия женщин в общественных организациях и то, как их потре</w:t>
      </w:r>
      <w:r>
        <w:t>б</w:t>
      </w:r>
      <w:r>
        <w:t>ности и интересы учитываются при выработке государственной политики. Данный подход к вопросам участия был использован правительством</w:t>
      </w:r>
      <w:r>
        <w:rPr>
          <w:rStyle w:val="FootnoteReference"/>
        </w:rPr>
        <w:footnoteReference w:customMarkFollows="1" w:id="87"/>
        <w:t>84</w:t>
      </w:r>
      <w:r>
        <w:t xml:space="preserve"> при реализации комплекса мер, гарантирующих мужчинам и женщинам наличие административных и юридических условий, позволяющих им принимать уч</w:t>
      </w:r>
      <w:r>
        <w:t>а</w:t>
      </w:r>
      <w:r>
        <w:t>стие в различных проявлениях общественной жизни, а также в процессе фо</w:t>
      </w:r>
      <w:r>
        <w:t>р</w:t>
      </w:r>
      <w:r>
        <w:t>мирования гос</w:t>
      </w:r>
      <w:r>
        <w:t>у</w:t>
      </w:r>
      <w:r>
        <w:t>дарственной политики.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162.</w:t>
      </w:r>
      <w:r>
        <w:tab/>
        <w:t>В</w:t>
      </w:r>
      <w:r>
        <w:rPr>
          <w:lang w:val="en-US"/>
        </w:rPr>
        <w:t> </w:t>
      </w:r>
      <w:r>
        <w:t>данной связи правительством начата реализация ряда инициатив, н</w:t>
      </w:r>
      <w:r>
        <w:t>а</w:t>
      </w:r>
      <w:r>
        <w:t>правленных на укрепление общественной системы, ослабленной потерей дов</w:t>
      </w:r>
      <w:r>
        <w:t>е</w:t>
      </w:r>
      <w:r>
        <w:t>рия общества в годы военной диктатуры, отсутствием заинтересованности в участии в гражданских организациях и фактическим недостатком сильных и незав</w:t>
      </w:r>
      <w:r>
        <w:t>и</w:t>
      </w:r>
      <w:r>
        <w:t>симых гражданских организаций.</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163.</w:t>
      </w:r>
      <w:r>
        <w:tab/>
        <w:t>В</w:t>
      </w:r>
      <w:r>
        <w:rPr>
          <w:lang w:val="en-US"/>
        </w:rPr>
        <w:t> </w:t>
      </w:r>
      <w:r>
        <w:t>Чили в различных общественных организациях состоит 30,4 процента граждан в возрасте старше 12 лет. По этому показателю между мужчинами и женщинами нет значительных различий – доля состоящих в общественных о</w:t>
      </w:r>
      <w:r>
        <w:t>р</w:t>
      </w:r>
      <w:r>
        <w:t>ганизациях женщин лишь на 1,3 процента меньше, чем мужчин</w:t>
      </w:r>
      <w:r>
        <w:rPr>
          <w:rStyle w:val="FootnoteReference"/>
        </w:rPr>
        <w:footnoteReference w:customMarkFollows="1" w:id="88"/>
        <w:t>85</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164.</w:t>
      </w:r>
      <w:r>
        <w:tab/>
        <w:t>Один из аспектов, характеризующих различные формы общественного участия мужчин и женщин, связан с мотивацией участия тех и других, а это непосредственно основывается на традиционной роли мужчины и женщины. Согласно данным опроса НОСЭП</w:t>
      </w:r>
      <w:r>
        <w:rPr>
          <w:lang w:val="en-US"/>
        </w:rPr>
        <w:t> </w:t>
      </w:r>
      <w:r>
        <w:t>2000, женщины главным образом принимают участие в деятельности религиозных организаций (10,9 процента), в то время как мужчины преимущественно состоят в спортивных организациях и орган</w:t>
      </w:r>
      <w:r>
        <w:t>и</w:t>
      </w:r>
      <w:r>
        <w:t>зациях по интересам (10,7 процента).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165.</w:t>
      </w:r>
      <w:r>
        <w:tab/>
        <w:t>При более детальном рассмотрении вопросов неравенства, сохраняющи</w:t>
      </w:r>
      <w:r>
        <w:t>х</w:t>
      </w:r>
      <w:r>
        <w:t>ся при интеграции женщин в общественную жизнь, выясняется, что среди мужчин и женщин, состоящих в какой-либо организации, именно последние преимущественно не имеют доступа к руководящим должностям. С другой стороны, женщины сталкиваются с большими трудностями, нежели мужчины, в случае их участия в традиционных организациях, так как на них лежит бол</w:t>
      </w:r>
      <w:r>
        <w:t>ь</w:t>
      </w:r>
      <w:r>
        <w:t>шая часть домашних обязанностей, что подразумевает их основную роль в к</w:t>
      </w:r>
      <w:r>
        <w:t>а</w:t>
      </w:r>
      <w:r>
        <w:t>честве домохозяек и не согласуется с формой участия в какой-либо организ</w:t>
      </w:r>
      <w:r>
        <w:t>а</w:t>
      </w:r>
      <w:r>
        <w:t>ции и графиком деятельности таковой.</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166.</w:t>
      </w:r>
      <w:r>
        <w:tab/>
        <w:t>В сфере взаимоотношений государства и гражданского общества и уч</w:t>
      </w:r>
      <w:r>
        <w:t>а</w:t>
      </w:r>
      <w:r>
        <w:t>стия последнего в процессе выработки и изменения государственной политики, действующее правительство предложило перейти к более тесному уровню взаимодействия с населением. Это предложение было выдвинуто в Третьей программе Правительства Коалиции, которая предусматривает необходимость заключения нового общественного договора с гражданами и гражданскими о</w:t>
      </w:r>
      <w:r>
        <w:t>р</w:t>
      </w:r>
      <w:r>
        <w:t>ганизациями в целях формирования нового альянса между государством и гр</w:t>
      </w:r>
      <w:r>
        <w:t>а</w:t>
      </w:r>
      <w:r>
        <w:t>жданским обществом.</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167.</w:t>
      </w:r>
      <w:r>
        <w:tab/>
        <w:t xml:space="preserve">В данной связи необходимо отметить </w:t>
      </w:r>
      <w:r>
        <w:rPr>
          <w:b/>
        </w:rPr>
        <w:t>Национальную политику гра</w:t>
      </w:r>
      <w:r>
        <w:rPr>
          <w:b/>
        </w:rPr>
        <w:t>ж</w:t>
      </w:r>
      <w:r>
        <w:rPr>
          <w:b/>
        </w:rPr>
        <w:t>данского участия</w:t>
      </w:r>
      <w:r>
        <w:rPr>
          <w:rStyle w:val="FootnoteReference"/>
        </w:rPr>
        <w:footnoteReference w:customMarkFollows="1" w:id="89"/>
        <w:t>86</w:t>
      </w:r>
      <w:r>
        <w:t>, проводимую действующим правительством. В соответствии с распоряжением президента в 2000</w:t>
      </w:r>
      <w:r>
        <w:rPr>
          <w:lang w:val="fi-FI"/>
        </w:rPr>
        <w:t> </w:t>
      </w:r>
      <w:r>
        <w:t>году было установлено, что гражданское общество является фундаментальным элементом всей дем</w:t>
      </w:r>
      <w:r>
        <w:t>о</w:t>
      </w:r>
      <w:r>
        <w:t>кратической системы, поскольку обеспечивает эффективное признание и с</w:t>
      </w:r>
      <w:r>
        <w:t>о</w:t>
      </w:r>
      <w:r>
        <w:t>блюдение зак</w:t>
      </w:r>
      <w:r>
        <w:t>о</w:t>
      </w:r>
      <w:r>
        <w:t xml:space="preserve">нодательно установленных прав и обязанностей.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168.</w:t>
      </w:r>
      <w:r>
        <w:tab/>
        <w:t>Одним из основополагающих принципов указанной политики является равенство возможностей для участия, что обязывает органы государственной власти вырабатывать механизмы реализации принципа равенства возможн</w:t>
      </w:r>
      <w:r>
        <w:t>о</w:t>
      </w:r>
      <w:r>
        <w:t>стей мужчин и женщин, обеспечивающие участие женщин в политической де</w:t>
      </w:r>
      <w:r>
        <w:t>я</w:t>
      </w:r>
      <w:r>
        <w:t>тельн</w:t>
      </w:r>
      <w:r>
        <w:t>о</w:t>
      </w:r>
      <w:r>
        <w:t>сти и государственных программах.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169.</w:t>
      </w:r>
      <w:r>
        <w:tab/>
        <w:t>В</w:t>
      </w:r>
      <w:r>
        <w:rPr>
          <w:lang w:val="en-US"/>
        </w:rPr>
        <w:t> </w:t>
      </w:r>
      <w:r>
        <w:t>рамках указанного политического курса государственные институты обязуются реализовать ряд мер, направленных на обеспечение его эффективн</w:t>
      </w:r>
      <w:r>
        <w:t>о</w:t>
      </w:r>
      <w:r>
        <w:t>сти. В этой связи СЕРНАМ, среди прочего, взяло на себя обязательства по со</w:t>
      </w:r>
      <w:r>
        <w:t>з</w:t>
      </w:r>
      <w:r>
        <w:t>данию различных инстанций диалога с гражданским обществом (в сельских, профсоюзных, научных организациях, общественных женских организациях и т.д.) и по вовлечению женщин, являющихся объектом проводимых им пр</w:t>
      </w:r>
      <w:r>
        <w:t>о</w:t>
      </w:r>
      <w:r>
        <w:t>грамм, в процесс их планирования и осуществления. Такая политика способс</w:t>
      </w:r>
      <w:r>
        <w:t>т</w:t>
      </w:r>
      <w:r>
        <w:t>вует созданию взаимоотношений в духе сотрудничества и взаимного уважения между государством и гражданами, а также содействует укреплению гражда</w:t>
      </w:r>
      <w:r>
        <w:t>н</w:t>
      </w:r>
      <w:r>
        <w:t>ского общества и укрепляет легити</w:t>
      </w:r>
      <w:r>
        <w:t>м</w:t>
      </w:r>
      <w:r>
        <w:t>ность государственной политики.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170.</w:t>
      </w:r>
      <w:r>
        <w:tab/>
        <w:t>Правительство, при участии Департамента общественных организаций, входящего в состав Генерального секретариата правительства, разработало ряд инициатив, направленных на создание законодательных условий, благоприя</w:t>
      </w:r>
      <w:r>
        <w:t>т</w:t>
      </w:r>
      <w:r>
        <w:t>ствующих режиму равного участия мужчин и женщин в общественно-политической жизни страны.</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171.</w:t>
      </w:r>
      <w:r>
        <w:tab/>
        <w:t>В этой связи, с 2002 года началась реализация законодательного механи</w:t>
      </w:r>
      <w:r>
        <w:t>з</w:t>
      </w:r>
      <w:r>
        <w:t>ма учета в национальном масштабе идей, практических путей и возможностей гражданского участия, которыми располагают мужчины и женщины в сфере государственной политики, равно как и в сфере гражданского общества. Ук</w:t>
      </w:r>
      <w:r>
        <w:t>а</w:t>
      </w:r>
      <w:r>
        <w:t>занный механизм, получивший название «</w:t>
      </w:r>
      <w:r>
        <w:rPr>
          <w:b/>
        </w:rPr>
        <w:t>общественный механизм наблюд</w:t>
      </w:r>
      <w:r>
        <w:rPr>
          <w:b/>
        </w:rPr>
        <w:t>е</w:t>
      </w:r>
      <w:r>
        <w:rPr>
          <w:b/>
        </w:rPr>
        <w:t>ния</w:t>
      </w:r>
      <w:r>
        <w:t>», основывается на представлении о том, что мужчины и женщины сталк</w:t>
      </w:r>
      <w:r>
        <w:t>и</w:t>
      </w:r>
      <w:r>
        <w:t>ваются с различными препятствиями на пути к участию в деятельности гос</w:t>
      </w:r>
      <w:r>
        <w:t>у</w:t>
      </w:r>
      <w:r>
        <w:t xml:space="preserve">дарства и гражданского общества, так как имеют разные домашние, семейные и рабочие обязанности, как и разную степень независимости, принимая во внимание субординацию внутри семьи. Задачей </w:t>
      </w:r>
      <w:r>
        <w:rPr>
          <w:b/>
        </w:rPr>
        <w:t>общественного механизма наблюдения</w:t>
      </w:r>
      <w:r>
        <w:t xml:space="preserve"> является превращение его в инструмент, способствующий форм</w:t>
      </w:r>
      <w:r>
        <w:t>и</w:t>
      </w:r>
      <w:r>
        <w:t>рованию государственной политики с учетом общественной практики и кул</w:t>
      </w:r>
      <w:r>
        <w:t>ь</w:t>
      </w:r>
      <w:r>
        <w:t>турных особенностей, а также, среди всего прочего, вопросов, связанных с н</w:t>
      </w:r>
      <w:r>
        <w:t>е</w:t>
      </w:r>
      <w:r>
        <w:t>равенством полов при доступе к гос</w:t>
      </w:r>
      <w:r>
        <w:t>у</w:t>
      </w:r>
      <w:r>
        <w:t>дарственным ценностям.</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172.</w:t>
      </w:r>
      <w:r>
        <w:rPr>
          <w:lang w:val="en-US"/>
        </w:rPr>
        <w:tab/>
      </w:r>
      <w:r>
        <w:t>Правительство инициировало разработку инициативы, ориентированной на решение вопроса дискриминации в ее различных формах и проявлениях, п</w:t>
      </w:r>
      <w:r>
        <w:t>у</w:t>
      </w:r>
      <w:r>
        <w:t>тем создания специализированной программы. Начавшаяся в 2002 году пр</w:t>
      </w:r>
      <w:r>
        <w:t>о</w:t>
      </w:r>
      <w:r>
        <w:t>грамма под названием "</w:t>
      </w:r>
      <w:r>
        <w:rPr>
          <w:b/>
        </w:rPr>
        <w:t>Терпимость и недискриминация</w:t>
      </w:r>
      <w:r>
        <w:t>" должна способс</w:t>
      </w:r>
      <w:r>
        <w:t>т</w:t>
      </w:r>
      <w:r>
        <w:t>вовать созданию условий для реализации прав граждан в полном объеме и обеспечивать гражданское участие в подверженных дискриминации общес</w:t>
      </w:r>
      <w:r>
        <w:t>т</w:t>
      </w:r>
      <w:r>
        <w:t>венных секторах. В рамках программы предусматривается проведение разли</w:t>
      </w:r>
      <w:r>
        <w:t>ч</w:t>
      </w:r>
      <w:r>
        <w:t>ных мероприятий с привлечением как государственных служащих, так и общ</w:t>
      </w:r>
      <w:r>
        <w:t>е</w:t>
      </w:r>
      <w:r>
        <w:t>ственных организаций. Применительно к первым, реализована стратегия и</w:t>
      </w:r>
      <w:r>
        <w:t>н</w:t>
      </w:r>
      <w:r>
        <w:t>формирования служащих учреждений государственной власти о значимости преодоления всех форм дискриминации, как путем проведения специальных методических семинаров, так и организации официального обучения по уп</w:t>
      </w:r>
      <w:r>
        <w:t>о</w:t>
      </w:r>
      <w:r>
        <w:t>мянутым вопросам. Во втором случае, по согласованию с различными общес</w:t>
      </w:r>
      <w:r>
        <w:t>т</w:t>
      </w:r>
      <w:r>
        <w:t>венными объединениями, были предприняты шаги по повышению доступности услуг здравоохранения для беременных женщин-мигрантов, доступности обр</w:t>
      </w:r>
      <w:r>
        <w:t>а</w:t>
      </w:r>
      <w:r>
        <w:t>зования для их детей и обеспечению доступности профилактической медицины в больничных учрежд</w:t>
      </w:r>
      <w:r>
        <w:t>е</w:t>
      </w:r>
      <w:r>
        <w:t>ниях для подростков и жертв дискриминации.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173.</w:t>
      </w:r>
      <w:r>
        <w:tab/>
        <w:t>Департамент общественных организаций взял курс на укрепление объ</w:t>
      </w:r>
      <w:r>
        <w:t>е</w:t>
      </w:r>
      <w:r>
        <w:t>динений организаций, ведущих деятельность в целях устранения дискримин</w:t>
      </w:r>
      <w:r>
        <w:t>а</w:t>
      </w:r>
      <w:r>
        <w:t>ции, в том числе объединений лиц, подвергающихся дискриминации, путем финансирования различных проектов с одновременным включением таковых в сферу совместной работы с государственными институтами для выработки обязательств по устранению дискриминации и обеспечению уважительного о</w:t>
      </w:r>
      <w:r>
        <w:t>т</w:t>
      </w:r>
      <w:r>
        <w:t>нош</w:t>
      </w:r>
      <w:r>
        <w:t>е</w:t>
      </w:r>
      <w:r>
        <w:t>ния к мужчинам и женщинам.</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174.</w:t>
      </w:r>
      <w:r>
        <w:rPr>
          <w:lang w:val="en-US"/>
        </w:rPr>
        <w:tab/>
      </w:r>
      <w:r>
        <w:rPr>
          <w:b/>
        </w:rPr>
        <w:t xml:space="preserve">План укрепления гражданского общества </w:t>
      </w:r>
      <w:r>
        <w:t>составлен с учетом предл</w:t>
      </w:r>
      <w:r>
        <w:t>о</w:t>
      </w:r>
      <w:r>
        <w:t>жения правительства по обеспечению более независимой и устойчивой де</w:t>
      </w:r>
      <w:r>
        <w:t>я</w:t>
      </w:r>
      <w:r>
        <w:t>тельности общественных ассоциаций, как для женщин, так и для мужчин. В</w:t>
      </w:r>
      <w:r>
        <w:t>ы</w:t>
      </w:r>
      <w:r>
        <w:t>полнение плана было начато в 2000 году, его суть заключается в реализации комплекса мер в пяти различных тематических областях, четыре из которых непосредственно связаны с усовершенствованием форм организованного уч</w:t>
      </w:r>
      <w:r>
        <w:t>а</w:t>
      </w:r>
      <w:r>
        <w:t>стия граждан в общественной и государственной жизни.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175.</w:t>
      </w:r>
      <w:r>
        <w:rPr>
          <w:lang w:val="en-US"/>
        </w:rPr>
        <w:tab/>
      </w:r>
      <w:r>
        <w:t>План предусматривает принятие мер по созданию нормативной базы</w:t>
      </w:r>
      <w:r>
        <w:rPr>
          <w:rStyle w:val="FootnoteReference"/>
        </w:rPr>
        <w:footnoteReference w:customMarkFollows="1" w:id="90"/>
        <w:t>87</w:t>
      </w:r>
      <w:r>
        <w:t>, которая обеспечит независимость и устойчивость таких организаций, как в смысле формы их финансирования, так и в том, что касается их организацио</w:t>
      </w:r>
      <w:r>
        <w:t>н</w:t>
      </w:r>
      <w:r>
        <w:t>ной автономии. В целях внедрения инновационных форм финансирования пр</w:t>
      </w:r>
      <w:r>
        <w:t>а</w:t>
      </w:r>
      <w:r>
        <w:t>вительство инициировало создание Фонда развития гражданского общества, аккумулирующего государственные и частные средства и предназначенного для развития общественного потенциала гражданских организаций. Кроме того, в целях организационной поддержки различных объединений начата выработка плана профессиональной подготовки и технической помощи, который позволит регулировать существующий спрос и предложение на рынке профессиональной подготовки руководителей общественных объединений.</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176.</w:t>
      </w:r>
      <w:r>
        <w:rPr>
          <w:lang w:val="en-US"/>
        </w:rPr>
        <w:tab/>
      </w:r>
      <w:r>
        <w:t>План также предусматривает содействие добровольной работе и проявл</w:t>
      </w:r>
      <w:r>
        <w:t>е</w:t>
      </w:r>
      <w:r>
        <w:t>ниям солидарности, поскольку таковые укрепляют общественное доверие и тем самым положительно влияют на общественную жизнь страны. Данная иници</w:t>
      </w:r>
      <w:r>
        <w:t>а</w:t>
      </w:r>
      <w:r>
        <w:t>тива, в рамках которой осуществлен запуск пилотной программы, рассчита</w:t>
      </w:r>
      <w:r>
        <w:t>н</w:t>
      </w:r>
      <w:r>
        <w:t>ной на четыре региона страны с последующим переходом к аналогичной стр</w:t>
      </w:r>
      <w:r>
        <w:t>а</w:t>
      </w:r>
      <w:r>
        <w:t>тегии в национальном масштабе, учитывает имеющиеся результаты опросов, подтверждающих желание женщин выполнять работу в качестве добровольцев и в большей мере участвовать в деятельности соответствующих объединений. Указанная стратегия представляет собой ценную возможность обеспечить включение женщин в общественную жизнь своего региона, с пониманием того, что, по мере развития соответствующих отношений, последние начнут прин</w:t>
      </w:r>
      <w:r>
        <w:t>и</w:t>
      </w:r>
      <w:r>
        <w:t>мать участие в общественной деятельности. Эти соображения будут учтены в ходе текущего процесса выработки национальной политики.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177.</w:t>
      </w:r>
      <w:r>
        <w:tab/>
        <w:t>Принимая во внимание, что именно женщинам преимущественно прих</w:t>
      </w:r>
      <w:r>
        <w:t>о</w:t>
      </w:r>
      <w:r>
        <w:t>дится собирать информацию и искать решения для обеспечения потребностей семьи в работе, образовании, воспитании детей, здравоохранении и т.д., з</w:t>
      </w:r>
      <w:r>
        <w:t>а</w:t>
      </w:r>
      <w:r>
        <w:t>труднения при доступе последних к информации являются препятствием для их интеграции в общественную жизнь, что, без всякого сомнения, является важной социальной проблемой. По этой причине женщины являются приор</w:t>
      </w:r>
      <w:r>
        <w:t>и</w:t>
      </w:r>
      <w:r>
        <w:t>тетной группой населения при решении государственных задач по информир</w:t>
      </w:r>
      <w:r>
        <w:t>о</w:t>
      </w:r>
      <w:r>
        <w:t>ванию граждан о политике правительства, а также о предоставляемых госуда</w:t>
      </w:r>
      <w:r>
        <w:t>р</w:t>
      </w:r>
      <w:r>
        <w:t>ством льготах и социальных программах</w:t>
      </w:r>
      <w:r>
        <w:rPr>
          <w:rStyle w:val="FootnoteReference"/>
        </w:rPr>
        <w:footnoteReference w:customMarkFollows="1" w:id="91"/>
        <w:t>88</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178.</w:t>
      </w:r>
      <w:r>
        <w:rPr>
          <w:lang w:val="en-US"/>
        </w:rPr>
        <w:tab/>
      </w:r>
      <w:r>
        <w:t>Одним из приоритетных способов информирования граждан являются электронные средства массовой информации, которые предоставляют возмо</w:t>
      </w:r>
      <w:r>
        <w:t>ж</w:t>
      </w:r>
      <w:r>
        <w:t>ность через Интернет доводить информацию до большого количества людей с высокой степенью эффективности. Не преуменьшая массовый потенциал ук</w:t>
      </w:r>
      <w:r>
        <w:t>а</w:t>
      </w:r>
      <w:r>
        <w:t>занного СМИ, данные различных исследований свидетельствуют о том, что 65 процентов пользователей Интернета составляют мужчины и только 35 процентов – женщины, при том, что большая часть пользователей Интерн</w:t>
      </w:r>
      <w:r>
        <w:t>е</w:t>
      </w:r>
      <w:r>
        <w:t>та вообще - лица моложе 34 лет, имеющие высокий уровень образования</w:t>
      </w:r>
      <w:r>
        <w:rPr>
          <w:rStyle w:val="FootnoteReference"/>
        </w:rPr>
        <w:footnoteReference w:customMarkFollows="1" w:id="92"/>
        <w:t>89</w:t>
      </w:r>
      <w:r>
        <w:t>. Сложившаяся ситуация представляет собой новый вызов правительству и тр</w:t>
      </w:r>
      <w:r>
        <w:t>е</w:t>
      </w:r>
      <w:r>
        <w:t>бует внедрения знаний и инструментов, обеспечивающих мужчинам и женщ</w:t>
      </w:r>
      <w:r>
        <w:t>и</w:t>
      </w:r>
      <w:r>
        <w:t>нам равные условия при доступе к информации.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179.</w:t>
      </w:r>
      <w:r>
        <w:rPr>
          <w:lang w:val="en-US"/>
        </w:rPr>
        <w:tab/>
      </w:r>
      <w:r>
        <w:t>В данной связи Министерство генерального секретариата правительства, по согласованию с Секретариатом Министерства связи, начало реализации стратегии по введению Центров доступа к электронной информации, так наз</w:t>
      </w:r>
      <w:r>
        <w:t>ы</w:t>
      </w:r>
      <w:r>
        <w:t>ваемых «Инфоцентров» местного уровня, стимулируя местные общественные орг</w:t>
      </w:r>
      <w:r>
        <w:t>а</w:t>
      </w:r>
      <w:r>
        <w:t>низации для самостоятельного контроля и использования данных центров.</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5.</w:t>
      </w:r>
      <w:r>
        <w:tab/>
        <w:t xml:space="preserve">Экономические, социальные и культурные права, повышение статуса женщины в социальной, экономической и культурной сферах (ст. 3, 10, 11, 12 и 13)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Борьба с нищетой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180.</w:t>
      </w:r>
      <w:r>
        <w:tab/>
      </w:r>
      <w:r>
        <w:rPr>
          <w:i/>
        </w:rPr>
        <w:t>За последнее десятилетие вопрос борьбы с нищетой в нашей стране п</w:t>
      </w:r>
      <w:r>
        <w:rPr>
          <w:i/>
        </w:rPr>
        <w:t>о</w:t>
      </w:r>
      <w:r>
        <w:rPr>
          <w:i/>
        </w:rPr>
        <w:t>лучил весьма значительное развитие в положительную сторону, аналогичная картина наблюдается и в вопросе преодоления нищеты среди женщин</w:t>
      </w:r>
      <w:r>
        <w:rPr>
          <w:rStyle w:val="FootnoteReference"/>
        </w:rPr>
        <w:footnoteReference w:customMarkFollows="1" w:id="93"/>
        <w:t>90</w:t>
      </w:r>
      <w:r>
        <w:t>. За период с 1990 по 2000 год общий уровень бедности снизился почти на полов</w:t>
      </w:r>
      <w:r>
        <w:t>и</w:t>
      </w:r>
      <w:r>
        <w:t>ну, с 38,6 процента до 20,6 процента; в то же время уровень бедности среди женщин снизился с 39,3 процентов до 20,8 процента, таким образом, снижение составило 18,5 процента. За аналогичный период доля неимущих слоев нас</w:t>
      </w:r>
      <w:r>
        <w:t>е</w:t>
      </w:r>
      <w:r>
        <w:t>ления снизилась с 12,9 процента до 5,7 процента. При этом необходимо по</w:t>
      </w:r>
      <w:r>
        <w:t>д</w:t>
      </w:r>
      <w:r>
        <w:t>черкнуть, что хотя в период с 1998 по 2000 год наблюдалась тенденция к сн</w:t>
      </w:r>
      <w:r>
        <w:t>и</w:t>
      </w:r>
      <w:r>
        <w:t>жению уровня бедности, статистика по неимущим слоям населения оставалась на прежнем уровне.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181.</w:t>
      </w:r>
      <w:r>
        <w:tab/>
      </w:r>
      <w:r>
        <w:rPr>
          <w:i/>
        </w:rPr>
        <w:t>Разрыв</w:t>
      </w:r>
      <w:r>
        <w:t xml:space="preserve"> </w:t>
      </w:r>
      <w:r>
        <w:rPr>
          <w:i/>
        </w:rPr>
        <w:t>между общим уровнем бедности среди мужчин и женщин сокр</w:t>
      </w:r>
      <w:r>
        <w:rPr>
          <w:i/>
        </w:rPr>
        <w:t>а</w:t>
      </w:r>
      <w:r>
        <w:rPr>
          <w:i/>
        </w:rPr>
        <w:t>тился</w:t>
      </w:r>
      <w:r>
        <w:t xml:space="preserve"> с 1,4 процента в 1990 году (37,9 процентов малоимущих мужчин против 39,3 процента малоимущих женщин) до 0,4 процента в 2000 году (20,4 процента малоимущих мужчин против 20,8 процента малоимущих же</w:t>
      </w:r>
      <w:r>
        <w:t>н</w:t>
      </w:r>
      <w:r>
        <w:t>щин). За последнее десятилетие наблюдалось снижение процентной доли м</w:t>
      </w:r>
      <w:r>
        <w:t>а</w:t>
      </w:r>
      <w:r>
        <w:t>лоимущих женщин, однако процентная доля неимущих женщин с 1996 года о</w:t>
      </w:r>
      <w:r>
        <w:t>с</w:t>
      </w:r>
      <w:r>
        <w:t>тавалась неизменной, что побудило правительство разработать целевой пакет социальных программ, речь о котором пойдет ниже.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182.</w:t>
      </w:r>
      <w:r>
        <w:tab/>
      </w:r>
      <w:r>
        <w:rPr>
          <w:i/>
        </w:rPr>
        <w:t>Уровень бедности женщин превосходит уровень бедности мужчин</w:t>
      </w:r>
      <w:r>
        <w:t>. Му</w:t>
      </w:r>
      <w:r>
        <w:t>ж</w:t>
      </w:r>
      <w:r>
        <w:t>чины составляют 47,8 процента, а женщины – 52,2 процента от общего колич</w:t>
      </w:r>
      <w:r>
        <w:t>е</w:t>
      </w:r>
      <w:r>
        <w:t>ства неимущих граждан. Применительно к малоимущим слоям населения, к</w:t>
      </w:r>
      <w:r>
        <w:t>о</w:t>
      </w:r>
      <w:r>
        <w:t>торые не являются неимущими, доля женщин составляет 50,9 процента против 49,1 процента мужчин.</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183.</w:t>
      </w:r>
      <w:r>
        <w:tab/>
      </w:r>
      <w:r>
        <w:rPr>
          <w:i/>
        </w:rPr>
        <w:t>Отдельно следует отметить неблагополучное положение женщин, пр</w:t>
      </w:r>
      <w:r>
        <w:rPr>
          <w:i/>
        </w:rPr>
        <w:t>о</w:t>
      </w:r>
      <w:r>
        <w:rPr>
          <w:i/>
        </w:rPr>
        <w:t>живающих в сельской зоне, как по сравнению с положением проживающих в сельской зоне мужчин, так и проживающих в городской зоне женщин</w:t>
      </w:r>
      <w:r>
        <w:t>. В сел</w:t>
      </w:r>
      <w:r>
        <w:t>ь</w:t>
      </w:r>
      <w:r>
        <w:t>ской зоне малоимущими являются 24,7 женщин и 23 процента мужчин. При сравнении уровня благосостояния женщин, проживающих в сельской и в г</w:t>
      </w:r>
      <w:r>
        <w:t>о</w:t>
      </w:r>
      <w:r>
        <w:t>родской зоне, выделяется высокий процент неимущих женщин из числа пр</w:t>
      </w:r>
      <w:r>
        <w:t>о</w:t>
      </w:r>
      <w:r>
        <w:t>живающих в сельской зоне - 8,7 процента по сравнению с 5,4 процента из чи</w:t>
      </w:r>
      <w:r>
        <w:t>с</w:t>
      </w:r>
      <w:r>
        <w:t>ла проживающих в городской зоне. Более высокий уровень бедности женщин в сельской зоне обусловливает их миграцию в городскую зону, что ведет к уменьшению доли женщин по сравнению с долей мужчин в составе сельского населения.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184.</w:t>
      </w:r>
      <w:r>
        <w:rPr>
          <w:lang w:val="en-US"/>
        </w:rPr>
        <w:tab/>
      </w:r>
      <w:r>
        <w:rPr>
          <w:i/>
        </w:rPr>
        <w:t>В</w:t>
      </w:r>
      <w:r>
        <w:rPr>
          <w:i/>
          <w:lang w:val="en-US"/>
        </w:rPr>
        <w:t> </w:t>
      </w:r>
      <w:r>
        <w:rPr>
          <w:i/>
        </w:rPr>
        <w:t>течение последнего десятилетия отмечается тенденция к постепе</w:t>
      </w:r>
      <w:r>
        <w:rPr>
          <w:i/>
        </w:rPr>
        <w:t>н</w:t>
      </w:r>
      <w:r>
        <w:rPr>
          <w:i/>
        </w:rPr>
        <w:t>ному росту числа семей, где главенствующее положение занимает женщина</w:t>
      </w:r>
      <w:r>
        <w:t xml:space="preserve">. Согласно опросу НОСЭП, проведенному в 2000 году, в 76,9 процентах семей главой является мужчина, в то время как в 23,1 процента семей главой является женщина. </w:t>
      </w:r>
      <w:r>
        <w:rPr>
          <w:i/>
        </w:rPr>
        <w:t>Главенство в семье женщины преимущественно наблюдается в г</w:t>
      </w:r>
      <w:r>
        <w:rPr>
          <w:i/>
        </w:rPr>
        <w:t>о</w:t>
      </w:r>
      <w:r>
        <w:rPr>
          <w:i/>
        </w:rPr>
        <w:t>родских, нежели чем в сельских зонах</w:t>
      </w:r>
      <w:r>
        <w:t>, причем в первом случае доля таких с</w:t>
      </w:r>
      <w:r>
        <w:t>е</w:t>
      </w:r>
      <w:r>
        <w:t xml:space="preserve">мей составляет 24,3 процента, а в сельских зонах – 16 процентов. Отмечается, что доля женщин, являющихся главой семьи, зависит от возрастной категории, так, 39,6 процента женщин-глав семьи являются пожилыми людьми в возрасте 60 и более лет. </w:t>
      </w:r>
      <w:r>
        <w:rPr>
          <w:i/>
        </w:rPr>
        <w:t>Семьи, главенствующее положение в которых занимает же</w:t>
      </w:r>
      <w:r>
        <w:rPr>
          <w:i/>
        </w:rPr>
        <w:t>н</w:t>
      </w:r>
      <w:r>
        <w:rPr>
          <w:i/>
        </w:rPr>
        <w:t>щина, имеют доход в среднем на 36,8 процента ниже, чем в семьях, где главе</w:t>
      </w:r>
      <w:r>
        <w:rPr>
          <w:i/>
        </w:rPr>
        <w:t>н</w:t>
      </w:r>
      <w:r>
        <w:rPr>
          <w:i/>
        </w:rPr>
        <w:t>ствующее положение занимает мужчина</w:t>
      </w:r>
      <w:r>
        <w:t>. Необходимо констатировать, что с</w:t>
      </w:r>
      <w:r>
        <w:t>е</w:t>
      </w:r>
      <w:r>
        <w:t>мьи, главой которых является женщина, представляются более уязвимыми, а также больше подвержены риску сохранения низкого благосостояния полож</w:t>
      </w:r>
      <w:r>
        <w:t>е</w:t>
      </w:r>
      <w:r>
        <w:t>ния в следующем поколении.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185.</w:t>
      </w:r>
      <w:r>
        <w:rPr>
          <w:lang w:val="en-US"/>
        </w:rPr>
        <w:tab/>
      </w:r>
      <w:r>
        <w:t>Несмотря на достижения в сфере борьбы с нищетой, эта проблема остае</w:t>
      </w:r>
      <w:r>
        <w:t>т</w:t>
      </w:r>
      <w:r>
        <w:t>ся первоочередным вопросом государственной политики, особенно в отнош</w:t>
      </w:r>
      <w:r>
        <w:t>е</w:t>
      </w:r>
      <w:r>
        <w:t>нии женской половины населения. Говоря о специальных политических мерах, предпринятых для снижения уровня бедности среди женщин, необходимо о</w:t>
      </w:r>
      <w:r>
        <w:t>т</w:t>
      </w:r>
      <w:r>
        <w:t>метить следующие: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186.</w:t>
      </w:r>
      <w:r>
        <w:rPr>
          <w:lang w:val="en-US"/>
        </w:rPr>
        <w:tab/>
      </w:r>
      <w:r>
        <w:rPr>
          <w:b/>
        </w:rPr>
        <w:t>Программа "Трудовое обучение малоимущих женщин, преимущес</w:t>
      </w:r>
      <w:r>
        <w:rPr>
          <w:b/>
        </w:rPr>
        <w:t>т</w:t>
      </w:r>
      <w:r>
        <w:rPr>
          <w:b/>
        </w:rPr>
        <w:t>венно глав семьи"</w:t>
      </w:r>
      <w:r>
        <w:t>, была запущена в 1992 году при координирующей роли СЕРНАМ до 2001 года. Указанная программа в 2000 году охватывала сферу о</w:t>
      </w:r>
      <w:r>
        <w:t>б</w:t>
      </w:r>
      <w:r>
        <w:t>разования и профессиональной подготовки, предусматривала поддержку ин</w:t>
      </w:r>
      <w:r>
        <w:t>и</w:t>
      </w:r>
      <w:r>
        <w:t>циатив в сфере самостоятельной трудовой деятельности, здравоохранения, з</w:t>
      </w:r>
      <w:r>
        <w:t>а</w:t>
      </w:r>
      <w:r>
        <w:t>боты о детях, проживания, трудоустройства, юридической помощи. Программа была реализована в 193 общинах путем заключения соглашений с муниципал</w:t>
      </w:r>
      <w:r>
        <w:t>ь</w:t>
      </w:r>
      <w:r>
        <w:t>ными советами и обеспечила поддержку около 70 000 женщин. Интерес к эт</w:t>
      </w:r>
      <w:r>
        <w:t>о</w:t>
      </w:r>
      <w:r>
        <w:t>му инновационному начинанию проявили, в том числе, такие латиноамерика</w:t>
      </w:r>
      <w:r>
        <w:t>н</w:t>
      </w:r>
      <w:r>
        <w:t>ские страны, как Аргентина, Мексика, Гондурас, Эквадор.</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187.</w:t>
      </w:r>
      <w:r>
        <w:tab/>
        <w:t>В 1998 году была создана Сеть центров программы ПРОРУРАЛЬ, задачей которой стало преодоление бедности в сельских регионах. В организационном плане работа Сети ведется при участии Национального директивного совета (под председательством Министра сельского хозяйства, в составе Министра СЕРНАМ, заместителей руководителей и руководителей различных служб и должностных лиц из участвующих регионов), Национального исполнительного директората, Национального технического комитета и аналогичных структур регионального и местного уровня.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188.</w:t>
      </w:r>
      <w:r>
        <w:tab/>
        <w:t>Для решения проблемы семей, страдающих от социального и экономич</w:t>
      </w:r>
      <w:r>
        <w:t>е</w:t>
      </w:r>
      <w:r>
        <w:t>ского отчуждения, в 2002 году была создана "</w:t>
      </w:r>
      <w:r>
        <w:rPr>
          <w:b/>
        </w:rPr>
        <w:t>Система "Чили солидарио": единая социальная защита 225 000 беднейших семей</w:t>
      </w:r>
      <w:r>
        <w:t>", координация которой поручена Министерству планирования и кооперации. Система солидарности преследует следующие цели: выделение минимальной материальной помощи 225 000 беднейшим семьям страны в период 2002-2005</w:t>
      </w:r>
      <w:r>
        <w:rPr>
          <w:lang w:val="en-US"/>
        </w:rPr>
        <w:t> </w:t>
      </w:r>
      <w:r>
        <w:t>годов; предоставление всесторонней помощи указанным семьям, принимая во внимания различные аспекты их положения; включение государственных средств, выделяемых ук</w:t>
      </w:r>
      <w:r>
        <w:t>а</w:t>
      </w:r>
      <w:r>
        <w:t>занным семьям, в рамки координированной и последовательной системы; пе</w:t>
      </w:r>
      <w:r>
        <w:t>р</w:t>
      </w:r>
      <w:r>
        <w:t>сональная поддержка членов этих семей с учетом особенностей их положения.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189.</w:t>
      </w:r>
      <w:r>
        <w:rPr>
          <w:lang w:val="en-US"/>
        </w:rPr>
        <w:t> </w:t>
      </w:r>
      <w:r>
        <w:t>Система включает один компонент временного характера, использование которого предусматривается на начальном этапе, и три компонента постоянн</w:t>
      </w:r>
      <w:r>
        <w:t>о</w:t>
      </w:r>
      <w:r>
        <w:t>го характера. Первый компонент подразумевает оказание интенсивной псих</w:t>
      </w:r>
      <w:r>
        <w:t>о</w:t>
      </w:r>
      <w:r>
        <w:t>логической помощи и выплату бонуса социальной защиты семьи в течение 24 месяцев, который выдается женщине независимо от того, является она или нет главой семьи. Остальные компоненты предусматривают выплату гарант</w:t>
      </w:r>
      <w:r>
        <w:t>и</w:t>
      </w:r>
      <w:r>
        <w:t>рованных денежных пособий, предоставление преимущественного права до</w:t>
      </w:r>
      <w:r>
        <w:t>с</w:t>
      </w:r>
      <w:r>
        <w:t>тупа к программам социальной помощи и предварительным льготам, а также помощь в трудоустройстве. Льготы предоставляются непосредственно женщ</w:t>
      </w:r>
      <w:r>
        <w:t>и</w:t>
      </w:r>
      <w:r>
        <w:t>нам – главам семьи, подче</w:t>
      </w:r>
      <w:r>
        <w:t>р</w:t>
      </w:r>
      <w:r>
        <w:t>кивая их стратегическую роль в борьбе с нищетой.</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190.</w:t>
      </w:r>
      <w:r>
        <w:rPr>
          <w:lang w:val="en-US"/>
        </w:rPr>
        <w:tab/>
      </w:r>
      <w:r>
        <w:t>Таким образом, поскольку Система ориентирована на беднейшие семьи, женщины - главы семьи рассматриваются как центральный элемент ее реал</w:t>
      </w:r>
      <w:r>
        <w:t>и</w:t>
      </w:r>
      <w:r>
        <w:t>зации. Вместе с тем, Система является серьезным шагом вперед в сфере коо</w:t>
      </w:r>
      <w:r>
        <w:t>р</w:t>
      </w:r>
      <w:r>
        <w:t>динации и объединения политических усилий, программ, существующих льгот и услуг, а также в создании постоянно действующих сетей национального и местного масштаба, помогая при этом выявлять наименее защищенные в соц</w:t>
      </w:r>
      <w:r>
        <w:t>и</w:t>
      </w:r>
      <w:r>
        <w:t>альном и экономическом отношении семьи.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Равенство прав на образование</w:t>
      </w:r>
      <w:r>
        <w:rPr>
          <w:b/>
        </w:rPr>
        <w:t xml:space="preserve"> (ст. 10)</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191.</w:t>
      </w:r>
      <w:r>
        <w:tab/>
      </w:r>
      <w:r>
        <w:rPr>
          <w:i/>
        </w:rPr>
        <w:t>В последние десятилетия в стране наблюдается процесс расширения о</w:t>
      </w:r>
      <w:r>
        <w:rPr>
          <w:i/>
        </w:rPr>
        <w:t>х</w:t>
      </w:r>
      <w:r>
        <w:rPr>
          <w:i/>
        </w:rPr>
        <w:t>вата образовательных услуг и доступа к ним населения</w:t>
      </w:r>
      <w:r>
        <w:t>; и с данной точки зр</w:t>
      </w:r>
      <w:r>
        <w:t>е</w:t>
      </w:r>
      <w:r>
        <w:t>ния дети и молодежь обоих полов представлены в системе образования пра</w:t>
      </w:r>
      <w:r>
        <w:t>к</w:t>
      </w:r>
      <w:r>
        <w:t>тически одинаково. Вместе с тем, в действительности вопросы доступа к обр</w:t>
      </w:r>
      <w:r>
        <w:t>а</w:t>
      </w:r>
      <w:r>
        <w:t>зованию не так актуальны, как вопросы качества образовательных услуг и р</w:t>
      </w:r>
      <w:r>
        <w:t>а</w:t>
      </w:r>
      <w:r>
        <w:t>венства в их получении, которые представляются весьма важным аспектом проблемы различия между полами.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192.</w:t>
      </w:r>
      <w:r>
        <w:tab/>
      </w:r>
      <w:r>
        <w:rPr>
          <w:i/>
        </w:rPr>
        <w:t>В последние десять лет проблема образования для женщин решалась в позитивном ключе</w:t>
      </w:r>
      <w:r>
        <w:t>, и средняя продолжительность обучения девочек в школе выросла с 8,9 учебных лет в 1990 году до 9,7 в 2000 году</w:t>
      </w:r>
      <w:r>
        <w:rPr>
          <w:rStyle w:val="FootnoteReference"/>
        </w:rPr>
        <w:footnoteReference w:customMarkFollows="1" w:id="94"/>
        <w:t>91</w:t>
      </w:r>
      <w:r>
        <w:t>. В целом, продо</w:t>
      </w:r>
      <w:r>
        <w:t>л</w:t>
      </w:r>
      <w:r>
        <w:t>жительность школьного обучения мальчиков и девочек одинакова. Девушки (от 15 до 29 лет) в среднем тратят на обучение 11,2 года, что несколько больше 11,1 лет для юношей, в то время как для других возрастных групп данные пр</w:t>
      </w:r>
      <w:r>
        <w:t>о</w:t>
      </w:r>
      <w:r>
        <w:t xml:space="preserve">тивоположны. Можно считать, что </w:t>
      </w:r>
      <w:r>
        <w:rPr>
          <w:i/>
        </w:rPr>
        <w:t>среди представителей последних поколений наблюдается тенденция к увеличению продолжительности образования, что позвол</w:t>
      </w:r>
      <w:r>
        <w:rPr>
          <w:i/>
        </w:rPr>
        <w:t>я</w:t>
      </w:r>
      <w:r>
        <w:rPr>
          <w:i/>
        </w:rPr>
        <w:t>ет добиться большего равенства полов в образовании</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193.</w:t>
      </w:r>
      <w:r>
        <w:tab/>
      </w:r>
      <w:r>
        <w:rPr>
          <w:i/>
        </w:rPr>
        <w:t>Наблюдается снижение неграмотности</w:t>
      </w:r>
      <w:r>
        <w:t xml:space="preserve"> во всех возрастных группах, и прежде всего среди лиц пожилого возраста, доля неграмотных среди которых снизилась с 15 процентов в 1998 году до 13 процентов в 2000 году. Неграмо</w:t>
      </w:r>
      <w:r>
        <w:t>т</w:t>
      </w:r>
      <w:r>
        <w:t>ность среди женщин в период с 1998 по 2000 год снизилась на 0,8 процента. При этом отмечается уменьшение разрыва между долями мужчин и женщин, которые не умеют ни читать, ни писать (в 1998 году разрыв составил 0,6 процента, в 2000 году сократился до 0,2 процента). Необходимо также о</w:t>
      </w:r>
      <w:r>
        <w:t>т</w:t>
      </w:r>
      <w:r>
        <w:t>метить принимаемые руководством страны шаги по облегчению доступа к о</w:t>
      </w:r>
      <w:r>
        <w:t>б</w:t>
      </w:r>
      <w:r>
        <w:t>разованию, что позволило заметно сократить неграмотность, в особенности среди молодежи (1 процент).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194.</w:t>
      </w:r>
      <w:r>
        <w:tab/>
        <w:t>В отношении посещения учебных заведений различий между полами не наблюдается, хотя данный вопрос был свидетельством дискриминации в пр</w:t>
      </w:r>
      <w:r>
        <w:t>о</w:t>
      </w:r>
      <w:r>
        <w:t>шлом. Только 1 процент детей от 7 до 13 лет не посещает учебные заведения, из их числа 50,2 процента составляют мальчики и 49,5 процента - девочки. Приведенные данные свидетельствуют об эффективности усилий, предприн</w:t>
      </w:r>
      <w:r>
        <w:t>я</w:t>
      </w:r>
      <w:r>
        <w:t>тых для расширения охвата начального образования на всех проживающих в стране детей и привлечения их в систему школьного образов</w:t>
      </w:r>
      <w:r>
        <w:t>а</w:t>
      </w:r>
      <w:r>
        <w:t>ния.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195.</w:t>
      </w:r>
      <w:r>
        <w:tab/>
        <w:t>Применительно к подросткам (возрастная группа от 14 до 17 лет), доля не посещающих учебные заведения составляет 9,9 процента, что меньше уровня 1998 года (13 процентов) на 3,1 процента. Причины, которыми объясняется н</w:t>
      </w:r>
      <w:r>
        <w:t>е</w:t>
      </w:r>
      <w:r>
        <w:t>посещение учебных заведений, у юношей и девушек различны. Юноши в кач</w:t>
      </w:r>
      <w:r>
        <w:t>е</w:t>
      </w:r>
      <w:r>
        <w:t>стве такой причины чаще всего называют "материальные затруднения" (19,8 процента); в то время как у женщин на первом месте стоит "материнство или беременность" (28,7 процента), а уже потом "материальные затруднения" (21,9 процента). Это свидетельствует о важности принятия мер по предотвр</w:t>
      </w:r>
      <w:r>
        <w:t>а</w:t>
      </w:r>
      <w:r>
        <w:t>щению ранней беременности, а в случае наступления таковой - мер, способс</w:t>
      </w:r>
      <w:r>
        <w:t>т</w:t>
      </w:r>
      <w:r>
        <w:t>вующих возврату и пребыванию обучающихся подросткового возраста в уче</w:t>
      </w:r>
      <w:r>
        <w:t>б</w:t>
      </w:r>
      <w:r>
        <w:t>ных заведениях.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196.</w:t>
      </w:r>
      <w:r>
        <w:tab/>
        <w:t>В пункте 10 Статьи 19 "О конституционных правах и обязанностях" Ко</w:t>
      </w:r>
      <w:r>
        <w:t>н</w:t>
      </w:r>
      <w:r>
        <w:t>ституции Чили гарантируется право на образование, целью которого является полноценное развитие человека на различных этапах его жизни. До сравн</w:t>
      </w:r>
      <w:r>
        <w:t>и</w:t>
      </w:r>
      <w:r>
        <w:t>тельно недавнего времени в законе устанавливалось, что начальное образов</w:t>
      </w:r>
      <w:r>
        <w:t>а</w:t>
      </w:r>
      <w:r>
        <w:t>ние (8 лет) является обязательным, теперь это также относится и к среднему образованию (12 лет)</w:t>
      </w:r>
      <w:r>
        <w:rPr>
          <w:rStyle w:val="FootnoteReference"/>
        </w:rPr>
        <w:footnoteReference w:customMarkFollows="1" w:id="95"/>
        <w:t>92</w:t>
      </w:r>
      <w:r>
        <w:t>, в связи с чем государство принимает обязательства по финансированию системы бесплатного образования, обеспечивающей доступ к образованию для всех слоев населения.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197.</w:t>
      </w:r>
      <w:r>
        <w:tab/>
        <w:t>В настоящее время на стадии реализации находится программа, целью к</w:t>
      </w:r>
      <w:r>
        <w:t>о</w:t>
      </w:r>
      <w:r>
        <w:t>торой является удержание детей в школах. Программа «</w:t>
      </w:r>
      <w:r>
        <w:rPr>
          <w:b/>
        </w:rPr>
        <w:t>Средняя школа для всех»</w:t>
      </w:r>
      <w:r>
        <w:t xml:space="preserve"> учитывает, что причины непосещения школьных занятий различаются у юношей и девушек, в связи с чем для решения данной проблемы предлагаются различные стратегии. Так, для беременных матерей предусмотрены меры по организации ухода за их детьми, а также по обеспечению доступности детской и женской медицины.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198.</w:t>
      </w:r>
      <w:r>
        <w:tab/>
        <w:t>Как уже указывалось ранее</w:t>
      </w:r>
      <w:r>
        <w:rPr>
          <w:rStyle w:val="FootnoteReference"/>
        </w:rPr>
        <w:footnoteReference w:customMarkFollows="1" w:id="96"/>
        <w:t>93</w:t>
      </w:r>
      <w:r>
        <w:t>, важным достижением текущего периода я</w:t>
      </w:r>
      <w:r>
        <w:t>в</w:t>
      </w:r>
      <w:r>
        <w:t>ляется поправка к Органическому конституционному закону об образовании, принятая в 2000 году и гарантирующая доступ и продолжение обучения в учебных заведениях для всех беременных девушек и кормящих матерей. Так, в августе 2000 года в Статью 2 Органического конституционного закона об обр</w:t>
      </w:r>
      <w:r>
        <w:t>а</w:t>
      </w:r>
      <w:r>
        <w:t>зовании 18.962 была внесена следующая формулировка: «Беременность и м</w:t>
      </w:r>
      <w:r>
        <w:t>а</w:t>
      </w:r>
      <w:r>
        <w:t>теринство не являются препятствием для поступления и продолжения обучения в учебных заведениях любого уровня. Последние, кроме того, обязаны предо</w:t>
      </w:r>
      <w:r>
        <w:t>с</w:t>
      </w:r>
      <w:r>
        <w:t>тавить соответствующие учебные льготы». Упомянутая реформа предполагает дальнейшее развитие сетей социальной помощи, охватывающих различные слои общества.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199.</w:t>
      </w:r>
      <w:r>
        <w:tab/>
        <w:t>Что касается доступа к образованию, на всех малоимущих матерей, пос</w:t>
      </w:r>
      <w:r>
        <w:t>е</w:t>
      </w:r>
      <w:r>
        <w:t>щающих школу, распространяется министерская программа учебного регул</w:t>
      </w:r>
      <w:r>
        <w:t>и</w:t>
      </w:r>
      <w:r>
        <w:t>рования, которая предоставляет в рамках школьной системы ряд привилегий для девушек с детьми. В этой связи в качестве примера можно подчеркнуть, что в 2001 году женщины составили 65 процентов всех лиц, воспользовавши</w:t>
      </w:r>
      <w:r>
        <w:t>х</w:t>
      </w:r>
      <w:r>
        <w:t>ся программой учебного регул</w:t>
      </w:r>
      <w:r>
        <w:t>и</w:t>
      </w:r>
      <w:r>
        <w:t>рования.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200.</w:t>
      </w:r>
      <w:r>
        <w:tab/>
        <w:t>В рамках СЕРНАМ был разработан пакет программ и проектов, целью к</w:t>
      </w:r>
      <w:r>
        <w:t>о</w:t>
      </w:r>
      <w:r>
        <w:t>торого является включение вопроса равенства полов в учебные материалы, и</w:t>
      </w:r>
      <w:r>
        <w:t>с</w:t>
      </w:r>
      <w:r>
        <w:t>пользуемые в системе дошкольного, начального, среднего и последующего о</w:t>
      </w:r>
      <w:r>
        <w:t>б</w:t>
      </w:r>
      <w:r>
        <w:t>разования, с тем, чтобы преодолеть стереотипы представлений о роли мужч</w:t>
      </w:r>
      <w:r>
        <w:t>и</w:t>
      </w:r>
      <w:r>
        <w:t>ны и женщины на всех уровнях и во всех формах обучения. Среди других ра</w:t>
      </w:r>
      <w:r>
        <w:t>з</w:t>
      </w:r>
      <w:r>
        <w:t>работанных в рамках СЕРНАМ программ и проектов необходимо отметить подготовленный совместно с Министерством образования проект "</w:t>
      </w:r>
      <w:r>
        <w:rPr>
          <w:b/>
        </w:rPr>
        <w:t>Образов</w:t>
      </w:r>
      <w:r>
        <w:rPr>
          <w:b/>
        </w:rPr>
        <w:t>а</w:t>
      </w:r>
      <w:r>
        <w:rPr>
          <w:b/>
        </w:rPr>
        <w:t>ние, культура и перемены</w:t>
      </w:r>
      <w:r>
        <w:t>", касающийся мирного урегулирования конфликтов и предусматривающий проведение работы с гражданами, тем или иным обр</w:t>
      </w:r>
      <w:r>
        <w:t>а</w:t>
      </w:r>
      <w:r>
        <w:t>зом занятыми в сфере образования (преподаватели, учащиеся, семьи), прежде всего по вопросам искоренения насилия как узаконенной формы разрешения конфликтов. С этой целью были разработаны учебные материалы для программ первого и второго цикла начального образования, а также для программы сре</w:t>
      </w:r>
      <w:r>
        <w:t>д</w:t>
      </w:r>
      <w:r>
        <w:t>него образования. В период с 1997 по 2000 год к реализации проекта были привлечены классные руководители по всей стране. В течение 2001-2002 годов в рамках СЕРНАМ была проведена соответствующая подготовка учительского состава по всей стране, чтобы с его помощью обеспечить дальнейшую метод</w:t>
      </w:r>
      <w:r>
        <w:t>и</w:t>
      </w:r>
      <w:r>
        <w:t>ческую работу в регионах.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201.</w:t>
      </w:r>
      <w:r>
        <w:tab/>
        <w:t xml:space="preserve">В сфере дошкольного образования выделяется проект </w:t>
      </w:r>
      <w:r>
        <w:rPr>
          <w:b/>
        </w:rPr>
        <w:t>"Расти и разв</w:t>
      </w:r>
      <w:r>
        <w:rPr>
          <w:b/>
        </w:rPr>
        <w:t>и</w:t>
      </w:r>
      <w:r>
        <w:rPr>
          <w:b/>
        </w:rPr>
        <w:t>вайся в атмосфере семейного согласия"</w:t>
      </w:r>
      <w:r>
        <w:t>, предусматривающий подготовку учебных материалов для дошкольных учебных заведений, который с 1999 года осуществляется по всей стране при поддержке Национальной ассоциации де</w:t>
      </w:r>
      <w:r>
        <w:t>т</w:t>
      </w:r>
      <w:r>
        <w:t>ских садов (НАДС), которая одобрила его как часть своей программы. В 2002 году был разработан дополнительный пилотный проект под названием «Взаимоотношения полов и нравственно-эмоциональное воспитание в сфере дошкольного образования», процесс рассмотрения которого начался в 2002 году, а реализация в 2003 году. Также необходимо отметить проект «Бу</w:t>
      </w:r>
      <w:r>
        <w:t>к</w:t>
      </w:r>
      <w:r>
        <w:t>вы говорят», предназначенный для включения вопросов равенства полов в пр</w:t>
      </w:r>
      <w:r>
        <w:t>о</w:t>
      </w:r>
      <w:r>
        <w:t>граммы обучения для взрослых. В данный момент на стадии разработки нах</w:t>
      </w:r>
      <w:r>
        <w:t>о</w:t>
      </w:r>
      <w:r>
        <w:t>дятся новые учебные планы для сектора образования для взрослых.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202.</w:t>
      </w:r>
      <w:r>
        <w:tab/>
        <w:t>В 2000 году началась разработка национальной государственной пр</w:t>
      </w:r>
      <w:r>
        <w:t>о</w:t>
      </w:r>
      <w:r>
        <w:t>граммы, касающейся ответственности в половых вопросах, в форме совместн</w:t>
      </w:r>
      <w:r>
        <w:t>о</w:t>
      </w:r>
      <w:r>
        <w:t>го проекта Министерства здравоохранения, Министерства просвещения, Н</w:t>
      </w:r>
      <w:r>
        <w:t>а</w:t>
      </w:r>
      <w:r>
        <w:t>ционального управления по делам молодежи и СЕРНАМ. Данная программа, озаглавленная "Бόльшая ответственность в половых вопросах", ставит фунд</w:t>
      </w:r>
      <w:r>
        <w:t>а</w:t>
      </w:r>
      <w:r>
        <w:t>ментальной задачей поощрение социального диалога и активного обсуждения вопросов о здоровых и полноценных половых взаимоотношениях в рамках личностного контакта, семьи или общины, и ориентирована прежде всего на молодежь.</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203.</w:t>
      </w:r>
      <w:r>
        <w:tab/>
        <w:t xml:space="preserve">Начиная с 2001 года, в восьми общинах начато выполнение </w:t>
      </w:r>
      <w:r>
        <w:rPr>
          <w:b/>
        </w:rPr>
        <w:t>Пилотного плана, предусматривающего испытание административной модели для рассмотрения темы половых взаимоотношений</w:t>
      </w:r>
      <w:r>
        <w:t>. В рамках плана проводятся мероприятия по обучению и подготовке по вопросам взаимоотношений полов и вынесения их в учебную программу; а также по вопросам репродуктивного и полового здоровья, предназначенные для руководящего и преподавательского состава учебных заведений, для родителей и учащихся, для сотрудников лече</w:t>
      </w:r>
      <w:r>
        <w:t>б</w:t>
      </w:r>
      <w:r>
        <w:t>но-консультационных учреждений и представителей общественных организ</w:t>
      </w:r>
      <w:r>
        <w:t>а</w:t>
      </w:r>
      <w:r>
        <w:t>ций. Оценка работы, проведенной до настоящего времени, помогла рассеять ряд предрассудков и табу, однако пока не представляется возможным опред</w:t>
      </w:r>
      <w:r>
        <w:t>е</w:t>
      </w:r>
      <w:r>
        <w:t>лить практический эффект применения данной модели, например, оценить ее возможное влияние на статистику беременности в подростковом возрасте.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Равенство возможностей в сфере труда и занятости</w:t>
      </w:r>
      <w:r>
        <w:rPr>
          <w:b/>
        </w:rPr>
        <w:t xml:space="preserve"> (ст. 11)</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Доступ к оплачиваемой работе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204.</w:t>
      </w:r>
      <w:bookmarkStart w:id="1" w:name="WfColors"/>
      <w:bookmarkEnd w:id="1"/>
      <w:r>
        <w:tab/>
      </w:r>
      <w:r>
        <w:rPr>
          <w:i/>
        </w:rPr>
        <w:t xml:space="preserve">В течение последнего десятилетия коэффициент занятости чилийских женщин заметно вырос </w:t>
      </w:r>
      <w:r>
        <w:t>(с 32,4 процента в 1990 году до 39,3 процентов в 2000 году)</w:t>
      </w:r>
      <w:r>
        <w:rPr>
          <w:rStyle w:val="FootnoteReference"/>
        </w:rPr>
        <w:footnoteReference w:customMarkFollows="1" w:id="97"/>
        <w:t>94</w:t>
      </w:r>
      <w:r>
        <w:t xml:space="preserve">, при этом коэффициент занятости мужчин за указанный период несколько сократился. Тем не менее, </w:t>
      </w:r>
      <w:r>
        <w:rPr>
          <w:i/>
        </w:rPr>
        <w:t>общий коэффициент женской занятости существенно меньше мужского</w:t>
      </w:r>
      <w:r>
        <w:t xml:space="preserve"> (39,3 процента против 73,2 процентов в 2000 году) и продолжает оставаться одним из самых низких в Латинской Ам</w:t>
      </w:r>
      <w:r>
        <w:t>е</w:t>
      </w:r>
      <w:r>
        <w:t>рике.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205.</w:t>
      </w:r>
      <w:r>
        <w:tab/>
      </w:r>
      <w:r>
        <w:rPr>
          <w:i/>
        </w:rPr>
        <w:t>В отличие от мужчин, для женщины участие в трудовой деятельности в значительной мере об</w:t>
      </w:r>
      <w:r>
        <w:rPr>
          <w:i/>
        </w:rPr>
        <w:t>у</w:t>
      </w:r>
      <w:r>
        <w:rPr>
          <w:i/>
        </w:rPr>
        <w:t>словливается ее уровнем образования, социально-экономическим положением, гражданским состоянием или положением в с</w:t>
      </w:r>
      <w:r>
        <w:rPr>
          <w:i/>
        </w:rPr>
        <w:t>е</w:t>
      </w:r>
      <w:r>
        <w:rPr>
          <w:i/>
        </w:rPr>
        <w:t>мье, а также возрастом</w:t>
      </w:r>
      <w:r>
        <w:rPr>
          <w:rStyle w:val="FootnoteReference"/>
          <w:i/>
        </w:rPr>
        <w:footnoteReference w:customMarkFollows="1" w:id="98"/>
        <w:t>95</w:t>
      </w:r>
      <w:r>
        <w:t>. Поэтому коэффициент занятости женщин - глав с</w:t>
      </w:r>
      <w:r>
        <w:t>е</w:t>
      </w:r>
      <w:r>
        <w:t>мьи значительно выше, чем женщин, которые таковыми не являются, и, в ос</w:t>
      </w:r>
      <w:r>
        <w:t>о</w:t>
      </w:r>
      <w:r>
        <w:t>бенности, состоят при этом в браке</w:t>
      </w:r>
      <w:r>
        <w:rPr>
          <w:rStyle w:val="FootnoteReference"/>
        </w:rPr>
        <w:footnoteReference w:customMarkFollows="1" w:id="99"/>
        <w:t>96</w:t>
      </w:r>
      <w:r>
        <w:t>. Коэффициент более образованных же</w:t>
      </w:r>
      <w:r>
        <w:t>н</w:t>
      </w:r>
      <w:r>
        <w:t>щин</w:t>
      </w:r>
      <w:r>
        <w:rPr>
          <w:rStyle w:val="FootnoteReference"/>
        </w:rPr>
        <w:footnoteReference w:customMarkFollows="1" w:id="100"/>
        <w:t>97</w:t>
      </w:r>
      <w:r>
        <w:t>, представляющих достаточно обеспеченные семьи, также выше, чем у женщин, имеющих меньший уровень образования и семейного дохода</w:t>
      </w:r>
      <w:r>
        <w:rPr>
          <w:rStyle w:val="FootnoteReference"/>
        </w:rPr>
        <w:footnoteReference w:customMarkFollows="1" w:id="101"/>
        <w:t>98</w:t>
      </w:r>
      <w:r>
        <w:t>. Уп</w:t>
      </w:r>
      <w:r>
        <w:t>о</w:t>
      </w:r>
      <w:r>
        <w:t>мянутые выше факты свидетельствуют о том, что семейное положение и во</w:t>
      </w:r>
      <w:r>
        <w:t>з</w:t>
      </w:r>
      <w:r>
        <w:t>раст женщины являются факторами, определяющими ее участие в трудовом процессе; аналогичным образом, сильное влияние оказывает также социально-экономическое положение женщины и уровень ее образования, между котор</w:t>
      </w:r>
      <w:r>
        <w:t>ы</w:t>
      </w:r>
      <w:r>
        <w:t>ми существует взаимосвязь.</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206.</w:t>
      </w:r>
      <w:r>
        <w:tab/>
      </w:r>
      <w:r>
        <w:rPr>
          <w:i/>
        </w:rPr>
        <w:t>Состав женской рабочей силы свидетельствует о большем уровне обр</w:t>
      </w:r>
      <w:r>
        <w:rPr>
          <w:i/>
        </w:rPr>
        <w:t>а</w:t>
      </w:r>
      <w:r>
        <w:rPr>
          <w:i/>
        </w:rPr>
        <w:t>зованности женщин, чем мужчин, но при этом для женщин характерен бол</w:t>
      </w:r>
      <w:r>
        <w:rPr>
          <w:i/>
        </w:rPr>
        <w:t>ь</w:t>
      </w:r>
      <w:r>
        <w:rPr>
          <w:i/>
        </w:rPr>
        <w:t>ший процент безработицы, чем для мужчин.</w:t>
      </w:r>
      <w:r>
        <w:t xml:space="preserve"> Отмечается, что, в то время как 34,3 процента мужской рабочей силы имеют 8 или менее лет образования, а 65,7 процента – более 8 лет, у женщин данное соотношение составляет 27,7 и 74,3 процента соответственно</w:t>
      </w:r>
      <w:r>
        <w:rPr>
          <w:rStyle w:val="FootnoteReference"/>
        </w:rPr>
        <w:footnoteReference w:customMarkFollows="1" w:id="102"/>
        <w:t>99</w:t>
      </w:r>
      <w:r>
        <w:t>. В 2002 году уровень безработицы среди же</w:t>
      </w:r>
      <w:r>
        <w:t>н</w:t>
      </w:r>
      <w:r>
        <w:t>щин составил 8,5 процента, а среди мужчин – 7,5 процента</w:t>
      </w:r>
      <w:r>
        <w:rPr>
          <w:rStyle w:val="FootnoteReference"/>
        </w:rPr>
        <w:footnoteReference w:customMarkFollows="1" w:id="103"/>
        <w:t>100</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207.</w:t>
      </w:r>
      <w:r>
        <w:tab/>
        <w:t>До 1998 года наблюдалось выраженное снижение уровня безработицы среди обоих полов, но в 1999 году по причине захлестнувшего страну экон</w:t>
      </w:r>
      <w:r>
        <w:t>о</w:t>
      </w:r>
      <w:r>
        <w:t>мического кризиса уровень безработицы существенно вырос, в особенности у женщин (с 7,6 процентов до 10,3 процентов за год), что свидетельствует о в</w:t>
      </w:r>
      <w:r>
        <w:t>ы</w:t>
      </w:r>
      <w:r>
        <w:t>сокой уязвимости женского сегмента рабочей силы в период кризисных экон</w:t>
      </w:r>
      <w:r>
        <w:t>о</w:t>
      </w:r>
      <w:r>
        <w:t>мических явлений. Уровень безработицы в последующие годы стал снижаться по мере восстановления экономики.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Условия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208.</w:t>
      </w:r>
      <w:r>
        <w:tab/>
        <w:t>Согласно комментариям КЛДОЖ к последнему докладу, представленному правительством Чили, Комитет обратился к правительству с просьбой вкл</w:t>
      </w:r>
      <w:r>
        <w:t>ю</w:t>
      </w:r>
      <w:r>
        <w:t>чить в следующий доклад статистическую информацию о положении раб</w:t>
      </w:r>
      <w:r>
        <w:t>о</w:t>
      </w:r>
      <w:r>
        <w:t>тающих женщин и об улучшении условий их жизни, речь о чем пойдет ниже.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209.</w:t>
      </w:r>
      <w:r>
        <w:tab/>
      </w:r>
      <w:r>
        <w:rPr>
          <w:i/>
        </w:rPr>
        <w:t>Чилийские женщины подвергаются сильному влиянию сегрегации по п</w:t>
      </w:r>
      <w:r>
        <w:rPr>
          <w:i/>
        </w:rPr>
        <w:t>о</w:t>
      </w:r>
      <w:r>
        <w:rPr>
          <w:i/>
        </w:rPr>
        <w:t>ловому признаку в трудовой сфере, однако постепенно находят место в тех отраслях экономического хозяйства, которые традиционно обслуживались мужчинами</w:t>
      </w:r>
      <w:r>
        <w:t>. Женщины преимущественно заняты в секторе коммунального, общественного и частного обслуживания; в торговле, и в финансовом секторе (в перечисленных сферах доля женщин составляет соответственно 53,0, 44,5 и 39,4 процента). Тем не менее, в двух первых секторах доля женщин в 1999-2001 годы снизилась примерно на один процент. Напротив, в течение указанн</w:t>
      </w:r>
      <w:r>
        <w:t>о</w:t>
      </w:r>
      <w:r>
        <w:t>го периода наблюдалось некоторое увеличение процентной доли женщин, р</w:t>
      </w:r>
      <w:r>
        <w:t>а</w:t>
      </w:r>
      <w:r>
        <w:t>ботающих в традиционно мужских отраслях экономики, в частности, промы</w:t>
      </w:r>
      <w:r>
        <w:t>ш</w:t>
      </w:r>
      <w:r>
        <w:t>ленном производстве, транспорте, сельском хозяйстве и рыболовстве. Говоря о видах занятости, следует заметить, что большинство женщин либо являются наемными работниками, либо ведут самостоятельную коммерческую деятел</w:t>
      </w:r>
      <w:r>
        <w:t>ь</w:t>
      </w:r>
      <w:r>
        <w:t>ность, либо работают в качестве обслуживающего персонала (перечисленные категории соответственно охватывают 60,1 процент, 21,3 процента и 13,3 процента работающих женщин); в то время как незначительная часть женщин (1,9 процента) является работодателями или руководителями, что меньше процентной доли аналогичной категории у мужчин (3,6 процента). Следует отметить, что в период 1999-2001 годов более чем на один процент выросло кол</w:t>
      </w:r>
      <w:r>
        <w:t>и</w:t>
      </w:r>
      <w:r>
        <w:t>чество самостоятельно занятых женщин</w:t>
      </w:r>
      <w:r>
        <w:rPr>
          <w:rStyle w:val="FootnoteReference"/>
        </w:rPr>
        <w:footnoteReference w:customMarkFollows="1" w:id="104"/>
        <w:t>101</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210.</w:t>
      </w:r>
      <w:r>
        <w:tab/>
        <w:t>Неустойчивость ситуации на рынке женской рабочей силы отражается также на использовании трудовых договоров, выступающих в качестве индик</w:t>
      </w:r>
      <w:r>
        <w:t>а</w:t>
      </w:r>
      <w:r>
        <w:t xml:space="preserve">тора качества найма, и показывает, в какой мере наемные работники защищены этим юридическим инструментом. </w:t>
      </w:r>
      <w:r>
        <w:rPr>
          <w:i/>
        </w:rPr>
        <w:t>В вопросе договорных обстоятельств найма между мужчинами и женщинами существует неравенство, которое в первую затрагивает малообеспеченных женщин</w:t>
      </w:r>
      <w:r>
        <w:t>. В 2000 году из общего количество работающих по найму женщин 72,1 процента имели трудовые договоры, в то время аналогичный показатель для мужчин составил 77,2 процента. Разрыв между мужчинами и женщинами, работающими без договора, увеличивается в категории малоимущих граждан: для работающих по найму женщин, входящих в первый квинтиль по уровню доходов, характерна наибольшая нестабильность занятости, так как лишь 39,7 процента из них заключали трудовые договоры. По сравнению с периодом 1996-1998 годов, отмечается ухудшение условий р</w:t>
      </w:r>
      <w:r>
        <w:t>а</w:t>
      </w:r>
      <w:r>
        <w:t>боты у женщин указанной группы, поскольку доля заключивших трудовые д</w:t>
      </w:r>
      <w:r>
        <w:t>о</w:t>
      </w:r>
      <w:r>
        <w:t>говоры женщин тогда составляла 46,7 и 41,1 процента соответственно</w:t>
      </w:r>
      <w:r>
        <w:rPr>
          <w:rStyle w:val="FootnoteReference"/>
        </w:rPr>
        <w:footnoteReference w:customMarkFollows="1" w:id="105"/>
        <w:t>102</w:t>
      </w:r>
      <w:r>
        <w:t>. Кр</w:t>
      </w:r>
      <w:r>
        <w:t>о</w:t>
      </w:r>
      <w:r>
        <w:t>ме того, необходимо учитывать влияние экономического кризиса, имевшего место в Чили в 1998 году, что в совокупности свидетельствует о большой уя</w:t>
      </w:r>
      <w:r>
        <w:t>з</w:t>
      </w:r>
      <w:r>
        <w:t>вимости рынка женского труда, в частности, категорий работников с малыми доходами, перед циклическими явлениями в экономике.</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211.</w:t>
      </w:r>
      <w:r>
        <w:tab/>
      </w:r>
      <w:r>
        <w:rPr>
          <w:i/>
        </w:rPr>
        <w:t>Значительная доля занятого населения не пользуется услугами страхов</w:t>
      </w:r>
      <w:r>
        <w:rPr>
          <w:i/>
        </w:rPr>
        <w:t>а</w:t>
      </w:r>
      <w:r>
        <w:rPr>
          <w:i/>
        </w:rPr>
        <w:t>ния, что в несколько большей степени касается женщин</w:t>
      </w:r>
      <w:r>
        <w:t>. В страховую систему не включено 37,2 процента работающего населения; разница между мужчин</w:t>
      </w:r>
      <w:r>
        <w:t>а</w:t>
      </w:r>
      <w:r>
        <w:t>ми и женщинами в данном случае достигает 2,8 процента не в пользу женщин. В страховой системе в большей степени представлены женщины более мол</w:t>
      </w:r>
      <w:r>
        <w:t>о</w:t>
      </w:r>
      <w:r>
        <w:t>дой возрастной группы. В возрастной группе от 45 до 59 лет наблюдается пр</w:t>
      </w:r>
      <w:r>
        <w:t>о</w:t>
      </w:r>
      <w:r>
        <w:t>тивоположная картина, поскольку в отношении социального страхования да</w:t>
      </w:r>
      <w:r>
        <w:t>н</w:t>
      </w:r>
      <w:r>
        <w:t>ная группа уступает более молодым группам населения, и в меньшей степени квинтилям с малыми доходами. Такие данные по неохваченным страховой си</w:t>
      </w:r>
      <w:r>
        <w:t>с</w:t>
      </w:r>
      <w:r>
        <w:t>темой слоям населения обусловлены тем фактом, что уплата страховых взносов обязательна только для наемных работников, а не для самостоятельно занятых лиц, причем в последней категории за последние годы отмечается рост участия женщин, а также тем, что неохваченные категории во многих случаях связаны с «теневой» экономикой.</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212.</w:t>
      </w:r>
      <w:r>
        <w:tab/>
        <w:t xml:space="preserve">Описанная ситуация отражена в последнем отчете, представленном в КЛДЖ, в котором говорится: </w:t>
      </w:r>
      <w:r>
        <w:rPr>
          <w:i/>
        </w:rPr>
        <w:t>"Комитет с озабоченностью отмечает, что большое количество женщин, работающих на мелких предприятиях и в тен</w:t>
      </w:r>
      <w:r>
        <w:rPr>
          <w:i/>
        </w:rPr>
        <w:t>е</w:t>
      </w:r>
      <w:r>
        <w:rPr>
          <w:i/>
        </w:rPr>
        <w:t>вом секторе, имеют недостаточные доходы, что затрудняет их возможное включение в существующую систему социального страхования"</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213.</w:t>
      </w:r>
      <w:r>
        <w:tab/>
        <w:t>Действующая в Чили система социального страхования представляет с</w:t>
      </w:r>
      <w:r>
        <w:t>о</w:t>
      </w:r>
      <w:r>
        <w:t>бой систему индивидуальных накоплений, т.е. размер пенсии работника неп</w:t>
      </w:r>
      <w:r>
        <w:t>о</w:t>
      </w:r>
      <w:r>
        <w:t>средственно связан с размером взносов, сделанных им за годы участия в стр</w:t>
      </w:r>
      <w:r>
        <w:t>а</w:t>
      </w:r>
      <w:r>
        <w:t>ховой системе. Особенности трудовой деятельности женщин, которые зараб</w:t>
      </w:r>
      <w:r>
        <w:t>а</w:t>
      </w:r>
      <w:r>
        <w:t>тывают меньше денег, и, соответственно, неспособны делать значительные взносы, и, кроме того, в определенные периоды жизни вынуждены прерывать трудовую деятельность по причине беременности, вкупе с тем фактом, что женщины состоят в страховой системе меньшее количество лет</w:t>
      </w:r>
      <w:r>
        <w:rPr>
          <w:rStyle w:val="FootnoteReference"/>
        </w:rPr>
        <w:footnoteReference w:customMarkFollows="1" w:id="106"/>
        <w:t>103</w:t>
      </w:r>
      <w:r>
        <w:t>, приводят к тому, что условия их выхода на пенсию, как правило, хуже, чем у мужчин. Н</w:t>
      </w:r>
      <w:r>
        <w:t>е</w:t>
      </w:r>
      <w:r>
        <w:t>которые из перечисленных аспектов в настоящее время являются предметом обсуждений на государственном уровне с целью анализа возможных мер, п</w:t>
      </w:r>
      <w:r>
        <w:t>о</w:t>
      </w:r>
      <w:r>
        <w:t>зволяющих скорректировать сложившуюся ситуацию.</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214.</w:t>
      </w:r>
      <w:r>
        <w:tab/>
      </w:r>
      <w:r>
        <w:rPr>
          <w:i/>
        </w:rPr>
        <w:t>При сравнении уровня оплаты труда мужчин и женщин выясняется, что женщины зарабатывают меньше мужчин, но при этом разрыв в уровне опл</w:t>
      </w:r>
      <w:r>
        <w:rPr>
          <w:i/>
        </w:rPr>
        <w:t>а</w:t>
      </w:r>
      <w:r>
        <w:rPr>
          <w:i/>
        </w:rPr>
        <w:t>ты труда за последние годы сократился</w:t>
      </w:r>
      <w:r>
        <w:t>, с 40,6 процента в 1998 году</w:t>
      </w:r>
      <w:r>
        <w:rPr>
          <w:rStyle w:val="FootnoteReference"/>
        </w:rPr>
        <w:footnoteReference w:customMarkFollows="1" w:id="107"/>
        <w:t>104</w:t>
      </w:r>
      <w:r>
        <w:t xml:space="preserve"> до 35 процентов в 2000</w:t>
      </w:r>
      <w:r>
        <w:rPr>
          <w:rStyle w:val="FootnoteReference"/>
        </w:rPr>
        <w:footnoteReference w:customMarkFollows="1" w:id="108"/>
        <w:t>105</w:t>
      </w:r>
      <w:r>
        <w:t> году.</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215.</w:t>
      </w:r>
      <w:r>
        <w:tab/>
      </w:r>
      <w:r>
        <w:rPr>
          <w:i/>
        </w:rPr>
        <w:t>Разрыв в уровне оплаты труда увеличивается по мере увеличения возра</w:t>
      </w:r>
      <w:r>
        <w:rPr>
          <w:i/>
        </w:rPr>
        <w:t>с</w:t>
      </w:r>
      <w:r>
        <w:rPr>
          <w:i/>
        </w:rPr>
        <w:t>та; а также находится в зависимости от уровня образования и трудовой о</w:t>
      </w:r>
      <w:r>
        <w:rPr>
          <w:i/>
        </w:rPr>
        <w:t>т</w:t>
      </w:r>
      <w:r>
        <w:rPr>
          <w:i/>
        </w:rPr>
        <w:t>ветственности в зависимости от категории работника (руководящие дол</w:t>
      </w:r>
      <w:r>
        <w:rPr>
          <w:i/>
        </w:rPr>
        <w:t>ж</w:t>
      </w:r>
      <w:r>
        <w:rPr>
          <w:i/>
        </w:rPr>
        <w:t>ности)</w:t>
      </w:r>
      <w:r>
        <w:t>. Женщины, имеющие до трех лет образования, получают в среднем на 18,6 процентов меньше, чем находящиеся в аналогичном положении мужчины, в то время как женщины, имеющие 13 и более лет образования, получают в среднем на 51,5 процента меньше, чем мужчины аналогичной категории. В свою очередь, женщины, находящиеся на руководящих должностях, получают денежное вознаграждение на 50 процентов меньше, в категории же наемных работников (служащих/рабочих) заработная плата женщин на 14,7 процента меньше, чем у мужчин</w:t>
      </w:r>
      <w:r>
        <w:rPr>
          <w:rStyle w:val="FootnoteReference"/>
        </w:rPr>
        <w:footnoteReference w:customMarkFollows="1" w:id="109"/>
        <w:t>106</w:t>
      </w:r>
      <w:r>
        <w:t>.</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216.</w:t>
      </w:r>
      <w:r>
        <w:tab/>
      </w:r>
      <w:r>
        <w:rPr>
          <w:i/>
        </w:rPr>
        <w:t>Разрыв в уровне оплаты труда также варьируется в зависимости от сферы экономической деятельности, однако во всех случаях заработная плата женщин меньше</w:t>
      </w:r>
      <w:r>
        <w:t>. В горнодобывающей отрасли разрыв в уровне оплаты труда равен 39,8 процента, в сфере коммунального, общественного и частного о</w:t>
      </w:r>
      <w:r>
        <w:t>б</w:t>
      </w:r>
      <w:r>
        <w:t>служивания разрыв сокращается до 17 процентов. Эти данные свидетельств</w:t>
      </w:r>
      <w:r>
        <w:t>у</w:t>
      </w:r>
      <w:r>
        <w:t>ют о том, что в сферах деятельности с более высоким уровнем оплаты труда, идет ли речь о трудовой категории или секторе экономики, указанный разрыв увеличивается.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217.</w:t>
      </w:r>
      <w:r>
        <w:tab/>
      </w:r>
      <w:r>
        <w:rPr>
          <w:i/>
        </w:rPr>
        <w:t>Стоимость найма женщины на работу ниже, чем стоимость найма на работу мужчины, что противоречит распространенным убеждениям</w:t>
      </w:r>
      <w:r>
        <w:t>. При анализе различий между полами, касающихся стоимости найма, как в отнош</w:t>
      </w:r>
      <w:r>
        <w:t>е</w:t>
      </w:r>
      <w:r>
        <w:t>нии расходов на заработную плату, так и прочих расходов</w:t>
      </w:r>
      <w:r>
        <w:rPr>
          <w:rStyle w:val="FootnoteReference"/>
        </w:rPr>
        <w:footnoteReference w:customMarkFollows="1" w:id="110"/>
        <w:t>107</w:t>
      </w:r>
      <w:r>
        <w:t>, представляется возможным полагать, что общая средняя стоимость найма (расходы на зарабо</w:t>
      </w:r>
      <w:r>
        <w:t>т</w:t>
      </w:r>
      <w:r>
        <w:t>ную плату плюс прочие расходы) женщины на 30 процентов ниже, чем мужч</w:t>
      </w:r>
      <w:r>
        <w:t>и</w:t>
      </w:r>
      <w:r>
        <w:t>ны. Данное различие особенно выражено в категории руководящих работников, где общая стоимость найма женщины составляет 61,1</w:t>
      </w:r>
      <w:r>
        <w:rPr>
          <w:lang w:val="en-US"/>
        </w:rPr>
        <w:t> </w:t>
      </w:r>
      <w:r>
        <w:t>процента от общей сто</w:t>
      </w:r>
      <w:r>
        <w:t>и</w:t>
      </w:r>
      <w:r>
        <w:t>мости найма руководящего работника – мужчины, а также в категории рабо</w:t>
      </w:r>
      <w:r>
        <w:t>т</w:t>
      </w:r>
      <w:r>
        <w:t>ников предприятий торговли (62,5 процента).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218.</w:t>
      </w:r>
      <w:r>
        <w:tab/>
        <w:t>Что касается расходов помимо заработной платы, то результаты обзора указывают на то, что расходы помимо заработной платы на работников женск</w:t>
      </w:r>
      <w:r>
        <w:t>о</w:t>
      </w:r>
      <w:r>
        <w:t>го пола составляют 71</w:t>
      </w:r>
      <w:r>
        <w:rPr>
          <w:lang w:val="en-US"/>
        </w:rPr>
        <w:t> </w:t>
      </w:r>
      <w:r>
        <w:t>процент аналогичных расходов на работников мужского пола (женский труд обходится на 29 процентов дешевле, чем мужской). Одним из аргументов, часто использующимся при найме женщины на работу или при начислении ей меньшей заработной платы, является то, что расходы помимо заработной платы на работников женского пола выше, что опровергается рядом исследований, в том числе и вышеприведенным, свидетельствующими об о</w:t>
      </w:r>
      <w:r>
        <w:t>б</w:t>
      </w:r>
      <w:r>
        <w:t>ратном. Применительно к трудовым категориям, наибольшие различия прису</w:t>
      </w:r>
      <w:r>
        <w:t>т</w:t>
      </w:r>
      <w:r>
        <w:t>ствуют в категории работников сферы частных услуг (84,5 процента), технич</w:t>
      </w:r>
      <w:r>
        <w:t>е</w:t>
      </w:r>
      <w:r>
        <w:t>ских работников (78,4 процента) и руководящих работников (76,3 процента). Применительно к сферам экономической деятельности, наибольшие различия наблюдаются в секторе коммунального, общественного и частного обслужив</w:t>
      </w:r>
      <w:r>
        <w:t>а</w:t>
      </w:r>
      <w:r>
        <w:t>ния (66</w:t>
      </w:r>
      <w:r>
        <w:rPr>
          <w:lang w:val="en-US"/>
        </w:rPr>
        <w:t> </w:t>
      </w:r>
      <w:r>
        <w:t>процентов), при этом всегда средняя стоимость найма мужчины пр</w:t>
      </w:r>
      <w:r>
        <w:t>е</w:t>
      </w:r>
      <w:r>
        <w:t>вышает стоимость найма женщины.</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219.</w:t>
      </w:r>
      <w:r>
        <w:tab/>
        <w:t>Чили не находится в стороне от процесса глобализации экономики, кот</w:t>
      </w:r>
      <w:r>
        <w:t>о</w:t>
      </w:r>
      <w:r>
        <w:t>рый приводит к большей гибкости рынка труда в мировом масштабе, и в ряде случаев обусловливает большую нестабильность рабочих мест. Это выражается в росте сферы неофициальной занятости, наблюдающемся и в других странах Латинской Америки. Все перечисленные процессы в большой степени влияют на рынок женского труда, который и без того во многом зависит от циклов ро</w:t>
      </w:r>
      <w:r>
        <w:t>с</w:t>
      </w:r>
      <w:r>
        <w:t>та и спада экономики. Периоды роста и спада в масштабе чилийской эконом</w:t>
      </w:r>
      <w:r>
        <w:t>и</w:t>
      </w:r>
      <w:r>
        <w:t>ческой системы все больше связаны с колебаниями мировой экономики, рег</w:t>
      </w:r>
      <w:r>
        <w:t>у</w:t>
      </w:r>
      <w:r>
        <w:t>лир</w:t>
      </w:r>
      <w:r>
        <w:t>о</w:t>
      </w:r>
      <w:r>
        <w:t>вание которых силами одного государства вряд ли возможно.</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220.</w:t>
      </w:r>
      <w:r>
        <w:tab/>
        <w:t>В этой связи в стране ведется работа по созданию механизмов, позв</w:t>
      </w:r>
      <w:r>
        <w:t>о</w:t>
      </w:r>
      <w:r>
        <w:t>ляющих оградить ситуацию на рынке мужского и женского труда от циклич</w:t>
      </w:r>
      <w:r>
        <w:t>е</w:t>
      </w:r>
      <w:r>
        <w:t>ских колебаний мировой и национальной экономики. Помимо этого, руков</w:t>
      </w:r>
      <w:r>
        <w:t>о</w:t>
      </w:r>
      <w:r>
        <w:t>дство страны уделяет особое внимание вопросу выработки и принятия мер и инициатив, направленных на поддержку малых и мелких предприятий, которые являются основными поставщиками рабочих мест и в которых выше коэфф</w:t>
      </w:r>
      <w:r>
        <w:t>и</w:t>
      </w:r>
      <w:r>
        <w:t>циент занятости женщин.</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Меры, принимаемые в сфере наемного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221.</w:t>
      </w:r>
      <w:r>
        <w:tab/>
        <w:t xml:space="preserve">Одной из ключевых инициатив, направленных на создание инструментов, позволяющих защитить работников от высокой нестабильности рынка труда, характерной для современного периода, явилось </w:t>
      </w:r>
      <w:r>
        <w:rPr>
          <w:b/>
        </w:rPr>
        <w:t>страхование на случай увольнения</w:t>
      </w:r>
      <w:r>
        <w:rPr>
          <w:rStyle w:val="FootnoteReference"/>
          <w:b/>
        </w:rPr>
        <w:footnoteReference w:customMarkFollows="1" w:id="111"/>
        <w:t>108</w:t>
      </w:r>
      <w:r>
        <w:t>. Оно представляет собой новый страховой инструмент, разр</w:t>
      </w:r>
      <w:r>
        <w:t>а</w:t>
      </w:r>
      <w:r>
        <w:t>ботанный в рамках системы государственного социального обеспечения для защиты работников на случай увольнения. Каждый наемный работник, занятый в соответствии с Трудовым кодексом, имеет индивидуальный банковский счет, на который сам работник и его/ее работодатель должны ежемесячно перечи</w:t>
      </w:r>
      <w:r>
        <w:t>с</w:t>
      </w:r>
      <w:r>
        <w:t>лять некоторую часть или процент от денежного вознаграждения. В случае увольнения работник вправе забрать средства, накопленные на его/ее индив</w:t>
      </w:r>
      <w:r>
        <w:t>и</w:t>
      </w:r>
      <w:r>
        <w:t>дуальном счету, и, при необходимости, воспользоваться пособием Фонда стр</w:t>
      </w:r>
      <w:r>
        <w:t>а</w:t>
      </w:r>
      <w:r>
        <w:t>хования на случай увольнения, сформированного частично из отчислений р</w:t>
      </w:r>
      <w:r>
        <w:t>а</w:t>
      </w:r>
      <w:r>
        <w:t>ботодателей и частично из государственных средств. Благодаря страхованию на случай увольнения, уволенные граждане имеют в своем распоряжении некот</w:t>
      </w:r>
      <w:r>
        <w:t>о</w:t>
      </w:r>
      <w:r>
        <w:t>рый источник дохода, что также может облегчить положение тех граждан, к</w:t>
      </w:r>
      <w:r>
        <w:t>о</w:t>
      </w:r>
      <w:r>
        <w:t>торые отказываются искать новое место работы.</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Мероприятия и инициативы в сфере развития производства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222.</w:t>
      </w:r>
      <w:r>
        <w:tab/>
        <w:t>В последние годы правительство разработало серию мер и инициатив, н</w:t>
      </w:r>
      <w:r>
        <w:t>а</w:t>
      </w:r>
      <w:r>
        <w:t>правленных на совершенствование государственной политики и программ в сфере развития производства, с особым акцентом на малые предприятия, кот</w:t>
      </w:r>
      <w:r>
        <w:t>о</w:t>
      </w:r>
      <w:r>
        <w:t>рые должны сглаживать значительное неравенство возможностей мужчин и женщин, связанных с обеспечением доступа к ресурсам и рынкам, принимая во внимание тот факт, что предпринимательская деятельность женщин конце</w:t>
      </w:r>
      <w:r>
        <w:t>н</w:t>
      </w:r>
      <w:r>
        <w:t>трируется именно в данном секторе экономики.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223.</w:t>
      </w:r>
      <w:r>
        <w:tab/>
        <w:t xml:space="preserve">В 1999 году был создан </w:t>
      </w:r>
      <w:r>
        <w:rPr>
          <w:b/>
        </w:rPr>
        <w:t>Государственный комитет с участием предст</w:t>
      </w:r>
      <w:r>
        <w:rPr>
          <w:b/>
        </w:rPr>
        <w:t>а</w:t>
      </w:r>
      <w:r>
        <w:rPr>
          <w:b/>
        </w:rPr>
        <w:t>вителей частного бизнеса по вопросам малых предприятий</w:t>
      </w:r>
      <w:r>
        <w:t>, и тем самым выполнено одно из 12 обязательств в отношении данного производственного сектора, данных президентом Рикардо Лагосом Эскобаром в ходе избирател</w:t>
      </w:r>
      <w:r>
        <w:t>ь</w:t>
      </w:r>
      <w:r>
        <w:t>ной кампании. Комитет обеспечивает непрерывный диалог между ведущими представителями сектора и государственными органами, ответственными за выработку и проведение политики в сфере развития производства, а также Н</w:t>
      </w:r>
      <w:r>
        <w:t>а</w:t>
      </w:r>
      <w:r>
        <w:t xml:space="preserve">циональным управлением по делам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224.</w:t>
      </w:r>
      <w:r>
        <w:tab/>
        <w:t xml:space="preserve">В 2000 году был учрежден </w:t>
      </w:r>
      <w:r>
        <w:rPr>
          <w:b/>
        </w:rPr>
        <w:t>Комитет по развитию малых и микропре</w:t>
      </w:r>
      <w:r>
        <w:rPr>
          <w:b/>
        </w:rPr>
        <w:t>д</w:t>
      </w:r>
      <w:r>
        <w:rPr>
          <w:b/>
        </w:rPr>
        <w:t>приятий</w:t>
      </w:r>
      <w:r>
        <w:t>; данному правительственному учреждению были поручены вопросы координации работы различных входящих в его состав органов для обеспеч</w:t>
      </w:r>
      <w:r>
        <w:t>е</w:t>
      </w:r>
      <w:r>
        <w:t>ния эффективной совместной деятельности. В составе Комитета выделяются различные комиссии для решения специальных вопросов: среди них следует отметить Комиссию по вопросам экономических исследований, которая, в ч</w:t>
      </w:r>
      <w:r>
        <w:t>а</w:t>
      </w:r>
      <w:r>
        <w:t>стности, предложила усовершенствовать используемые методы оценки в отн</w:t>
      </w:r>
      <w:r>
        <w:t>о</w:t>
      </w:r>
      <w:r>
        <w:t>шении малых и микропредприятий, признавая, что вопрос равенства полов я</w:t>
      </w:r>
      <w:r>
        <w:t>в</w:t>
      </w:r>
      <w:r>
        <w:t>ляется одним из аспектов, который систематически должен учитываться в п</w:t>
      </w:r>
      <w:r>
        <w:t>о</w:t>
      </w:r>
      <w:r>
        <w:t>добных исследованиях.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225.</w:t>
      </w:r>
      <w:r>
        <w:tab/>
        <w:t xml:space="preserve">В 2001 году был проведен гражданский референдум по проекту </w:t>
      </w:r>
      <w:r>
        <w:rPr>
          <w:b/>
        </w:rPr>
        <w:t>Устава развития малых предприятий</w:t>
      </w:r>
      <w:r>
        <w:t>. Указанный проект предусматривает принятие комплекса мер по формированию государственной политики в области разв</w:t>
      </w:r>
      <w:r>
        <w:t>и</w:t>
      </w:r>
      <w:r>
        <w:t>тия производства в данном секторе, и является результатом длительного ко</w:t>
      </w:r>
      <w:r>
        <w:t>н</w:t>
      </w:r>
      <w:r>
        <w:t>сультативного процесса, проведенного в различных регионах страны, участие в котором приняли работники обоих полов, а также различные заинтересованные организации, в том числе неправительственные организации, имеющие бол</w:t>
      </w:r>
      <w:r>
        <w:t>ь</w:t>
      </w:r>
      <w:r>
        <w:t>шой опыт взаимодействия с женщинами, работающими на малых и мелких предприятиях, как в плане практических акций, так и в плане проведения и</w:t>
      </w:r>
      <w:r>
        <w:t>с</w:t>
      </w:r>
      <w:r>
        <w:t>следований. В настоящее время проект находится на стадии реализации учте</w:t>
      </w:r>
      <w:r>
        <w:t>н</w:t>
      </w:r>
      <w:r>
        <w:t>ных предложений в виде принятия специальных политических мер для разв</w:t>
      </w:r>
      <w:r>
        <w:t>и</w:t>
      </w:r>
      <w:r>
        <w:t>тия данного сектора, переориентации государственных программ, разработки новых инструментов, внесения изменений нормативного и/или законодательн</w:t>
      </w:r>
      <w:r>
        <w:t>о</w:t>
      </w:r>
      <w:r>
        <w:t>го характера.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Мероприятия и инициативы в сфере временной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 xml:space="preserve">226. В январе 2001 года был создан </w:t>
      </w:r>
      <w:r>
        <w:rPr>
          <w:b/>
        </w:rPr>
        <w:t>Государственный комитет с участием представителей частного бизнеса по вопросам временной занятости</w:t>
      </w:r>
      <w:r>
        <w:t>, в рамках которого был принят ряд обязательств, а именно: подготовка 1</w:t>
      </w:r>
      <w:r>
        <w:rPr>
          <w:lang w:val="en-US"/>
        </w:rPr>
        <w:t> </w:t>
      </w:r>
      <w:r>
        <w:t>000 работников в качестве наблюдателей за чистотой производства и предо</w:t>
      </w:r>
      <w:r>
        <w:t>т</w:t>
      </w:r>
      <w:r>
        <w:t>вращением использования пестицидов; выделение 9</w:t>
      </w:r>
      <w:r>
        <w:rPr>
          <w:lang w:val="en-US"/>
        </w:rPr>
        <w:t> </w:t>
      </w:r>
      <w:r>
        <w:t>000 стипендий для пр</w:t>
      </w:r>
      <w:r>
        <w:t>о</w:t>
      </w:r>
      <w:r>
        <w:t>фессионального обучения работающих женщин, причем часть стипендий пре</w:t>
      </w:r>
      <w:r>
        <w:t>д</w:t>
      </w:r>
      <w:r>
        <w:t>назначена для женщин, занятых на временной работе; подготовка девяти кв</w:t>
      </w:r>
      <w:r>
        <w:t>а</w:t>
      </w:r>
      <w:r>
        <w:t>лификационных научных работ, тема одной из которых - "Факторы, огранич</w:t>
      </w:r>
      <w:r>
        <w:t>и</w:t>
      </w:r>
      <w:r>
        <w:t>вающие использование налоговых льгот в сфере профессиональной подготовки в секторе лесного и сельского хозяйства", что является важным достижением на пути выработки соответствующих мер в сфере профессиональной подгото</w:t>
      </w:r>
      <w:r>
        <w:t>в</w:t>
      </w:r>
      <w:r>
        <w:t>ки, принимая во внимание, что на данный сектор приходится только 2 процента налоговых остатков.</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227.</w:t>
      </w:r>
      <w:r>
        <w:tab/>
        <w:t>Начиная с 2000 года, СЕРНАМ ведет активную работу, направленную на работодателей в целом и отдельные производственные сектора в частности, с целью положить конец дискриминации полов в трудовых вопросах. Так, Управлением разработана стратегия включения вопроса равенства полов в п</w:t>
      </w:r>
      <w:r>
        <w:t>о</w:t>
      </w:r>
      <w:r>
        <w:t>вестку работы ведущих профсоюзных организаций сельскохозяйственного се</w:t>
      </w:r>
      <w:r>
        <w:t>к</w:t>
      </w:r>
      <w:r>
        <w:t>тора</w:t>
      </w:r>
      <w:r>
        <w:rPr>
          <w:rStyle w:val="FootnoteReference"/>
        </w:rPr>
        <w:footnoteReference w:customMarkFollows="1" w:id="112"/>
        <w:t>109</w:t>
      </w:r>
      <w:r>
        <w:t>, посредством учреждения "</w:t>
      </w:r>
      <w:r>
        <w:rPr>
          <w:b/>
        </w:rPr>
        <w:t>Государственного комитета с участием представителей частного бизнеса по вопросам сезонных сельскохозяйс</w:t>
      </w:r>
      <w:r>
        <w:rPr>
          <w:b/>
        </w:rPr>
        <w:t>т</w:t>
      </w:r>
      <w:r>
        <w:rPr>
          <w:b/>
        </w:rPr>
        <w:t>венных работ</w:t>
      </w:r>
      <w:r>
        <w:t>". В данной связи были также сформированы Комиссии по в</w:t>
      </w:r>
      <w:r>
        <w:t>о</w:t>
      </w:r>
      <w:r>
        <w:t>просам гигиены труда</w:t>
      </w:r>
      <w:r>
        <w:rPr>
          <w:rStyle w:val="FootnoteReference"/>
        </w:rPr>
        <w:footnoteReference w:customMarkFollows="1" w:id="113"/>
        <w:t>110</w:t>
      </w:r>
      <w:r>
        <w:t>, по вопросам условий труда, по вопросам охраны де</w:t>
      </w:r>
      <w:r>
        <w:t>т</w:t>
      </w:r>
      <w:r>
        <w:t>ства, по вопросам применения пестицидов, и по вопросам профессиональной подготовки, каждая из которых курируется соответствующими министерствами и государственными службами.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228.</w:t>
      </w:r>
      <w:r>
        <w:tab/>
        <w:t>В то же время, в отрасли рыбного хозяйства были организованы трехст</w:t>
      </w:r>
      <w:r>
        <w:t>о</w:t>
      </w:r>
      <w:r>
        <w:t>ронние рабочие группы в трех областях страны, где проживает большая часть женщин, занятых в данной отрасли, с целью согласования мер, направленных на улучшение условий труда женщин. В этих целях созданы информационные центры по гигиене труда, проведены проверки ряда предприятий, открыты центры охраны детства и проведены встречи с женщинами, занятыми в отра</w:t>
      </w:r>
      <w:r>
        <w:t>с</w:t>
      </w:r>
      <w:r>
        <w:t>ли.</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Наилучшая практика обеспечения равенства возможностей в трудовых вопросах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229.</w:t>
      </w:r>
      <w:r>
        <w:tab/>
        <w:t>Правительство Чили при активном содействии со стороны СЕРНАМ р</w:t>
      </w:r>
      <w:r>
        <w:t>а</w:t>
      </w:r>
      <w:r>
        <w:t>тифицировало разработанную МОТ Конвенцию № 156 о трудящихся с семе</w:t>
      </w:r>
      <w:r>
        <w:t>й</w:t>
      </w:r>
      <w:r>
        <w:t>ными обязанностями</w:t>
      </w:r>
      <w:r>
        <w:rPr>
          <w:rStyle w:val="FootnoteReference"/>
        </w:rPr>
        <w:footnoteReference w:customMarkFollows="1" w:id="114"/>
        <w:t>111</w:t>
      </w:r>
      <w:r>
        <w:t xml:space="preserve"> 1981 года. После ратификации упомянутой конвенции была проведена информационная кампания, раскрывающая содержание данн</w:t>
      </w:r>
      <w:r>
        <w:t>о</w:t>
      </w:r>
      <w:r>
        <w:t>го документа, а также ряд трехсторонних семинаров с участием экспертов, призванных способствовать распространению и уяснению инициатив, необх</w:t>
      </w:r>
      <w:r>
        <w:t>о</w:t>
      </w:r>
      <w:r>
        <w:t>димых для приведения национального законодательства в соответствие с тр</w:t>
      </w:r>
      <w:r>
        <w:t>е</w:t>
      </w:r>
      <w:r>
        <w:t>бованиями Конвенции. Одним из таких требований является использование Наилучшей практики обеспечения равенства возможностей мужчины и же</w:t>
      </w:r>
      <w:r>
        <w:t>н</w:t>
      </w:r>
      <w:r>
        <w:t>щины в трудовых вопросах.</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230.</w:t>
      </w:r>
      <w:r>
        <w:tab/>
        <w:t>Национальное управление по делам женщин, в целях содействия доступу женщин к труду и улучшения условий их труда, наряду с традиционными ин</w:t>
      </w:r>
      <w:r>
        <w:t>и</w:t>
      </w:r>
      <w:r>
        <w:t>циативами по совершенствованию нормативно-правовой базы, контролю с</w:t>
      </w:r>
      <w:r>
        <w:t>о</w:t>
      </w:r>
      <w:r>
        <w:t>блюдения прав и информированию, включило в повестку своей работы мер</w:t>
      </w:r>
      <w:r>
        <w:t>о</w:t>
      </w:r>
      <w:r>
        <w:t xml:space="preserve">приятия в рамках Наилучшей практики </w:t>
      </w:r>
      <w:r>
        <w:rPr>
          <w:b/>
        </w:rPr>
        <w:t>обеспечения равенства возможностей мужчины и женщины</w:t>
      </w:r>
      <w:r>
        <w:t>. Это выразилось в разработке стратегии обеспечения непрерывного диалога с частным сектором. Комплекс мероприятий в рамках данной инициативы включает: информирование предпринимательского сект</w:t>
      </w:r>
      <w:r>
        <w:t>о</w:t>
      </w:r>
      <w:r>
        <w:t>ра</w:t>
      </w:r>
      <w:r>
        <w:rPr>
          <w:rStyle w:val="FootnoteReference"/>
        </w:rPr>
        <w:footnoteReference w:customMarkFollows="1" w:id="115"/>
        <w:t>112</w:t>
      </w:r>
      <w:r>
        <w:t>; поощрение предприятий, которые внедряют наилучшую практику обе</w:t>
      </w:r>
      <w:r>
        <w:t>с</w:t>
      </w:r>
      <w:r>
        <w:t>печения равенства возможностей мужчины и женщины; выработку стандартов упомянутой наилучшей практики; а также проведение исследований</w:t>
      </w:r>
      <w:r>
        <w:rPr>
          <w:rStyle w:val="FootnoteReference"/>
        </w:rPr>
        <w:footnoteReference w:customMarkFollows="1" w:id="116"/>
        <w:t>113</w:t>
      </w:r>
      <w:r>
        <w:t xml:space="preserve"> и по</w:t>
      </w:r>
      <w:r>
        <w:t>д</w:t>
      </w:r>
      <w:r>
        <w:t>готовку практических рекомендаций по внедрению упомянутых методов, кот</w:t>
      </w:r>
      <w:r>
        <w:t>о</w:t>
      </w:r>
      <w:r>
        <w:t>рые предусматривают использование комплекса мер в процессе трудовой де</w:t>
      </w:r>
      <w:r>
        <w:t>я</w:t>
      </w:r>
      <w:r>
        <w:t>тельности и исполнения трудовых и семейных обязанностей; мер экономич</w:t>
      </w:r>
      <w:r>
        <w:t>е</w:t>
      </w:r>
      <w:r>
        <w:t>ского характера, а также мер по охране здоровья.</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Программы занятости и развития производства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231.</w:t>
      </w:r>
      <w:r>
        <w:tab/>
        <w:t>В последние два года СЕРНАМ совместно с другими государственными институтами был предпринят ряд шагов в области занятости и развития прои</w:t>
      </w:r>
      <w:r>
        <w:t>з</w:t>
      </w:r>
      <w:r>
        <w:t>водства, направленных на поощрение участия в трудовой деятельности же</w:t>
      </w:r>
      <w:r>
        <w:t>н</w:t>
      </w:r>
      <w:r>
        <w:t xml:space="preserve">щин - глав семьи. Среди упомянутых шагов следует выделить </w:t>
      </w:r>
      <w:r>
        <w:rPr>
          <w:b/>
        </w:rPr>
        <w:t>Программы по созданию рабочих мест</w:t>
      </w:r>
      <w:r>
        <w:t>, разработанные правительством для снижения уровня безработицы в периоды сезонного сокращения рабочих мест. СЕРНАМ заним</w:t>
      </w:r>
      <w:r>
        <w:t>а</w:t>
      </w:r>
      <w:r>
        <w:t>ется распределением средств, выделенных на реализацию Программы занят</w:t>
      </w:r>
      <w:r>
        <w:t>о</w:t>
      </w:r>
      <w:r>
        <w:t>сти для женщин, задачей которой является сокращение существующего нер</w:t>
      </w:r>
      <w:r>
        <w:t>а</w:t>
      </w:r>
      <w:r>
        <w:t>венства между мужчинами и женщинами, особенно главами семьи, в целях преодоления безработицы и создания для женщин возможностей для получ</w:t>
      </w:r>
      <w:r>
        <w:t>е</w:t>
      </w:r>
      <w:r>
        <w:t>ния регулярного дохода.</w:t>
      </w:r>
      <w:r>
        <w:rPr>
          <w:lang w:val="en-US"/>
        </w:rP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232.</w:t>
      </w:r>
      <w:r>
        <w:tab/>
        <w:t>Эта программа делает основной упор на поддержку инициатив, связанных с самостоятельной предпринимательской деятельностью. Такое направление работ предусматривает профессиональную подготовку в области управления и коммерческой деятельности, приобретение инструментов и предоставление первоначального капитала</w:t>
      </w:r>
      <w:r>
        <w:rPr>
          <w:rStyle w:val="FootnoteReference"/>
        </w:rPr>
        <w:footnoteReference w:customMarkFollows="1" w:id="117"/>
        <w:t>114</w:t>
      </w:r>
      <w:r>
        <w:t>. Меры по облегчению доступа были ориентир</w:t>
      </w:r>
      <w:r>
        <w:t>о</w:t>
      </w:r>
      <w:r>
        <w:t>ваны на наиболее бедные слои населения, где уровень безработицы существе</w:t>
      </w:r>
      <w:r>
        <w:t>н</w:t>
      </w:r>
      <w:r>
        <w:t xml:space="preserve">но превышает уровень безработицы среди мужчин.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233.</w:t>
      </w:r>
      <w:r>
        <w:tab/>
        <w:t xml:space="preserve">Одной из осуществленных мер стала подготовка и издание </w:t>
      </w:r>
      <w:r>
        <w:rPr>
          <w:b/>
        </w:rPr>
        <w:t>Пособия для женщины в поисках работы</w:t>
      </w:r>
      <w:r>
        <w:t>, разработанного в контексте регионального пр</w:t>
      </w:r>
      <w:r>
        <w:t>о</w:t>
      </w:r>
      <w:r>
        <w:t>екта МОТ (Колумбия, Уругвай и Чили). Это Пособие используется Муниц</w:t>
      </w:r>
      <w:r>
        <w:t>и</w:t>
      </w:r>
      <w:r>
        <w:t>пальными учреждениями по посредничеству в сфере занятости (</w:t>
      </w:r>
      <w:r>
        <w:rPr>
          <w:lang w:val="en-US"/>
        </w:rPr>
        <w:t>ОМИЛ</w:t>
      </w:r>
      <w:r>
        <w:t>) при Национальной службе профессиональной подготовки и занятости (</w:t>
      </w:r>
      <w:r>
        <w:rPr>
          <w:lang w:val="en-US"/>
        </w:rPr>
        <w:t>СЕНСЕ</w:t>
      </w:r>
      <w:r>
        <w:t>) в различных муниципалитетах стр</w:t>
      </w:r>
      <w:r>
        <w:t>а</w:t>
      </w:r>
      <w:r>
        <w:t xml:space="preserve">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234.</w:t>
      </w:r>
      <w:r>
        <w:tab/>
        <w:t xml:space="preserve">В августе 2002 года в “Официальном вестнике” был опубликован </w:t>
      </w:r>
      <w:r>
        <w:rPr>
          <w:b/>
        </w:rPr>
        <w:t>Закон № 19479</w:t>
      </w:r>
      <w:r>
        <w:rPr>
          <w:rStyle w:val="FootnoteReference"/>
        </w:rPr>
        <w:footnoteReference w:customMarkFollows="1" w:id="118"/>
        <w:t>115</w:t>
      </w:r>
      <w:r>
        <w:rPr>
          <w:b/>
        </w:rPr>
        <w:t>, содействующий созданию семейных микропредприятий.</w:t>
      </w:r>
      <w:r>
        <w:t xml:space="preserve"> Этот Закон способствовал созданию и юридическому оформлению примерно 600 000 семейных микропредприятий путем сокращения ограничений и треб</w:t>
      </w:r>
      <w:r>
        <w:t>о</w:t>
      </w:r>
      <w:r>
        <w:t>ваний к их учреждению. С учетом того факта, что микропредприятия и малые предприятия обеспечивают более 85 процентов занятости на национальном уровне, этот Закон сыграл очень важную роль в улучшении экономической с</w:t>
      </w:r>
      <w:r>
        <w:t>и</w:t>
      </w:r>
      <w:r>
        <w:t xml:space="preserve">туации в стране, а также вызвал весьма позитивные социальные последствия.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235.</w:t>
      </w:r>
      <w:r>
        <w:tab/>
        <w:t>После опубликования Руководства по применению закона значительное количество малых производственных предприятий вышли из теневой эконом</w:t>
      </w:r>
      <w:r>
        <w:t>и</w:t>
      </w:r>
      <w:r>
        <w:t xml:space="preserve">ки и легально оформили свою деятельность. Женщины, подключившиеся к этой инициативе, в большинстве являются участниками срочных программ по обеспечению занятости для женщин – глав домохозяйств, предпринятых </w:t>
      </w:r>
      <w:r>
        <w:rPr>
          <w:lang w:val="en-US"/>
        </w:rPr>
        <w:t>СЕРНАМ</w:t>
      </w:r>
      <w:r>
        <w:t>, в том числе предпринимательницы на уровне теневых микропре</w:t>
      </w:r>
      <w:r>
        <w:t>д</w:t>
      </w:r>
      <w:r>
        <w:t>приятий, получившие поддержку Фонда солидарности и социального обесп</w:t>
      </w:r>
      <w:r>
        <w:t>е</w:t>
      </w:r>
      <w:r>
        <w:t>чения (</w:t>
      </w:r>
      <w:r>
        <w:rPr>
          <w:lang w:val="en-US"/>
        </w:rPr>
        <w:t>ФОСИС</w:t>
      </w:r>
      <w:r>
        <w:t xml:space="preserve">) и Государственного банка. Для содействия юридическому оформлению и стимулирования производственных инициатив женщин </w:t>
      </w:r>
      <w:r>
        <w:rPr>
          <w:lang w:val="en-US"/>
        </w:rPr>
        <w:t>СЕРНАМ</w:t>
      </w:r>
      <w:r>
        <w:t>, в сотрудничестве с учреждениями, имеющими отношение к разв</w:t>
      </w:r>
      <w:r>
        <w:t>и</w:t>
      </w:r>
      <w:r>
        <w:t xml:space="preserve">тию производства, опубликовал в 2002 году </w:t>
      </w:r>
      <w:r>
        <w:rPr>
          <w:b/>
        </w:rPr>
        <w:t>“Пособие по быстрой регистр</w:t>
      </w:r>
      <w:r>
        <w:rPr>
          <w:b/>
        </w:rPr>
        <w:t>а</w:t>
      </w:r>
      <w:r>
        <w:rPr>
          <w:b/>
        </w:rPr>
        <w:t>ции предприятия”</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236.</w:t>
      </w:r>
      <w:r>
        <w:tab/>
        <w:t>Министерство экономики разместило на страницах своего Интернет–представительства</w:t>
      </w:r>
      <w:r>
        <w:rPr>
          <w:rStyle w:val="FootnoteReference"/>
        </w:rPr>
        <w:footnoteReference w:customMarkFollows="1" w:id="119"/>
        <w:t>116</w:t>
      </w:r>
      <w:r>
        <w:t xml:space="preserve"> ссылку на Интернет–сайт </w:t>
      </w:r>
      <w:r>
        <w:rPr>
          <w:lang w:val="en-US"/>
        </w:rPr>
        <w:t>СЕРНАМ</w:t>
      </w:r>
      <w:r>
        <w:t xml:space="preserve"> для того, чтобы женщ</w:t>
      </w:r>
      <w:r>
        <w:t>и</w:t>
      </w:r>
      <w:r>
        <w:t>ны–предпринимательницы могли получать информацию о мероприятиях, ку</w:t>
      </w:r>
      <w:r>
        <w:t>р</w:t>
      </w:r>
      <w:r>
        <w:t>сах, семинарах, совещаниях, предоставлении кредитов, правах женщин и  иметь доступ к Деловому справочнику для женщин–предпринимательниц. Н</w:t>
      </w:r>
      <w:r>
        <w:t>а</w:t>
      </w:r>
      <w:r>
        <w:t>жав на ссылку “Женщины–предпринимательницы” в разделе “Предприятие”</w:t>
      </w:r>
      <w:r>
        <w:rPr>
          <w:rStyle w:val="FootnoteReference"/>
        </w:rPr>
        <w:footnoteReference w:customMarkFollows="1" w:id="120"/>
        <w:t>117</w:t>
      </w:r>
      <w:r>
        <w:t xml:space="preserve"> Министерства экономики они могут получить информацию по таким вопросам, как профессиональная подготовка, рост производства, финансирование, здр</w:t>
      </w:r>
      <w:r>
        <w:t>а</w:t>
      </w:r>
      <w:r>
        <w:t xml:space="preserve">воохранение, инновации и технологии.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237.</w:t>
      </w:r>
      <w:r>
        <w:tab/>
      </w:r>
      <w:r>
        <w:rPr>
          <w:lang w:val="en-US"/>
        </w:rPr>
        <w:t>СЕРКОТЕК</w:t>
      </w:r>
      <w:r>
        <w:t xml:space="preserve"> (Служба технического сотрудничества ЮНКТАД) в 2002 году оказала помощь 3779 женщинам в рамках своей Программы для женщин–предпринимательниц на уровне микропредприятий, что составляет около 25 процентов от всех предпринимателей на этом уровне. В соответствии с п</w:t>
      </w:r>
      <w:r>
        <w:t>о</w:t>
      </w:r>
      <w:r>
        <w:t>литикой борьбы с бедностью, Фонд солидарности и социального обеспечения (</w:t>
      </w:r>
      <w:r>
        <w:rPr>
          <w:lang w:val="en-US"/>
        </w:rPr>
        <w:t>ФОСИС</w:t>
      </w:r>
      <w:r>
        <w:t>)</w:t>
      </w:r>
      <w:r>
        <w:rPr>
          <w:rStyle w:val="FootnoteReference"/>
        </w:rPr>
        <w:footnoteReference w:customMarkFollows="1" w:id="121"/>
        <w:t>118</w:t>
      </w:r>
      <w:r>
        <w:t>, совместно с другими государственными службами, учредил э</w:t>
      </w:r>
      <w:r>
        <w:t>ф</w:t>
      </w:r>
      <w:r>
        <w:t>фективные программы помощи микропредприятиям в области профессионал</w:t>
      </w:r>
      <w:r>
        <w:t>ь</w:t>
      </w:r>
      <w:r>
        <w:t>ной подготовки, технической помощи, консультаций по вопросам управления и групповой поддержки, а также другие программы финансового посредничества для облегчения доступа к кредитам. Несмотря на невысокий процент женщин–предпринимательниц, их участие в этих программах было весьма у</w:t>
      </w:r>
      <w:r>
        <w:t>с</w:t>
      </w:r>
      <w:r>
        <w:t>пешным</w:t>
      </w:r>
      <w:r>
        <w:rPr>
          <w:rStyle w:val="FootnoteReference"/>
        </w:rPr>
        <w:footnoteReference w:customMarkFollows="1" w:id="122"/>
        <w:t>119</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Профессиональная подготовка, переподготовка и повышение квалифик</w:t>
      </w:r>
      <w:r>
        <w:rPr>
          <w:b/>
        </w:rPr>
        <w:t>а</w:t>
      </w:r>
      <w:r>
        <w:rPr>
          <w:b/>
        </w:rPr>
        <w:t>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238.</w:t>
      </w:r>
      <w:r>
        <w:tab/>
        <w:t>На протяжении десятилетия постоянно и успешно осуществлялись дейс</w:t>
      </w:r>
      <w:r>
        <w:t>т</w:t>
      </w:r>
      <w:r>
        <w:t xml:space="preserve">вия по подготовке женщин и созданию для них более хороших условий для трудовой адаптации.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239.</w:t>
      </w:r>
      <w:r>
        <w:tab/>
      </w:r>
      <w:r>
        <w:rPr>
          <w:lang w:val="en-US"/>
        </w:rPr>
        <w:t>СЕРНАМ</w:t>
      </w:r>
      <w:r>
        <w:t xml:space="preserve"> постоянно и тесно координирует свою деятельность с Наци</w:t>
      </w:r>
      <w:r>
        <w:t>о</w:t>
      </w:r>
      <w:r>
        <w:t>нальной службой профессиональной подготовки и занятости (</w:t>
      </w:r>
      <w:r>
        <w:rPr>
          <w:lang w:val="en-US"/>
        </w:rPr>
        <w:t>СЕНСЕ</w:t>
      </w:r>
      <w:r>
        <w:t>) при Министерстве труда в целях облегчения доступа работающим женщинам, ос</w:t>
      </w:r>
      <w:r>
        <w:t>о</w:t>
      </w:r>
      <w:r>
        <w:t>бенно с низкими доходами, к различным программам трудовой професси</w:t>
      </w:r>
      <w:r>
        <w:t>о</w:t>
      </w:r>
      <w:r>
        <w:t>нальной подготовки, подготовленным данной Службой. В настоящее время участие женщин в этих программах составляет около одной трети по сравн</w:t>
      </w:r>
      <w:r>
        <w:t>е</w:t>
      </w:r>
      <w:r>
        <w:t>нию с участием мужчин. Намечается увеличить количество женщин, учас</w:t>
      </w:r>
      <w:r>
        <w:t>т</w:t>
      </w:r>
      <w:r>
        <w:t>вующих в программах профессиональной подготовки и занимающихся пре</w:t>
      </w:r>
      <w:r>
        <w:t>д</w:t>
      </w:r>
      <w:r>
        <w:t>принимательством, через предоставление налоговых льгот (один из способов освобождения от налогов). Цель – добиться в 2003 году, чтобы среди получи</w:t>
      </w:r>
      <w:r>
        <w:t>в</w:t>
      </w:r>
      <w:r>
        <w:t>ших профессиональную подг</w:t>
      </w:r>
      <w:r>
        <w:t>о</w:t>
      </w:r>
      <w:r>
        <w:t xml:space="preserve">товку женщины составляли 50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240.</w:t>
      </w:r>
      <w:r>
        <w:tab/>
        <w:t xml:space="preserve">Согласно данным, опубликованным </w:t>
      </w:r>
      <w:r>
        <w:rPr>
          <w:lang w:val="en-US"/>
        </w:rPr>
        <w:t>СЕНСЕ</w:t>
      </w:r>
      <w:r>
        <w:t>, только небольшой процент мужчин и женщин, работающих в экономических отраслях с преимуществе</w:t>
      </w:r>
      <w:r>
        <w:t>н</w:t>
      </w:r>
      <w:r>
        <w:t xml:space="preserve">ным женским участием, получают профессиональную подготовку. С другой стороны, в отраслях с преимущественно мужским участием отмечается больше мероприятий по профессиональной подготовке. С учетом данной ситуации, </w:t>
      </w:r>
      <w:r>
        <w:rPr>
          <w:lang w:val="en-US"/>
        </w:rPr>
        <w:t>СЕРНАМ</w:t>
      </w:r>
      <w:r>
        <w:t xml:space="preserve">  совместно с </w:t>
      </w:r>
      <w:r>
        <w:rPr>
          <w:lang w:val="en-US"/>
        </w:rPr>
        <w:t>СЕНСЕ</w:t>
      </w:r>
      <w:r>
        <w:t xml:space="preserve"> запланировали активизировать действия, н</w:t>
      </w:r>
      <w:r>
        <w:t>а</w:t>
      </w:r>
      <w:r>
        <w:t>правленные на расширение области женской занятости и устранение трудн</w:t>
      </w:r>
      <w:r>
        <w:t>о</w:t>
      </w:r>
      <w:r>
        <w:t>стей доступа к трудовой профессиональной подготовке</w:t>
      </w:r>
      <w:r>
        <w:rPr>
          <w:rStyle w:val="FootnoteReference"/>
        </w:rPr>
        <w:footnoteReference w:customMarkFollows="1" w:id="123"/>
        <w:t>120</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241.</w:t>
      </w:r>
      <w:r>
        <w:tab/>
      </w:r>
      <w:r>
        <w:rPr>
          <w:lang w:val="en-US"/>
        </w:rPr>
        <w:t>СЕНСЕ</w:t>
      </w:r>
      <w:r>
        <w:t xml:space="preserve"> координирует деятельность Межведомственной комиссии по пр</w:t>
      </w:r>
      <w:r>
        <w:t>о</w:t>
      </w:r>
      <w:r>
        <w:t>фессиональной подготовке для сезонных сельскохозяйственных работ, задача которой состоит в улучшении условий труда в этом секторе. В состав данной Комиссии входят предпринимательские ассоциации. На 2002 год эта Комиссия запланировала программы трудовой профессиональной подготовки, которые позволят повысить качество и специализацию трудовой профессиональной подготовки, кампании по повышению информированности, ориентированные на работников сельского хозяйства в целях улучшения и расширения использ</w:t>
      </w:r>
      <w:r>
        <w:t>о</w:t>
      </w:r>
      <w:r>
        <w:t>вания существующих способов профессиональной подготовки и повышения охвата программами обучения, принимая во внимание тот факт, что больши</w:t>
      </w:r>
      <w:r>
        <w:t>н</w:t>
      </w:r>
      <w:r>
        <w:t>ство из этих мужчин и женщин не закончили начальное школьное о</w:t>
      </w:r>
      <w:r>
        <w:t>б</w:t>
      </w:r>
      <w:r>
        <w:t xml:space="preserve">разование.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242.</w:t>
      </w:r>
      <w:r>
        <w:tab/>
      </w:r>
      <w:r>
        <w:rPr>
          <w:lang w:val="en-US"/>
        </w:rPr>
        <w:t>СЕРНАМ</w:t>
      </w:r>
      <w:r>
        <w:t xml:space="preserve"> совместно с </w:t>
      </w:r>
      <w:r>
        <w:rPr>
          <w:lang w:val="en-US"/>
        </w:rPr>
        <w:t>МИДЕПЛАН</w:t>
      </w:r>
      <w:r>
        <w:t xml:space="preserve"> (Министерство планирования и ко</w:t>
      </w:r>
      <w:r>
        <w:t>о</w:t>
      </w:r>
      <w:r>
        <w:t xml:space="preserve">перации), Министерством труда и социального обеспечения, </w:t>
      </w:r>
      <w:r>
        <w:rPr>
          <w:lang w:val="en-US"/>
        </w:rPr>
        <w:t>ФОСИС</w:t>
      </w:r>
      <w:r>
        <w:t xml:space="preserve"> и </w:t>
      </w:r>
      <w:r>
        <w:rPr>
          <w:lang w:val="en-US"/>
        </w:rPr>
        <w:t>СЕНСЕ</w:t>
      </w:r>
      <w:r>
        <w:t xml:space="preserve"> (Национальная служба профессиональной подготовки и занятости) осуществ</w:t>
      </w:r>
      <w:r>
        <w:t>и</w:t>
      </w:r>
      <w:r>
        <w:t xml:space="preserve">ли </w:t>
      </w:r>
      <w:r>
        <w:rPr>
          <w:b/>
        </w:rPr>
        <w:t>Экспериментальную программу помощи работающим по частному найму</w:t>
      </w:r>
      <w:r>
        <w:t>, предусматривающую действия по профессиональной подготовке, кот</w:t>
      </w:r>
      <w:r>
        <w:t>о</w:t>
      </w:r>
      <w:r>
        <w:t>рые направлены на подготовку к работе по частному найму женщин, прин</w:t>
      </w:r>
      <w:r>
        <w:t>и</w:t>
      </w:r>
      <w:r>
        <w:t xml:space="preserve">мавших до 2001 года участие в Программе для женщин – глав домохозяйств.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243.</w:t>
      </w:r>
      <w:r>
        <w:tab/>
        <w:t>Помимо прочего, упомянутые программы включают мероприятия по тр</w:t>
      </w:r>
      <w:r>
        <w:t>у</w:t>
      </w:r>
      <w:r>
        <w:t xml:space="preserve">довой профессиональной подготовке, к которым добавляются действия по профессиональной подготовке, осуществленные в рамках Программы для женщин – глав домохозяйств </w:t>
      </w:r>
      <w:r>
        <w:rPr>
          <w:lang w:val="en-US"/>
        </w:rPr>
        <w:t>СЕРНАМ</w:t>
      </w:r>
      <w:r>
        <w:t>, в “Школе женщины по пропаганде и защите прав женщины” (</w:t>
      </w:r>
      <w:r>
        <w:rPr>
          <w:lang w:val="en-US"/>
        </w:rPr>
        <w:t>ПРОДЕМУ</w:t>
      </w:r>
      <w:r>
        <w:t>) и в различных НПО, работающих с же</w:t>
      </w:r>
      <w:r>
        <w:t>н</w:t>
      </w:r>
      <w:r>
        <w:t xml:space="preserve">щинами.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Охрана здоровья и безопасные условия труда на сезонных работах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244.</w:t>
      </w:r>
      <w:r>
        <w:tab/>
        <w:t>В 2000 году, в целях дальнейшего улучшения условий найма на работу, продолжительности трудового периода и условий труда сезонных сельскох</w:t>
      </w:r>
      <w:r>
        <w:t>о</w:t>
      </w:r>
      <w:r>
        <w:t>зяйственных рабочих–женщин разрабатывается новая стратегия в области тр</w:t>
      </w:r>
      <w:r>
        <w:t>у</w:t>
      </w:r>
      <w:r>
        <w:t>да, получившая полную поддержку президента Республики. Таким образом, все государственные учреждения, имеющие отношение к данной тематике, анал</w:t>
      </w:r>
      <w:r>
        <w:t>и</w:t>
      </w:r>
      <w:r>
        <w:t>зируют достижения на данный момент и на этой основе планируют меропри</w:t>
      </w:r>
      <w:r>
        <w:t>я</w:t>
      </w:r>
      <w:r>
        <w:t>тия, проекты программ и политические меры. Такой комплект соглашений п</w:t>
      </w:r>
      <w:r>
        <w:t>о</w:t>
      </w:r>
      <w:r>
        <w:t xml:space="preserve">лучил название “Обязательства правительства в отношении сезонной занятости в сельском хозяйстве”. То есть, при координации со стороны министра </w:t>
      </w:r>
      <w:r>
        <w:rPr>
          <w:lang w:val="en-US"/>
        </w:rPr>
        <w:t>СЕРНАМ</w:t>
      </w:r>
      <w:r>
        <w:t xml:space="preserve"> (этот пост занимает женщина) и в сотрудничестве с министерствами труда, здравоохранения, сельского хозяйства и соответствующими службами этих министерств правительство взяло на себя целый ряд обязательств в том, что касается ухода за детьми, распространения информации, контроля за хр</w:t>
      </w:r>
      <w:r>
        <w:t>а</w:t>
      </w:r>
      <w:r>
        <w:t>нением пестицидов и профессиональной подготовки к их использованию, с</w:t>
      </w:r>
      <w:r>
        <w:t>а</w:t>
      </w:r>
      <w:r>
        <w:t xml:space="preserve">нитарных условий, безопасности труда, охраны здоровья на производстве и контроля за соблюдением трудовых стандартов.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245.</w:t>
      </w:r>
      <w:r>
        <w:tab/>
        <w:t>Эта инициатива направлена на то, чтобы найти решение одной из пр</w:t>
      </w:r>
      <w:r>
        <w:t>о</w:t>
      </w:r>
      <w:r>
        <w:t>блем, на которую указал Комитет КЛДЖ в своих замечаниях к предыдущему докладу, представленному Чили, и в которых выражается озабоченность тем, что, “</w:t>
      </w:r>
      <w:r>
        <w:rPr>
          <w:i/>
        </w:rPr>
        <w:t xml:space="preserve">…несмотря на приложенные </w:t>
      </w:r>
      <w:r>
        <w:rPr>
          <w:i/>
          <w:lang w:val="en-US"/>
        </w:rPr>
        <w:t>СЕРНАМ</w:t>
      </w:r>
      <w:r>
        <w:rPr>
          <w:i/>
        </w:rPr>
        <w:t xml:space="preserve"> усилия, сезонные рабочие</w:t>
      </w:r>
      <w:r>
        <w:t>–</w:t>
      </w:r>
      <w:r>
        <w:rPr>
          <w:i/>
        </w:rPr>
        <w:t>же</w:t>
      </w:r>
      <w:r>
        <w:rPr>
          <w:i/>
        </w:rPr>
        <w:t>н</w:t>
      </w:r>
      <w:r>
        <w:rPr>
          <w:i/>
        </w:rPr>
        <w:t>щины находятся с точки зрения их условий труда, занятости и условий для ухода за детьми в особенно затрудн</w:t>
      </w:r>
      <w:r>
        <w:rPr>
          <w:i/>
        </w:rPr>
        <w:t>и</w:t>
      </w:r>
      <w:r>
        <w:rPr>
          <w:i/>
        </w:rPr>
        <w:t>тельном положении</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246.</w:t>
      </w:r>
      <w:r>
        <w:tab/>
        <w:t xml:space="preserve">На основе переговоров в отношении сезонных рабочих–женщин </w:t>
      </w:r>
      <w:r>
        <w:rPr>
          <w:lang w:val="en-US"/>
        </w:rPr>
        <w:t>СЕРНАМ</w:t>
      </w:r>
      <w:r>
        <w:t xml:space="preserve"> в 2001 году добилась того, что работники и работницы, временно занятые на сезонных работах в сельском хозяйстве, а также работники и работницы, вр</w:t>
      </w:r>
      <w:r>
        <w:t>е</w:t>
      </w:r>
      <w:r>
        <w:t>менно занятые в рыболовном промысле и другие группы работников и рабо</w:t>
      </w:r>
      <w:r>
        <w:t>т</w:t>
      </w:r>
      <w:r>
        <w:t>ниц останутся в системе Национального фонда здравоохранения на один год, при изъявлении такого желания, если ими будут отчислены взносы на социал</w:t>
      </w:r>
      <w:r>
        <w:t>ь</w:t>
      </w:r>
      <w:r>
        <w:t>ное обеспечение всего лишь за 60 рабочих дней, причем не обязательно ид</w:t>
      </w:r>
      <w:r>
        <w:t>у</w:t>
      </w:r>
      <w:r>
        <w:t xml:space="preserve">щих подряд. Следует указать, что в 1999 году было достигнуто соглашение об отчислении взносов на социальное обеспечение в течение четырех месяцев.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247.</w:t>
      </w:r>
      <w:r>
        <w:tab/>
        <w:t>В Комиссии по ядохимикатам пересматривается Декрет № 594 о санита</w:t>
      </w:r>
      <w:r>
        <w:t>р</w:t>
      </w:r>
      <w:r>
        <w:t>ных условиях и безопасности труда на производстве в той части, которая кас</w:t>
      </w:r>
      <w:r>
        <w:t>а</w:t>
      </w:r>
      <w:r>
        <w:t xml:space="preserve">ется санитарных служб, душевых комнат, эргономических вопросов и правил работы с ядохимикатами. </w:t>
      </w:r>
      <w:r>
        <w:rPr>
          <w:lang w:val="en-US"/>
        </w:rPr>
        <w:t>АССОЭКС</w:t>
      </w:r>
      <w:r>
        <w:t xml:space="preserve"> (Ассоциация экспортеров фруктов), </w:t>
      </w:r>
      <w:r>
        <w:rPr>
          <w:lang w:val="en-US"/>
        </w:rPr>
        <w:t>FEDEFRUTA</w:t>
      </w:r>
      <w:r>
        <w:t xml:space="preserve"> и Национальная служба сельского хозяйства (</w:t>
      </w:r>
      <w:r>
        <w:rPr>
          <w:lang w:val="en-US"/>
        </w:rPr>
        <w:t>НССХ</w:t>
      </w:r>
      <w:r>
        <w:t>) изучают предложение Министерства здравоохранения и Министерства сельского хозя</w:t>
      </w:r>
      <w:r>
        <w:t>й</w:t>
      </w:r>
      <w:r>
        <w:t>ства о приведении в соответствие с современными требованиями Декрета № 594, регулирующего охрану окружающей среды и соблюдение санитарных условий в сельскохозяйственном и лесном секторе, для того, чтобы достигнуть соглашения по данному вопросу и распутать один из давних узлов противор</w:t>
      </w:r>
      <w:r>
        <w:t>е</w:t>
      </w:r>
      <w:r>
        <w:t>чий, а также обеспечить более хорошие условия для охраны труда на произво</w:t>
      </w:r>
      <w:r>
        <w:t>д</w:t>
      </w:r>
      <w:r>
        <w:t>стве для тех женщин, которые приходят на эту раб</w:t>
      </w:r>
      <w:r>
        <w:t>о</w:t>
      </w:r>
      <w:r>
        <w:t xml:space="preserve">ту.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248.</w:t>
      </w:r>
      <w:r>
        <w:tab/>
        <w:t xml:space="preserve">Начиная с 2001 года, в девяти регионах страны развивается </w:t>
      </w:r>
      <w:r>
        <w:rPr>
          <w:b/>
        </w:rPr>
        <w:t>Национал</w:t>
      </w:r>
      <w:r>
        <w:rPr>
          <w:b/>
        </w:rPr>
        <w:t>ь</w:t>
      </w:r>
      <w:r>
        <w:rPr>
          <w:b/>
        </w:rPr>
        <w:t>ная программа контроля за соблюдением условий охраны здоровья на производстве</w:t>
      </w:r>
      <w:r>
        <w:t xml:space="preserve"> под наблюдением Министерства здравоохранения, которое ко</w:t>
      </w:r>
      <w:r>
        <w:t>н</w:t>
      </w:r>
      <w:r>
        <w:t>тролирует основные элементы санитарного обеспечения, предотвращение ри</w:t>
      </w:r>
      <w:r>
        <w:t>с</w:t>
      </w:r>
      <w:r>
        <w:t>ков, защиту персонала, распределение и применение агрохимических средств, упаковку опасных отходов и ядохимикатов с истекшим сроком хранения. Для этого контроля создан Единый файл, разработанный Министерством здрав</w:t>
      </w:r>
      <w:r>
        <w:t>о</w:t>
      </w:r>
      <w:r>
        <w:t xml:space="preserve">охранения, в который включены предложения, внесенные работающими в этом секторе предпринимателями. Полученные результаты были представлены в марте 2002 года: контролю по вышеупомянутой тематике подверглись 770 производственных участков.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Социальное страхование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249.</w:t>
      </w:r>
      <w:r>
        <w:tab/>
        <w:t xml:space="preserve"> Управление социального страхования (</w:t>
      </w:r>
      <w:r>
        <w:rPr>
          <w:lang w:val="en-US"/>
        </w:rPr>
        <w:t>ИНП</w:t>
      </w:r>
      <w:r>
        <w:t>), государственный админ</w:t>
      </w:r>
      <w:r>
        <w:t>и</w:t>
      </w:r>
      <w:r>
        <w:t>стративный орган по проведению государственной политики в области соц</w:t>
      </w:r>
      <w:r>
        <w:t>и</w:t>
      </w:r>
      <w:r>
        <w:t>ального страхования, осуществило целый ряд проектов в сфере социального обслуживания с целью способствовать улучшению качества жизни и социал</w:t>
      </w:r>
      <w:r>
        <w:t>ь</w:t>
      </w:r>
      <w:r>
        <w:t>ной интеграции граждан. В этом контексте особое внимание было уделено п</w:t>
      </w:r>
      <w:r>
        <w:t>о</w:t>
      </w:r>
      <w:r>
        <w:t>ложению женщины в системе социального страхования и был выявлен ряд н</w:t>
      </w:r>
      <w:r>
        <w:t>е</w:t>
      </w:r>
      <w:r>
        <w:t>гативных факторов, затрагивающих женщин, в том числе: старение населения, наиболее заметное среди женщин; дискриминация по признакам пола и инв</w:t>
      </w:r>
      <w:r>
        <w:t>а</w:t>
      </w:r>
      <w:r>
        <w:t>лидности; применение детского труда, особенно в домохозяйствах, возглавля</w:t>
      </w:r>
      <w:r>
        <w:t>е</w:t>
      </w:r>
      <w:r>
        <w:t xml:space="preserve">мых женщиной, и другие.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250.</w:t>
      </w:r>
      <w:r>
        <w:tab/>
        <w:t xml:space="preserve">Следует особо упомянуть осуществление проектов </w:t>
      </w:r>
      <w:r>
        <w:rPr>
          <w:lang w:val="en-US"/>
        </w:rPr>
        <w:t>ИНП</w:t>
      </w:r>
      <w:r>
        <w:t xml:space="preserve"> по обучению чтению и письму престарелых пенсионеров, 90 процентов участников которых были женщины, оставшиеся неграмотными из-за полного отсутствия или н</w:t>
      </w:r>
      <w:r>
        <w:t>е</w:t>
      </w:r>
      <w:r>
        <w:t>достаточного школьного образования. Помимо этого, в сотрудничестве с др</w:t>
      </w:r>
      <w:r>
        <w:t>у</w:t>
      </w:r>
      <w:r>
        <w:t>гими учреждениями (управлениями Министерства труда, управлением Мин</w:t>
      </w:r>
      <w:r>
        <w:t>и</w:t>
      </w:r>
      <w:r>
        <w:t>стерства здравоохранения, Региональным министерством труда столичной о</w:t>
      </w:r>
      <w:r>
        <w:t>б</w:t>
      </w:r>
      <w:r>
        <w:t xml:space="preserve">ласти, Программой “За занятость” и </w:t>
      </w:r>
      <w:r>
        <w:rPr>
          <w:lang w:val="en-US"/>
        </w:rPr>
        <w:t>СЕНСЕ</w:t>
      </w:r>
      <w:r>
        <w:t>) был подготовлен проект “Оказ</w:t>
      </w:r>
      <w:r>
        <w:t>а</w:t>
      </w:r>
      <w:r>
        <w:t>ние престарелым помощи на дому: профессиональная подготовка нянечек–с</w:t>
      </w:r>
      <w:r>
        <w:t>и</w:t>
      </w:r>
      <w:r>
        <w:t>делок по уходу”, цель которого состояла в том, чтобы подготовить женщин – глав домохозяйств к профессиональному уходу на дому за престарел</w:t>
      </w:r>
      <w:r>
        <w:t>ы</w:t>
      </w:r>
      <w:r>
        <w:t xml:space="preserve">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251.</w:t>
      </w:r>
      <w:r>
        <w:tab/>
        <w:t>Кроме того, представлен законопроект об устранении системы получения государственных пенсий и выплат от страховых организаций из разных касс таким образом, чтобы  стало возможным получать две и более  пенсий из о</w:t>
      </w:r>
      <w:r>
        <w:t>д</w:t>
      </w:r>
      <w:r>
        <w:t>ной кассы. Выгоду от этого получили бы вдовы, получающие пособия от ра</w:t>
      </w:r>
      <w:r>
        <w:t>з</w:t>
      </w:r>
      <w:r>
        <w:t>личных служб и страховых касс</w:t>
      </w:r>
      <w:r>
        <w:rPr>
          <w:rStyle w:val="FootnoteReference"/>
        </w:rPr>
        <w:footnoteReference w:customMarkFollows="1" w:id="124"/>
        <w:t>121</w:t>
      </w:r>
      <w:r>
        <w:t>. В настоящее время законопроект с внесе</w:t>
      </w:r>
      <w:r>
        <w:t>н</w:t>
      </w:r>
      <w:r>
        <w:t>ными изменениями находится на рассмотрении в Общей канцелярии президе</w:t>
      </w:r>
      <w:r>
        <w:t>н</w:t>
      </w:r>
      <w:r>
        <w:t>та (</w:t>
      </w:r>
      <w:r>
        <w:rPr>
          <w:lang w:val="en-US"/>
        </w:rPr>
        <w:t>СЕГПРЕС</w:t>
      </w:r>
      <w:r>
        <w:t xml:space="preserve">), действующей на правах министерства.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Банковские займы, ссуды под недвижимость и другие формы финансового кредита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252.</w:t>
      </w:r>
      <w:r>
        <w:tab/>
        <w:t xml:space="preserve"> Проведенное в течение 2002 года исследование о задолженности физич</w:t>
      </w:r>
      <w:r>
        <w:t>е</w:t>
      </w:r>
      <w:r>
        <w:t>ских лиц перед кредитно–финансовыми учреждениями</w:t>
      </w:r>
      <w:r>
        <w:rPr>
          <w:rStyle w:val="FootnoteReference"/>
        </w:rPr>
        <w:footnoteReference w:customMarkFollows="1" w:id="125"/>
        <w:t>122</w:t>
      </w:r>
      <w:r>
        <w:t xml:space="preserve"> показало, что </w:t>
      </w:r>
      <w:r>
        <w:rPr>
          <w:i/>
        </w:rPr>
        <w:t>же</w:t>
      </w:r>
      <w:r>
        <w:rPr>
          <w:i/>
        </w:rPr>
        <w:t>н</w:t>
      </w:r>
      <w:r>
        <w:rPr>
          <w:i/>
        </w:rPr>
        <w:t>щины берут меньше кредитов, но лучше выполняют свои кредитные обяз</w:t>
      </w:r>
      <w:r>
        <w:rPr>
          <w:i/>
        </w:rPr>
        <w:t>а</w:t>
      </w:r>
      <w:r>
        <w:rPr>
          <w:i/>
        </w:rPr>
        <w:t>тельства</w:t>
      </w:r>
      <w:r>
        <w:t>. Принимая во внимание такое положение дел, многие банки пред</w:t>
      </w:r>
      <w:r>
        <w:t>у</w:t>
      </w:r>
      <w:r>
        <w:t>смотрели специальные займы для женщин и/или значительно расширили ф</w:t>
      </w:r>
      <w:r>
        <w:t>и</w:t>
      </w:r>
      <w:r>
        <w:t>нансовые кредиты, идущие в этот сектор рыночной деятельности. Согласно проведенному исследованию, женщины составляют 38 процентов от общего числа должников и представляют 26 процентов от общей суммы задолженн</w:t>
      </w:r>
      <w:r>
        <w:t>о</w:t>
      </w:r>
      <w:r>
        <w:t>сти перед кредитно–финансовой системой, в то время как мужчины составляют 62 процента должников и представляют 74 процента от общей суммы задо</w:t>
      </w:r>
      <w:r>
        <w:t>л</w:t>
      </w:r>
      <w:r>
        <w:t>женности</w:t>
      </w:r>
      <w:r>
        <w:rPr>
          <w:rStyle w:val="FootnoteReference"/>
        </w:rPr>
        <w:footnoteReference w:customMarkFollows="1" w:id="126"/>
        <w:t>123</w:t>
      </w:r>
      <w:r>
        <w:t>. С другой стороны, сроки погашения истекли по 2,3 процента от общей задолженности мужчин и по 1,6 процента от общей задолженности женщин; кроме того, применены санкции по 0,6 процента от общей задолже</w:t>
      </w:r>
      <w:r>
        <w:t>н</w:t>
      </w:r>
      <w:r>
        <w:t>ности женщин и по 0,8 процента от общей задолженности мужчин</w:t>
      </w:r>
      <w:r>
        <w:rPr>
          <w:rStyle w:val="FootnoteReference"/>
        </w:rPr>
        <w:footnoteReference w:customMarkFollows="1" w:id="127"/>
        <w:t>124</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253.</w:t>
      </w:r>
      <w:r>
        <w:tab/>
        <w:t xml:space="preserve"> В отношении кредитов, предоставленных Государственным банком, н</w:t>
      </w:r>
      <w:r>
        <w:t>а</w:t>
      </w:r>
      <w:r>
        <w:t>блюдается большее участие женщин в тех займах, которые направлены на ра</w:t>
      </w:r>
      <w:r>
        <w:t>з</w:t>
      </w:r>
      <w:r>
        <w:t>витие микропредприятий; 44,3 процента кредитов, предоставленных на разв</w:t>
      </w:r>
      <w:r>
        <w:t>и</w:t>
      </w:r>
      <w:r>
        <w:t>тие микропредприятий, получены женщинами, в то время как по малым пре</w:t>
      </w:r>
      <w:r>
        <w:t>д</w:t>
      </w:r>
      <w:r>
        <w:t>пр</w:t>
      </w:r>
      <w:r>
        <w:t>и</w:t>
      </w:r>
      <w:r>
        <w:t>ятиям эта доля снижается до 30,2 процента</w:t>
      </w:r>
      <w:r>
        <w:rPr>
          <w:rStyle w:val="FootnoteReference"/>
        </w:rPr>
        <w:footnoteReference w:customMarkFollows="1" w:id="128"/>
        <w:t>125</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254.</w:t>
      </w:r>
      <w:r>
        <w:tab/>
        <w:t>Председатель Государственного банка взял на себя обязательство пом</w:t>
      </w:r>
      <w:r>
        <w:t>о</w:t>
      </w:r>
      <w:r>
        <w:t>гать, начиная с 2002 года, женщинам–предпринимательницам на уровне ми</w:t>
      </w:r>
      <w:r>
        <w:t>к</w:t>
      </w:r>
      <w:r>
        <w:t>ропредприятий. Это обязательство, например, нашло свое воплощение в: сп</w:t>
      </w:r>
      <w:r>
        <w:t>е</w:t>
      </w:r>
      <w:r>
        <w:t>циализированных программах по профессиональной подготовке женщин–предпринимательниц</w:t>
      </w:r>
      <w:r>
        <w:rPr>
          <w:rStyle w:val="FootnoteReference"/>
        </w:rPr>
        <w:footnoteReference w:customMarkFollows="1" w:id="129"/>
        <w:t>126</w:t>
      </w:r>
      <w:r>
        <w:t>; в кредитах, направленных на улучшение качества жизни женщин; в оказании помощи для получения высшего образования; в соглаш</w:t>
      </w:r>
      <w:r>
        <w:t>е</w:t>
      </w:r>
      <w:r>
        <w:t>нии с Национальным фондом здравоохранения (</w:t>
      </w:r>
      <w:r>
        <w:rPr>
          <w:lang w:val="en-US"/>
        </w:rPr>
        <w:t>ФОНАСА</w:t>
      </w:r>
      <w:r>
        <w:t>) и Управлением пе</w:t>
      </w:r>
      <w:r>
        <w:t>н</w:t>
      </w:r>
      <w:r>
        <w:t>сионных фондов (</w:t>
      </w:r>
      <w:r>
        <w:rPr>
          <w:lang w:val="en-US"/>
        </w:rPr>
        <w:t>АФП</w:t>
      </w:r>
      <w:r>
        <w:t>) о том, что женщины–предпринимательницы могут иметь доступ к системам как государственного, так и страхового здравоохран</w:t>
      </w:r>
      <w:r>
        <w:t>е</w:t>
      </w:r>
      <w:r>
        <w:t>ния, а также к страхованию жизни и зд</w:t>
      </w:r>
      <w:r>
        <w:t>о</w:t>
      </w:r>
      <w:r>
        <w:t xml:space="preserve">ровья.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255.</w:t>
      </w:r>
      <w:r>
        <w:tab/>
        <w:t>Служба технического сотрудничества ЮНКТАД (</w:t>
      </w:r>
      <w:r>
        <w:rPr>
          <w:lang w:val="en-US"/>
        </w:rPr>
        <w:t>СЕРКОТЕК</w:t>
      </w:r>
      <w:r>
        <w:t>) способс</w:t>
      </w:r>
      <w:r>
        <w:t>т</w:t>
      </w:r>
      <w:r>
        <w:t>вует расширению возможностей для женщин–предпринимательниц через Пр</w:t>
      </w:r>
      <w:r>
        <w:t>о</w:t>
      </w:r>
      <w:r>
        <w:t>грамму доступа к кредитам, субсидируя те кредитно–финансовые учреждения, которые предоставляют кредиты на развитие микропредприятий. Количество женщин, принимавших участие в операциях, зарегистрированных с 1992 года по 2002 год, приближается в среднем к 50 процентам. Это вызвано тем, что кредитно–финансовые учреждения, участвующие в этой программе</w:t>
      </w:r>
      <w:r>
        <w:rPr>
          <w:rStyle w:val="FootnoteReference"/>
        </w:rPr>
        <w:footnoteReference w:customMarkFollows="1" w:id="130"/>
        <w:t>127</w:t>
      </w:r>
      <w:r>
        <w:t>, подг</w:t>
      </w:r>
      <w:r>
        <w:t>о</w:t>
      </w:r>
      <w:r>
        <w:t xml:space="preserve">товили специальные кредиты для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Меры по предупреждению дискриминации в отношении работающих женщин по причине з</w:t>
      </w:r>
      <w:r>
        <w:rPr>
          <w:b/>
        </w:rPr>
        <w:t>а</w:t>
      </w:r>
      <w:r>
        <w:rPr>
          <w:b/>
        </w:rPr>
        <w:t>мужества или материнства</w:t>
      </w:r>
      <w:r>
        <w:rPr>
          <w:rStyle w:val="FootnoteReference"/>
          <w:b/>
        </w:rPr>
        <w:footnoteReference w:customMarkFollows="1" w:id="131"/>
        <w:t>128</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256.</w:t>
      </w:r>
      <w:r>
        <w:tab/>
        <w:t>Был принят Закон № 19.591</w:t>
      </w:r>
      <w:r>
        <w:rPr>
          <w:rStyle w:val="FootnoteReference"/>
        </w:rPr>
        <w:footnoteReference w:customMarkFollows="1" w:id="132"/>
        <w:t>129</w:t>
      </w:r>
      <w:r>
        <w:t>, вносящий изменения в статьи Трудового кодекса, относящиеся к вопросам охраны материнства. Указанный закон з</w:t>
      </w:r>
      <w:r>
        <w:t>а</w:t>
      </w:r>
      <w:r>
        <w:t>прещает обусловливать решения о приеме женщин на работу и восстановлении на работу, перемещениях и повышениях по службе фактом наличия или отсу</w:t>
      </w:r>
      <w:r>
        <w:t>т</w:t>
      </w:r>
      <w:r>
        <w:t>ствия беременности, и таким образом запрещается дискриминация женщин, находящихся в состоянии беременности. Кроме того, согласно положениям данного закона признается право за домашними работницами на пользование привилегиями и льготами, связанными с беременностью, родами и уходом за ребенком, так как устраняются действовавшие для них ограничения, в силу ч</w:t>
      </w:r>
      <w:r>
        <w:t>е</w:t>
      </w:r>
      <w:r>
        <w:t>го они не могли пользоваться правом на эти привилегии. Расширяются также привилегии женщин–работниц на получение мест в яслях посредством измен</w:t>
      </w:r>
      <w:r>
        <w:t>е</w:t>
      </w:r>
      <w:r>
        <w:t>ния концепции “место работы” на концепцию “предприятие”. Требование иметь ясли предъявляется уже не к “месту работы” с 20 и более работницами, а к “предприятию” в целом, и поэтому для того, чтобы пользоваться этой прив</w:t>
      </w:r>
      <w:r>
        <w:t>и</w:t>
      </w:r>
      <w:r>
        <w:t xml:space="preserve">легией, становится достаточно, чтобы общее число женщин, работающих в разных магазинах и отделениях этого предприятия, составило 20 работниц.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257.</w:t>
      </w:r>
      <w:r>
        <w:tab/>
        <w:t>В 2000 году был опубликован Закон № 19.670, который предоставляет приемным матерям право на пользование привилегиями и льготами, связанн</w:t>
      </w:r>
      <w:r>
        <w:t>ы</w:t>
      </w:r>
      <w:r>
        <w:t>ми с беременностью, родами и уходом за ребенком. Этот законодательный акт делает для них возможным более устойчивое положение на работе, так как з</w:t>
      </w:r>
      <w:r>
        <w:t>а</w:t>
      </w:r>
      <w:r>
        <w:t>прещает их увольнение в течение года после даты принятия судебного реш</w:t>
      </w:r>
      <w:r>
        <w:t>е</w:t>
      </w:r>
      <w:r>
        <w:t>ния, которым на родителей возлагается уход за ребенком в соответствии с З</w:t>
      </w:r>
      <w:r>
        <w:t>а</w:t>
      </w:r>
      <w:r>
        <w:t xml:space="preserve">коном об усыновлении/удочерении. Наряду с этими привилегиями приемные матери имеют право на пособие и отпуск до 12 недель, право на пользование яслями и на кормление детей до двух лет и право на получение бюллетеня по уходу за тяжелобольным ребенком в возрасте до одного года.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258.</w:t>
      </w:r>
      <w:r>
        <w:tab/>
        <w:t>В настоящее время проходит второй этап конституционного рассмотрения законопроекта о большей гибкости в отношении предоставления предродового и послеродового отпуска. Законопроект предусматривает разрешить перенос части предродового отпуска на послеродовой период. Было принято предлож</w:t>
      </w:r>
      <w:r>
        <w:t>е</w:t>
      </w:r>
      <w:r>
        <w:t>ние исполнительной власти (</w:t>
      </w:r>
      <w:r>
        <w:rPr>
          <w:lang w:val="en-US"/>
        </w:rPr>
        <w:t>СЕРНАМ</w:t>
      </w:r>
      <w:r>
        <w:t>), предусматривающее предоставление беременной работнице возможности переноса до трех недель из своего предр</w:t>
      </w:r>
      <w:r>
        <w:t>о</w:t>
      </w:r>
      <w:r>
        <w:t>дового отпуска на послеродовой период, если при этом здоровье матери и р</w:t>
      </w:r>
      <w:r>
        <w:t>е</w:t>
      </w:r>
      <w:r>
        <w:t>бенка не подвергается опасности, причем это обстоятельство должно быть по</w:t>
      </w:r>
      <w:r>
        <w:t>д</w:t>
      </w:r>
      <w:r>
        <w:t>тверждено врачебным заключением. Кроме того, указанное предложение пр</w:t>
      </w:r>
      <w:r>
        <w:t>е</w:t>
      </w:r>
      <w:r>
        <w:t>дусматривает, что в том случае, когда работница пользуется этой возможн</w:t>
      </w:r>
      <w:r>
        <w:t>о</w:t>
      </w:r>
      <w:r>
        <w:t xml:space="preserve">стью, перенесенный период может быть увеличен за счет уменьшения оплаты за рабочие дни.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259.</w:t>
      </w:r>
      <w:r>
        <w:tab/>
        <w:t>Наконец, следует особо упомянуть законопроект</w:t>
      </w:r>
      <w:r>
        <w:rPr>
          <w:rStyle w:val="FootnoteReference"/>
        </w:rPr>
        <w:footnoteReference w:customMarkFollows="1" w:id="133"/>
        <w:t>130</w:t>
      </w:r>
      <w:r>
        <w:t>, который распростр</w:t>
      </w:r>
      <w:r>
        <w:t>а</w:t>
      </w:r>
      <w:r>
        <w:t>няет право на кормление малолетних детей на всех работающих женщин. Цель законопроекта – расширить применение права работающих женщин на два ча</w:t>
      </w:r>
      <w:r>
        <w:t>с</w:t>
      </w:r>
      <w:r>
        <w:t xml:space="preserve">тичных перерыва по полчаса для кормления своих детей в возрасте до двух лет на всех женщин, независимо от того, имеют они право на пользование яслями или не имеют.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Уход за детьми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260.</w:t>
      </w:r>
      <w:r>
        <w:tab/>
        <w:t>Сфера услуг по уходу за детьми расширилась почти вдвое за последнее десятилетие, но все еще остается недостаточной. Охват детей до пяти лет гос</w:t>
      </w:r>
      <w:r>
        <w:t>у</w:t>
      </w:r>
      <w:r>
        <w:t>дарственной системой дошкольного воспитания увеличился с 16,6 процента в 1990 году до 26,5 процента в 2000 году</w:t>
      </w:r>
      <w:r>
        <w:rPr>
          <w:rStyle w:val="FootnoteReference"/>
        </w:rPr>
        <w:footnoteReference w:customMarkFollows="1" w:id="134"/>
        <w:t>131</w:t>
      </w:r>
      <w:r>
        <w:t>. Государственные службы по уходу за детьми соответствуют, в основном, тем предложениям, которые предлагаю</w:t>
      </w:r>
      <w:r>
        <w:t>т</w:t>
      </w:r>
      <w:r>
        <w:t>ся Национальной ассоциацией детских садов (</w:t>
      </w:r>
      <w:r>
        <w:rPr>
          <w:lang w:val="en-US"/>
        </w:rPr>
        <w:t>НАДС</w:t>
      </w:r>
      <w:r>
        <w:t xml:space="preserve">), </w:t>
      </w:r>
      <w:r>
        <w:rPr>
          <w:caps/>
        </w:rPr>
        <w:t>ф</w:t>
      </w:r>
      <w:r>
        <w:t xml:space="preserve">ондом помощи детям </w:t>
      </w:r>
      <w:r>
        <w:rPr>
          <w:lang w:val="en-US"/>
        </w:rPr>
        <w:t>ИНТЕГРА</w:t>
      </w:r>
      <w:r>
        <w:t xml:space="preserve"> и программой “Улучшение качества образования” (</w:t>
      </w:r>
      <w:r>
        <w:rPr>
          <w:lang w:val="en-US"/>
        </w:rPr>
        <w:t>MECE</w:t>
      </w:r>
      <w:r>
        <w:t>) Мин</w:t>
      </w:r>
      <w:r>
        <w:t>и</w:t>
      </w:r>
      <w:r>
        <w:t>стерства образования. По состоянию на 1998 год, государственная система д</w:t>
      </w:r>
      <w:r>
        <w:t>о</w:t>
      </w:r>
      <w:r>
        <w:t>школьного воспитания охватывала примерно 24,7 процента</w:t>
      </w:r>
      <w:r>
        <w:rPr>
          <w:rStyle w:val="FootnoteReference"/>
        </w:rPr>
        <w:footnoteReference w:customMarkFollows="1" w:id="135"/>
        <w:t>132</w:t>
      </w:r>
      <w:r>
        <w:t xml:space="preserve"> населения в во</w:t>
      </w:r>
      <w:r>
        <w:t>з</w:t>
      </w:r>
      <w:r>
        <w:t>расте до шести лет. В отношении остальной части детей, хотя в настоящее вр</w:t>
      </w:r>
      <w:r>
        <w:t>е</w:t>
      </w:r>
      <w:r>
        <w:t>мя и отсутствует конкретная статистическая информация, можно предпол</w:t>
      </w:r>
      <w:r>
        <w:t>о</w:t>
      </w:r>
      <w:r>
        <w:t>жить, что их воспитание обеспечивается частными учреждениями по уходу за детьми или женщинами, то есть матерями, другими членами семьи или бли</w:t>
      </w:r>
      <w:r>
        <w:t>з</w:t>
      </w:r>
      <w:r>
        <w:t>кими людьми (сестрами, бабушками, соседк</w:t>
      </w:r>
      <w:r>
        <w:t>а</w:t>
      </w:r>
      <w:r>
        <w:t xml:space="preserve">ми и т.д.)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261.</w:t>
      </w:r>
      <w:r>
        <w:tab/>
        <w:t>Для того чтобы охрана материнства, предусмотренная законами, не меш</w:t>
      </w:r>
      <w:r>
        <w:t>а</w:t>
      </w:r>
      <w:r>
        <w:t>ла возможностям работающих женщин в трудовой сфере и чтобы отцы и мат</w:t>
      </w:r>
      <w:r>
        <w:t>е</w:t>
      </w:r>
      <w:r>
        <w:t xml:space="preserve">ри выполняли свою репродуктивную роль, </w:t>
      </w:r>
      <w:r>
        <w:rPr>
          <w:lang w:val="en-US"/>
        </w:rPr>
        <w:t>СЕРНАМ</w:t>
      </w:r>
      <w:r>
        <w:t xml:space="preserve"> проводило исследования и выдвигало инициативы по расширению сети яслей (для детей до двух лет), финансирование которых не осуществлялось бы непосредственно за счет же</w:t>
      </w:r>
      <w:r>
        <w:t>н</w:t>
      </w:r>
      <w:r>
        <w:t>ской занятости, и работа в да</w:t>
      </w:r>
      <w:r>
        <w:t>н</w:t>
      </w:r>
      <w:r>
        <w:t xml:space="preserve">ном направлении будет продолжена.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262.</w:t>
      </w:r>
      <w:r>
        <w:tab/>
      </w:r>
      <w:r>
        <w:rPr>
          <w:lang w:val="en-US"/>
        </w:rPr>
        <w:t>СЕРНАМ</w:t>
      </w:r>
      <w:r>
        <w:t xml:space="preserve"> предложило создать программу “Центры по уходу за детьми для женщин, занятых на сезонных работах”. В самом начале, в 1990–1991 годах существовало только два Центра, в которых осуществлялся уход в общей сложности за 100 детьми в двух муниципальных округах страны; в 2000–2001 годах количество Центров по уходу составило 143, в которых осуществлялся уход за 9971 малолетним ребенком в 82 муниципальных округах страны. В этом коллективном проекте принимают участие Национальный совет по ст</w:t>
      </w:r>
      <w:r>
        <w:t>и</w:t>
      </w:r>
      <w:r>
        <w:t>пендиям и материальной помощи школьникам (</w:t>
      </w:r>
      <w:r>
        <w:rPr>
          <w:lang w:val="en-US"/>
        </w:rPr>
        <w:t>НССМПШ</w:t>
      </w:r>
      <w:r>
        <w:t>), Национальный и</w:t>
      </w:r>
      <w:r>
        <w:t>н</w:t>
      </w:r>
      <w:r>
        <w:t xml:space="preserve">ститут спорта, Фонд помощи детям </w:t>
      </w:r>
      <w:r>
        <w:rPr>
          <w:lang w:val="en-US"/>
        </w:rPr>
        <w:t>ИНТЕГРА</w:t>
      </w:r>
      <w:r>
        <w:t>, муниципалитеты, сезонные р</w:t>
      </w:r>
      <w:r>
        <w:t>а</w:t>
      </w:r>
      <w:r>
        <w:t>бочие–женщины, муниципальные организации и предприниматели. В 2002 году количество Центров увеличилось до 146 в 86 муниципальных окр</w:t>
      </w:r>
      <w:r>
        <w:t>у</w:t>
      </w:r>
      <w:r>
        <w:t xml:space="preserve">гах, в которых обслуживались 10 100 детей.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263.</w:t>
      </w:r>
      <w:r>
        <w:tab/>
        <w:t>Обязательства со стороны предпринимателей касаются направления средств на осуществление этих проектов по уходу за детьми, используя для этого налоговые льготы, в целях обеспечения большего охвата населения. В свою очередь, в сезон уборки плодового урожая в 2002 году, по соглашению с предпринимателями, началось осуществление экспериментального проекта “Ясли”</w:t>
      </w:r>
      <w:r>
        <w:rPr>
          <w:rStyle w:val="FootnoteReference"/>
        </w:rPr>
        <w:footnoteReference w:customMarkFollows="1" w:id="136"/>
        <w:t>133</w:t>
      </w:r>
      <w:r>
        <w:t xml:space="preserve"> в целях расширения действия с</w:t>
      </w:r>
      <w:r>
        <w:t>о</w:t>
      </w:r>
      <w:r>
        <w:t xml:space="preserve">ответствующего закона.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264.</w:t>
      </w:r>
      <w:r>
        <w:tab/>
      </w:r>
      <w:r>
        <w:rPr>
          <w:lang w:val="en-US"/>
        </w:rPr>
        <w:t>СЕРНАМ</w:t>
      </w:r>
      <w:r>
        <w:t xml:space="preserve"> провело анализ выполнения предприятиями предусмотренных законом обязанностей по обеспечению яслями для того, чтобы устранить ди</w:t>
      </w:r>
      <w:r>
        <w:t>с</w:t>
      </w:r>
      <w:r>
        <w:t>криминационные условия для женщин, при которых расходы на эти ясли уч</w:t>
      </w:r>
      <w:r>
        <w:t>и</w:t>
      </w:r>
      <w:r>
        <w:t>тывались как прямые дополнительные расходы, увеличивавшие стоимость женской рабочей силы. В отношении сезонных сельскохозяйственных рабочих–женщин, эта необходимость ухода за детьми имеет дополнительные сложности по сравнению с другими трудящимися женщинами, занятыми на более пост</w:t>
      </w:r>
      <w:r>
        <w:t>о</w:t>
      </w:r>
      <w:r>
        <w:t xml:space="preserve">янной работе, так как сам сезонный характер работы в этом секторе затрудняет точное соблюдение положений Закона о яслях из-за тех расходов, которые идут на содержание соответствующих учреждений, используемых только время от времени. Для решения упомянутой проблемы </w:t>
      </w:r>
      <w:r>
        <w:rPr>
          <w:lang w:val="en-US"/>
        </w:rPr>
        <w:t>СЕРНАМ</w:t>
      </w:r>
      <w:r>
        <w:t xml:space="preserve"> предложило различные варианты, позволяющие расширить и диверсифицировать те альтернативы, к</w:t>
      </w:r>
      <w:r>
        <w:t>о</w:t>
      </w:r>
      <w:r>
        <w:t>торые имеются в распоряжении предпринимателей–плодоводов, для того, чт</w:t>
      </w:r>
      <w:r>
        <w:t>о</w:t>
      </w:r>
      <w:r>
        <w:t xml:space="preserve">бы совместно с Фондом </w:t>
      </w:r>
      <w:r>
        <w:rPr>
          <w:lang w:val="en-US"/>
        </w:rPr>
        <w:t>ИНТЕГРА</w:t>
      </w:r>
      <w:r>
        <w:t xml:space="preserve">, </w:t>
      </w:r>
      <w:r>
        <w:rPr>
          <w:lang w:val="en-US"/>
        </w:rPr>
        <w:t>НАДС</w:t>
      </w:r>
      <w:r>
        <w:t xml:space="preserve"> и муниципалитетами удовлетворить эту потребность сезонных р</w:t>
      </w:r>
      <w:r>
        <w:t>а</w:t>
      </w:r>
      <w:r>
        <w:t xml:space="preserve">ботников и работниц.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u w:val="single"/>
        </w:rPr>
        <w:t>Доступ к здравоохранению</w:t>
      </w:r>
      <w:r>
        <w:rPr>
          <w:b/>
        </w:rPr>
        <w:t xml:space="preserve"> (статья 12)</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265.</w:t>
      </w:r>
      <w:r>
        <w:tab/>
        <w:t>Соответствующая статья Конституции гласит: “Каждый человек имеет право выбора для себя системы здравоохранения – государственной или час</w:t>
      </w:r>
      <w:r>
        <w:t>т</w:t>
      </w:r>
      <w:r>
        <w:t>ной”. В стране сосуществуют две системы: одна государственная, действующая через Национальный фонд здравоохранения (</w:t>
      </w:r>
      <w:r>
        <w:rPr>
          <w:lang w:val="en-US"/>
        </w:rPr>
        <w:t>ФОНАСА</w:t>
      </w:r>
      <w:r>
        <w:t>), и другая частная, де</w:t>
      </w:r>
      <w:r>
        <w:t>й</w:t>
      </w:r>
      <w:r>
        <w:t>ствующая через институты профилактической медицины (</w:t>
      </w:r>
      <w:r>
        <w:rPr>
          <w:lang w:val="en-US"/>
        </w:rPr>
        <w:t>ИСАПРЕС</w:t>
      </w:r>
      <w:r>
        <w:t>), де</w:t>
      </w:r>
      <w:r>
        <w:t>я</w:t>
      </w:r>
      <w:r>
        <w:t xml:space="preserve">тельность которых регулируется и контролируется Управлением по делам </w:t>
      </w:r>
      <w:r>
        <w:rPr>
          <w:lang w:val="en-US"/>
        </w:rPr>
        <w:t>ИСАПРЕС</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266.</w:t>
      </w:r>
      <w:r>
        <w:tab/>
      </w:r>
      <w:r>
        <w:rPr>
          <w:i/>
        </w:rPr>
        <w:t>Население Чили в своем большинстве придерживается государственной системы здравоохранения, а в пропорциональном соотношении доля женщин превышает долю мужчин.</w:t>
      </w:r>
      <w:r>
        <w:t xml:space="preserve"> В 2000 году 66,5 процента населения страны была охвачена государственной системой здравоохранения. Система </w:t>
      </w:r>
      <w:r>
        <w:rPr>
          <w:lang w:val="en-US"/>
        </w:rPr>
        <w:t>ИСАПРЕС</w:t>
      </w:r>
      <w:r>
        <w:t xml:space="preserve"> о</w:t>
      </w:r>
      <w:r>
        <w:t>х</w:t>
      </w:r>
      <w:r>
        <w:t xml:space="preserve">ватывает своей деятельностью 19,8 процента населения. В институтах </w:t>
      </w:r>
      <w:r>
        <w:rPr>
          <w:lang w:val="en-US"/>
        </w:rPr>
        <w:t>ИСАПРЕС</w:t>
      </w:r>
      <w:r>
        <w:t xml:space="preserve"> не наблюдается значительной разницы в соотношении клиентов–мужчин и клиентов–женщин, которая заметна среди клиентов государственной системы здравоохранения, где доля мужчин составляет 63,7 процента против 69,1 процента же</w:t>
      </w:r>
      <w:r>
        <w:t>н</w:t>
      </w:r>
      <w:r>
        <w:t>щин</w:t>
      </w:r>
      <w:r>
        <w:rPr>
          <w:rStyle w:val="FootnoteReference"/>
        </w:rPr>
        <w:footnoteReference w:customMarkFollows="1" w:id="137"/>
        <w:t>134</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 xml:space="preserve">267. </w:t>
      </w:r>
      <w:r>
        <w:tab/>
      </w:r>
      <w:r>
        <w:rPr>
          <w:i/>
        </w:rPr>
        <w:t>В последние годы увеличилось участие женщин в государственной си</w:t>
      </w:r>
      <w:r>
        <w:rPr>
          <w:i/>
        </w:rPr>
        <w:t>с</w:t>
      </w:r>
      <w:r>
        <w:rPr>
          <w:i/>
        </w:rPr>
        <w:t>теме здравоохранения и уменьшилось их участие в системе частного здрав</w:t>
      </w:r>
      <w:r>
        <w:rPr>
          <w:i/>
        </w:rPr>
        <w:t>о</w:t>
      </w:r>
      <w:r>
        <w:rPr>
          <w:i/>
        </w:rPr>
        <w:t>охранения. Женщины, выбирающие государственную систему здравоохран</w:t>
      </w:r>
      <w:r>
        <w:rPr>
          <w:i/>
        </w:rPr>
        <w:t>е</w:t>
      </w:r>
      <w:r>
        <w:rPr>
          <w:i/>
        </w:rPr>
        <w:t>ния, относятся, как правило, к лицам с более низкими доходами.</w:t>
      </w:r>
      <w:r>
        <w:t xml:space="preserve"> Наблюдается увеличение числа женщин, выбирающих государственную систему здрав</w:t>
      </w:r>
      <w:r>
        <w:t>о</w:t>
      </w:r>
      <w:r>
        <w:t>охранения; в 1998 году их доля составляла 63,9 процента, а в 2000 году она увеличилась до 69,2 процента. Одновременно было отмечено уменьшение чи</w:t>
      </w:r>
      <w:r>
        <w:t>с</w:t>
      </w:r>
      <w:r>
        <w:t xml:space="preserve">ла женщин среди клиентов </w:t>
      </w:r>
      <w:r>
        <w:rPr>
          <w:lang w:val="en-US"/>
        </w:rPr>
        <w:t>ИСАПРЕС</w:t>
      </w:r>
      <w:r>
        <w:t xml:space="preserve"> с 22 процентов в 1998 году до 18,4 процента в 2000 году</w:t>
      </w:r>
      <w:r>
        <w:rPr>
          <w:rStyle w:val="FootnoteReference"/>
        </w:rPr>
        <w:footnoteReference w:customMarkFollows="1" w:id="138"/>
        <w:t>135</w:t>
      </w:r>
      <w:r>
        <w:t>. В группах населения с наименьшими доходами наблюдается очень высокая доля женщин – более 80 процентов –, которые пр</w:t>
      </w:r>
      <w:r>
        <w:t>и</w:t>
      </w:r>
      <w:r>
        <w:t xml:space="preserve">нимают участие в этой системе.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268.</w:t>
      </w:r>
      <w:r>
        <w:tab/>
        <w:t>В осуществление своей программы здравоохранения государство пред</w:t>
      </w:r>
      <w:r>
        <w:t>у</w:t>
      </w:r>
      <w:r>
        <w:t>смотрело бесплатное оказание услуг для мужчин и женщин, бенефициаров г</w:t>
      </w:r>
      <w:r>
        <w:t>о</w:t>
      </w:r>
      <w:r>
        <w:t>сударственной системы здравоохранения на первой ступени медицинского о</w:t>
      </w:r>
      <w:r>
        <w:t>б</w:t>
      </w:r>
      <w:r>
        <w:t xml:space="preserve">служивания, главным образом, наблюдение за здоровьем ребенка, консультации в предродовой период, распределение продуктов, предоставляемых в рамках Программы дополнительного питания, и амбулаторный прием.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269.</w:t>
      </w:r>
      <w:r>
        <w:tab/>
        <w:t>Начиная с 1997 года и до настоящего времени Министерство здравоохр</w:t>
      </w:r>
      <w:r>
        <w:t>а</w:t>
      </w:r>
      <w:r>
        <w:t xml:space="preserve">нения и </w:t>
      </w:r>
      <w:r>
        <w:rPr>
          <w:lang w:val="en-US"/>
        </w:rPr>
        <w:t>СЕРНАМ</w:t>
      </w:r>
      <w:r>
        <w:t>, после подписания Соглашения о сотрудничестве, осущест</w:t>
      </w:r>
      <w:r>
        <w:t>в</w:t>
      </w:r>
      <w:r>
        <w:t xml:space="preserve">ляют </w:t>
      </w:r>
      <w:r>
        <w:rPr>
          <w:b/>
        </w:rPr>
        <w:t>Программу охраны здоровья женщин</w:t>
      </w:r>
      <w:r>
        <w:t>, в рамках которой направление деятельности сосредоточено на разработке такой комплексной и учитывающей женскую специфику формы охраны здоровья женщины, которая охватывала бы ее жизнь на всем ее протяжении, а не только репродуктивный период и его у</w:t>
      </w:r>
      <w:r>
        <w:t>с</w:t>
      </w:r>
      <w:r>
        <w:t>ловия, с учетом экономических, социальных и культурных аспектов. Таким о</w:t>
      </w:r>
      <w:r>
        <w:t>б</w:t>
      </w:r>
      <w:r>
        <w:t>разом, Программой охраны здоровья женщин предусматриваются специализ</w:t>
      </w:r>
      <w:r>
        <w:t>и</w:t>
      </w:r>
      <w:r>
        <w:t>рованные консультации по таким вопросам, как бесплодие, профессиональная заболеваемость, климактерический период, сексуальные проблемы, деторо</w:t>
      </w:r>
      <w:r>
        <w:t>ж</w:t>
      </w:r>
      <w:r>
        <w:t>дение, кормление и борьба с курением, причем особое внимание уделяется наиболее уязвимым группам женщин: бедным, проживающим в сельской мес</w:t>
      </w:r>
      <w:r>
        <w:t>т</w:t>
      </w:r>
      <w:r>
        <w:t>ности и подросткам. В 2002 году 75 процентов услуг, оказанных в рамках Пр</w:t>
      </w:r>
      <w:r>
        <w:t>о</w:t>
      </w:r>
      <w:r>
        <w:t>граммы охраны здоровья женщин, были предоставлены в сфере охраны пол</w:t>
      </w:r>
      <w:r>
        <w:t>о</w:t>
      </w:r>
      <w:r>
        <w:t>вого и репродуктивного здор</w:t>
      </w:r>
      <w:r>
        <w:t>о</w:t>
      </w:r>
      <w:r>
        <w:t>вья</w:t>
      </w:r>
      <w:r>
        <w:rPr>
          <w:rStyle w:val="FootnoteReference"/>
        </w:rPr>
        <w:footnoteReference w:customMarkFollows="1" w:id="139"/>
        <w:t>136</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270.</w:t>
      </w:r>
      <w:r>
        <w:tab/>
        <w:t>Среди достижений в области охраны здоровья женщин можно выделить постоянный рост числа обследований по раннему обнаружению и диагностике рака шейки матки у женщин, особенно в возрастных группах повышенного риска, где обследованиями охвачено примерно 70 процентов по данным за 2000 год</w:t>
      </w:r>
      <w:r>
        <w:rPr>
          <w:rStyle w:val="FootnoteReference"/>
        </w:rPr>
        <w:footnoteReference w:customMarkFollows="1" w:id="140"/>
        <w:t>137</w:t>
      </w:r>
      <w:r>
        <w:t>. Таким же образом следует выделить рост числа женщин, выб</w:t>
      </w:r>
      <w:r>
        <w:t>и</w:t>
      </w:r>
      <w:r>
        <w:t>рающих тот или иной способ регулирования деторождения. К концу 2000 года около одного миллиона женщин пользовались контрацептивами, распростр</w:t>
      </w:r>
      <w:r>
        <w:t>а</w:t>
      </w:r>
      <w:r>
        <w:t>няемыми через учреждения системы государственного здравоохранения. Также следует упомянуть расширение услуг по охране психического здоровья личн</w:t>
      </w:r>
      <w:r>
        <w:t>о</w:t>
      </w:r>
      <w:r>
        <w:t xml:space="preserve">сти в рамках Программы оказания первой помощи и подписание Соглашения между </w:t>
      </w:r>
      <w:r>
        <w:rPr>
          <w:lang w:val="en-US"/>
        </w:rPr>
        <w:t>СЕРНАМ</w:t>
      </w:r>
      <w:r>
        <w:t xml:space="preserve"> и Службой здравоохранения восточной части столичной о</w:t>
      </w:r>
      <w:r>
        <w:t>б</w:t>
      </w:r>
      <w:r>
        <w:t>ласти, направленному на осуществление Экспериментального проекта, пред</w:t>
      </w:r>
      <w:r>
        <w:t>у</w:t>
      </w:r>
      <w:r>
        <w:t xml:space="preserve">сматривающего регистрацию покушений на психическое здоровье личности в случаях насилия в семье.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271.</w:t>
      </w:r>
      <w:r>
        <w:tab/>
        <w:t xml:space="preserve"> В мае 2002 года в Национальный конгресс был представлен правительс</w:t>
      </w:r>
      <w:r>
        <w:t>т</w:t>
      </w:r>
      <w:r>
        <w:t xml:space="preserve">венный законопроект </w:t>
      </w:r>
      <w:r>
        <w:rPr>
          <w:b/>
        </w:rPr>
        <w:t xml:space="preserve">Система </w:t>
      </w:r>
      <w:r>
        <w:rPr>
          <w:b/>
          <w:lang w:val="en-US"/>
        </w:rPr>
        <w:t>АУХЕ</w:t>
      </w:r>
      <w:r>
        <w:rPr>
          <w:b/>
        </w:rPr>
        <w:t xml:space="preserve"> (Всеобщий доступ с четкими гара</w:t>
      </w:r>
      <w:r>
        <w:rPr>
          <w:b/>
        </w:rPr>
        <w:t>н</w:t>
      </w:r>
      <w:r>
        <w:rPr>
          <w:b/>
        </w:rPr>
        <w:t>тиями), представляющий собой Комплексную систему охраны здоровья,</w:t>
      </w:r>
      <w:r>
        <w:t xml:space="preserve"> который является частью законодательного пакета, направленного на осущес</w:t>
      </w:r>
      <w:r>
        <w:t>т</w:t>
      </w:r>
      <w:r>
        <w:t xml:space="preserve">вление реформ в системе здравоохранения. Законопроект </w:t>
      </w:r>
      <w:r>
        <w:rPr>
          <w:lang w:val="en-US"/>
        </w:rPr>
        <w:t>АУХЕ</w:t>
      </w:r>
      <w:r>
        <w:t>, известный также под названием Режим гарантий по охране здоровья, связан с всеобщим правом на охрану здоровья и ориентирован на четкое обеспечение комплексн</w:t>
      </w:r>
      <w:r>
        <w:t>о</w:t>
      </w:r>
      <w:r>
        <w:t>го обследования в случае возникновения проблем со здоровьем, которые в н</w:t>
      </w:r>
      <w:r>
        <w:t>а</w:t>
      </w:r>
      <w:r>
        <w:t xml:space="preserve">стоящее время приводят к повышенной смертности, росту числа инвалидов и снижению качества жизни. С помощью </w:t>
      </w:r>
      <w:r>
        <w:rPr>
          <w:lang w:val="en-US"/>
        </w:rPr>
        <w:t>АУХЕ</w:t>
      </w:r>
      <w:r>
        <w:t xml:space="preserve"> планируется гарантировать охват 56 приоритетных, с точки зрения профилактики, заболеваний на основе крит</w:t>
      </w:r>
      <w:r>
        <w:t>е</w:t>
      </w:r>
      <w:r>
        <w:t>риев качества обслуживания, точных сроков ожидания обследования и разу</w:t>
      </w:r>
      <w:r>
        <w:t>м</w:t>
      </w:r>
      <w:r>
        <w:t>ных совместных платежей</w:t>
      </w:r>
      <w:r>
        <w:rPr>
          <w:rStyle w:val="FootnoteReference"/>
        </w:rPr>
        <w:footnoteReference w:customMarkFollows="1" w:id="141"/>
        <w:t>138</w:t>
      </w:r>
      <w:r>
        <w:t xml:space="preserve"> с ограничением верхнего предела в целях защиты семейных доходов. Данная система, в которой отсутствует дискриминация по возрасту, признакам пола, экономическому положению или по используемой клиентами системе здравоохранения и которая обеспечивает комплексное о</w:t>
      </w:r>
      <w:r>
        <w:t>б</w:t>
      </w:r>
      <w:r>
        <w:t>следование на первом этапе медицинского обслуживания ежедневно в течение всего года, делая основной упор на профилактику и санитарное просвещение, приведет к очень важным последствиям для женщин, так как многие из охв</w:t>
      </w:r>
      <w:r>
        <w:t>а</w:t>
      </w:r>
      <w:r>
        <w:t>тываемых заболеваний в первую очередь касаются именно их</w:t>
      </w:r>
      <w:r>
        <w:rPr>
          <w:rStyle w:val="FootnoteReference"/>
        </w:rPr>
        <w:footnoteReference w:customMarkFollows="1" w:id="142"/>
        <w:t>139</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272.</w:t>
      </w:r>
      <w:r>
        <w:tab/>
        <w:t xml:space="preserve"> Одной из наиболее серьезных проблем действующей системы социальн</w:t>
      </w:r>
      <w:r>
        <w:t>о</w:t>
      </w:r>
      <w:r>
        <w:t xml:space="preserve">го страхования в области здравоохранения является разница в ценах, с которой сталкиваются люди в зависимости от своего пола, возраста и других факторов риска. Для ликвидации этих дискриминационных проявлений и обеспечения равного доступа всех чилийцев и чилиек к гарантиям </w:t>
      </w:r>
      <w:r>
        <w:rPr>
          <w:lang w:val="en-US"/>
        </w:rPr>
        <w:t>АУХЕ</w:t>
      </w:r>
      <w:r>
        <w:t>, законопроект у</w:t>
      </w:r>
      <w:r>
        <w:t>с</w:t>
      </w:r>
      <w:r>
        <w:t xml:space="preserve">танавливает обязанность </w:t>
      </w:r>
      <w:r>
        <w:rPr>
          <w:lang w:val="en-US"/>
        </w:rPr>
        <w:t>ИСАПРЕС</w:t>
      </w:r>
      <w:r>
        <w:t xml:space="preserve"> и </w:t>
      </w:r>
      <w:r>
        <w:rPr>
          <w:lang w:val="en-US"/>
        </w:rPr>
        <w:t>ФОНАСА</w:t>
      </w:r>
      <w:r>
        <w:t xml:space="preserve"> гарантировать всем своим б</w:t>
      </w:r>
      <w:r>
        <w:t>е</w:t>
      </w:r>
      <w:r>
        <w:t>нефициарам Режим гарантий по охране здоровья по единой цене</w:t>
      </w:r>
      <w:r>
        <w:rPr>
          <w:rStyle w:val="FootnoteReference"/>
        </w:rPr>
        <w:footnoteReference w:customMarkFollows="1" w:id="143"/>
        <w:t>140</w:t>
      </w:r>
      <w:r>
        <w:t>, без какой-либо дискриминации. Вышеупомянутое будет достигнуто благодаря использ</w:t>
      </w:r>
      <w:r>
        <w:t>о</w:t>
      </w:r>
      <w:r>
        <w:t>ванию метода солидарности</w:t>
      </w:r>
      <w:r>
        <w:rPr>
          <w:rStyle w:val="FootnoteReference"/>
        </w:rPr>
        <w:footnoteReference w:customMarkFollows="1" w:id="144"/>
        <w:t>141</w:t>
      </w:r>
      <w:r>
        <w:t>, который позволит компенсировать расходы б</w:t>
      </w:r>
      <w:r>
        <w:t>е</w:t>
      </w:r>
      <w:r>
        <w:t>нефициарам из групп повышенного риска, особенно связанные с разницей в цене в зависимости от пола и возраста. Этот принцип солидарности, привн</w:t>
      </w:r>
      <w:r>
        <w:t>е</w:t>
      </w:r>
      <w:r>
        <w:t>сенный реформами в систему здравоохранения, сделает возможным для всех чилийцев и чилиек разделить расходы, связанные с возможностью заболевания и положит конец ныне существующему дискриминационному подходу в отн</w:t>
      </w:r>
      <w:r>
        <w:t>о</w:t>
      </w:r>
      <w:r>
        <w:t>шении женщин и престарелых. Таким образом, это особенно благоприятно о</w:t>
      </w:r>
      <w:r>
        <w:t>т</w:t>
      </w:r>
      <w:r>
        <w:t xml:space="preserve">разится на женщинах репродуктивного возраста, а также на престарелых, детях до одного года и на тех, у кого в силу условий их жизни имеются наибольшие возможности серьезно заболеть.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273.</w:t>
      </w:r>
      <w:r>
        <w:tab/>
        <w:t xml:space="preserve">В отношении вышеупомянутых планов, в 2000 году, как составная часть процесса реформирования системы здравоохранения в Чили, был разработан </w:t>
      </w:r>
      <w:r>
        <w:rPr>
          <w:b/>
        </w:rPr>
        <w:t>законопроект о правах и обязанностях по охране здоровья</w:t>
      </w:r>
      <w:r>
        <w:t>, который в н</w:t>
      </w:r>
      <w:r>
        <w:t>а</w:t>
      </w:r>
      <w:r>
        <w:t>стоящее время находится на рассмотрении в Парламенте. В числе основных з</w:t>
      </w:r>
      <w:r>
        <w:t>а</w:t>
      </w:r>
      <w:r>
        <w:t>дач, намечаемых законопроектом, стоит доступ к системе здравоохранения без какой-либо произвольной дискриминации, то есть освящается право каждого человека на медицинское обслуживание без дискриминации по полу, сексуал</w:t>
      </w:r>
      <w:r>
        <w:t>ь</w:t>
      </w:r>
      <w:r>
        <w:t>ной ориентации, этническому происхождению, социально–экономическому п</w:t>
      </w:r>
      <w:r>
        <w:t>о</w:t>
      </w:r>
      <w:r>
        <w:t xml:space="preserve">ложению, идеологическим принципам или по участию в той или иной системе здравоохранения.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274.</w:t>
      </w:r>
      <w:r>
        <w:tab/>
        <w:t xml:space="preserve"> В области стоматологии, Комплексная </w:t>
      </w:r>
      <w:r>
        <w:rPr>
          <w:b/>
        </w:rPr>
        <w:t xml:space="preserve">стоматологическая программа </w:t>
      </w:r>
      <w:r>
        <w:t>для малообеспеченных женщин, преимущественно глав домохозяйств и зан</w:t>
      </w:r>
      <w:r>
        <w:t>я</w:t>
      </w:r>
      <w:r>
        <w:t>тых на сезонных работах, в 2002 году получила премию ВОЗ за инновацио</w:t>
      </w:r>
      <w:r>
        <w:t>н</w:t>
      </w:r>
      <w:r>
        <w:t>ный характер и высокую социальную эффективность. В течение 2001 года в рамках этой программы было обслужено 9000 женщин в 82 муниципальных округах страны. Кроме того, начиная с августа 2000 года Фонд содействия ра</w:t>
      </w:r>
      <w:r>
        <w:t>з</w:t>
      </w:r>
      <w:r>
        <w:t>витию женщин (</w:t>
      </w:r>
      <w:r>
        <w:rPr>
          <w:lang w:val="en-US"/>
        </w:rPr>
        <w:t>ПРОДЕМУ</w:t>
      </w:r>
      <w:r>
        <w:t>), Коллегия зубных врачей–хирургов и Государс</w:t>
      </w:r>
      <w:r>
        <w:t>т</w:t>
      </w:r>
      <w:r>
        <w:t>венный банк проводят кампанию “Женская улыбка”, которая получила по</w:t>
      </w:r>
      <w:r>
        <w:t>д</w:t>
      </w:r>
      <w:r>
        <w:t>держку многочисленных частных организаций и государственных учреждений по всей стране. С августа 2000 года по ноябрь 2001 года более 66 000 женщин получили информацию и более глубокие знания по данному вопросу, 20 216 из которых воспользовались альтернативой банковских платежей; к настоящему моменту их лечение уже закончено. Кроме того, по всей стране еще 4757 женщин запросили солидарную помощь для проведения стоматологич</w:t>
      </w:r>
      <w:r>
        <w:t>е</w:t>
      </w:r>
      <w:r>
        <w:t xml:space="preserve">ского лечения.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275.</w:t>
      </w:r>
      <w:r>
        <w:tab/>
        <w:t xml:space="preserve">В 2000 году Министерство здравоохранения и Национальный институт статистики провели первое </w:t>
      </w:r>
      <w:r>
        <w:rPr>
          <w:b/>
        </w:rPr>
        <w:t>Обследование качества жизни и здоровья</w:t>
      </w:r>
      <w:r>
        <w:t xml:space="preserve"> на н</w:t>
      </w:r>
      <w:r>
        <w:t>а</w:t>
      </w:r>
      <w:r>
        <w:t>циональном и региональном уровнях для изучения факторов, влияющих на о</w:t>
      </w:r>
      <w:r>
        <w:t>т</w:t>
      </w:r>
      <w:r>
        <w:t>ношение к охране здоровья, на оценку уровня благополучия, на уровень здор</w:t>
      </w:r>
      <w:r>
        <w:t>о</w:t>
      </w:r>
      <w:r>
        <w:t>вья, на заболеваемость, на инвалидность и на доступ к медицинскому обсл</w:t>
      </w:r>
      <w:r>
        <w:t>у</w:t>
      </w:r>
      <w:r>
        <w:t>живанию. В рамках этого обследования собирается информация для разработки политики в области здравоохранения, и оно рассматривается как основопол</w:t>
      </w:r>
      <w:r>
        <w:t>а</w:t>
      </w:r>
      <w:r>
        <w:t>гающее направление деятельности по выполнению целей и задач профилакт</w:t>
      </w:r>
      <w:r>
        <w:t>и</w:t>
      </w:r>
      <w:r>
        <w:t>ческой медицины, намеченных на десятилетие, и будет проводится каждые ч</w:t>
      </w:r>
      <w:r>
        <w:t>е</w:t>
      </w:r>
      <w:r>
        <w:t xml:space="preserve">тыре года. В указанном обследовании все данные распределены по полу, и в настоящее время проводится анализ в целях перспективного использования его результатов с учетом гендерных факторов.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276.</w:t>
      </w:r>
      <w:r>
        <w:tab/>
        <w:t xml:space="preserve"> В 2000 году началось осуществление </w:t>
      </w:r>
      <w:r>
        <w:rPr>
          <w:b/>
        </w:rPr>
        <w:t>Программы лечения при пров</w:t>
      </w:r>
      <w:r>
        <w:rPr>
          <w:b/>
        </w:rPr>
        <w:t>е</w:t>
      </w:r>
      <w:r>
        <w:rPr>
          <w:b/>
        </w:rPr>
        <w:t>дении первичного обследования женщин, страдающих депрессией</w:t>
      </w:r>
      <w:r>
        <w:t>, при поддержке психиатров и психологов клинических учреждений; в рамках этой программы в 2001 году было обслужено 66 815 человек, 95 процентов из кот</w:t>
      </w:r>
      <w:r>
        <w:t>о</w:t>
      </w:r>
      <w:r>
        <w:t>рых были женщины. Кстати, в 1999 году был разработан “Национальный план в области психического здоровья и психиатрии”, одной из приоритетных задач которого является оказание помощи женщинам, стр</w:t>
      </w:r>
      <w:r>
        <w:t>а</w:t>
      </w:r>
      <w:r>
        <w:t xml:space="preserve">дающим депрессией.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277.</w:t>
      </w:r>
      <w:r>
        <w:tab/>
        <w:t>Следует также упомянуть следующие постоянно действующие програ</w:t>
      </w:r>
      <w:r>
        <w:t>м</w:t>
      </w:r>
      <w:r>
        <w:t>мы, основными бенефициарами которых являются женщины: Программа по борьбе с раком шейки матки, Программа по выявлению и лечению рака груди, Программа охраны здоровья пожилых людей, Программа по борьбе с туберк</w:t>
      </w:r>
      <w:r>
        <w:t>у</w:t>
      </w:r>
      <w:r>
        <w:t>лезом, Программа по болеутоляющему лечению и по облегчению боли, Пр</w:t>
      </w:r>
      <w:r>
        <w:t>о</w:t>
      </w:r>
      <w:r>
        <w:t>грамма по заботе о престарелых, Программа дополнительного питания и Пр</w:t>
      </w:r>
      <w:r>
        <w:t>о</w:t>
      </w:r>
      <w:r>
        <w:t xml:space="preserve">грамма профилактики и лечения ВИЧ/СПИДа.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278.</w:t>
      </w:r>
      <w:r>
        <w:tab/>
        <w:t>В области здравоохранения, Комитет КЛДЖ сделал различные замечания в отношении последнего доклада, представленного правительством Чили, к</w:t>
      </w:r>
      <w:r>
        <w:t>а</w:t>
      </w:r>
      <w:r>
        <w:t>сающиеся подростковой беременности, служб по охране полового и репроду</w:t>
      </w:r>
      <w:r>
        <w:t>к</w:t>
      </w:r>
      <w:r>
        <w:t xml:space="preserve">тивного здоровья, а также признания и защиты репродуктивных прав.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279.</w:t>
      </w:r>
      <w:r>
        <w:tab/>
        <w:t>Комитет рекомендовал изучить ситуацию с взрослым населением и пр</w:t>
      </w:r>
      <w:r>
        <w:t>и</w:t>
      </w:r>
      <w:r>
        <w:t>нять меры к предоставлению эффективных услуг по охране полового и репр</w:t>
      </w:r>
      <w:r>
        <w:t>о</w:t>
      </w:r>
      <w:r>
        <w:t>дуктивного здоровья, а также к тому, чтобы уделялось внимание потребностям взрослого населения в получении информации, в том числе путем распростр</w:t>
      </w:r>
      <w:r>
        <w:t>а</w:t>
      </w:r>
      <w:r>
        <w:t>нения программ по планированию семьи и информации о контрацептивах. К</w:t>
      </w:r>
      <w:r>
        <w:t>о</w:t>
      </w:r>
      <w:r>
        <w:t>митет предлагает усилить меры по профилактике нежелаемых беременностей, в том числе путем обеспечения более широкой доступности всех типов контр</w:t>
      </w:r>
      <w:r>
        <w:t>а</w:t>
      </w:r>
      <w:r>
        <w:t xml:space="preserve">цептивов без каких-либо ограничений.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280.</w:t>
      </w:r>
      <w:r>
        <w:tab/>
        <w:t xml:space="preserve">В 1997 году началось осуществление </w:t>
      </w:r>
      <w:r>
        <w:rPr>
          <w:b/>
        </w:rPr>
        <w:t>Программы здоровья подростков</w:t>
      </w:r>
      <w:r>
        <w:t xml:space="preserve"> в здравоохранительных учреждениях, которая направлена на создание служб для медико–санитарной пропаганды, профилактики, раннего обнаружения, лечения и реабилитации в отношении проблем со здоровьем у населения в возрасте от 10 до 19 лет. Большинство бенефициаров этой программы – женщины. В пер</w:t>
      </w:r>
      <w:r>
        <w:t>и</w:t>
      </w:r>
      <w:r>
        <w:t xml:space="preserve">од с 1997 года по 2000 год удалось добиться лучшей координации и большей интеграции деятельности и средств, направленных на работу с подростками, а также улучшить содержание и качество информации.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281.</w:t>
      </w:r>
      <w:r>
        <w:tab/>
        <w:t>Правительство проводит политику сексуального воспитания с особым упором на участие семьи и на оценку материнства и роли отцов и матерей в о</w:t>
      </w:r>
      <w:r>
        <w:t>т</w:t>
      </w:r>
      <w:r>
        <w:t>ношениях со своими сыновьями и дочерями. К настоящему моменту все и</w:t>
      </w:r>
      <w:r>
        <w:t>н</w:t>
      </w:r>
      <w:r>
        <w:t>спекторы системы здравоохранения получили профессиональную подготовку, чтобы уметь использовать те возможности, которые современная ситуация пр</w:t>
      </w:r>
      <w:r>
        <w:t>е</w:t>
      </w:r>
      <w:r>
        <w:t xml:space="preserve">доставляет для того, чтобы затрагивать эту тему. В таком же духе проводится совместный опыт Министерства здравоохранения и Национального управления по делам женщин под названием </w:t>
      </w:r>
      <w:r>
        <w:rPr>
          <w:b/>
        </w:rPr>
        <w:t>Экспериментальный проект “К ответс</w:t>
      </w:r>
      <w:r>
        <w:rPr>
          <w:b/>
        </w:rPr>
        <w:t>т</w:t>
      </w:r>
      <w:r>
        <w:rPr>
          <w:b/>
        </w:rPr>
        <w:t>венной сексуальности”</w:t>
      </w:r>
      <w:r>
        <w:t>, цель которого состоит в оказании помощи муниц</w:t>
      </w:r>
      <w:r>
        <w:t>и</w:t>
      </w:r>
      <w:r>
        <w:t xml:space="preserve">пальным округам в развитии постоянной сети по изучению привлекательности данной темы и определению стратегии и первоочередных задач при поддержке ранее упомянутых секторов.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282.</w:t>
      </w:r>
      <w:r>
        <w:tab/>
        <w:t>Комитет в своих замечаниях к предыдущему докладу сделал ссылку на то, что репродуктивные права женщины не признаются и не защищаются в дост</w:t>
      </w:r>
      <w:r>
        <w:t>а</w:t>
      </w:r>
      <w:r>
        <w:t>точной мере и что существуют законы, запрещающие аборт в любой форме и предусматривающие наказание за него, которые пагубно сказываются на с</w:t>
      </w:r>
      <w:r>
        <w:t>о</w:t>
      </w:r>
      <w:r>
        <w:t>стоянии здоровья женщин, приводят к росту материнской смертности и выз</w:t>
      </w:r>
      <w:r>
        <w:t>ы</w:t>
      </w:r>
      <w:r>
        <w:t>вают дополнительные страдания в тех случаях, когда женщины лишаются св</w:t>
      </w:r>
      <w:r>
        <w:t>о</w:t>
      </w:r>
      <w:r>
        <w:t>боды за их нарушение. Этот Комитет настаивает на проведении обзора закон</w:t>
      </w:r>
      <w:r>
        <w:t>о</w:t>
      </w:r>
      <w:r>
        <w:t>дательства, касающегося абортов, в целях его изменения для того, чтобы пр</w:t>
      </w:r>
      <w:r>
        <w:t>о</w:t>
      </w:r>
      <w:r>
        <w:t>водить аборты в безопасных условиях и разрешить прерывание беременности по медицинским показаниям или для сохранения здоровья женщины, в том числе психического здоровья; а также для того, чтобы покончить с требован</w:t>
      </w:r>
      <w:r>
        <w:t>и</w:t>
      </w:r>
      <w:r>
        <w:t>ем к медицинским работникам предоставлять информацию о женщинах, с</w:t>
      </w:r>
      <w:r>
        <w:t>о</w:t>
      </w:r>
      <w:r>
        <w:t xml:space="preserve">вершивших аборт, в правоохранительные органы, которые предусматривают наказание таких женщин в уголовном порядке.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283.</w:t>
      </w:r>
      <w:r>
        <w:tab/>
        <w:t xml:space="preserve">В настоящее время на рассмотрении в Парламенте находится </w:t>
      </w:r>
      <w:r>
        <w:rPr>
          <w:b/>
        </w:rPr>
        <w:t>Законопр</w:t>
      </w:r>
      <w:r>
        <w:rPr>
          <w:b/>
        </w:rPr>
        <w:t>о</w:t>
      </w:r>
      <w:r>
        <w:rPr>
          <w:b/>
        </w:rPr>
        <w:t>ект о правах в сексуальной сфере и репродуктивных правах</w:t>
      </w:r>
      <w:r>
        <w:t>, представле</w:t>
      </w:r>
      <w:r>
        <w:t>н</w:t>
      </w:r>
      <w:r>
        <w:t>ный в 2000 году группой парламентариев. Эта инициатива была выдвинута Форумом “Сеть здравоохранения и половые и репродуктивные права” и друг</w:t>
      </w:r>
      <w:r>
        <w:t>и</w:t>
      </w:r>
      <w:r>
        <w:t>ми организациями гражданского общества. В юридическом обосновании пр</w:t>
      </w:r>
      <w:r>
        <w:t>о</w:t>
      </w:r>
      <w:r>
        <w:t>екта дается определение прав в сексуальной сфере и репродуктивных прав и описывается предложение рамочного закона, исходным пунктом для которого служат концепции свободы, автономии, равноправия, равенства и предоставл</w:t>
      </w:r>
      <w:r>
        <w:t>е</w:t>
      </w:r>
      <w:r>
        <w:t>ние властных полномочий. Помимо прочего, в данном проекте признается, что каждый человек имеет право пользоваться сексуальностью как источником личного развития и счастья и использовать ее независимо от функции продо</w:t>
      </w:r>
      <w:r>
        <w:t>л</w:t>
      </w:r>
      <w:r>
        <w:t>жения рода и что государство обязано разрабатывать и проводить такую гос</w:t>
      </w:r>
      <w:r>
        <w:t>у</w:t>
      </w:r>
      <w:r>
        <w:t xml:space="preserve">дарственную политику, которая будет гарантировать это право.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284.</w:t>
      </w:r>
      <w:r>
        <w:tab/>
        <w:t xml:space="preserve">С другой стороны, Министерство здравоохранения Чили разработало </w:t>
      </w:r>
      <w:r>
        <w:rPr>
          <w:b/>
        </w:rPr>
        <w:t>д</w:t>
      </w:r>
      <w:r>
        <w:rPr>
          <w:b/>
        </w:rPr>
        <w:t>о</w:t>
      </w:r>
      <w:r>
        <w:rPr>
          <w:b/>
        </w:rPr>
        <w:t>кумент “Включение гендерных перспектив в новую программу здрав</w:t>
      </w:r>
      <w:r>
        <w:rPr>
          <w:b/>
        </w:rPr>
        <w:t>о</w:t>
      </w:r>
      <w:r>
        <w:rPr>
          <w:b/>
        </w:rPr>
        <w:t>охранения Чили”</w:t>
      </w:r>
      <w:r>
        <w:t>, подготовленный Консультативной группой по гендерным вопросам указанного министерства. На данном этапе, помимо специалистов этого государственного ведомства, в работе принимают участие представители организаций гражданского общества и академических кругов</w:t>
      </w:r>
      <w:r>
        <w:rPr>
          <w:rStyle w:val="FootnoteReference"/>
        </w:rPr>
        <w:footnoteReference w:customMarkFollows="1" w:id="145"/>
        <w:t>142</w:t>
      </w:r>
      <w:r>
        <w:t>. В документе утверждается, что гендерные перспективы с трудом можно будет включить в новую программу здравоохранения, если используемая концепция здоровья б</w:t>
      </w:r>
      <w:r>
        <w:t>у</w:t>
      </w:r>
      <w:r>
        <w:t>дет по-прежнему основываться на чисто биомедицинских критериях, если при оценке состояния здравоохранения в стране будут учитываться только эпид</w:t>
      </w:r>
      <w:r>
        <w:t>е</w:t>
      </w:r>
      <w:r>
        <w:t>миологические факторы и если не будут учитываться социально–культурные аспекты в социально–властных взаимоотношениях между мужчинами и же</w:t>
      </w:r>
      <w:r>
        <w:t>н</w:t>
      </w:r>
      <w:r>
        <w:t>щинами, и поэтому в процессе реформы здравоохранения необходимо “защ</w:t>
      </w:r>
      <w:r>
        <w:t>и</w:t>
      </w:r>
      <w:r>
        <w:t>щать и обеспечивать включение и стратегическое развитие всех тех элементов, которые имеют отношение к гендерной проблематике”.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285.</w:t>
      </w:r>
      <w:r>
        <w:tab/>
        <w:t>По вопросу об аборте, правительство не планировало в течение срока св</w:t>
      </w:r>
      <w:r>
        <w:t>о</w:t>
      </w:r>
      <w:r>
        <w:t>его правления отменить наказание за его совершение с учетом того, что пока еще не существуют условия для постановки этой темы на открытое обсужд</w:t>
      </w:r>
      <w:r>
        <w:t>е</w:t>
      </w:r>
      <w:r>
        <w:t>ние, в том числе и в отношении медицинского аборта, который разрешался в Чили до 1989 года, когда он был запрещен военным правительством. Упрямое нежелание консервативных средств массовой информации, религиозных кр</w:t>
      </w:r>
      <w:r>
        <w:t>у</w:t>
      </w:r>
      <w:r>
        <w:t>гов, противящихся любому упоминанию о реальном положении дел в этой о</w:t>
      </w:r>
      <w:r>
        <w:t>б</w:t>
      </w:r>
      <w:r>
        <w:t>ласти, и политических партий, разделяющих эту позицию, заняться анализом явления, которое касается десятков тысяч женщин, оказывало огромное вли</w:t>
      </w:r>
      <w:r>
        <w:t>я</w:t>
      </w:r>
      <w:r>
        <w:t xml:space="preserve">ние на общественное мнение в течение трех последних десятилетий.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286.</w:t>
      </w:r>
      <w:r>
        <w:tab/>
        <w:t>Комитет КЛДЖ также выразил свою обеспокоенность тем фактом, что женщины могут прибегать к стерилизации лишь в государственных медици</w:t>
      </w:r>
      <w:r>
        <w:t>н</w:t>
      </w:r>
      <w:r>
        <w:t>ских учреждениях и что для ее проведения требуется согласие мужа, а также наличие уже четырех родившихся детей. По этому вопросу важно уточнить, что взрослые женщины всегда могли проводить стерилизацию как в государс</w:t>
      </w:r>
      <w:r>
        <w:t>т</w:t>
      </w:r>
      <w:r>
        <w:t>венных, так и в частных учреждениях; различие состояло в том, что в госуда</w:t>
      </w:r>
      <w:r>
        <w:t>р</w:t>
      </w:r>
      <w:r>
        <w:t xml:space="preserve">ственных учреждениях требовалось согласие мужа и наличие четырех детей, а в частных клиниках была достаточна договоренность с лечащим врачом.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287.</w:t>
      </w:r>
      <w:r>
        <w:tab/>
        <w:t>В 2000 году Министерство здравоохранения специальным решением у</w:t>
      </w:r>
      <w:r>
        <w:t>т</w:t>
      </w:r>
      <w:r>
        <w:t xml:space="preserve">вердило </w:t>
      </w:r>
      <w:r>
        <w:rPr>
          <w:b/>
        </w:rPr>
        <w:t>новый Регламент по стерилизации женщин и мужчин</w:t>
      </w:r>
      <w:r>
        <w:t>. Этот новый нормативный документ признает и обеспечивает право взрослых женщин пр</w:t>
      </w:r>
      <w:r>
        <w:t>и</w:t>
      </w:r>
      <w:r>
        <w:t xml:space="preserve">нимать решение о проведении стерилизации без обязательного согласия других лиц. Если женщины недееспособны в результате психического заболевания, решение о стерилизации должно быть рассмотрено в Национальной комиссии по защите прав людей с психическими заболеваниями, созданной в 2000 году.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288.</w:t>
      </w:r>
      <w:r>
        <w:tab/>
        <w:t>В своих замечаниях к последнему докладу Комитет КЛДЖ просит пре</w:t>
      </w:r>
      <w:r>
        <w:t>д</w:t>
      </w:r>
      <w:r>
        <w:t xml:space="preserve">ставить данные о числе курящих женщин всех возрастов и о злоупотреблении алкогольными напитками и другими веществами.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289.</w:t>
      </w:r>
      <w:r>
        <w:tab/>
        <w:t>В отношении курящих женщин, исследование ВОЗ</w:t>
      </w:r>
      <w:r>
        <w:rPr>
          <w:rStyle w:val="FootnoteReference"/>
        </w:rPr>
        <w:footnoteReference w:customMarkFollows="1" w:id="146"/>
        <w:t>143</w:t>
      </w:r>
      <w:r>
        <w:t xml:space="preserve"> показывает, что в Чили курят 25 процентов женщин и 38 процентов мужчин в возрасте старше 15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290.</w:t>
      </w:r>
      <w:r>
        <w:tab/>
        <w:t>Согласно исследованиям Национальной корпорации по раковым болезням (</w:t>
      </w:r>
      <w:r>
        <w:rPr>
          <w:lang w:val="en-US"/>
        </w:rPr>
        <w:t>КОНАК</w:t>
      </w:r>
      <w:r>
        <w:t>), за последние годы курение привело к увеличению примерно на 25 процентов случаев заболевания женщин раком легких. Смертность среди мужчин в стране в результате этого заболевания за последние десять лет стаб</w:t>
      </w:r>
      <w:r>
        <w:t>и</w:t>
      </w:r>
      <w:r>
        <w:t>лизировалась и даже снизилась, а показатель женской смертности от рака ле</w:t>
      </w:r>
      <w:r>
        <w:t>г</w:t>
      </w:r>
      <w:r>
        <w:t>ких повысился и превосходит показатель смертности от рака груди, что об</w:t>
      </w:r>
      <w:r>
        <w:t>у</w:t>
      </w:r>
      <w:r>
        <w:t>словлено большим числом курящих женщин. Кроме того, это заболевание ф</w:t>
      </w:r>
      <w:r>
        <w:t>и</w:t>
      </w:r>
      <w:r>
        <w:t>гурирует в диагнозах тех женщин, которые начали курить в 1970–1980 годах; им более 30 лет, у них непреодолимая тяга к табаку и низкая самооценка, а т</w:t>
      </w:r>
      <w:r>
        <w:t>а</w:t>
      </w:r>
      <w:r>
        <w:t>кое психологическое состояние предрасполагает к появлению и развитию этого канцер</w:t>
      </w:r>
      <w:r>
        <w:t>о</w:t>
      </w:r>
      <w:r>
        <w:t xml:space="preserve">генного синдрома.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291.</w:t>
      </w:r>
      <w:r>
        <w:tab/>
      </w:r>
      <w:r>
        <w:rPr>
          <w:lang w:val="en-US"/>
        </w:rPr>
        <w:t>КОНАК</w:t>
      </w:r>
      <w:r>
        <w:t xml:space="preserve"> проведет обследование по определению качества жизни этих женщин старше 20 лет для того, чтобы определить процент вероятности пр</w:t>
      </w:r>
      <w:r>
        <w:t>и</w:t>
      </w:r>
      <w:r>
        <w:t>обретения ими рака легких. Теоретически считается, что 5 процентов курящих женщин имеют шанс стать пациенткой с раковой болезнью и что женщины б</w:t>
      </w:r>
      <w:r>
        <w:t>о</w:t>
      </w:r>
      <w:r>
        <w:t>лее уязвимы для рака легких, чем мужчины, и поэтому лучше проводить леч</w:t>
      </w:r>
      <w:r>
        <w:t>е</w:t>
      </w:r>
      <w:r>
        <w:t>ние в первые годы после вынесения диагноза, особенно для лиц моложе 50 лет. Эта организация проведет также кампанию, ориентированную на женщин м</w:t>
      </w:r>
      <w:r>
        <w:t>о</w:t>
      </w:r>
      <w:r>
        <w:t>ложе 30 лет, в целях уменьшения преобладания женщин среди больных этим видом р</w:t>
      </w:r>
      <w:r>
        <w:t>а</w:t>
      </w:r>
      <w:r>
        <w:t xml:space="preserve">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292.</w:t>
      </w:r>
      <w:r>
        <w:tab/>
        <w:t xml:space="preserve">Министерство здравоохранения осуществляет </w:t>
      </w:r>
      <w:r>
        <w:rPr>
          <w:b/>
        </w:rPr>
        <w:t>Программу “Здоровье без табака”</w:t>
      </w:r>
      <w:r>
        <w:t>, ориентированную на всех бенефициаров Национального фонда здр</w:t>
      </w:r>
      <w:r>
        <w:t>а</w:t>
      </w:r>
      <w:r>
        <w:t>воохранения (</w:t>
      </w:r>
      <w:r>
        <w:rPr>
          <w:lang w:val="en-US"/>
        </w:rPr>
        <w:t>ФОНАСА</w:t>
      </w:r>
      <w:r>
        <w:t>) и медицинских служб страны. Одна из задач этой пр</w:t>
      </w:r>
      <w:r>
        <w:t>о</w:t>
      </w:r>
      <w:r>
        <w:t>граммы – содействовать разработке политики, программ и мероприятий, к</w:t>
      </w:r>
      <w:r>
        <w:t>а</w:t>
      </w:r>
      <w:r>
        <w:t>сающихся профилактики, раннего обнаружения, лечения и реабилитации в случаях злоупотребления алкогольными напитками, табаком и наркотиками. В этих целях Министерство здравоохранения играет роль нормативного, ко</w:t>
      </w:r>
      <w:r>
        <w:t>н</w:t>
      </w:r>
      <w:r>
        <w:t>сультативного и контролирующего органа в координации с другими министе</w:t>
      </w:r>
      <w:r>
        <w:t>р</w:t>
      </w:r>
      <w:r>
        <w:t>ствами и организациями, занимающимися данной тем</w:t>
      </w:r>
      <w:r>
        <w:t>а</w:t>
      </w:r>
      <w:r>
        <w:t xml:space="preserve">тикой.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293.</w:t>
      </w:r>
      <w:r>
        <w:tab/>
        <w:t>В отношении потребления наркотиков, одно из проведенных в 2000 году исследований</w:t>
      </w:r>
      <w:r>
        <w:rPr>
          <w:rStyle w:val="FootnoteReference"/>
        </w:rPr>
        <w:footnoteReference w:customMarkFollows="1" w:id="147"/>
        <w:t>144</w:t>
      </w:r>
      <w:r>
        <w:t xml:space="preserve"> показывает нам следующее преобладание в потреблении з</w:t>
      </w:r>
      <w:r>
        <w:t>а</w:t>
      </w:r>
      <w:r>
        <w:t>прещенных наркотиков женщинами: 2,92 процента – марихуана, 0,21 процента – кокаиновая паста, 0,48 процента – кокаин и 3,16 процента – другие виды запрещенных наркотиков. Для мужчин эти доли составляют соо</w:t>
      </w:r>
      <w:r>
        <w:t>т</w:t>
      </w:r>
      <w:r>
        <w:t>ветственно 9,09 процента, 1,29 процента, 2,65 процента и 10,09 процента. Сл</w:t>
      </w:r>
      <w:r>
        <w:t>е</w:t>
      </w:r>
      <w:r>
        <w:t>довательно, данные показывают, что чилийские женщины в процентном отн</w:t>
      </w:r>
      <w:r>
        <w:t>о</w:t>
      </w:r>
      <w:r>
        <w:t>шении потребляют намного меньше наркотиков, чем мужчины. Тем не менее их потребление медленно растет из года в год, за исключением кокаиновой пасты. Согласно опросу</w:t>
      </w:r>
      <w:r>
        <w:rPr>
          <w:rStyle w:val="FootnoteReference"/>
        </w:rPr>
        <w:footnoteReference w:customMarkFollows="1" w:id="148"/>
        <w:t>145</w:t>
      </w:r>
      <w:r>
        <w:t>, проведенному Национальным советом по борьбе с наркотическими средствами (</w:t>
      </w:r>
      <w:r>
        <w:rPr>
          <w:lang w:val="en-US"/>
        </w:rPr>
        <w:t>КОНАСE</w:t>
      </w:r>
      <w:r>
        <w:t>) среди молодежи Большого Сантьяго в 2002 году, подростки мужского пола от 15 до 19 лет с высоким социально–эк</w:t>
      </w:r>
      <w:r>
        <w:t>о</w:t>
      </w:r>
      <w:r>
        <w:t xml:space="preserve">номическим уровнем больше подвержены к употреблению наркотиков.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294.</w:t>
      </w:r>
      <w:r>
        <w:tab/>
        <w:t xml:space="preserve">Правительство подготовило </w:t>
      </w:r>
      <w:r>
        <w:rPr>
          <w:b/>
        </w:rPr>
        <w:t>Национальную политику по предотвращ</w:t>
      </w:r>
      <w:r>
        <w:rPr>
          <w:b/>
        </w:rPr>
        <w:t>е</w:t>
      </w:r>
      <w:r>
        <w:rPr>
          <w:b/>
        </w:rPr>
        <w:t>нию потребления наркотиков и контролю над ним</w:t>
      </w:r>
      <w:r>
        <w:t xml:space="preserve"> в целях проведения си</w:t>
      </w:r>
      <w:r>
        <w:t>с</w:t>
      </w:r>
      <w:r>
        <w:t>тематических, комплексных, целенаправленных и долгосрочных действий, к</w:t>
      </w:r>
      <w:r>
        <w:t>о</w:t>
      </w:r>
      <w:r>
        <w:t>торые сделают возможным предотвращение ненадлежащего использования наркотиков и психотропных веществ и сокращение спроса на них. Кроме того, предполагается контролировать предложение наркотиков на рынке, ликвидир</w:t>
      </w:r>
      <w:r>
        <w:t>о</w:t>
      </w:r>
      <w:r>
        <w:t xml:space="preserve">вать или значительно сократить подпольную торговлю наркотиками, а также организовать лечение и реабилитацию лиц, подверженных наркомании, в целях содействия постепенному повышению качества жизни на уровне индивидуума, семьи и общества в целом.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295.</w:t>
      </w:r>
      <w:r>
        <w:tab/>
        <w:t xml:space="preserve"> Специальные программы направлены на предотвращение ненадлежащего потребления наркотиков, на контроль над предложением наркотиков на рынке, на ликвидацию подпольной торговли наркотиками и на организацию лечения и реабилитации. Для проведения упомянутой политики разрабатываются и нач</w:t>
      </w:r>
      <w:r>
        <w:t>и</w:t>
      </w:r>
      <w:r>
        <w:t>нают выполняться общие и конкретные планы действий. В области предотвр</w:t>
      </w:r>
      <w:r>
        <w:t>а</w:t>
      </w:r>
      <w:r>
        <w:t>щения ненадлежащего потребления наркотиков следует выделить: создание н</w:t>
      </w:r>
      <w:r>
        <w:t>а</w:t>
      </w:r>
      <w:r>
        <w:t>ционального фонда для финансирования муниципальных проектов по предо</w:t>
      </w:r>
      <w:r>
        <w:t>т</w:t>
      </w:r>
      <w:r>
        <w:t>вращению потребления наркотиков, план комплексного развития личности, с</w:t>
      </w:r>
      <w:r>
        <w:t>е</w:t>
      </w:r>
      <w:r>
        <w:t>мьи и сообщества, план повышения информированности общественного мн</w:t>
      </w:r>
      <w:r>
        <w:t>е</w:t>
      </w:r>
      <w:r>
        <w:t>ния и план создания системы регистрации и обработки соответствующей и</w:t>
      </w:r>
      <w:r>
        <w:t>н</w:t>
      </w:r>
      <w:r>
        <w:t xml:space="preserve">формации. В области лечения и реабилитации, помимо прочего, разработаны: план обучения, профессиональной подготовки и повышения квалификации кадров по лечению и реабилитации, план участия муниципальных организаций в лечении и реабилитации, план по оказанию помощи наркозависимым лицам в местах заключения, а также на рабочих местах.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296.</w:t>
      </w:r>
      <w:r>
        <w:tab/>
        <w:t>В</w:t>
      </w:r>
      <w:r>
        <w:rPr>
          <w:lang w:val="en-US"/>
        </w:rPr>
        <w:t> </w:t>
      </w:r>
      <w:r>
        <w:t>рамках предотвращения потребления наркотиков осуществляется 58 проектов на муниципальном уровне по всей стране, цель которых состоит в том, чтобы научить простых женщин заниматься профилактикой в этой обла</w:t>
      </w:r>
      <w:r>
        <w:t>с</w:t>
      </w:r>
      <w:r>
        <w:t>ти. Еще одним достижением является взаимосвязь между разработкой пр</w:t>
      </w:r>
      <w:r>
        <w:t>о</w:t>
      </w:r>
      <w:r>
        <w:t>грамм по предотвращению потребления наркотиков и полномасштабной гос</w:t>
      </w:r>
      <w:r>
        <w:t>у</w:t>
      </w:r>
      <w:r>
        <w:t>дарственной политикой, нацеленной против такого явления как перевозки на</w:t>
      </w:r>
      <w:r>
        <w:t>р</w:t>
      </w:r>
      <w:r>
        <w:t>котиков минимальными партиями, так как многочисленные исследования пок</w:t>
      </w:r>
      <w:r>
        <w:t>а</w:t>
      </w:r>
      <w:r>
        <w:t>зывают, что большое количество наркокурьеров с минимальными партиями с</w:t>
      </w:r>
      <w:r>
        <w:t>о</w:t>
      </w:r>
      <w:r>
        <w:t>ставляют женщ</w:t>
      </w:r>
      <w:r>
        <w:t>и</w:t>
      </w:r>
      <w:r>
        <w:t>ны</w:t>
      </w:r>
      <w:r>
        <w:rPr>
          <w:rStyle w:val="FootnoteReference"/>
        </w:rPr>
        <w:footnoteReference w:customMarkFollows="1" w:id="149"/>
        <w:t>146</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297.</w:t>
      </w:r>
      <w:r>
        <w:tab/>
        <w:t>Кроме того, Национальный совет по борьбе с наркотическими средствами (</w:t>
      </w:r>
      <w:r>
        <w:rPr>
          <w:lang w:val="en-US"/>
        </w:rPr>
        <w:t>КОНАКE</w:t>
      </w:r>
      <w:r>
        <w:t>) создал несколько направлений работы с женщинами. В области л</w:t>
      </w:r>
      <w:r>
        <w:t>е</w:t>
      </w:r>
      <w:r>
        <w:t xml:space="preserve">чения и реабилитации </w:t>
      </w:r>
      <w:r>
        <w:rPr>
          <w:lang w:val="en-US"/>
        </w:rPr>
        <w:t>КОНАСE</w:t>
      </w:r>
      <w:r>
        <w:t xml:space="preserve"> заключил соглашение с Жандармерией Чили, согласно которому были созданы три медицинских колонии для женщин–з</w:t>
      </w:r>
      <w:r>
        <w:t>а</w:t>
      </w:r>
      <w:r>
        <w:t>ключенных в местах принудительного пребывания. С другой стороны, было создано новое специальное направление работы с женщинами для лечения наркозависимости. По этой программе предусматривается индивидуальная р</w:t>
      </w:r>
      <w:r>
        <w:t>а</w:t>
      </w:r>
      <w:r>
        <w:t>бота с женщиной, а также одновременная работа с женщиной и ее детьми. Н</w:t>
      </w:r>
      <w:r>
        <w:t>а</w:t>
      </w:r>
      <w:r>
        <w:t>конец, разрабатывается новое направление исследований для глубокого изуч</w:t>
      </w:r>
      <w:r>
        <w:t>е</w:t>
      </w:r>
      <w:r>
        <w:t xml:space="preserve">ния такого сочетания, как женщина и перевозка наркотиков минимальными партиями, учитывая большое преобладание женщин в преступлениях такого рода.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Участие в занятиях спортом и физической культурой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298.</w:t>
      </w:r>
      <w:r>
        <w:tab/>
        <w:t>В области спорта и физической культуры существуют различные учре</w:t>
      </w:r>
      <w:r>
        <w:t>ж</w:t>
      </w:r>
      <w:r>
        <w:t>дения</w:t>
      </w:r>
      <w:r>
        <w:rPr>
          <w:rStyle w:val="FootnoteReference"/>
        </w:rPr>
        <w:footnoteReference w:customMarkFollows="1" w:id="150"/>
        <w:t>147</w:t>
      </w:r>
      <w:r>
        <w:t>, для которых спорт не является основной целью, но которые заним</w:t>
      </w:r>
      <w:r>
        <w:t>а</w:t>
      </w:r>
      <w:r>
        <w:t>ются им и выделяют средства на конкурсные проекты, рассматривая их в кач</w:t>
      </w:r>
      <w:r>
        <w:t>е</w:t>
      </w:r>
      <w:r>
        <w:t>стве элемента, способствующего повышению качества жизни и помогающего им в достижении своих ко</w:t>
      </w:r>
      <w:r>
        <w:t>н</w:t>
      </w:r>
      <w:r>
        <w:t xml:space="preserve">кретных целей.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299.</w:t>
      </w:r>
      <w:r>
        <w:tab/>
        <w:t>До принятия нового Закона о спорте в 2001 году Главное управление по делам спорта и досуга (</w:t>
      </w:r>
      <w:r>
        <w:rPr>
          <w:lang w:val="en-US"/>
        </w:rPr>
        <w:t>ДИГЕДЕР</w:t>
      </w:r>
      <w:r>
        <w:t>) являлось органом, которому было поручено заниматься пропагандой и развитием спорта в стране. Оно действовало на о</w:t>
      </w:r>
      <w:r>
        <w:t>с</w:t>
      </w:r>
      <w:r>
        <w:t>нове Закона № 19.276 и входило в централизованную структуру при Министе</w:t>
      </w:r>
      <w:r>
        <w:t>р</w:t>
      </w:r>
      <w:r>
        <w:t>стве обороны. Его связь со спортивным миром осуществлялась путем пре</w:t>
      </w:r>
      <w:r>
        <w:t>д</w:t>
      </w:r>
      <w:r>
        <w:t>ставления проектов в р</w:t>
      </w:r>
      <w:r>
        <w:t>е</w:t>
      </w:r>
      <w:r>
        <w:t xml:space="preserve">гиональные представительства </w:t>
      </w:r>
      <w:r>
        <w:rPr>
          <w:lang w:val="en-US"/>
        </w:rPr>
        <w:t>ДИГЕДЕР</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300.</w:t>
      </w:r>
      <w:r>
        <w:tab/>
        <w:t>В</w:t>
      </w:r>
      <w:r>
        <w:rPr>
          <w:lang w:val="en-US"/>
        </w:rPr>
        <w:t> </w:t>
      </w:r>
      <w:r>
        <w:t>90-х годах были приложены серьезные усилия для более широкого в</w:t>
      </w:r>
      <w:r>
        <w:t>о</w:t>
      </w:r>
      <w:r>
        <w:t>влечения женщин в занятия спортом и физической культурой. С большим усп</w:t>
      </w:r>
      <w:r>
        <w:t>е</w:t>
      </w:r>
      <w:r>
        <w:t>хом началась Программа гимнастической аэробики для женщин–глав домох</w:t>
      </w:r>
      <w:r>
        <w:t>о</w:t>
      </w:r>
      <w:r>
        <w:t>зяйств – вначале в самых бедных муниципалитетах Сантьяго, а затем в самых обделенных вниманием муниципалитетах по всей стране. В это время привл</w:t>
      </w:r>
      <w:r>
        <w:t>е</w:t>
      </w:r>
      <w:r>
        <w:t>чение женщин к участию в занятиях спортом и/или физической культурой осуществлялось через конкретные программы, которые государственные орг</w:t>
      </w:r>
      <w:r>
        <w:t>а</w:t>
      </w:r>
      <w:r>
        <w:t>ны предлагали к осуществлению  местной администрации или путем предста</w:t>
      </w:r>
      <w:r>
        <w:t>в</w:t>
      </w:r>
      <w:r>
        <w:t>ления организованными группами своих проектов в региональные представ</w:t>
      </w:r>
      <w:r>
        <w:t>и</w:t>
      </w:r>
      <w:r>
        <w:t xml:space="preserve">тельства </w:t>
      </w:r>
      <w:r>
        <w:rPr>
          <w:lang w:val="en-US"/>
        </w:rPr>
        <w:t>ДИГЕДЕР</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301.</w:t>
      </w:r>
      <w:r>
        <w:tab/>
        <w:t>Была начата также Программа помощи женщинам, занятым на сезонных работах, которая состояла в том, что, пока продолжался рабочий сезон, их д</w:t>
      </w:r>
      <w:r>
        <w:t>е</w:t>
      </w:r>
      <w:r>
        <w:t>тям предоставлялась возможность заниматься физической культурой и активно проводить время досуга. Эта акция осуществлялась совместно с Национал</w:t>
      </w:r>
      <w:r>
        <w:t>ь</w:t>
      </w:r>
      <w:r>
        <w:t>ным сов</w:t>
      </w:r>
      <w:r>
        <w:t>е</w:t>
      </w:r>
      <w:r>
        <w:t>том по стипендиям и материальной помощи школьникам (</w:t>
      </w:r>
      <w:r>
        <w:rPr>
          <w:lang w:val="en-US"/>
        </w:rPr>
        <w:t>НССМПШ</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302.</w:t>
      </w:r>
      <w:r>
        <w:tab/>
        <w:t>В конце 90-х годов Программа гимнастической аэробики для женщин</w:t>
      </w:r>
      <w:r>
        <w:rPr>
          <w:lang w:val="en-US"/>
        </w:rPr>
        <w:t> </w:t>
      </w:r>
      <w:r>
        <w:t>–глав домохозяйств становится все более привлекательной для большого числа п</w:t>
      </w:r>
      <w:r>
        <w:t>о</w:t>
      </w:r>
      <w:r>
        <w:t xml:space="preserve">жилых женщин. Это привело к тому, что в настоящее время объединение “Спорт Чили” осуществляет Программу для пожилых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303.</w:t>
      </w:r>
      <w:r>
        <w:tab/>
        <w:t>В этом десятилетии произошло важное событие в жизни спортивного с</w:t>
      </w:r>
      <w:r>
        <w:t>о</w:t>
      </w:r>
      <w:r>
        <w:t>общества страны – были учреждены различные  международные и национал</w:t>
      </w:r>
      <w:r>
        <w:t>ь</w:t>
      </w:r>
      <w:r>
        <w:t>ные спортивные игры. На национальном уровне – это школьные спортивные игры и студенческие спортивные игры. На международном уровне – это ст</w:t>
      </w:r>
      <w:r>
        <w:t>у</w:t>
      </w:r>
      <w:r>
        <w:t>денческие игры Южной Америки и межнациональные двухсторонние спорти</w:t>
      </w:r>
      <w:r>
        <w:t>в</w:t>
      </w:r>
      <w:r>
        <w:t xml:space="preserve">ные встречи, проводимые с соседними странами. В обоих случаях женщины принимают участие почти в равном соотношении с мужчинами.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304.</w:t>
      </w:r>
      <w:r>
        <w:tab/>
        <w:t xml:space="preserve">22 января 2001 года был обнародован </w:t>
      </w:r>
      <w:r>
        <w:rPr>
          <w:b/>
        </w:rPr>
        <w:t>Закон о спорте № 19.712 и созд</w:t>
      </w:r>
      <w:r>
        <w:rPr>
          <w:b/>
        </w:rPr>
        <w:t>а</w:t>
      </w:r>
      <w:r>
        <w:rPr>
          <w:b/>
        </w:rPr>
        <w:t>ется Национальный институт по вопросам спорта (</w:t>
      </w:r>
      <w:r>
        <w:rPr>
          <w:b/>
          <w:lang w:val="en-US"/>
        </w:rPr>
        <w:t>ИНД</w:t>
      </w:r>
      <w:r>
        <w:rPr>
          <w:b/>
        </w:rPr>
        <w:t>),</w:t>
      </w:r>
      <w:r>
        <w:t xml:space="preserve"> или объединение “Спорт Чили”, который заменил </w:t>
      </w:r>
      <w:r>
        <w:rPr>
          <w:lang w:val="en-US"/>
        </w:rPr>
        <w:t>ДИГЕДЕР</w:t>
      </w:r>
      <w:r>
        <w:t xml:space="preserve"> и продолжил его дело, являясь “г</w:t>
      </w:r>
      <w:r>
        <w:t>о</w:t>
      </w:r>
      <w:r>
        <w:t xml:space="preserve">сударственной службой с децентрализованными функциями, которая выступает как субъект права и обладает собственным имуществом”. Задача </w:t>
      </w:r>
      <w:r>
        <w:rPr>
          <w:lang w:val="en-US"/>
        </w:rPr>
        <w:t>ИНД</w:t>
      </w:r>
      <w:r>
        <w:t xml:space="preserve"> состоит в том, чтобы “обеспечить занятия физической культурой и спортом, содействуя улучшению качества жизни населения”. Кроме того, на него возложена обяза</w:t>
      </w:r>
      <w:r>
        <w:t>н</w:t>
      </w:r>
      <w:r>
        <w:t xml:space="preserve">ность выдвигать предложения по национальной политике в области спорта, пропагандировать культуру спорта и выделять соответствующие средства, а также выполнять многие другие функции.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305.</w:t>
      </w:r>
      <w:r>
        <w:tab/>
        <w:t>В</w:t>
      </w:r>
      <w:r>
        <w:rPr>
          <w:lang w:val="en-US"/>
        </w:rPr>
        <w:t> </w:t>
      </w:r>
      <w:r>
        <w:t>предложенной национальной политике по вопросам физической культ</w:t>
      </w:r>
      <w:r>
        <w:t>у</w:t>
      </w:r>
      <w:r>
        <w:t>ры и спорта, определяемой как “рамки и цель, на достижение которой должны быть направлены усилия государства в целях пропаганды, повышения массов</w:t>
      </w:r>
      <w:r>
        <w:t>о</w:t>
      </w:r>
      <w:r>
        <w:t>сти и улучшения качества спортивных мероприятий”, в качестве одного из принципов провозглашается “равенство возможностей” и указывается конкре</w:t>
      </w:r>
      <w:r>
        <w:t>т</w:t>
      </w:r>
      <w:r>
        <w:t>ная задача – “разрабатывать и координировать выполнение программных пре</w:t>
      </w:r>
      <w:r>
        <w:t>д</w:t>
      </w:r>
      <w:r>
        <w:t>ложений по диверсификации предлагаемых возможностей для постоянных и стабильных занятий физической культурой и спортом”.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306.</w:t>
      </w:r>
      <w:r>
        <w:tab/>
      </w:r>
      <w:r>
        <w:rPr>
          <w:lang w:val="en-US"/>
        </w:rPr>
        <w:t>ИНД</w:t>
      </w:r>
      <w:r>
        <w:t xml:space="preserve"> осуществляет свою деятельность через следующие программы: де</w:t>
      </w:r>
      <w:r>
        <w:t>т</w:t>
      </w:r>
      <w:r>
        <w:t>ский спорт – для детей, юношей и девушек школьного возраста, в основном из наименее обеспеченных семей; спортивный досуг – ориентирован на разли</w:t>
      </w:r>
      <w:r>
        <w:t>ч</w:t>
      </w:r>
      <w:r>
        <w:t xml:space="preserve">ные бедные слои общества; спортивные соревнования – главным образом для детей и молодежи, и спорт высших достижений – предназначен для поддержки различных федераций и Олимпийского комитета Чили (ОКЧ), чтобы они могли готовить спортсменов высокого класса по различным видам спорта, способных бороться за высшие награды.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307.</w:t>
      </w:r>
      <w:r>
        <w:tab/>
        <w:t>По этим программам, которые охватывают все различные слои общества, можно понять, что в области спорта и физической культуры были приложены  усилия для вовлечения женщин. Так, например, в рамках детского спорта были созданы спортивные школы с широким участием женщин; в 2002  году 47,1 процента из числа занимающихся в этих школах составили женщины</w:t>
      </w:r>
      <w:r>
        <w:rPr>
          <w:rStyle w:val="FootnoteReference"/>
        </w:rPr>
        <w:footnoteReference w:customMarkFollows="1" w:id="151"/>
        <w:t>148</w:t>
      </w:r>
      <w:r>
        <w:t>. В</w:t>
      </w:r>
      <w:r>
        <w:rPr>
          <w:lang w:val="en-US"/>
        </w:rPr>
        <w:t> </w:t>
      </w:r>
      <w:r>
        <w:t>рамках спортивного досуга наибольшего успеха добились программы аэр</w:t>
      </w:r>
      <w:r>
        <w:t>о</w:t>
      </w:r>
      <w:r>
        <w:t>бики и гимнастики для взрослых, в которых доля женщин составляет 48 процентов</w:t>
      </w:r>
      <w:r>
        <w:rPr>
          <w:rStyle w:val="FootnoteReference"/>
        </w:rPr>
        <w:footnoteReference w:customMarkFollows="1" w:id="152"/>
        <w:t>149</w:t>
      </w:r>
      <w:r>
        <w:t>. В спортивных соревнованиях в рамках школьных спортивных игр девушки составляют почти 50 процентов участников, но в среднем в спо</w:t>
      </w:r>
      <w:r>
        <w:t>р</w:t>
      </w:r>
      <w:r>
        <w:t>тивных соревнованиях число участников–женщин составляет 27,1 процента</w:t>
      </w:r>
      <w:r>
        <w:rPr>
          <w:rStyle w:val="FootnoteReference"/>
        </w:rPr>
        <w:footnoteReference w:customMarkFollows="1" w:id="153"/>
        <w:t>150</w:t>
      </w:r>
      <w:r>
        <w:t>. И только в спорте высших достижений наблюдается более низкая доля участия женщин и девушек, но сейчас разрабатываются краткосрочные, среднесрочные и долгосрочные программы, чтобы стимулировать женщин к участию в спо</w:t>
      </w:r>
      <w:r>
        <w:t>р</w:t>
      </w:r>
      <w:r>
        <w:t xml:space="preserve">тивных соревнованиях.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308.</w:t>
      </w:r>
      <w:r>
        <w:tab/>
        <w:t>Имеющиеся статистические данные показывают, что в период обучения в учебных заведениях в занятиях спортом мужчины и женщины принимают о</w:t>
      </w:r>
      <w:r>
        <w:t>т</w:t>
      </w:r>
      <w:r>
        <w:t>носительно равное участие, а после его завершения значительная часть же</w:t>
      </w:r>
      <w:r>
        <w:t>н</w:t>
      </w:r>
      <w:r>
        <w:t xml:space="preserve">щин бросает спортивные занятия и возвращается к ним уже в более зрелом возрасте. С учетом такого положения дел, </w:t>
      </w:r>
      <w:r>
        <w:rPr>
          <w:lang w:val="en-US"/>
        </w:rPr>
        <w:t>ИНД</w:t>
      </w:r>
      <w:r>
        <w:t xml:space="preserve"> может в будущем осуществлять специальные программы, нацеленные на создание необходимых условий к т</w:t>
      </w:r>
      <w:r>
        <w:t>о</w:t>
      </w:r>
      <w:r>
        <w:t>му, чтобы женщины в период воспитания детей могли бы заниматься спортом и/или физич</w:t>
      </w:r>
      <w:r>
        <w:t>е</w:t>
      </w:r>
      <w:r>
        <w:t xml:space="preserve">ской культурой.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6.</w:t>
      </w:r>
      <w:r>
        <w:tab/>
        <w:t>Брак и семейные отношений (статья 16)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309.</w:t>
      </w:r>
      <w:r>
        <w:tab/>
        <w:t>В</w:t>
      </w:r>
      <w:r>
        <w:rPr>
          <w:lang w:val="en-US"/>
        </w:rPr>
        <w:t> </w:t>
      </w:r>
      <w:r>
        <w:t>целях распространения знаний и информации по целому комплексу прав человека, в том числе семейных прав, Управление по регистрации актов гражданского состояния, начиная с 1999 года, подготовило и распространило большое количество брошюр. Поскольку речь идет о вопросах, которые наиб</w:t>
      </w:r>
      <w:r>
        <w:t>о</w:t>
      </w:r>
      <w:r>
        <w:t>лее часто возникают в ходе юридических консультаций и судопроизводства</w:t>
      </w:r>
      <w:r>
        <w:rPr>
          <w:rStyle w:val="FootnoteReference"/>
        </w:rPr>
        <w:footnoteReference w:customMarkFollows="1" w:id="154"/>
        <w:t>151</w:t>
      </w:r>
      <w:r>
        <w:t xml:space="preserve"> у женщин, можно полагать, что данный учебный материал обеспечил этой части населения больший доступ к информации. Брошюры были посвящены сл</w:t>
      </w:r>
      <w:r>
        <w:t>е</w:t>
      </w:r>
      <w:r>
        <w:t>дующим темам: рождение, смерть, заключение брака, правила наследования, Закон об усыновлении/удочерении, регистрация моторизованных средств, св</w:t>
      </w:r>
      <w:r>
        <w:t>е</w:t>
      </w:r>
      <w:r>
        <w:t xml:space="preserve">дения о судимостях, новый паспорт, новое удостоверение личности.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310.</w:t>
      </w:r>
      <w:r>
        <w:tab/>
        <w:t>Продвижения в законодательстве по вопросам брака и семейных отнош</w:t>
      </w:r>
      <w:r>
        <w:t>е</w:t>
      </w:r>
      <w:r>
        <w:t>ний уже были отражены в соответствующем разделе “Равноправие перед зак</w:t>
      </w:r>
      <w:r>
        <w:t>о</w:t>
      </w:r>
      <w:r>
        <w:t xml:space="preserve">ном”, но в связи с особой важностью следует упомянуть следующие: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311.</w:t>
      </w:r>
      <w:r>
        <w:tab/>
        <w:t>Законопроект с изменениями к Закону о гражданском браке разрешающий расторжение брака, причем с одинаковыми требованиями к мужчинам и же</w:t>
      </w:r>
      <w:r>
        <w:t>н</w:t>
      </w:r>
      <w:r>
        <w:t>щинам, и гарантирующий экономическую компенсацию тому из супругов, к</w:t>
      </w:r>
      <w:r>
        <w:t>о</w:t>
      </w:r>
      <w:r>
        <w:t xml:space="preserve">торый возьмет на себя основную часть ухода за детьми и работ по дому.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312.</w:t>
      </w:r>
      <w:r>
        <w:tab/>
        <w:t>Закон об усыновлении/удочерении № 19.585, вступивший в силу в октябре 1999 года и устанавливающий равноправие детей перед законом. Закон ликв</w:t>
      </w:r>
      <w:r>
        <w:t>и</w:t>
      </w:r>
      <w:r>
        <w:t>дирует все формы дискриминации между детьми, родившимися от родителей в браке и вне брака, предоставляя внебрачным детям равные права на получение питания, наследственные права и права на юридическую регистрацию в соо</w:t>
      </w:r>
      <w:r>
        <w:t>т</w:t>
      </w:r>
      <w:r>
        <w:t>ветствии с законом, а также закрепляет принцип свободного установления о</w:t>
      </w:r>
      <w:r>
        <w:t>т</w:t>
      </w:r>
      <w:r>
        <w:t>цовства, для чего допускается проведение любых проб, включая биологич</w:t>
      </w:r>
      <w:r>
        <w:t>е</w:t>
      </w:r>
      <w:r>
        <w:t xml:space="preserve">ские.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313.</w:t>
      </w:r>
      <w:r>
        <w:tab/>
        <w:t>18 января 2001 года в “Официальном вестнике” публикуется Закон № 19711, который регулирует право на посещение детей, переданных на поп</w:t>
      </w:r>
      <w:r>
        <w:t>е</w:t>
      </w:r>
      <w:r>
        <w:t>чение одному из родителей. Данный закон направлен на эффективное обесп</w:t>
      </w:r>
      <w:r>
        <w:t>е</w:t>
      </w:r>
      <w:r>
        <w:t xml:space="preserve">чение права матери или отца на поддержание личных и прямых отношений с детьми, оказавшимися в подобной ситуации.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314.</w:t>
      </w:r>
      <w:r>
        <w:tab/>
        <w:t>Законопроект, который заменяет общую совместную собственность су</w:t>
      </w:r>
      <w:r>
        <w:t>п</w:t>
      </w:r>
      <w:r>
        <w:t>ругов на режим, предусматривающий раздел общего имущества, приобрете</w:t>
      </w:r>
      <w:r>
        <w:t>н</w:t>
      </w:r>
      <w:r>
        <w:t>ного в браке. В данном проекте предлагаются важные и очень серьезные изм</w:t>
      </w:r>
      <w:r>
        <w:t>е</w:t>
      </w:r>
      <w:r>
        <w:t>нения в отношении права на имущество после развода, изменяя обычный р</w:t>
      </w:r>
      <w:r>
        <w:t>е</w:t>
      </w:r>
      <w:r>
        <w:t>жим общей совместной собственности супругов на режим равных прав мужч</w:t>
      </w:r>
      <w:r>
        <w:t>и</w:t>
      </w:r>
      <w:r>
        <w:t>ны и женщины при разделе общего имущества, приобретенн</w:t>
      </w:r>
      <w:r>
        <w:t>о</w:t>
      </w:r>
      <w:r>
        <w:t xml:space="preserve">го в браке.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7.</w:t>
      </w:r>
      <w:r>
        <w:tab/>
        <w:t>Пресечение насилия в отношении женщин (статья 6 и резолюция Организации Объ</w:t>
      </w:r>
      <w:r>
        <w:t>е</w:t>
      </w:r>
      <w:r>
        <w:t>диненных Наций № 19)</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u w:val="single"/>
          <w:lang w:val="en-US"/>
        </w:rPr>
      </w:pPr>
      <w:r>
        <w:rPr>
          <w:b/>
          <w:u w:val="single"/>
        </w:rPr>
        <w:t>Бытовое насилие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315.</w:t>
      </w:r>
      <w:r>
        <w:tab/>
        <w:t>В 1993 году в Чили было проведено первое исследование роста насилия в семье</w:t>
      </w:r>
      <w:r>
        <w:rPr>
          <w:rStyle w:val="FootnoteReference"/>
        </w:rPr>
        <w:footnoteReference w:customMarkFollows="1" w:id="155"/>
        <w:t>152</w:t>
      </w:r>
      <w:r>
        <w:t>, которое выявило, что 26,2 процента женщин, состоящих в официал</w:t>
      </w:r>
      <w:r>
        <w:t>ь</w:t>
      </w:r>
      <w:r>
        <w:t>ном или неофициальном браке,  признали случаи, когда они подвергались ф</w:t>
      </w:r>
      <w:r>
        <w:t>и</w:t>
      </w:r>
      <w:r>
        <w:t>зическому насилию в отношениях со своим партнером, в то время как 33,5 процента из них заявили о том, что подвергаются психологическому нас</w:t>
      </w:r>
      <w:r>
        <w:t>и</w:t>
      </w:r>
      <w:r>
        <w:t xml:space="preserve">лию. В 2001 году по поручению </w:t>
      </w:r>
      <w:r>
        <w:rPr>
          <w:lang w:val="en-US"/>
        </w:rPr>
        <w:t>СЕРНАМ</w:t>
      </w:r>
      <w:r>
        <w:t xml:space="preserve"> было проведено новое исследование роста насилия в семье</w:t>
      </w:r>
      <w:r>
        <w:rPr>
          <w:rStyle w:val="FootnoteReference"/>
        </w:rPr>
        <w:footnoteReference w:customMarkFollows="1" w:id="156"/>
        <w:t>153</w:t>
      </w:r>
      <w:r>
        <w:t>, согласно которому около 50,3 процента женщин, с</w:t>
      </w:r>
      <w:r>
        <w:t>о</w:t>
      </w:r>
      <w:r>
        <w:t>стоящих или ранее состоявших в официальном или неофициальном браке и проживающих в столичной области, подвергались насилию в той или иной форме со стороны своего партнера. Примерно 16,3 процента женщин подверг</w:t>
      </w:r>
      <w:r>
        <w:t>а</w:t>
      </w:r>
      <w:r>
        <w:t>лись только психологическому насилию. Около 34 процентов женщин подве</w:t>
      </w:r>
      <w:r>
        <w:t>р</w:t>
      </w:r>
      <w:r>
        <w:t>гались физическому и/или сексуальному насилию, из них примерно 14,9 процента испытали сексуальное насилие. Наиболее частой формой нас</w:t>
      </w:r>
      <w:r>
        <w:t>и</w:t>
      </w:r>
      <w:r>
        <w:t>лия против женщины является как раз насилие, происходящее в семье, и бол</w:t>
      </w:r>
      <w:r>
        <w:t>ь</w:t>
      </w:r>
      <w:r>
        <w:t>шей частью такое насилие осуществляется среди нынешних или бывших с</w:t>
      </w:r>
      <w:r>
        <w:t>е</w:t>
      </w:r>
      <w:r>
        <w:t>мейных пар, в том числе физическое, психологическое и сексуальное надруг</w:t>
      </w:r>
      <w:r>
        <w:t>а</w:t>
      </w:r>
      <w:r>
        <w:t xml:space="preserve">тельство над женщиной.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316.</w:t>
      </w:r>
      <w:r>
        <w:tab/>
        <w:t xml:space="preserve">В 1992 году Национальное управление по делам женщин создало </w:t>
      </w:r>
      <w:r>
        <w:rPr>
          <w:b/>
        </w:rPr>
        <w:t>Наци</w:t>
      </w:r>
      <w:r>
        <w:rPr>
          <w:b/>
        </w:rPr>
        <w:t>о</w:t>
      </w:r>
      <w:r>
        <w:rPr>
          <w:b/>
        </w:rPr>
        <w:t>нальную программу предупреждения насилия в семье</w:t>
      </w:r>
      <w:r>
        <w:t>, в которой впервые со стороны государства затрагивается вопрос о предотвращении насилия и ок</w:t>
      </w:r>
      <w:r>
        <w:t>а</w:t>
      </w:r>
      <w:r>
        <w:t xml:space="preserve">зании помощи его жертвам. В то же время создаются шесть первых центров по предотвращению насилия и оказанию помощи его жертвам и разрабатываются первые схемы профессиональной подготовки к такой работе, к которой вначале был привлечен корпус карабинеров Чили. За этот период, который охватывает почти десять лет, чилийское государство, используя </w:t>
      </w:r>
      <w:r>
        <w:rPr>
          <w:lang w:val="en-US"/>
        </w:rPr>
        <w:t>СЕРНАМ</w:t>
      </w:r>
      <w:r>
        <w:t>, добивается в</w:t>
      </w:r>
      <w:r>
        <w:t>ы</w:t>
      </w:r>
      <w:r>
        <w:t>несения темы насилия в семье на рассмотрение всего общества, признания многогранности насилия в семье и обеспечение подхода к этой тематике как к социально–культурной проблеме, а также включения гендерных аспектов как в работу по предотвращению насилия, так и в процесс оказания помощи его жертвам. Кроме того, по всей стране начинается создание муниципальных межведомственных сетей, которые способствовали использованию имеющихся возможностей в данной области и осознанию своей ответственности политич</w:t>
      </w:r>
      <w:r>
        <w:t>е</w:t>
      </w:r>
      <w:r>
        <w:t>скими деятелями, специалистами–профессионалами и гражданским обществом в отношении этой проблемы и ее возможного решения, особенно в том, что к</w:t>
      </w:r>
      <w:r>
        <w:t>а</w:t>
      </w:r>
      <w:r>
        <w:t xml:space="preserve">сается предотвращения насилия в семье.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317.</w:t>
      </w:r>
      <w:r>
        <w:tab/>
        <w:t>27 августа 1994 года, после четырехлетнего рассмотрения в Парламенте, обнародуется Закон № 19.325 о насилии в семье. Этим Законом стимулируется подача заявлений о фактах насилия и предусматривается механизм защиты от насилия и наказания за него. В настоящее время исполнительная власть пр</w:t>
      </w:r>
      <w:r>
        <w:t>о</w:t>
      </w:r>
      <w:r>
        <w:t xml:space="preserve">двигает принятие </w:t>
      </w:r>
      <w:r>
        <w:rPr>
          <w:b/>
        </w:rPr>
        <w:t>проекта поправок к данному Закону</w:t>
      </w:r>
      <w:r>
        <w:rPr>
          <w:rStyle w:val="FootnoteReference"/>
        </w:rPr>
        <w:footnoteReference w:customMarkFollows="1" w:id="157"/>
        <w:t>154</w:t>
      </w:r>
      <w:r>
        <w:t xml:space="preserve"> в целях улучшения его применения. Кроме того, в процессе парламентского рассмотрения нах</w:t>
      </w:r>
      <w:r>
        <w:t>о</w:t>
      </w:r>
      <w:r>
        <w:t xml:space="preserve">дится законопроект о </w:t>
      </w:r>
      <w:r>
        <w:rPr>
          <w:b/>
        </w:rPr>
        <w:t>создании Судов по семейным делам</w:t>
      </w:r>
      <w:r>
        <w:t>, содержащий изм</w:t>
      </w:r>
      <w:r>
        <w:t>е</w:t>
      </w:r>
      <w:r>
        <w:t>ненные нормы процессуальных действий по Закону о насилии в семье и пер</w:t>
      </w:r>
      <w:r>
        <w:t>е</w:t>
      </w:r>
      <w:r>
        <w:t>дающий юридические полномочия ныне действующих гражданских судов н</w:t>
      </w:r>
      <w:r>
        <w:t>о</w:t>
      </w:r>
      <w:r>
        <w:t xml:space="preserve">вым судам по семейным делам.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318.</w:t>
      </w:r>
      <w:r>
        <w:tab/>
        <w:t>Кроме того, в 1996 году чилийское государство ратифицировало Межам</w:t>
      </w:r>
      <w:r>
        <w:t>е</w:t>
      </w:r>
      <w:r>
        <w:t>риканскую конвенцию о предупреждении, наказании и искоренении насилия в отношении женщин (Конвенция Белен-ду-Пара)</w:t>
      </w:r>
      <w:r>
        <w:rPr>
          <w:rStyle w:val="FootnoteReference"/>
        </w:rPr>
        <w:footnoteReference w:customMarkFollows="1" w:id="158"/>
        <w:t>155</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319.</w:t>
      </w:r>
      <w:r>
        <w:tab/>
        <w:t xml:space="preserve">В 1998 году официально принимаются </w:t>
      </w:r>
      <w:r>
        <w:rPr>
          <w:b/>
        </w:rPr>
        <w:t>“Технические указания по ок</w:t>
      </w:r>
      <w:r>
        <w:rPr>
          <w:b/>
        </w:rPr>
        <w:t>а</w:t>
      </w:r>
      <w:r>
        <w:rPr>
          <w:b/>
        </w:rPr>
        <w:t>занию помощи в случаях жестокого обращения с детьми и насилия в с</w:t>
      </w:r>
      <w:r>
        <w:rPr>
          <w:b/>
        </w:rPr>
        <w:t>е</w:t>
      </w:r>
      <w:r>
        <w:rPr>
          <w:b/>
        </w:rPr>
        <w:t>мье”</w:t>
      </w:r>
      <w:r>
        <w:rPr>
          <w:rStyle w:val="FootnoteReference"/>
        </w:rPr>
        <w:footnoteReference w:customMarkFollows="1" w:id="159"/>
        <w:t>156</w:t>
      </w:r>
      <w:r>
        <w:t xml:space="preserve"> и начинаются мероприятия по предупреждению насилия и оказанию помощи его жертвам в Центрах по защите психического здоровья в семье (</w:t>
      </w:r>
      <w:r>
        <w:rPr>
          <w:lang w:val="en-US"/>
        </w:rPr>
        <w:t>КОСАМ</w:t>
      </w:r>
      <w:r>
        <w:t>) и по предупреждению и выявлению насилия в Программе охраны здоровья женщины и в Программе охраны здоровья детей. В том же году ра</w:t>
      </w:r>
      <w:r>
        <w:t>з</w:t>
      </w:r>
      <w:r>
        <w:t>рабатывается “Справочник по выявлению жестокого обращения и сексуального надругательства в отношении детей и подростков и по дальнейшим действиям служб по оказанию срочной медицинской помощи”</w:t>
      </w:r>
      <w:r>
        <w:rPr>
          <w:rStyle w:val="FootnoteReference"/>
        </w:rPr>
        <w:footnoteReference w:customMarkFollows="1" w:id="160"/>
        <w:t>157</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320.</w:t>
      </w:r>
      <w:r>
        <w:tab/>
        <w:t>В 1999 году осуществляется реформа Уголовного кодекса в части, каса</w:t>
      </w:r>
      <w:r>
        <w:t>ю</w:t>
      </w:r>
      <w:r>
        <w:t>щейся преступлений на сексуальной почве</w:t>
      </w:r>
      <w:r>
        <w:rPr>
          <w:rStyle w:val="FootnoteReference"/>
        </w:rPr>
        <w:footnoteReference w:customMarkFollows="1" w:id="161"/>
        <w:t>158</w:t>
      </w:r>
      <w:r>
        <w:t>, которая становится очень ва</w:t>
      </w:r>
      <w:r>
        <w:t>ж</w:t>
      </w:r>
      <w:r>
        <w:t>ным вкладом, так как учитывает современное положение дел в этой сфере и четко определяет изнасилование жены мужем как новый состав преступления. После обнародования данного Закона и принятия специального решения № 710 Службы судебно–медицинской экспертизы, не только эта организация, но и все специалисты здравоохранения в больницах, клиниках или других подобных учреждениях, как государственных, так и частных, получили право проводить осмотр, врачебное обследование и брать биологические пробы, направленные на удостоверение факта преступления и на идентификацию совершивших его лиц. Начиная с этого года, Министерство здравоохранения работает над увел</w:t>
      </w:r>
      <w:r>
        <w:t>и</w:t>
      </w:r>
      <w:r>
        <w:t>чением возможностей и повышением качества оказания помощи лицам, п</w:t>
      </w:r>
      <w:r>
        <w:t>о</w:t>
      </w:r>
      <w:r>
        <w:t>страдавшим от сексуального насилия, путем введения новых нормативных а</w:t>
      </w:r>
      <w:r>
        <w:t>к</w:t>
      </w:r>
      <w:r>
        <w:t xml:space="preserve">тов и протокольных записей об оказании помощи и заключения соглашений с Министерством внутренних дел.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321.</w:t>
      </w:r>
      <w:r>
        <w:tab/>
        <w:t xml:space="preserve">В течение 2001 года </w:t>
      </w:r>
      <w:r>
        <w:rPr>
          <w:lang w:val="en-US"/>
        </w:rPr>
        <w:t>СЕРНАМ</w:t>
      </w:r>
      <w:r>
        <w:t xml:space="preserve"> выпустило </w:t>
      </w:r>
      <w:r>
        <w:rPr>
          <w:b/>
        </w:rPr>
        <w:t>Пособие по применению З</w:t>
      </w:r>
      <w:r>
        <w:rPr>
          <w:b/>
        </w:rPr>
        <w:t>а</w:t>
      </w:r>
      <w:r>
        <w:rPr>
          <w:b/>
        </w:rPr>
        <w:t>кона о насилии в семье</w:t>
      </w:r>
      <w:r>
        <w:t>, предназначенное специально для судей и судебных чиновников. С другой стороны, большое число государственных служащих, з</w:t>
      </w:r>
      <w:r>
        <w:t>а</w:t>
      </w:r>
      <w:r>
        <w:t>нятых в основном в сфере образования и здравоохранения, в судебной власти, в муниципалитетах и полиции (в частности, служащие Корпуса карабинеров Ч</w:t>
      </w:r>
      <w:r>
        <w:t>и</w:t>
      </w:r>
      <w:r>
        <w:t>ли), получили профессиональную подготовку по вопросам насилия в семье, и таким образом они привлечены, главным образом, к выполнению задачи по предупреждению насилия (первичного и повторного). С 1991 года по 1999 год удалось охватить такой подготовкой 24 000 служ</w:t>
      </w:r>
      <w:r>
        <w:t>а</w:t>
      </w:r>
      <w:r>
        <w:t xml:space="preserve">щих.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Меры по предупреждению насилия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322.</w:t>
      </w:r>
      <w:r>
        <w:tab/>
        <w:t xml:space="preserve">За последние годы были проведены </w:t>
      </w:r>
      <w:r>
        <w:rPr>
          <w:b/>
        </w:rPr>
        <w:t>различные кампании в средствах массовой информации</w:t>
      </w:r>
      <w:r>
        <w:t>, ориентированные на предупреждение насилия в с</w:t>
      </w:r>
      <w:r>
        <w:t>е</w:t>
      </w:r>
      <w:r>
        <w:t>мье</w:t>
      </w:r>
      <w:r>
        <w:rPr>
          <w:rStyle w:val="FootnoteReference"/>
        </w:rPr>
        <w:footnoteReference w:customMarkFollows="1" w:id="162"/>
        <w:t>159</w:t>
      </w:r>
      <w:r>
        <w:t>. Следует выделить проведенную в 2000 году кампанию “Женщина с правами – настоящая гражданка”, в ходе которой женщинам непосредственно вручались брошюры “Мой дружок плохо со мной обращается, что я могу сд</w:t>
      </w:r>
      <w:r>
        <w:t>е</w:t>
      </w:r>
      <w:r>
        <w:t xml:space="preserve">лать?” с информацией о Законе о насилии в семье и о тех местах, куда следует обратиться за помощью.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323.</w:t>
      </w:r>
      <w:r>
        <w:tab/>
        <w:t>В 2001 году была проведена кампания по предупреждению насилия в м</w:t>
      </w:r>
      <w:r>
        <w:t>о</w:t>
      </w:r>
      <w:r>
        <w:t>лодых семьях “Не допусти насилия над твоей подружкой”, цель которой с</w:t>
      </w:r>
      <w:r>
        <w:t>о</w:t>
      </w:r>
      <w:r>
        <w:t>стояла в том, чтобы совместно с гражданским обществом содействовать орг</w:t>
      </w:r>
      <w:r>
        <w:t>а</w:t>
      </w:r>
      <w:r>
        <w:t>низации жизни молодых пар на основе уважения и неприменения насилия. Стратегическая задача состояла в том, чтобы мобилизовать семейные пары на решение этой проблемы и убедить их в появлении новой культуры – культуры жизни в мире и согласии, на основе уважения и равноправия. Кампания осущ</w:t>
      </w:r>
      <w:r>
        <w:t>е</w:t>
      </w:r>
      <w:r>
        <w:t>ствлялась одновременно по двум направлениям: во-первых, мобилизация гра</w:t>
      </w:r>
      <w:r>
        <w:t>ж</w:t>
      </w:r>
      <w:r>
        <w:t>данского сознания, и во-вторых, пропаганда через средства массовой информ</w:t>
      </w:r>
      <w:r>
        <w:t>а</w:t>
      </w:r>
      <w:r>
        <w:t>ции (афиши, радиопередачи, телереклама, учебные видеофильмы, брош</w:t>
      </w:r>
      <w:r>
        <w:t>ю</w:t>
      </w:r>
      <w:r>
        <w:t xml:space="preserve">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324.</w:t>
      </w:r>
      <w:r>
        <w:tab/>
        <w:t>В рамках деятельности по предупреждению насилия в семье в течение 2000–2001 годов во всех регионах страны были подготовлены профессионал</w:t>
      </w:r>
      <w:r>
        <w:t>ь</w:t>
      </w:r>
      <w:r>
        <w:t xml:space="preserve">ные кадры для более широкого выполнения проекта воспитательных программ по ненасильственному решению конфликтов с  учетом гендерных факторов, в том числе и для разработки схем соответствующего обучения в начальной и средней школе.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325.</w:t>
      </w:r>
      <w:r>
        <w:tab/>
        <w:t>Национальная ассоциация детских садов (</w:t>
      </w:r>
      <w:r>
        <w:rPr>
          <w:lang w:val="en-US"/>
        </w:rPr>
        <w:t>НАДС</w:t>
      </w:r>
      <w:r>
        <w:t xml:space="preserve">), начиная с 1999 года, выполняет соглашение, подписанное с </w:t>
      </w:r>
      <w:r>
        <w:rPr>
          <w:lang w:val="en-US"/>
        </w:rPr>
        <w:t>СЕРНАМ</w:t>
      </w:r>
      <w:r>
        <w:t>, цель которого состоит в ус</w:t>
      </w:r>
      <w:r>
        <w:t>и</w:t>
      </w:r>
      <w:r>
        <w:t>лении пропагандистской работы с маленькими детьми (дошкольниками) для того, чтобы содействовать созданию здоровых взаимоотношений путем выпо</w:t>
      </w:r>
      <w:r>
        <w:t>л</w:t>
      </w:r>
      <w:r>
        <w:t xml:space="preserve">нения в детских садах 13 областей страны </w:t>
      </w:r>
      <w:r>
        <w:rPr>
          <w:b/>
        </w:rPr>
        <w:t>проекта “Расти и развиваться в процессе повседневной жизни”</w:t>
      </w:r>
      <w:r>
        <w:t>. В течение 1999–2001 годов удалось профе</w:t>
      </w:r>
      <w:r>
        <w:t>с</w:t>
      </w:r>
      <w:r>
        <w:t xml:space="preserve">сионально подготовить 850 воспитателей и воспитательниц в 101 детском саду, охватив при этом 5335 семей–бенефициаров, и проект закрепился в программе действий </w:t>
      </w:r>
      <w:r>
        <w:rPr>
          <w:lang w:val="en-US"/>
        </w:rPr>
        <w:t>НАДС</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326.</w:t>
      </w:r>
      <w:r>
        <w:tab/>
        <w:t>В рамках стратегии по предупреждению насилия и соответствующего воспитания, включение темы насилия в семье в учебные программы курсов по профессиональной подготовке стало очень важным достижением. В этом плане можно выделить Юридическую академию (программы как для судей, так и для чиновников), Корпус карабинеров Чили (для всего наличного состава) и нек</w:t>
      </w:r>
      <w:r>
        <w:t>о</w:t>
      </w:r>
      <w:r>
        <w:t>торые другие университеты, включившие эту тематику как составную часть в отдельные дисциплины или в программы аспирантуры. Кроме того, эта тема частично и в разных формах включена в программы колледжей, а это привело к тому, что ученики и ученицы с большим вниманием конспектируют соответс</w:t>
      </w:r>
      <w:r>
        <w:t>т</w:t>
      </w:r>
      <w:r>
        <w:t xml:space="preserve">вующие материалы в библиотеках и центрах документации или добиваются встреч с экспертами–профессионалами.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327.</w:t>
      </w:r>
      <w:r>
        <w:tab/>
        <w:t>В</w:t>
      </w:r>
      <w:r>
        <w:rPr>
          <w:lang w:val="en-US"/>
        </w:rPr>
        <w:t> </w:t>
      </w:r>
      <w:r>
        <w:t xml:space="preserve">течение 2002–2003 годов были проведены </w:t>
      </w:r>
      <w:r>
        <w:rPr>
          <w:b/>
        </w:rPr>
        <w:t>дискуссии “за круглым ст</w:t>
      </w:r>
      <w:r>
        <w:rPr>
          <w:b/>
        </w:rPr>
        <w:t>о</w:t>
      </w:r>
      <w:r>
        <w:rPr>
          <w:b/>
        </w:rPr>
        <w:t>лом” по предупреждению насилия в семье</w:t>
      </w:r>
      <w:r>
        <w:t xml:space="preserve"> при участии </w:t>
      </w:r>
      <w:r>
        <w:rPr>
          <w:lang w:val="en-US"/>
        </w:rPr>
        <w:t>СЕРНАМ</w:t>
      </w:r>
      <w:r>
        <w:t>, учрежд</w:t>
      </w:r>
      <w:r>
        <w:t>е</w:t>
      </w:r>
      <w:r>
        <w:t>ний Организации Объединенных Наций и представителей гражданского общ</w:t>
      </w:r>
      <w:r>
        <w:t>е</w:t>
      </w:r>
      <w:r>
        <w:t xml:space="preserve">ства. Эти мероприятия координируются </w:t>
      </w:r>
      <w:r>
        <w:rPr>
          <w:lang w:val="en-US"/>
        </w:rPr>
        <w:t>СЕРНАМ</w:t>
      </w:r>
      <w:r>
        <w:t xml:space="preserve"> и направлены на расширение деятельности – в области как образования, так и здравоохранения – по обесп</w:t>
      </w:r>
      <w:r>
        <w:t>е</w:t>
      </w:r>
      <w:r>
        <w:t>чению совместной жизни в демократических условиях на базе таких основоп</w:t>
      </w:r>
      <w:r>
        <w:t>о</w:t>
      </w:r>
      <w:r>
        <w:t>лагающих ценностей как реальное равноправие, уважение к иному мнению и использов</w:t>
      </w:r>
      <w:r>
        <w:t>а</w:t>
      </w:r>
      <w:r>
        <w:t xml:space="preserve">ние диалога как метода решения конфликтов.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328.</w:t>
      </w:r>
      <w:r>
        <w:tab/>
        <w:t>Министерство юстиции разработало политику предупреждения жестокого обращения с детьми, уделив особое внимание насилию в отношении девочек. Среди задач, стоящих перед Управлением по делам несовершеннолетних М</w:t>
      </w:r>
      <w:r>
        <w:t>и</w:t>
      </w:r>
      <w:r>
        <w:t xml:space="preserve">нистерства юстиции, мы можем упомянуть координацию деятельности </w:t>
      </w:r>
      <w:r>
        <w:rPr>
          <w:b/>
        </w:rPr>
        <w:t>Межв</w:t>
      </w:r>
      <w:r>
        <w:rPr>
          <w:b/>
        </w:rPr>
        <w:t>е</w:t>
      </w:r>
      <w:r>
        <w:rPr>
          <w:b/>
        </w:rPr>
        <w:t>домственного комитета по предупреждению жестокого обращения с дет</w:t>
      </w:r>
      <w:r>
        <w:rPr>
          <w:b/>
        </w:rPr>
        <w:t>ь</w:t>
      </w:r>
      <w:r>
        <w:rPr>
          <w:b/>
        </w:rPr>
        <w:t>ми</w:t>
      </w:r>
      <w:r>
        <w:rPr>
          <w:rStyle w:val="FootnoteReference"/>
        </w:rPr>
        <w:footnoteReference w:customMarkFollows="1" w:id="163"/>
        <w:t>160</w:t>
      </w:r>
      <w:r>
        <w:t>. Данному Комитету поручена разработка политики, подготовка рекоме</w:t>
      </w:r>
      <w:r>
        <w:t>н</w:t>
      </w:r>
      <w:r>
        <w:t>даций и координация деятельности в общественной сфере различных секторов населения, так или иначе затронутых данной проблемой. В этих целях был подготовлен План действий по предупреждению жестокого обращения с дет</w:t>
      </w:r>
      <w:r>
        <w:t>ь</w:t>
      </w:r>
      <w:r>
        <w:t>ми в Чили на 2001–2006 годы. Помимо прочего, Планом предусматривается показать взаимосвязь между предупреждением жестокого насилия и пропага</w:t>
      </w:r>
      <w:r>
        <w:t>н</w:t>
      </w:r>
      <w:r>
        <w:t>дой хорошего обращения с детьми в нашей стране. Начиная с 1997 года, в о</w:t>
      </w:r>
      <w:r>
        <w:t>к</w:t>
      </w:r>
      <w:r>
        <w:t>тябре месяце Комитетом проведено уже четыре национальные и региональные кампании “За хорошее обращение с детьми” с целью пропаганды уважения к правам детей и предупреждения жестокого о</w:t>
      </w:r>
      <w:r>
        <w:t>б</w:t>
      </w:r>
      <w:r>
        <w:t xml:space="preserve">ращения с детьми.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Помощь в случае насилия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329.</w:t>
      </w:r>
      <w:r>
        <w:tab/>
        <w:t xml:space="preserve">Для удовлетворения растущего спроса на получение помощи в результате фактов насилия в семье, в 2001–2002 годах </w:t>
      </w:r>
      <w:r>
        <w:rPr>
          <w:lang w:val="en-US"/>
        </w:rPr>
        <w:t>СЕРНАМ</w:t>
      </w:r>
      <w:r>
        <w:t xml:space="preserve"> по всей стране организ</w:t>
      </w:r>
      <w:r>
        <w:t>о</w:t>
      </w:r>
      <w:r>
        <w:t xml:space="preserve">вало </w:t>
      </w:r>
      <w:r>
        <w:rPr>
          <w:b/>
        </w:rPr>
        <w:t>“Центры по предупреждению насилия в семье и оказанию комплек</w:t>
      </w:r>
      <w:r>
        <w:rPr>
          <w:b/>
        </w:rPr>
        <w:t>с</w:t>
      </w:r>
      <w:r>
        <w:rPr>
          <w:b/>
        </w:rPr>
        <w:t>ной помощи его жертвам”</w:t>
      </w:r>
      <w:r>
        <w:t>. В течение этих лет удается создать 23 новых це</w:t>
      </w:r>
      <w:r>
        <w:t>н</w:t>
      </w:r>
      <w:r>
        <w:t>тра по всей стране, расширив таким образом существовавшую на тот момент сеть услуг по оказанию помощи и располагавшую в целом 13 центрами в о</w:t>
      </w:r>
      <w:r>
        <w:t>т</w:t>
      </w:r>
      <w:r>
        <w:t xml:space="preserve">дельных областях страны.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330.</w:t>
      </w:r>
      <w:r>
        <w:tab/>
        <w:t>В работе этих центров участвуют команды специалистов разного профиля (адвокаты, психологи, социологи, воспитатели), в задачу которых входит пр</w:t>
      </w:r>
      <w:r>
        <w:t>е</w:t>
      </w:r>
      <w:r>
        <w:t xml:space="preserve">дупреждение насилия, а также оказание специализированной и комплексной помощи женщинам, мальчикам и девочкам, пострадавшим от насилия в семье, и мужчинам, совершившим это насилие. В настоящее время проводится оценка и переориентация деятельности этих центров с учетом новой политики в этой области.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331.</w:t>
      </w:r>
      <w:r>
        <w:tab/>
        <w:t>Благодаря проделанной работе, за эти годы удалось укрепить сеть офиц</w:t>
      </w:r>
      <w:r>
        <w:t>и</w:t>
      </w:r>
      <w:r>
        <w:t>альных учреждений</w:t>
      </w:r>
      <w:r>
        <w:rPr>
          <w:rStyle w:val="FootnoteReference"/>
        </w:rPr>
        <w:footnoteReference w:customMarkFollows="1" w:id="164"/>
        <w:t>161</w:t>
      </w:r>
      <w:r>
        <w:t>, оказывающих такую специализированную помощь, как помощь в случаях изнасилования и/или сексуального злоупотребления в отн</w:t>
      </w:r>
      <w:r>
        <w:t>о</w:t>
      </w:r>
      <w:r>
        <w:t>шении женщин, девочек и мальчиков. Кроме того, на основе работы центра осуществляется постоянное профессиональное обучение чиновников тех учр</w:t>
      </w:r>
      <w:r>
        <w:t>е</w:t>
      </w:r>
      <w:r>
        <w:t xml:space="preserve">ждений по всей стране, которые связаны с данной проблематикой; в результате такого обучения за 2001–2002 годы профессиональную подготовку получили 5067 чиновников.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332.</w:t>
      </w:r>
      <w:r>
        <w:tab/>
        <w:t xml:space="preserve">В секторе здравоохранения большая помощь поступила от </w:t>
      </w:r>
      <w:r>
        <w:rPr>
          <w:b/>
        </w:rPr>
        <w:t>сети охраны психического здоровья</w:t>
      </w:r>
      <w:r>
        <w:t>, в основном через муниципальные центры охраны психического здоровья в семье (</w:t>
      </w:r>
      <w:r>
        <w:rPr>
          <w:lang w:val="en-US"/>
        </w:rPr>
        <w:t>КОСАМ</w:t>
      </w:r>
      <w:r>
        <w:t>), существующие в пяти областях страны, в которых работают психологи, социологи и психиатры</w:t>
      </w:r>
      <w:r>
        <w:rPr>
          <w:rStyle w:val="FootnoteReference"/>
        </w:rPr>
        <w:footnoteReference w:customMarkFollows="1" w:id="165"/>
        <w:t>162</w:t>
      </w:r>
      <w:r>
        <w:t>. В 2001 году в этих центрах была оказана помощь по различным проблемам психического здоровья 28 597 лицам, из них 7503 женщины и 3044 ребенка, пострадавших от насилия, и 1269 лиц, совершивших насилие. Кроме того, в 4904 случаях нас</w:t>
      </w:r>
      <w:r>
        <w:t>и</w:t>
      </w:r>
      <w:r>
        <w:t>лие было предотвр</w:t>
      </w:r>
      <w:r>
        <w:t>а</w:t>
      </w:r>
      <w:r>
        <w:t xml:space="preserve">щено.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333.</w:t>
      </w:r>
      <w:r>
        <w:tab/>
        <w:t>За эти годы были также осуществлены множество предложений со стор</w:t>
      </w:r>
      <w:r>
        <w:t>о</w:t>
      </w:r>
      <w:r>
        <w:t>ны общественных и неправительственных организаций, ориентированных на улучшение доступа и качества работы тех служб, которые оказывают непосре</w:t>
      </w:r>
      <w:r>
        <w:t>д</w:t>
      </w:r>
      <w:r>
        <w:t>ственную помощь женщинам, оказавшимся жертвами бытового и сексуального насилия. По многим предложениям, касающимся как оказания помощи жер</w:t>
      </w:r>
      <w:r>
        <w:t>т</w:t>
      </w:r>
      <w:r>
        <w:t>вам насилия, так и предупреждения такого насилия, государство работало с</w:t>
      </w:r>
      <w:r>
        <w:t>о</w:t>
      </w:r>
      <w:r>
        <w:t xml:space="preserve">вместно с гражданским обществом или подпитывалось его инициативами при разработке и выполнении своей политики, мероприятий и программ.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Насилие в отношении сельских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334.</w:t>
      </w:r>
      <w:r>
        <w:tab/>
        <w:t>Вопросам насилия, которому подвергаются женщины в сельских районах страны, было посвящено исследование</w:t>
      </w:r>
      <w:r>
        <w:rPr>
          <w:rStyle w:val="FootnoteReference"/>
        </w:rPr>
        <w:footnoteReference w:customMarkFollows="1" w:id="166"/>
        <w:t>163</w:t>
      </w:r>
      <w:r>
        <w:t>, выявившее соотношение женщин, попавших в ситуации насилия, в зависимости от зоны проживания. Согласно этому исследованию, в городских районах тому или иному виду насилия по</w:t>
      </w:r>
      <w:r>
        <w:t>д</w:t>
      </w:r>
      <w:r>
        <w:t>верглись 45,4 процента женщин, в то время как в сельской местности этот п</w:t>
      </w:r>
      <w:r>
        <w:t>о</w:t>
      </w:r>
      <w:r>
        <w:t>казатель доходит до 50,4 процента. В ситуациях, когда проявлялось только пс</w:t>
      </w:r>
      <w:r>
        <w:t>и</w:t>
      </w:r>
      <w:r>
        <w:t>хологическое насилие, оказалось 19,7 процента женщин из городских районов и 17,1</w:t>
      </w:r>
      <w:r>
        <w:rPr>
          <w:lang w:val="en-US"/>
        </w:rPr>
        <w:t> </w:t>
      </w:r>
      <w:r>
        <w:t>процента жительниц сельской местности. Физическому или сексуальн</w:t>
      </w:r>
      <w:r>
        <w:t>о</w:t>
      </w:r>
      <w:r>
        <w:t>му насилию или обоим этим видам насилия подверглись 25,7 процента горо</w:t>
      </w:r>
      <w:r>
        <w:t>д</w:t>
      </w:r>
      <w:r>
        <w:t>ских женщин и 33,3 процента сельских женщин. В последней группе также о</w:t>
      </w:r>
      <w:r>
        <w:t>т</w:t>
      </w:r>
      <w:r>
        <w:t xml:space="preserve">мечалось и психологическое насилие.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335.</w:t>
      </w:r>
      <w:r>
        <w:tab/>
        <w:t>Из вышесказанного следует, что женщины, проживающие в сельской м</w:t>
      </w:r>
      <w:r>
        <w:t>е</w:t>
      </w:r>
      <w:r>
        <w:t>стности, чаще оказываются в ситуациях насилия, чем женщины в городских районах; что психологическое насилие встречается одинаково часто в обеих зонах проживания; что показатели физического и/или сексуального насилия выше в сельской местности и что большая часть женщин, подвергшихся п</w:t>
      </w:r>
      <w:r>
        <w:t>о</w:t>
      </w:r>
      <w:r>
        <w:t xml:space="preserve">добному насилию, также пережили психологическое насилие.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336.</w:t>
      </w:r>
      <w:r>
        <w:tab/>
        <w:t>Для решения проблемы насилия, которому сельские женщины подверг</w:t>
      </w:r>
      <w:r>
        <w:t>а</w:t>
      </w:r>
      <w:r>
        <w:t>ются в семье, была принята стратегия создания местных сетей поддержки и предупреждения, которые задействуют существующие институциональные р</w:t>
      </w:r>
      <w:r>
        <w:t>е</w:t>
      </w:r>
      <w:r>
        <w:t xml:space="preserve">сурсы, оказывая первую помощь и предоставляя юридическую и социальную информацию пострадавшим женщинам. Кроме того, было решено прибегнуть к подготовке государственных кадров.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rPr>
        <w:t>Уголовные санкции и другие средства правовой защиты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337.</w:t>
      </w:r>
      <w:r>
        <w:tab/>
        <w:t>Что касается уголовных санкций, в нашем законодательстве четко не у</w:t>
      </w:r>
      <w:r>
        <w:t>с</w:t>
      </w:r>
      <w:r>
        <w:t>тановлено наказаний за разные формы насилия в отношении женщин; только в случае если насилие сопровождается телесными повреждениями средней или высокой тяжести, применяются санкции, предусматривающие лишение своб</w:t>
      </w:r>
      <w:r>
        <w:t>о</w:t>
      </w:r>
      <w:r>
        <w:t>ды. Закон о насилии в семье в свою очередь, несмотря на его гражданский х</w:t>
      </w:r>
      <w:r>
        <w:t>а</w:t>
      </w:r>
      <w:r>
        <w:t xml:space="preserve">рактер, устанавливает в качестве санкций заключение сроком до 60 дней, штраф, принудительное лечение или прохождение образовательных программ и общественные исправительные работы.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338.</w:t>
      </w:r>
      <w:r>
        <w:tab/>
        <w:t>Важно отметить, что в Чили находится в процессе постепенной реализ</w:t>
      </w:r>
      <w:r>
        <w:t>а</w:t>
      </w:r>
      <w:r>
        <w:t>ции уголовно-процессуальная реформа, которая должна среди прочего обесп</w:t>
      </w:r>
      <w:r>
        <w:t>е</w:t>
      </w:r>
      <w:r>
        <w:t>чить жертвам защиту и хорошее обращение, эффективное и транспарентное с</w:t>
      </w:r>
      <w:r>
        <w:t>у</w:t>
      </w:r>
      <w:r>
        <w:t xml:space="preserve">допроизводство, что будет иметь благоприятное последствие для женщин, ставших жертвами жестокого проявления агрессии и сексуального насилия.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339.</w:t>
      </w:r>
      <w:r>
        <w:tab/>
        <w:t>В связи с гражданскими средствами правовой защиты, к которым приб</w:t>
      </w:r>
      <w:r>
        <w:t>е</w:t>
      </w:r>
      <w:r>
        <w:t>гают в случае насилия в семье, уже упоминался Закон № 19325 о насилии в с</w:t>
      </w:r>
      <w:r>
        <w:t>е</w:t>
      </w:r>
      <w:r>
        <w:t xml:space="preserve">мье, настоящий проект поправок к Закону о насилии в семье и проект закона о создании судов по семейным делам. В обоих случаях устанавливаются меры защиты и предусматриваются индивидуальные судебные ресурсы для каждого процесса.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340.</w:t>
      </w:r>
      <w:r>
        <w:tab/>
        <w:t>Из-за ограничения в средствах не существует правительственных домов помощи для жертв насилия в семье, в связи с чем СЕРНАМ координирует ч</w:t>
      </w:r>
      <w:r>
        <w:t>е</w:t>
      </w:r>
      <w:r>
        <w:t>рез Центры оказания помощи и предупреждения насилия в семье работу сущ</w:t>
      </w:r>
      <w:r>
        <w:t>е</w:t>
      </w:r>
      <w:r>
        <w:t>ствующих в стране домов помощи и приютов для женщин. Даже это количес</w:t>
      </w:r>
      <w:r>
        <w:t>т</w:t>
      </w:r>
      <w:r>
        <w:t>во учреждений не отвечает потенциальному спросу, и они в основном связаны с частными и/или религиозными учреждениями, например, методистской или католической церкви, через религиозное объединение Дом Хр</w:t>
      </w:r>
      <w:r>
        <w:t>и</w:t>
      </w:r>
      <w:r>
        <w:t xml:space="preserve">ста.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341.</w:t>
      </w:r>
      <w:r>
        <w:tab/>
        <w:t>В</w:t>
      </w:r>
      <w:r>
        <w:rPr>
          <w:lang w:val="en-US"/>
        </w:rPr>
        <w:t> </w:t>
      </w:r>
      <w:r>
        <w:t>случаях инцеста или совращения – которое теперь в Чили называется сексуальным принуждением – поддержка оказывается Центрами оказания п</w:t>
      </w:r>
      <w:r>
        <w:t>о</w:t>
      </w:r>
      <w:r>
        <w:t>мощи и предупреждения насилия в семье и Отделением по делам жертв и св</w:t>
      </w:r>
      <w:r>
        <w:t>и</w:t>
      </w:r>
      <w:r>
        <w:t xml:space="preserve">детелей жестоких преступлений при Министерстве юстиции.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Гражданская безопасность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342.</w:t>
      </w:r>
      <w:r>
        <w:tab/>
        <w:t>Министерство внутренних дел включило в политику гражданской без</w:t>
      </w:r>
      <w:r>
        <w:t>о</w:t>
      </w:r>
      <w:r>
        <w:t>пасности, которая ведется одноименным департаментом, не только преступное насилие в отношении людей, но, начиная с 2002 года, также и насилие в семье. В министерстве пересмотрели это явление и решили расценивать его не как н</w:t>
      </w:r>
      <w:r>
        <w:t>е</w:t>
      </w:r>
      <w:r>
        <w:t>что, связанное исключительно с частной семейной жизни, а как насилие, имеющее отношение к неуверенности в безопасности, которую испытывают граждане, и в особенности женщины, страдающие от нее, ее свидетели и все общество в целом. Кроме того, эта проблема в значительной степени влияет на рост преступности, поскольку в семье, где процветает насилие, молодые люди имеют большую склонность к совершению преступлений, наркомании, алког</w:t>
      </w:r>
      <w:r>
        <w:t>о</w:t>
      </w:r>
      <w:r>
        <w:t>лизму, отсеву из школы и беременности в подростковом во</w:t>
      </w:r>
      <w:r>
        <w:t>з</w:t>
      </w:r>
      <w:r>
        <w:t xml:space="preserve">расте.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343.</w:t>
      </w:r>
      <w:r>
        <w:tab/>
        <w:t>В</w:t>
      </w:r>
      <w:r>
        <w:rPr>
          <w:lang w:val="en-US"/>
        </w:rPr>
        <w:t> </w:t>
      </w:r>
      <w:r>
        <w:t>связи с вышеизложенным этот вид насилия был выделен в обществе</w:t>
      </w:r>
      <w:r>
        <w:t>н</w:t>
      </w:r>
      <w:r>
        <w:t>ной повестке дня по вопросам гражданской безопасности для обсуждения К</w:t>
      </w:r>
      <w:r>
        <w:t>о</w:t>
      </w:r>
      <w:r>
        <w:t>митетами по гражданской безопасности как в сельской, так и в муниципальной сфере. По состоянию на конец 2002 года существовало 24 муниципалитета, в которых действовал План "Безопасность общества", а на протяжении 2003 года должны сформироваться 16 новых муниципальных объединений подобного х</w:t>
      </w:r>
      <w:r>
        <w:t>а</w:t>
      </w:r>
      <w:r>
        <w:t xml:space="preserve">рактера.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Сексуальное насилие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344.</w:t>
      </w:r>
      <w:r>
        <w:tab/>
        <w:t>Уровень распространения сексуального насилия тяжело установить, так как можно опираться только на данные о случаях, ставших известными, когда жертва заявляет о происшествии или обращается за медицинской консультац</w:t>
      </w:r>
      <w:r>
        <w:t>и</w:t>
      </w:r>
      <w:r>
        <w:t xml:space="preserve">ей в государственное медицинское учреждение. Несмотря на это, существуют отдельные исследования, позволяющие примерно представить масштаб этой проблемы в Чили.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345.</w:t>
      </w:r>
      <w:r>
        <w:tab/>
        <w:t>В</w:t>
      </w:r>
      <w:r>
        <w:rPr>
          <w:lang w:val="en-US"/>
        </w:rPr>
        <w:t> </w:t>
      </w:r>
      <w:r>
        <w:t>1992 году  в ходе расследования, проведенного Управлением социол</w:t>
      </w:r>
      <w:r>
        <w:t>о</w:t>
      </w:r>
      <w:r>
        <w:t>гических исследований Католического университета Чили по заказу СЕРНАМ, было определено, что ежегодно в Чили совершается порядка 20 000 сексуальных преступлений, причем заявляют о происшедшем только в 15-20 процентах случаев, что означает, что около 80-85 процентов остаются в тени</w:t>
      </w:r>
      <w:r>
        <w:rPr>
          <w:rStyle w:val="FootnoteReference"/>
        </w:rPr>
        <w:footnoteReference w:customMarkFollows="1" w:id="167"/>
        <w:t>164</w:t>
      </w:r>
      <w:r>
        <w:t>. Девять из десяти случаев приходятся на женщин, чаще всего возраст жертв колеблется от 5 до 14 лет. В более чем 70 процентов случаев преступл</w:t>
      </w:r>
      <w:r>
        <w:t>е</w:t>
      </w:r>
      <w:r>
        <w:t xml:space="preserve">ние совершается близкими людьми или знакомыми жертвы.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346.</w:t>
      </w:r>
      <w:r>
        <w:tab/>
        <w:t>С другой стороны, согласно Национальному исследованию сексуального поведения министерства здравоохранения (2000 год), проведенному среди группы, репрезентативной населению страны</w:t>
      </w:r>
      <w:r>
        <w:rPr>
          <w:rStyle w:val="FootnoteReference"/>
        </w:rPr>
        <w:footnoteReference w:customMarkFollows="1" w:id="168"/>
        <w:t>165</w:t>
      </w:r>
      <w:r>
        <w:t>, «более семи из каждых ста опрошенных женщин подвергались насилию. Почти в половине случаев изн</w:t>
      </w:r>
      <w:r>
        <w:t>а</w:t>
      </w:r>
      <w:r>
        <w:t>силование явилось первым сексуальным опытом»</w:t>
      </w:r>
      <w:r>
        <w:rPr>
          <w:rStyle w:val="FootnoteReference"/>
        </w:rPr>
        <w:footnoteReference w:customMarkFollows="1" w:id="169"/>
        <w:t>166</w:t>
      </w:r>
      <w:r>
        <w:t xml:space="preserve">. Эта новая информация служит важным вкладом в дело планирования превентивных мер и отношения к сексуальному насилию в области правосудия, здравоохранения, образования, не говоря уже о деятельности организаций гражданского общества.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347.</w:t>
      </w:r>
      <w:r>
        <w:tab/>
        <w:t>В ходе исследования также подтвердился известный факт, что насильн</w:t>
      </w:r>
      <w:r>
        <w:t>и</w:t>
      </w:r>
      <w:r>
        <w:t>ки, как правило, являются знакомыми или близкими людьми: "По заявлению большинства изнасилованных женщин, они стали жертвой знакомого, близкого человека или своего партнера, при чем речь идет в общей сложности о 78</w:t>
      </w:r>
      <w:r>
        <w:rPr>
          <w:lang w:val="en-US"/>
        </w:rPr>
        <w:t> </w:t>
      </w:r>
      <w:r>
        <w:t>процентах женщин"</w:t>
      </w:r>
      <w:r>
        <w:rPr>
          <w:rStyle w:val="FootnoteReference"/>
        </w:rPr>
        <w:footnoteReference w:customMarkFollows="1" w:id="170"/>
        <w:t>167</w:t>
      </w:r>
      <w:r>
        <w:t>. В заключение подтверждалось, что "полученные данные свидетельствует об очевидной уязвимости женщин (сексуальная уязв</w:t>
      </w:r>
      <w:r>
        <w:t>и</w:t>
      </w:r>
      <w:r>
        <w:t>мость сочетается и усиливается на фоне более широкой социальной уязвим</w:t>
      </w:r>
      <w:r>
        <w:t>о</w:t>
      </w:r>
      <w:r>
        <w:t>сти), которые не только пережили физическую и психологическую травму, став жертвами насильн</w:t>
      </w:r>
      <w:r>
        <w:t>и</w:t>
      </w:r>
      <w:r>
        <w:t>ков, но и подверглись опасности заражения ВИЧ"</w:t>
      </w:r>
      <w:r>
        <w:rPr>
          <w:rStyle w:val="FootnoteReference"/>
        </w:rPr>
        <w:footnoteReference w:customMarkFollows="1" w:id="171"/>
        <w:t>168</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348.</w:t>
      </w:r>
      <w:r>
        <w:tab/>
        <w:t>Данные по этой проблематике поступают также непосредственно из И</w:t>
      </w:r>
      <w:r>
        <w:t>н</w:t>
      </w:r>
      <w:r>
        <w:t>ститута судебной медицины. В 2002 году в результате экспертиз, проведенных Отделением судебной сексологии, было зарегистрировано 1 899 проявлений сексуального насилия в столичной области и 4 395 по стране, причем в 2001 году эта цифра возросла до 2 217</w:t>
      </w:r>
      <w:r>
        <w:rPr>
          <w:rStyle w:val="FootnoteReference"/>
        </w:rPr>
        <w:footnoteReference w:customMarkFollows="1" w:id="172"/>
        <w:t>169</w:t>
      </w:r>
      <w:r>
        <w:t>. Из общего числа жертв, прошедших через это отделение, примерно 75 процентов не достигли восемнадцатилетнего возраста и 80 процентов были женщинами. В Сантьяго было проведено 660 о</w:t>
      </w:r>
      <w:r>
        <w:t>б</w:t>
      </w:r>
      <w:r>
        <w:t>следований (лиц обоих полов) в связи с изнасилованием и 1 221 обследование в связи со случаями сексуального принуждения</w:t>
      </w:r>
      <w:r>
        <w:rPr>
          <w:rStyle w:val="FootnoteReference"/>
        </w:rPr>
        <w:footnoteReference w:customMarkFollows="1" w:id="173"/>
        <w:t>170</w:t>
      </w:r>
      <w:r>
        <w:t>. Данные, представленные КАВАС (Центром по оказанию помощи жертвам нападения на сексуальной почве), показали, что в течение десяти лет на национальном уровне в Центр обратились 5 439 жертв, из них 80 процентов не достигли восемнадцатилетнего возраста, а 78 процентов были женщинами. Согласно этой статистике большая часть подвергшихся насилию является женщинами и большая часть жертв, о</w:t>
      </w:r>
      <w:r>
        <w:t>б</w:t>
      </w:r>
      <w:r>
        <w:t xml:space="preserve">ратившихся за помощью и/или получивших ее, моложе 18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349.</w:t>
      </w:r>
      <w:r>
        <w:tab/>
        <w:t>Еще одно исследование, отражающее масштаб проблемы, было проведено неправительственной организацией Народное образование по вопросам мед</w:t>
      </w:r>
      <w:r>
        <w:t>и</w:t>
      </w:r>
      <w:r>
        <w:t>цины в общине Сан-Рамон, столичная область Сантьяго, и посвящалось секс</w:t>
      </w:r>
      <w:r>
        <w:t>у</w:t>
      </w:r>
      <w:r>
        <w:t>альному насилию в супружеских отношениях</w:t>
      </w:r>
      <w:r>
        <w:rPr>
          <w:rStyle w:val="FootnoteReference"/>
        </w:rPr>
        <w:footnoteReference w:customMarkFollows="1" w:id="174"/>
        <w:t>171</w:t>
      </w:r>
      <w:r>
        <w:t>. В ходе исследования 22,7 процента опрошенных женщин заявили о том, что подвергались сексуал</w:t>
      </w:r>
      <w:r>
        <w:t>ь</w:t>
      </w:r>
      <w:r>
        <w:t>ному насилию, причем в 21,4 процента этих случаев сексуальное насилие яв</w:t>
      </w:r>
      <w:r>
        <w:t>и</w:t>
      </w:r>
      <w:r>
        <w:t>лось результатом сексуальных отношений, навязываемых супругом. Собир</w:t>
      </w:r>
      <w:r>
        <w:t>а</w:t>
      </w:r>
      <w:r>
        <w:t xml:space="preserve">тельный образ женщин подвергшихся сексуальному насилию включает в себя следующие характеристики: средний возраст 41 год, 80 процентов замужние, 52 процента домохозяйки, 48 процентов имеют оплачиваемую работу и 47 процентов получили начальное образование.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350.</w:t>
      </w:r>
      <w:r>
        <w:tab/>
        <w:t>Как выяснилось, в Чили у 63 процентов женщин, переживших физическое и/или сексуальное насилие со стороны партнера, наблюдалось семь или  более симптомов душевного расстройства</w:t>
      </w:r>
      <w:r>
        <w:rPr>
          <w:rStyle w:val="FootnoteReference"/>
        </w:rPr>
        <w:footnoteReference w:customMarkFollows="1" w:id="175"/>
        <w:t>172</w:t>
      </w:r>
      <w:r>
        <w:t>. Среди подобных симптомов числятся: снижение аппетита, невозможность получать удовольствие от ежедневных з</w:t>
      </w:r>
      <w:r>
        <w:t>а</w:t>
      </w:r>
      <w:r>
        <w:t>нятий, чувство того, что ты не способен быть в жизни полезным, мысли о с</w:t>
      </w:r>
      <w:r>
        <w:t>а</w:t>
      </w:r>
      <w:r>
        <w:t>моубийстве. Все это не позволяет женщине вести нормальную семейную, пр</w:t>
      </w:r>
      <w:r>
        <w:t>о</w:t>
      </w:r>
      <w:r>
        <w:t>фессиональную и социальную жизнь, чтобы поверить в свои собственные с</w:t>
      </w:r>
      <w:r>
        <w:t>и</w:t>
      </w:r>
      <w:r>
        <w:t xml:space="preserve">лы, в свою семью, общину и общество в целом.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351.</w:t>
      </w:r>
      <w:r>
        <w:tab/>
        <w:t>К сожалению, из-за того что предыдущие исследования проводились н</w:t>
      </w:r>
      <w:r>
        <w:t>е</w:t>
      </w:r>
      <w:r>
        <w:t>регулярно, а данные их были противоречивы, мы не можем опираться на них, чтобы определить, уменьшилось или возросло сексуальное насилие за после</w:t>
      </w:r>
      <w:r>
        <w:t>д</w:t>
      </w:r>
      <w:r>
        <w:t>ние годы в нашей стране, и, следовательно, в какой мере на его снижение влияют пров</w:t>
      </w:r>
      <w:r>
        <w:t>о</w:t>
      </w:r>
      <w:r>
        <w:t xml:space="preserve">димые политики, программы и правовые реформы.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352.</w:t>
      </w:r>
      <w:r>
        <w:tab/>
        <w:t>В 1999 году, как уже упоминалось, была принята реформа Уголовного к</w:t>
      </w:r>
      <w:r>
        <w:t>о</w:t>
      </w:r>
      <w:r>
        <w:t>декса в сфере сексуальных преступлений, имевшая огромное значение, так как в ее ходе вся сфера была адаптирована к современным требованиям, а супр</w:t>
      </w:r>
      <w:r>
        <w:t>у</w:t>
      </w:r>
      <w:r>
        <w:t>жескому насилию было дано четкое определение. В этом законе содержится классификация анального и орального изнасилования, а также супружеского изнасилования, оговаривается, что медицинские сертификаты, выданные к</w:t>
      </w:r>
      <w:r>
        <w:t>а</w:t>
      </w:r>
      <w:r>
        <w:t>ким-либо учреждением, имеют доказательную силу, и устанавливаются меры защиты жертв. Уголовно-судебная реформа, проводимая в настоящий момент, также позволит более эффективно принимать судебные решения по делам о сексуальном насилии и улучшить полож</w:t>
      </w:r>
      <w:r>
        <w:t>е</w:t>
      </w:r>
      <w:r>
        <w:t xml:space="preserve">ние жертв.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353.</w:t>
      </w:r>
      <w:r>
        <w:tab/>
        <w:t>В</w:t>
      </w:r>
      <w:r>
        <w:rPr>
          <w:lang w:val="en-US"/>
        </w:rPr>
        <w:t> </w:t>
      </w:r>
      <w:r>
        <w:t>обязанности Центра по оказанию помощи жертвам нападения на секс</w:t>
      </w:r>
      <w:r>
        <w:t>у</w:t>
      </w:r>
      <w:r>
        <w:t>альной почве (КАВАС), организованного в 1987 году при Следственной пол</w:t>
      </w:r>
      <w:r>
        <w:t>и</w:t>
      </w:r>
      <w:r>
        <w:t>ции Чили, входит информирование, проведение ориентации и разъяснительных кампаний в общине в отношении насилия на сексуальной почве, с тем чтобы развеять связанные с преступлением мифы, представить реальное видение проблемы насилия и просветить население общины. В Центре работает пр</w:t>
      </w:r>
      <w:r>
        <w:t>о</w:t>
      </w:r>
      <w:r>
        <w:t>фессиональная команда специалистов разного профиля (психологи, психиатры, социальные работники и пр.), их основная задача сводится к реабилитации жертв, которые совершенно бесплатно получают помощь, политическую, пс</w:t>
      </w:r>
      <w:r>
        <w:t>и</w:t>
      </w:r>
      <w:r>
        <w:t>хологическую, юридическую и социальную поддержку и за которыми оставл</w:t>
      </w:r>
      <w:r>
        <w:t>я</w:t>
      </w:r>
      <w:r>
        <w:t xml:space="preserve">ют право не заявлять о случившемся в судебном порядке.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354.</w:t>
      </w:r>
      <w:r>
        <w:tab/>
        <w:t>Служба судебной медицины отвечает за проведение медицинских обсл</w:t>
      </w:r>
      <w:r>
        <w:t>е</w:t>
      </w:r>
      <w:r>
        <w:t>дований в случае проявлений сексуального насилия. Они проводятся с пом</w:t>
      </w:r>
      <w:r>
        <w:t>о</w:t>
      </w:r>
      <w:r>
        <w:t>щью Отделения судебной сексологии, задача которого заключается в предо</w:t>
      </w:r>
      <w:r>
        <w:t>с</w:t>
      </w:r>
      <w:r>
        <w:t>тавлении судебной власти законного медицинского материала, свидетельс</w:t>
      </w:r>
      <w:r>
        <w:t>т</w:t>
      </w:r>
      <w:r>
        <w:t>вующего о признаках, позволяющих утверждать о применении насилия на се</w:t>
      </w:r>
      <w:r>
        <w:t>к</w:t>
      </w:r>
      <w:r>
        <w:t>суальной почве, жертвами которого в большинстве случаев становятся женщ</w:t>
      </w:r>
      <w:r>
        <w:t>и</w:t>
      </w:r>
      <w:r>
        <w:t>ны. С августа 1995 года прием осуществляется в круглосуточном режиме, в том числе в выходные и праздничные дни. В отделении работает команда высоких профессионалов, отдающих себе отчет в том, что люди, обращающиеся за п</w:t>
      </w:r>
      <w:r>
        <w:t>о</w:t>
      </w:r>
      <w:r>
        <w:t>мощью в это учреждение, пережили травматический опыт, и чтобы уменьшить стресс, сопутствующий посещению подобных медицинских заведений, им н</w:t>
      </w:r>
      <w:r>
        <w:t>е</w:t>
      </w:r>
      <w:r>
        <w:t>обходимо теплое, человечное отношение. В распоряжении персонала имеется оборудование последнего поколения, позволяющее обнаружить малейшие п</w:t>
      </w:r>
      <w:r>
        <w:t>о</w:t>
      </w:r>
      <w:r>
        <w:t xml:space="preserve">вреждения и болезни, передающиеся половым путем, и взять биологические пробы для анализа ДНК.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355.</w:t>
      </w:r>
      <w:r>
        <w:tab/>
        <w:t>Согласно соглашению, заключенному с полицией и следственной службой Чили, в отделении также работают сотрудники этих двух учреждений, так как именно к ним в первую очередь поступают жалобы о проявлениях сексуальн</w:t>
      </w:r>
      <w:r>
        <w:t>о</w:t>
      </w:r>
      <w:r>
        <w:t>го насилия. В соглашении оговаривается постоянное присутствие</w:t>
      </w:r>
      <w:r>
        <w:rPr>
          <w:rStyle w:val="FootnoteReference"/>
        </w:rPr>
        <w:footnoteReference w:customMarkFollows="1" w:id="176"/>
        <w:t>173</w:t>
      </w:r>
      <w:r>
        <w:t xml:space="preserve"> сотрудн</w:t>
      </w:r>
      <w:r>
        <w:t>и</w:t>
      </w:r>
      <w:r>
        <w:t>ка полиции</w:t>
      </w:r>
      <w:r>
        <w:rPr>
          <w:rStyle w:val="FootnoteReference"/>
        </w:rPr>
        <w:footnoteReference w:customMarkFollows="1" w:id="177"/>
        <w:t>174</w:t>
      </w:r>
      <w:r>
        <w:t xml:space="preserve"> и сотрудника следственной службы Группы по сексуальным пр</w:t>
      </w:r>
      <w:r>
        <w:t>е</w:t>
      </w:r>
      <w:r>
        <w:t>ступлениям и делам несовершеннолетних. Кроме того, у службы есть своя т</w:t>
      </w:r>
      <w:r>
        <w:t>е</w:t>
      </w:r>
      <w:r>
        <w:t xml:space="preserve">лефонная линия, предназначенная для получения информации о сексуальных преступлениях.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Торговля женщинами и эксплуатация проституции третьими лицами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356.</w:t>
      </w:r>
      <w:r>
        <w:tab/>
        <w:t>В настоящее время в Чили насчитывается около шестидесяти тысяч чел</w:t>
      </w:r>
      <w:r>
        <w:t>о</w:t>
      </w:r>
      <w:r>
        <w:t>век, вовлеченных в проституцию, из них порядка десяти тысяч – несоверше</w:t>
      </w:r>
      <w:r>
        <w:t>н</w:t>
      </w:r>
      <w:r>
        <w:t>нолетние мальчики и девочки</w:t>
      </w:r>
      <w:r>
        <w:rPr>
          <w:rStyle w:val="FootnoteReference"/>
        </w:rPr>
        <w:footnoteReference w:customMarkFollows="1" w:id="178"/>
        <w:t>175</w:t>
      </w:r>
      <w:r>
        <w:t>. Конкретную статистику по полу привести н</w:t>
      </w:r>
      <w:r>
        <w:t>е</w:t>
      </w:r>
      <w:r>
        <w:t xml:space="preserve">возможно. В сфере торговли людьми не существует проверенной статистики.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357.</w:t>
      </w:r>
      <w:r>
        <w:tab/>
        <w:t>В Чили не ратифицирована Конвенция о борьбе с торговлей людьми и с эксплуатацией проституции третьими лицами</w:t>
      </w:r>
      <w:r>
        <w:rPr>
          <w:rStyle w:val="FootnoteReference"/>
        </w:rPr>
        <w:footnoteReference w:customMarkFollows="1" w:id="179"/>
        <w:t>176</w:t>
      </w:r>
      <w:r>
        <w:t>. Также не были ратифицир</w:t>
      </w:r>
      <w:r>
        <w:t>о</w:t>
      </w:r>
      <w:r>
        <w:t>ваны Конвенция Организации Объединенных Наций против транснационал</w:t>
      </w:r>
      <w:r>
        <w:t>ь</w:t>
      </w:r>
      <w:r>
        <w:t>ной организованной преступности</w:t>
      </w:r>
      <w:r>
        <w:rPr>
          <w:rStyle w:val="FootnoteReference"/>
        </w:rPr>
        <w:footnoteReference w:customMarkFollows="1" w:id="180"/>
        <w:t>177</w:t>
      </w:r>
      <w:r>
        <w:t xml:space="preserve"> и дополняющий ее Протокол о предупр</w:t>
      </w:r>
      <w:r>
        <w:t>е</w:t>
      </w:r>
      <w:r>
        <w:t>ждении и пресечении торговли людьми, особенно женщинами и детьми, и н</w:t>
      </w:r>
      <w:r>
        <w:t>а</w:t>
      </w:r>
      <w:r>
        <w:t>казании за нее</w:t>
      </w:r>
      <w:r>
        <w:rPr>
          <w:rStyle w:val="FootnoteReference"/>
        </w:rPr>
        <w:footnoteReference w:customMarkFollows="1" w:id="181"/>
        <w:t>178</w:t>
      </w:r>
      <w:r>
        <w:t>. Страна не ратифицировала Протокол против незаконного ввоза мигрантов по суше, морю и воздуху, дополняющий Конвенцию Орган</w:t>
      </w:r>
      <w:r>
        <w:t>и</w:t>
      </w:r>
      <w:r>
        <w:t>зации Объединенных Наций против транснациональной организованной пр</w:t>
      </w:r>
      <w:r>
        <w:t>е</w:t>
      </w:r>
      <w:r>
        <w:t>ступн</w:t>
      </w:r>
      <w:r>
        <w:t>о</w:t>
      </w:r>
      <w:r>
        <w:t xml:space="preserve">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358.</w:t>
      </w:r>
      <w:r>
        <w:tab/>
        <w:t>В 1996 году в Чили была ратифицирована Межамериканская конвенция о предупреждении, наказании и искоренении насилия в отношении женщин (Конвенция Белен до Пара)</w:t>
      </w:r>
      <w:r>
        <w:rPr>
          <w:rStyle w:val="FootnoteReference"/>
        </w:rPr>
        <w:footnoteReference w:customMarkFollows="1" w:id="182"/>
        <w:t>179</w:t>
      </w:r>
      <w:r>
        <w:t>, в которой среди прочих форм насилия упомин</w:t>
      </w:r>
      <w:r>
        <w:t>а</w:t>
      </w:r>
      <w:r>
        <w:t xml:space="preserve">ется торговля людьми и принуждение к проституции.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359.</w:t>
      </w:r>
      <w:r>
        <w:tab/>
        <w:t>Что касается внутреннего законодательства, в статье 367 Уголовного к</w:t>
      </w:r>
      <w:r>
        <w:t>о</w:t>
      </w:r>
      <w:r>
        <w:t>декса Чили предусмотрены меры наказания за облегчение проституции (то</w:t>
      </w:r>
      <w:r>
        <w:t>р</w:t>
      </w:r>
      <w:r>
        <w:t>говли сексуальными услугами) и совращение несовершеннолетних. В соотве</w:t>
      </w:r>
      <w:r>
        <w:t>т</w:t>
      </w:r>
      <w:r>
        <w:t>ствии с Законом № 19409 от 31 августа 1995 года в Уголовный кодекс добавл</w:t>
      </w:r>
      <w:r>
        <w:t>е</w:t>
      </w:r>
      <w:r>
        <w:t>на статья 367 бис, согласно которой это считается преступлением. В этой ст</w:t>
      </w:r>
      <w:r>
        <w:t>а</w:t>
      </w:r>
      <w:r>
        <w:t>тье предусмотрена мера наказания тех, кто содействует или облегчает въезд и выезд из страны лиц для того, чтобы они занимались проституцией на наци</w:t>
      </w:r>
      <w:r>
        <w:t>о</w:t>
      </w:r>
      <w:r>
        <w:t>нальной или иностранной территории. Если жертвами преступления становя</w:t>
      </w:r>
      <w:r>
        <w:t>т</w:t>
      </w:r>
      <w:r>
        <w:t>ся несовершеннолетние, если при этом применяются насилие или запугивание или используются обман, злоупотребление властью, доверием или родством, если это совершается супругом, опекуном или попечителем, если пользуются экономической беспомощностью жертвы или если речь идет о повторных н</w:t>
      </w:r>
      <w:r>
        <w:t>а</w:t>
      </w:r>
      <w:r>
        <w:t>рушениях, прим</w:t>
      </w:r>
      <w:r>
        <w:t>е</w:t>
      </w:r>
      <w:r>
        <w:t xml:space="preserve">няются более строгие меры наказания.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360.</w:t>
      </w:r>
      <w:r>
        <w:tab/>
        <w:t>Проституция, как вид деятельности, в Чили не запрещена, но регламент</w:t>
      </w:r>
      <w:r>
        <w:t>и</w:t>
      </w:r>
      <w:r>
        <w:t>руется санитарными нормами</w:t>
      </w:r>
      <w:r>
        <w:rPr>
          <w:rStyle w:val="FootnoteReference"/>
        </w:rPr>
        <w:footnoteReference w:customMarkFollows="1" w:id="183"/>
        <w:t>180</w:t>
      </w:r>
      <w:r>
        <w:t xml:space="preserve"> и в отдельных случаях, например, когда во</w:t>
      </w:r>
      <w:r>
        <w:t>з</w:t>
      </w:r>
      <w:r>
        <w:t>никает общественный скандал, она преследуется как посягательство на цел</w:t>
      </w:r>
      <w:r>
        <w:t>о</w:t>
      </w:r>
      <w:r>
        <w:t>мудрие или нравы</w:t>
      </w:r>
      <w:r>
        <w:rPr>
          <w:rStyle w:val="FootnoteReference"/>
        </w:rPr>
        <w:footnoteReference w:customMarkFollows="1" w:id="184"/>
        <w:t>181</w:t>
      </w:r>
      <w:r>
        <w:t>. Содержание публичных домов или домов терпимости з</w:t>
      </w:r>
      <w:r>
        <w:t>а</w:t>
      </w:r>
      <w:r>
        <w:t>прещ</w:t>
      </w:r>
      <w:r>
        <w:t>е</w:t>
      </w:r>
      <w:r>
        <w:t xml:space="preserve">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8.</w:t>
      </w:r>
      <w:r>
        <w:tab/>
        <w:t>Ликвидация дискриминации в отношении женщин из особых групп</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Сельские женщины</w:t>
      </w:r>
      <w:r>
        <w:rPr>
          <w:b/>
        </w:rPr>
        <w:t xml:space="preserve"> (статья 14)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361.</w:t>
      </w:r>
      <w:r>
        <w:tab/>
        <w:t>Комитет по ликвидации дискриминации в отношении женщин в своих з</w:t>
      </w:r>
      <w:r>
        <w:t>а</w:t>
      </w:r>
      <w:r>
        <w:t>мечаниях по третьему докладу, представленному правительством Чили, просит правительство, чтобы в свой будущий доклад оно включило данные о полож</w:t>
      </w:r>
      <w:r>
        <w:t>е</w:t>
      </w:r>
      <w:r>
        <w:t>нии сельских женщин и женщин из числа представительниц коренного насел</w:t>
      </w:r>
      <w:r>
        <w:t>е</w:t>
      </w:r>
      <w:r>
        <w:t>ния, особенно о предоставляемых им возможностях в области, здравоохран</w:t>
      </w:r>
      <w:r>
        <w:t>е</w:t>
      </w:r>
      <w:r>
        <w:t xml:space="preserve">ния, занятости и образования.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362.</w:t>
      </w:r>
      <w:r>
        <w:tab/>
      </w:r>
      <w:r>
        <w:rPr>
          <w:i/>
        </w:rPr>
        <w:t>В последнее десятилетие отмечается значительное снижение доли сел</w:t>
      </w:r>
      <w:r>
        <w:rPr>
          <w:i/>
        </w:rPr>
        <w:t>ь</w:t>
      </w:r>
      <w:r>
        <w:rPr>
          <w:i/>
        </w:rPr>
        <w:t>ского населения, и, соответственно, увеличение доли городского населения.</w:t>
      </w:r>
      <w:r>
        <w:t xml:space="preserve"> По результатам переписи 2002 года, доля сельского населения составляет лишь 13,4 от населения всей страны, в то время как в городской зоне проживает 86,6 процента населения страны. В 1992 году в сельской зоне проживало 16,5 процента населения, а 83,5 процента населения приходилось на городскую зону.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363.</w:t>
      </w:r>
      <w:r>
        <w:tab/>
      </w:r>
      <w:r>
        <w:rPr>
          <w:i/>
        </w:rPr>
        <w:t>В сельских районах, в отличие от общей для остальной части страны тенденции, доля женской части населения меньше, хотя за последние годы в женщин</w:t>
      </w:r>
      <w:r>
        <w:rPr>
          <w:rStyle w:val="FootnoteReference"/>
          <w:i/>
        </w:rPr>
        <w:footnoteReference w:customMarkFollows="1" w:id="185"/>
        <w:t>182</w:t>
      </w:r>
      <w:r>
        <w:rPr>
          <w:i/>
        </w:rPr>
        <w:t>, стало несколько больше</w:t>
      </w:r>
      <w:r>
        <w:t>. Неблагоприятные условия жизни сельск</w:t>
      </w:r>
      <w:r>
        <w:t>о</w:t>
      </w:r>
      <w:r>
        <w:t>го населения по сравнению с городским заставляют сельских жителей искать пути решения своих проблем в городе, однако зачастую не находят и тем с</w:t>
      </w:r>
      <w:r>
        <w:t>а</w:t>
      </w:r>
      <w:r>
        <w:t>мым способствуют распростран</w:t>
      </w:r>
      <w:r>
        <w:t>е</w:t>
      </w:r>
      <w:r>
        <w:t xml:space="preserve">нию нищеты среди городского населения.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364.</w:t>
      </w:r>
      <w:r>
        <w:tab/>
      </w:r>
      <w:r>
        <w:rPr>
          <w:i/>
        </w:rPr>
        <w:t>Несмотря на достижения страны за последнее десятилетие, в том чи</w:t>
      </w:r>
      <w:r>
        <w:rPr>
          <w:i/>
        </w:rPr>
        <w:t>с</w:t>
      </w:r>
      <w:r>
        <w:rPr>
          <w:i/>
        </w:rPr>
        <w:t>ле в сфере борьбы с нищетой, повышения уровня образования, улучшения ж</w:t>
      </w:r>
      <w:r>
        <w:rPr>
          <w:i/>
        </w:rPr>
        <w:t>и</w:t>
      </w:r>
      <w:r>
        <w:rPr>
          <w:i/>
        </w:rPr>
        <w:t>лищных условий и расширения доступа к основным услугам, этого оказалось недостаточно для сокращения разрыва между селом и городом</w:t>
      </w:r>
      <w:r>
        <w:t>. Такой разрыв подразумевает разницу в уровне образования, грамотности, бедности и услов</w:t>
      </w:r>
      <w:r>
        <w:t>и</w:t>
      </w:r>
      <w:r>
        <w:t xml:space="preserve">ях труда; причем в перечисленных сферах положение проживающих в сельской зоне женщин выглядит наиболее неблагоприятным по сравнению с положением женщин городской зоны, равно как и по сравнению с положением мужчин в обеих зонах. </w:t>
      </w:r>
      <w:r>
        <w:rPr>
          <w:i/>
        </w:rPr>
        <w:t>Сказанное, однако, не препятствует тому, что во многих из з</w:t>
      </w:r>
      <w:r>
        <w:rPr>
          <w:i/>
        </w:rPr>
        <w:t>а</w:t>
      </w:r>
      <w:r>
        <w:rPr>
          <w:i/>
        </w:rPr>
        <w:t>тронутых вопросов наметились существенные положительные сдвиги, к</w:t>
      </w:r>
      <w:r>
        <w:rPr>
          <w:i/>
        </w:rPr>
        <w:t>а</w:t>
      </w:r>
      <w:r>
        <w:rPr>
          <w:i/>
        </w:rPr>
        <w:t>сающиеся сельских районов, и, в особенности, положения женщин в сельской зоне, в частности, можно отметить улучшение положения женщин на рынке труда и повышение уровня образования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Бедность и положение женщины в качестве главы семьи</w:t>
      </w:r>
      <w:r>
        <w:rPr>
          <w:rStyle w:val="FootnoteReference"/>
        </w:rPr>
        <w:footnoteReference w:customMarkFollows="1" w:id="186"/>
        <w:t>183</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365.</w:t>
      </w:r>
      <w:r>
        <w:tab/>
      </w:r>
      <w:r>
        <w:rPr>
          <w:i/>
        </w:rPr>
        <w:t>Несмотря на общую тенденцию к снижению бедности среди женщин в последние годы, проживающие в сельских районах женщины в большей степ</w:t>
      </w:r>
      <w:r>
        <w:rPr>
          <w:i/>
        </w:rPr>
        <w:t>е</w:t>
      </w:r>
      <w:r>
        <w:rPr>
          <w:i/>
        </w:rPr>
        <w:t>ни подвержены бедности, чем проживающие в сельских районах мужчины и проживающие в городах женщины</w:t>
      </w:r>
      <w:r>
        <w:t>. В сельских районах в условиях бедности живут 24,7 процента женщин и 23 процента мужчин. Применительно к женщ</w:t>
      </w:r>
      <w:r>
        <w:t>и</w:t>
      </w:r>
      <w:r>
        <w:t>нам, проживающим в городах, отмечается, что они в меньшей мере подверж</w:t>
      </w:r>
      <w:r>
        <w:t>е</w:t>
      </w:r>
      <w:r>
        <w:t>ны крайней нищете, чем женщины в сельских районах (5,4 и 8,7 процента с</w:t>
      </w:r>
      <w:r>
        <w:t>о</w:t>
      </w:r>
      <w:r>
        <w:t xml:space="preserve">ответственно).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366.</w:t>
      </w:r>
      <w:r>
        <w:tab/>
      </w:r>
      <w:r>
        <w:rPr>
          <w:i/>
        </w:rPr>
        <w:t>На фоне постепенного увеличения в стране количества семей, главой к</w:t>
      </w:r>
      <w:r>
        <w:rPr>
          <w:i/>
        </w:rPr>
        <w:t>о</w:t>
      </w:r>
      <w:r>
        <w:rPr>
          <w:i/>
        </w:rPr>
        <w:t>торых является женщина</w:t>
      </w:r>
      <w:r>
        <w:t xml:space="preserve">, </w:t>
      </w:r>
      <w:r>
        <w:rPr>
          <w:i/>
        </w:rPr>
        <w:t>в сельских районах таких семей меньше</w:t>
      </w:r>
      <w:r>
        <w:t>. В 2000 году в масштабах всей страны семьи, главенство в которых принадл</w:t>
      </w:r>
      <w:r>
        <w:t>е</w:t>
      </w:r>
      <w:r>
        <w:t>жало женщине, составляли 23,1 процента, причем в сельских районах доля т</w:t>
      </w:r>
      <w:r>
        <w:t>а</w:t>
      </w:r>
      <w:r>
        <w:t>ких семей составляла 16 процентов, а в городе – 24,3 процента. С другой ст</w:t>
      </w:r>
      <w:r>
        <w:t>о</w:t>
      </w:r>
      <w:r>
        <w:t xml:space="preserve">роны, в сельской местности присутствует большая доля женщин-глав семьи старше 60 лет (56,7 процента), чем в городе (37,8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367.</w:t>
      </w:r>
      <w:r>
        <w:tab/>
      </w:r>
      <w:r>
        <w:rPr>
          <w:i/>
        </w:rPr>
        <w:t>Большее распространение нищеты в сельских районах проявляется та</w:t>
      </w:r>
      <w:r>
        <w:rPr>
          <w:i/>
        </w:rPr>
        <w:t>к</w:t>
      </w:r>
      <w:r>
        <w:rPr>
          <w:i/>
        </w:rPr>
        <w:t>же в том, что бедность характерна примерно для двух третей семей, главой которых является женщина</w:t>
      </w:r>
      <w:r>
        <w:t>. В сельской зоне 64,1 процента семей, возгла</w:t>
      </w:r>
      <w:r>
        <w:t>в</w:t>
      </w:r>
      <w:r>
        <w:t>ляемых женщинами, входят в квинтили с наиболее низким уровнем дохода</w:t>
      </w:r>
      <w:r>
        <w:rPr>
          <w:rStyle w:val="FootnoteReference"/>
        </w:rPr>
        <w:footnoteReference w:customMarkFollows="1" w:id="187"/>
        <w:t>184</w:t>
      </w:r>
      <w:r>
        <w:t xml:space="preserve">, при этом в городе в аналогичном положении находится 37 процентов семей, возглавляемых женщинами.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Трудовая деятельность</w:t>
      </w:r>
      <w:r>
        <w:rPr>
          <w:rStyle w:val="FootnoteReference"/>
        </w:rPr>
        <w:footnoteReference w:customMarkFollows="1" w:id="188"/>
        <w:t>185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368.</w:t>
      </w:r>
      <w:r>
        <w:tab/>
      </w:r>
      <w:r>
        <w:rPr>
          <w:i/>
        </w:rPr>
        <w:t>Начиная с 1990 года, наблюдается постоянный рост участия в трудовой деятельности женщин, проживающих в сельской местности</w:t>
      </w:r>
      <w:r>
        <w:t>. Коэффициент участия проживающих в сельской местности женщин увеличился с 17,6 процента в 1990 году до 22,4 процента в 2000 году. Следует заметить, что в период 1998 – 2000 годов, несмотря на некоторое сокращение рабочей силы в масштабах страны, наблюдалось увеличение коэффициента занятости женщин наряду со снижением коэффициента занятости мужчин, причем подобное ув</w:t>
      </w:r>
      <w:r>
        <w:t>е</w:t>
      </w:r>
      <w:r>
        <w:t xml:space="preserve">личение коэффициента занятости женщин было особенно выражено в сельской местности (с 22,1 процентов в 1998 году до 24,4 процентов в 2000 году).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369.</w:t>
      </w:r>
      <w:r>
        <w:tab/>
      </w:r>
      <w:r>
        <w:rPr>
          <w:i/>
        </w:rPr>
        <w:t>Даже с учетом указанного выше, коэффициент занятости женщин, проживающих в сельской местности, все еще намного меньше коэффициента занятости женщин, проживающих в городской зоне, и гораздо меньше коэ</w:t>
      </w:r>
      <w:r>
        <w:rPr>
          <w:i/>
        </w:rPr>
        <w:t>ф</w:t>
      </w:r>
      <w:r>
        <w:rPr>
          <w:i/>
        </w:rPr>
        <w:t>фициента занятости мужчин</w:t>
      </w:r>
      <w:r>
        <w:t>. В то время как проживающие в сельских ра</w:t>
      </w:r>
      <w:r>
        <w:t>й</w:t>
      </w:r>
      <w:r>
        <w:t>онах женщины составляют 22,4 процента рабочей силы, на долю проживающих в сельской местности мужчин приходится 73,8 процента; в свою очередь, пр</w:t>
      </w:r>
      <w:r>
        <w:t>о</w:t>
      </w:r>
      <w:r>
        <w:t>живающие в городской зоне женщины составляют 41,8 процента рабочей силы. При этом разница между коэффициентом занятости женщин и мужчин, прож</w:t>
      </w:r>
      <w:r>
        <w:t>и</w:t>
      </w:r>
      <w:r>
        <w:t>вающих в сельской местности, больше, чем между коэффициентом участия женщин и мужчин, проживающих в городе. Также необходимо упомянуть, что ведется отдельный реестр данных по занятости женского населения села</w:t>
      </w:r>
      <w:r>
        <w:rPr>
          <w:rStyle w:val="FootnoteReference"/>
        </w:rPr>
        <w:footnoteReference w:customMarkFollows="1" w:id="189"/>
        <w:t>186</w:t>
      </w:r>
      <w:r>
        <w:t>, в соответствии с которым занято более 20 процентов этой группы н</w:t>
      </w:r>
      <w:r>
        <w:t>а</w:t>
      </w:r>
      <w:r>
        <w:t xml:space="preserve">селения.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370.</w:t>
      </w:r>
      <w:r>
        <w:tab/>
      </w:r>
      <w:r>
        <w:rPr>
          <w:i/>
        </w:rPr>
        <w:t>Принимая во внимание, что уровень безработицы в 2000 году был в целом выше, чем в 1990 году</w:t>
      </w:r>
      <w:r>
        <w:rPr>
          <w:rStyle w:val="FootnoteReference"/>
          <w:i/>
        </w:rPr>
        <w:footnoteReference w:customMarkFollows="1" w:id="190"/>
        <w:t>187</w:t>
      </w:r>
      <w:r>
        <w:rPr>
          <w:i/>
        </w:rPr>
        <w:t>, применительно к обеим зонам и к обоим полам, на</w:t>
      </w:r>
      <w:r>
        <w:rPr>
          <w:i/>
        </w:rPr>
        <w:t>и</w:t>
      </w:r>
      <w:r>
        <w:rPr>
          <w:i/>
        </w:rPr>
        <w:t>больший уровень безработицы наблюдался среди проживающих в городе же</w:t>
      </w:r>
      <w:r>
        <w:rPr>
          <w:i/>
        </w:rPr>
        <w:t>н</w:t>
      </w:r>
      <w:r>
        <w:rPr>
          <w:i/>
        </w:rPr>
        <w:t>щин и превосходил уровень безработицы как среди проживающих в городе мужчин, так и среди проживающих в сельской зоне женщин. Тем не менее, безработица среди последних лишь немного превышает уровень безработицы среди проживающих в сельской местности мужчин.</w:t>
      </w:r>
      <w:r>
        <w:t xml:space="preserve"> В 2000 году уровень бе</w:t>
      </w:r>
      <w:r>
        <w:t>з</w:t>
      </w:r>
      <w:r>
        <w:t>работицы составил 11,7 процента среди женщин, проживающих в городской зоне, и 10,1 процента среди женщин, проживающих в сельской зоне; при этом уровень безработицы среди проживающих в сельской местности мужчин до</w:t>
      </w:r>
      <w:r>
        <w:t>с</w:t>
      </w:r>
      <w:r>
        <w:t xml:space="preserve">тигал только 6,6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371.</w:t>
      </w:r>
      <w:r>
        <w:tab/>
      </w:r>
      <w:r>
        <w:rPr>
          <w:i/>
        </w:rPr>
        <w:t>Применительно к сферам экономической деятельности, в сельских ра</w:t>
      </w:r>
      <w:r>
        <w:rPr>
          <w:i/>
        </w:rPr>
        <w:t>й</w:t>
      </w:r>
      <w:r>
        <w:rPr>
          <w:i/>
        </w:rPr>
        <w:t>онах женщины заняты преимущественно в сельском хозяйстве, охотничьих промыслах, лесном и рыбном хозяйстве; а также в сфере коммунального, о</w:t>
      </w:r>
      <w:r>
        <w:rPr>
          <w:i/>
        </w:rPr>
        <w:t>б</w:t>
      </w:r>
      <w:r>
        <w:rPr>
          <w:i/>
        </w:rPr>
        <w:t>щественного и частного обслуживания, причем доля женского труда везде одинакова и составляет около 70,8 процента</w:t>
      </w:r>
      <w:r>
        <w:t>. В сфере сельского хозяйства, охотничьих промыслов, лесного и рыбного хозяйства уровень оплаты женского труда существенно ниже, чем мужского, что также наблюдается в обрабат</w:t>
      </w:r>
      <w:r>
        <w:t>ы</w:t>
      </w:r>
      <w:r>
        <w:t>вающей промышленности и кустарном производстве, а также в отраслях эле</w:t>
      </w:r>
      <w:r>
        <w:t>к</w:t>
      </w:r>
      <w:r>
        <w:t>тро-, газо- и водоснабжения, причем их уровень оплаты труда ниже, чем ур</w:t>
      </w:r>
      <w:r>
        <w:t>о</w:t>
      </w:r>
      <w:r>
        <w:t>вень оплаты труда женщин, проживающих в городской местности. Четвертое место по низкому уровню оплаты женского труда занимает сфера коммунал</w:t>
      </w:r>
      <w:r>
        <w:t>ь</w:t>
      </w:r>
      <w:r>
        <w:t xml:space="preserve">ного, общественного и частного обслуживания.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372.</w:t>
      </w:r>
      <w:r>
        <w:tab/>
      </w:r>
      <w:r>
        <w:rPr>
          <w:i/>
        </w:rPr>
        <w:t>Применительно к уровню оплаты труда в стране наблюдаются знач</w:t>
      </w:r>
      <w:r>
        <w:rPr>
          <w:i/>
        </w:rPr>
        <w:t>и</w:t>
      </w:r>
      <w:r>
        <w:rPr>
          <w:i/>
        </w:rPr>
        <w:t>тельные различия между трудовыми категориями, при этом выделяется ни</w:t>
      </w:r>
      <w:r>
        <w:rPr>
          <w:i/>
        </w:rPr>
        <w:t>з</w:t>
      </w:r>
      <w:r>
        <w:rPr>
          <w:i/>
        </w:rPr>
        <w:t>кий уровень оплаты труда неквалифицированных работников</w:t>
      </w:r>
      <w:r>
        <w:rPr>
          <w:rStyle w:val="FootnoteReference"/>
          <w:i/>
        </w:rPr>
        <w:footnoteReference w:customMarkFollows="1" w:id="191"/>
        <w:t>188</w:t>
      </w:r>
      <w:r>
        <w:rPr>
          <w:i/>
        </w:rPr>
        <w:t>, к категории которых относится существенная часть имеющих работу мужчин и женщин, проживающих в сельской зоне</w:t>
      </w:r>
      <w:r>
        <w:t>. К категории неквалифицированных работников относится 37,7 процента имеющих работу женщин, проживающих в сельской зоне, аналогичная ситуация наблюдается среди мужчин; 18 процентов женщин работают в качестве продавцов в магазинах и предприятиях общественного п</w:t>
      </w:r>
      <w:r>
        <w:t>и</w:t>
      </w:r>
      <w:r>
        <w:t>тания, что в шесть раз больше занятых на аналогичной работе мужчин; 17,1 процента женщин занято в сфере сельского хозяйства и животноводства, а также промыслового рыболовства, что в два раза меньше доли занятых на ан</w:t>
      </w:r>
      <w:r>
        <w:t>а</w:t>
      </w:r>
      <w:r>
        <w:t xml:space="preserve">логичной работе мужчин.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373.</w:t>
      </w:r>
      <w:r>
        <w:tab/>
      </w:r>
      <w:r>
        <w:rPr>
          <w:i/>
        </w:rPr>
        <w:t>Представляется возможным судить о том, что трудовое положение проживающих в сельской местности женщин отражает следующие факты: участие женщин в составе рабочей силы возросло заметнее, чем участие мужчин, хотя при этом остается по-прежнему ниже; уровень безработицы среди женщин намного больше, чем среди мужчин, но при этом ниже по сра</w:t>
      </w:r>
      <w:r>
        <w:rPr>
          <w:i/>
        </w:rPr>
        <w:t>в</w:t>
      </w:r>
      <w:r>
        <w:rPr>
          <w:i/>
        </w:rPr>
        <w:t>нению с безработицей среди женщин, проживающих в городской зоне; же</w:t>
      </w:r>
      <w:r>
        <w:rPr>
          <w:i/>
        </w:rPr>
        <w:t>н</w:t>
      </w:r>
      <w:r>
        <w:rPr>
          <w:i/>
        </w:rPr>
        <w:t>щины преимущественно заняты в сфере коммунального, общественного и ч</w:t>
      </w:r>
      <w:r>
        <w:rPr>
          <w:i/>
        </w:rPr>
        <w:t>а</w:t>
      </w:r>
      <w:r>
        <w:rPr>
          <w:i/>
        </w:rPr>
        <w:t>стного обслуживания, в сельском хозяйстве, охотничьих промыслах, лесном и рыбном хозяйстве, а также в торговле; женщины преимущественно заняты неквалифицированным трудом, что также наблюдается и в случае мужчин; при этом уровень образования женщин выше, чем мужчин.</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374.</w:t>
      </w:r>
      <w:r>
        <w:tab/>
        <w:t>Уровень дохода проживающих в сельской местности женщин в среднем заметно ниже, чем уровень дохода мужчин, при этом наблюдаются значител</w:t>
      </w:r>
      <w:r>
        <w:t>ь</w:t>
      </w:r>
      <w:r>
        <w:t>ные расхождения по сферам деятельности и занимаемым должностям. Тем не менее, несмотря на низкий уровень дохода, женщины в меньшей степени пре</w:t>
      </w:r>
      <w:r>
        <w:t>д</w:t>
      </w:r>
      <w:r>
        <w:t>ставл</w:t>
      </w:r>
      <w:r>
        <w:t>е</w:t>
      </w:r>
      <w:r>
        <w:t xml:space="preserve">ны в первых двух квинтилях, классифицируемых по уровню дохода.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375.</w:t>
      </w:r>
      <w:r>
        <w:tab/>
      </w:r>
      <w:r>
        <w:rPr>
          <w:i/>
        </w:rPr>
        <w:t>Трудовая деятельность проживающих в сельской местности женщин в большей степени связана с непостоянной работой, что в большинстве случаях характерно и для мужчин; при этом женщины реже работают по трудовому договору с неограниченным сроком действия и чаще – без договора</w:t>
      </w:r>
      <w:r>
        <w:t>. Примен</w:t>
      </w:r>
      <w:r>
        <w:t>и</w:t>
      </w:r>
      <w:r>
        <w:t>тельно к работающим без трудового договора лицам, проживающим в сельских районах, различия между полами сведены к минимуму, хотя доля женщин в их числе несколько больше; доля женщин меньше доли мужчин в категории р</w:t>
      </w:r>
      <w:r>
        <w:t>а</w:t>
      </w:r>
      <w:r>
        <w:t>ботников, заключивших трудовой договор с неограниченным сроком действия, и больше в категории работников, заключивших трудовой договор с огран</w:t>
      </w:r>
      <w:r>
        <w:t>и</w:t>
      </w:r>
      <w:r>
        <w:t>ченным сроком действия. В городской зоне доля работающих без трудового д</w:t>
      </w:r>
      <w:r>
        <w:t>о</w:t>
      </w:r>
      <w:r>
        <w:t xml:space="preserve">говора женщин значительно выше, чем мужчин.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376.</w:t>
      </w:r>
      <w:r>
        <w:tab/>
      </w:r>
      <w:r>
        <w:rPr>
          <w:i/>
        </w:rPr>
        <w:t>В процентном соотношении большее количество женщин работает на предприятиях, имеющих в штате одного человека; в то же время на предпр</w:t>
      </w:r>
      <w:r>
        <w:rPr>
          <w:i/>
        </w:rPr>
        <w:t>и</w:t>
      </w:r>
      <w:r>
        <w:rPr>
          <w:i/>
        </w:rPr>
        <w:t>ятиях, в штате которых состоит от одного до 50 человек, работает больше мужчин</w:t>
      </w:r>
      <w:r>
        <w:t>. На расположенных в сельской зоне предприятиях, штат которых пр</w:t>
      </w:r>
      <w:r>
        <w:t>е</w:t>
      </w:r>
      <w:r>
        <w:t>вышает 50 человек, преобладают женщины, для которых характерно массовое неучастие в системе социального страхования, что также наблюдается и в сл</w:t>
      </w:r>
      <w:r>
        <w:t>у</w:t>
      </w:r>
      <w:r>
        <w:t>чае мужчин. В системе социального страхования, в сельской зоне в ней учас</w:t>
      </w:r>
      <w:r>
        <w:t>т</w:t>
      </w:r>
      <w:r>
        <w:t xml:space="preserve">вует 56,4 процента населения, мужчины и женщины в одинаковой степени, в масштабе всей страны этот показатель возрастает до 62,6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377.</w:t>
      </w:r>
      <w:r>
        <w:tab/>
      </w:r>
      <w:r>
        <w:rPr>
          <w:i/>
        </w:rPr>
        <w:t>В заключение необходимо упомянуть, что при анализе доходов населения в расчет должен приниматься еще один фактор, а именно то, что женщины имеют меньший уровень дохода по сравнению с мужчинами в обеих зонах, о</w:t>
      </w:r>
      <w:r>
        <w:rPr>
          <w:i/>
        </w:rPr>
        <w:t>д</w:t>
      </w:r>
      <w:r>
        <w:rPr>
          <w:i/>
        </w:rPr>
        <w:t>нако в сельской зоне данные различия проявляются в меньшей степени</w:t>
      </w:r>
      <w:r>
        <w:t>. В гор</w:t>
      </w:r>
      <w:r>
        <w:t>о</w:t>
      </w:r>
      <w:r>
        <w:t>де средний уровень дохода женщины соответствует 61,1 процента уровня д</w:t>
      </w:r>
      <w:r>
        <w:t>о</w:t>
      </w:r>
      <w:r>
        <w:t>хода мужчины, в то время как в сельской зоне достигает 79,7 процента, что свидетельствует о меньшем неравенстве. Тем не менее, нельзя оставить без внимания тот факт, что средний уровень дохода в сельской зоне составляет лишь 49,1 процента от среднего уровня дохода в городе. Это говорит о том, что неравенство, существующее между городом и деревней сильнее, чем нераве</w:t>
      </w:r>
      <w:r>
        <w:t>н</w:t>
      </w:r>
      <w:r>
        <w:t xml:space="preserve">ство между мужчиной и женщиной.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Образование</w:t>
      </w:r>
      <w:r>
        <w:rPr>
          <w:rStyle w:val="FootnoteReference"/>
        </w:rPr>
        <w:footnoteReference w:customMarkFollows="1" w:id="192"/>
        <w:t>189</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378.</w:t>
      </w:r>
      <w:r>
        <w:tab/>
      </w:r>
      <w:r>
        <w:rPr>
          <w:i/>
        </w:rPr>
        <w:t>Среди значительных достижений можно отметить мероприятия по борьбе с неграмотностью, однако в сельской зоне неграмотности все же в</w:t>
      </w:r>
      <w:r>
        <w:rPr>
          <w:i/>
        </w:rPr>
        <w:t>ы</w:t>
      </w:r>
      <w:r>
        <w:rPr>
          <w:i/>
        </w:rPr>
        <w:t>ше, чем в городе</w:t>
      </w:r>
      <w:r>
        <w:t>. В 2000 году неграмотными являлись только 4 процента нас</w:t>
      </w:r>
      <w:r>
        <w:t>е</w:t>
      </w:r>
      <w:r>
        <w:t>ления, при этом каких-либо различий между мужчинами и женщинами не н</w:t>
      </w:r>
      <w:r>
        <w:t>а</w:t>
      </w:r>
      <w:r>
        <w:t>блюдалось. В то же время, наблюдались существенные различия территориал</w:t>
      </w:r>
      <w:r>
        <w:t>ь</w:t>
      </w:r>
      <w:r>
        <w:t>ного характера: уровень неграмотности среди городского населения составлял лишь 2,6 процента, а среди сельского населения достигал 12,2 процентов. Сл</w:t>
      </w:r>
      <w:r>
        <w:t>о</w:t>
      </w:r>
      <w:r>
        <w:t>жившаяся ситуация объясняется высоким уровнем неграмотности среди сел</w:t>
      </w:r>
      <w:r>
        <w:t>ь</w:t>
      </w:r>
      <w:r>
        <w:t>ских жителей старше 60 лет, причем в рамках этой группы наиболее подверж</w:t>
      </w:r>
      <w:r>
        <w:t>е</w:t>
      </w:r>
      <w:r>
        <w:t xml:space="preserve">ны неграмотности женщины.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379.</w:t>
      </w:r>
      <w:r>
        <w:tab/>
      </w:r>
      <w:r>
        <w:rPr>
          <w:i/>
        </w:rPr>
        <w:t>Продолжительность школьного образования проживающих в сельской местности девочек заметно выросла и сравнялась, а в отдельных случаях и превысила продолжительность школьного образования мальчиков. При этом продолжительность обучения в целом все еще ниже, чем в городе</w:t>
      </w:r>
      <w:r>
        <w:t>. В 2000 году средняя продолжительность школьного образования населения страны в во</w:t>
      </w:r>
      <w:r>
        <w:t>з</w:t>
      </w:r>
      <w:r>
        <w:t>расте 15 лет и старше составляла 9,8 лет, без существенных различий между мальчиками и девочками. Принимая во внимание, что продолжительность о</w:t>
      </w:r>
      <w:r>
        <w:t>б</w:t>
      </w:r>
      <w:r>
        <w:t>разования в сельских районах, как правило, меньше, чем в городе (6,7 лет и 10,3 лет соответственно), для проживающих в сельской зоне женщин характе</w:t>
      </w:r>
      <w:r>
        <w:t>р</w:t>
      </w:r>
      <w:r>
        <w:t>на несколько большая продолжительность образования, чем для мужчин. Это расхождение в пользу женщин особенно проявляется в более молодых возра</w:t>
      </w:r>
      <w:r>
        <w:t>с</w:t>
      </w:r>
      <w:r>
        <w:t xml:space="preserve">тных группах и изменяется в противоположную сторону в возрастной группе женщин старше 40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380.</w:t>
      </w:r>
      <w:r>
        <w:tab/>
        <w:t>На основании вышесказанного можно сделать вывод о том, что в вопросах образования для женщин наметился значительный прогресс, как в городской, так и в сельской зоне. Важным достижением является обеспечение доступа к образованию девушек и взрослых женщин, особенно в сельских районах. Н</w:t>
      </w:r>
      <w:r>
        <w:t>е</w:t>
      </w:r>
      <w:r>
        <w:t>смотря на это, в плане образования сохраняются различия между малоимущ</w:t>
      </w:r>
      <w:r>
        <w:t>и</w:t>
      </w:r>
      <w:r>
        <w:t>ми и не являющимися таковыми слоями населения, так как молодежь из мал</w:t>
      </w:r>
      <w:r>
        <w:t>о</w:t>
      </w:r>
      <w:r>
        <w:t>имущих семей посещает учебные заведения реже, чем их сверстники из более обеспеченных семей, объясняя это необходимостью заниматься трудовой де</w:t>
      </w:r>
      <w:r>
        <w:t>я</w:t>
      </w:r>
      <w:r>
        <w:t>тельностью или домашними делами, при этом отмечаются различия между п</w:t>
      </w:r>
      <w:r>
        <w:t>о</w:t>
      </w:r>
      <w:r>
        <w:t xml:space="preserve">лами.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Здравоохранение</w:t>
      </w:r>
      <w:r>
        <w:rPr>
          <w:rStyle w:val="FootnoteReference"/>
        </w:rPr>
        <w:footnoteReference w:customMarkFollows="1" w:id="193"/>
        <w:t>190</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381.</w:t>
      </w:r>
      <w:r>
        <w:tab/>
      </w:r>
      <w:r>
        <w:rPr>
          <w:i/>
        </w:rPr>
        <w:t>Применительно к системе медицинского страхования также отмечаю</w:t>
      </w:r>
      <w:r>
        <w:rPr>
          <w:i/>
        </w:rPr>
        <w:t>т</w:t>
      </w:r>
      <w:r>
        <w:rPr>
          <w:i/>
        </w:rPr>
        <w:t>ся различия территориального характера. Сельское население в большей ст</w:t>
      </w:r>
      <w:r>
        <w:rPr>
          <w:i/>
        </w:rPr>
        <w:t>е</w:t>
      </w:r>
      <w:r>
        <w:rPr>
          <w:i/>
        </w:rPr>
        <w:t>пени прибегает к услугам государственной системы здравоохранения, в том числе значительная часть – в качестве малоимущих граждан</w:t>
      </w:r>
      <w:r>
        <w:t>. В 2000 году 66,5 процента населения страны состояли в государственной системе медици</w:t>
      </w:r>
      <w:r>
        <w:t>н</w:t>
      </w:r>
      <w:r>
        <w:t>ского страхования, пользуясь услугами Национального фонда здравоохранения (НФЗ), в том числе 63,7 процента мужчин и 69,1 процентов женщин. Кроме т</w:t>
      </w:r>
      <w:r>
        <w:t>о</w:t>
      </w:r>
      <w:r>
        <w:t>го, каждый пятый обращался в НФЗ, пользуясь правами малоимущих; при этом таковые составляли большинство среди сельского населения, приблизительно 60 процентов от общего количества. В то же время, доля пользующихся усл</w:t>
      </w:r>
      <w:r>
        <w:t>у</w:t>
      </w:r>
      <w:r>
        <w:t>гами частной системы медицинского страхования Учмедис была больше в г</w:t>
      </w:r>
      <w:r>
        <w:t>о</w:t>
      </w:r>
      <w:r>
        <w:t xml:space="preserve">родских районах, нежели в сельских, достигая в первом случае около 20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382.</w:t>
      </w:r>
      <w:r>
        <w:tab/>
        <w:t>Рассматривая положение женщин, к вышеперечисленному следует доб</w:t>
      </w:r>
      <w:r>
        <w:t>а</w:t>
      </w:r>
      <w:r>
        <w:t>вить также тот факт, что женщины, не представленные на рынке труда или не имеющие официального договора с работодателями, что в их встречается чаще, чем среди мужчин,  испытывают большие трудности при доступе к системе м</w:t>
      </w:r>
      <w:r>
        <w:t>е</w:t>
      </w:r>
      <w:r>
        <w:t>дицинского страхования, либо вынуждены пользоваться услугами таковой в к</w:t>
      </w:r>
      <w:r>
        <w:t>а</w:t>
      </w:r>
      <w:r>
        <w:t xml:space="preserve">честве лица, значащегося в медицинского полисе супруга.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383.</w:t>
      </w:r>
      <w:r>
        <w:tab/>
      </w:r>
      <w:r>
        <w:rPr>
          <w:i/>
        </w:rPr>
        <w:t>Говоря о профилактической медицине, необходимо отметить достиж</w:t>
      </w:r>
      <w:r>
        <w:rPr>
          <w:i/>
        </w:rPr>
        <w:t>е</w:t>
      </w:r>
      <w:r>
        <w:rPr>
          <w:i/>
        </w:rPr>
        <w:t>ния в области профилактического контроля такого заболевания, как рак ше</w:t>
      </w:r>
      <w:r>
        <w:rPr>
          <w:i/>
        </w:rPr>
        <w:t>й</w:t>
      </w:r>
      <w:r>
        <w:rPr>
          <w:i/>
        </w:rPr>
        <w:t>ки матки у проживающих в сельской местности женщин, и диагностики, п</w:t>
      </w:r>
      <w:r>
        <w:rPr>
          <w:i/>
        </w:rPr>
        <w:t>о</w:t>
      </w:r>
      <w:r>
        <w:rPr>
          <w:i/>
        </w:rPr>
        <w:t>зволяющей начать адекватное и своевременное лечение</w:t>
      </w:r>
      <w:r>
        <w:t>. Если в 1990 году зона проживания выступала в качестве фактора риска по статистике цитологическ</w:t>
      </w:r>
      <w:r>
        <w:t>о</w:t>
      </w:r>
      <w:r>
        <w:t>го анализа шейки матки по Папаниколау, то в 2000 году различие между пр</w:t>
      </w:r>
      <w:r>
        <w:t>о</w:t>
      </w:r>
      <w:r>
        <w:t>живающими в сельской и городской зоне женщинами сократилось, измени</w:t>
      </w:r>
      <w:r>
        <w:t>в</w:t>
      </w:r>
      <w:r>
        <w:t xml:space="preserve">шись с 34,9 процента до 52,3 процента в сельской зоне, и с 40,6 процента до 53 процентов в городской зоне.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br w:type="page"/>
      </w:r>
      <w:r>
        <w:rPr>
          <w:b/>
        </w:rPr>
        <w:t>Планирование, реализация и контроль исполнения политических мер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384.</w:t>
      </w:r>
      <w:r>
        <w:tab/>
        <w:t>Озабоченность государства положением женщины в сельской местности выразилась в принятии в 1995 году Плана по обеспечению равенства возмо</w:t>
      </w:r>
      <w:r>
        <w:t>ж</w:t>
      </w:r>
      <w:r>
        <w:t>ностей для женщин, проживающих в сельской местн</w:t>
      </w:r>
      <w:r>
        <w:t>о</w:t>
      </w:r>
      <w:r>
        <w:t xml:space="preserve">сти. В период 2000-2002 годов проводилась работа в формате </w:t>
      </w:r>
      <w:r>
        <w:rPr>
          <w:b/>
        </w:rPr>
        <w:t>Рабочих совещаний по вопросам сельского труда</w:t>
      </w:r>
      <w:r>
        <w:t>, совещательного инструмента, призванного координировать проводимые мероприятия и распределение средств, при участии проживающих в сельской местности женщин, неправительственных организаций и ряда гос</w:t>
      </w:r>
      <w:r>
        <w:t>у</w:t>
      </w:r>
      <w:r>
        <w:t>дарственных институтов. Основной задачей совещаний являлось "содействие выработке, реализации и контролю исполнения политических мер, планов и программ, которые положительно сказываются на развитии и обеспечении прав женщин, проживающих в сельской зоне или занятых в сфере сельского хозя</w:t>
      </w:r>
      <w:r>
        <w:t>й</w:t>
      </w:r>
      <w:r>
        <w:t>ства, учитывая различия этнического, культурного, возрастного и социального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385.</w:t>
      </w:r>
      <w:r>
        <w:tab/>
        <w:t>Одним из результатов работы совещаний стало обоснование 84 показателей равенства полов в сельской местности и проведение сельских совещаний в 13 регионах страны. В рамках координированной работы указа</w:t>
      </w:r>
      <w:r>
        <w:t>н</w:t>
      </w:r>
      <w:r>
        <w:t>ных 13 совещаний были затронуты следующие вызовы: выработка предлож</w:t>
      </w:r>
      <w:r>
        <w:t>е</w:t>
      </w:r>
      <w:r>
        <w:t>ния в адрес государственной власти о создании новых инициатив, связанных с положением женщины в сельской местности; адаптация существующих пр</w:t>
      </w:r>
      <w:r>
        <w:t>о</w:t>
      </w:r>
      <w:r>
        <w:t>грамм; использование Программы совершенствования управления для выявл</w:t>
      </w:r>
      <w:r>
        <w:t>е</w:t>
      </w:r>
      <w:r>
        <w:t>ния параметров, по которым можно оценивать потребности и запросы прож</w:t>
      </w:r>
      <w:r>
        <w:t>и</w:t>
      </w:r>
      <w:r>
        <w:t xml:space="preserve">вающих в сельской местности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Доступ к кредитованию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386.</w:t>
      </w:r>
      <w:r>
        <w:rPr>
          <w:lang w:val="en-US"/>
        </w:rPr>
        <w:tab/>
      </w:r>
      <w:r>
        <w:t>В целом, государственная политика, касающаяся проживающих в сел</w:t>
      </w:r>
      <w:r>
        <w:t>ь</w:t>
      </w:r>
      <w:r>
        <w:t>ской местности женщин, ориентирована, прежде всего, на производителей сельскохозяйственной продукции. Правительство, при поддержке Национал</w:t>
      </w:r>
      <w:r>
        <w:t>ь</w:t>
      </w:r>
      <w:r>
        <w:t>ного управления развития сельского хозяйства (НУРСХ), выработало полит</w:t>
      </w:r>
      <w:r>
        <w:t>и</w:t>
      </w:r>
      <w:r>
        <w:t>ческие меры по содействию модернизации крестьянских хозяйств, предоста</w:t>
      </w:r>
      <w:r>
        <w:t>в</w:t>
      </w:r>
      <w:r>
        <w:t>ляя различные услуги финансового характера, техническое консультирование и помощь в орошении земель. Начиная с 1990 года, НУРСХ изменил свой трад</w:t>
      </w:r>
      <w:r>
        <w:t>и</w:t>
      </w:r>
      <w:r>
        <w:t>ционный подход к пониманию роли женщины, признавая ее вклад в произво</w:t>
      </w:r>
      <w:r>
        <w:t>д</w:t>
      </w:r>
      <w:r>
        <w:t>ство и отсутствие равенства в плане доступа к и распределения ресурсов, нео</w:t>
      </w:r>
      <w:r>
        <w:t>б</w:t>
      </w:r>
      <w:r>
        <w:t>ходимых для обеспечения сельскохозяйственных работ, и предпринял ряд ш</w:t>
      </w:r>
      <w:r>
        <w:t>а</w:t>
      </w:r>
      <w:r>
        <w:t>гов, способствовавших расширению участия женщин в своих пр</w:t>
      </w:r>
      <w:r>
        <w:t>о</w:t>
      </w:r>
      <w:r>
        <w:t xml:space="preserve">граммах.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387.</w:t>
      </w:r>
      <w:r>
        <w:tab/>
        <w:t>Доля женщин, участвующих в программах индивидуального кредитов</w:t>
      </w:r>
      <w:r>
        <w:t>а</w:t>
      </w:r>
      <w:r>
        <w:t>ния НУРСХ, в период с 1998 по 2001 год увеличилась с 16 до 17 процентов с</w:t>
      </w:r>
      <w:r>
        <w:t>о</w:t>
      </w:r>
      <w:r>
        <w:t>ответственно. В плане размещения капиталов также наблюдается увеличение доли женщин на один процент, с 12 процентов в 1998 году до 13 процентов в 2000 году. В плане технической поддержки, в том же году доля женщин сост</w:t>
      </w:r>
      <w:r>
        <w:t>а</w:t>
      </w:r>
      <w:r>
        <w:t>вила 20 процентов, оста</w:t>
      </w:r>
      <w:r>
        <w:t>в</w:t>
      </w:r>
      <w:r>
        <w:t xml:space="preserve">шись неизменной по сравнению с 1998 годом.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388.</w:t>
      </w:r>
      <w:r>
        <w:tab/>
        <w:t>В 2001 и 2002 годах был выделен ряд субсидий, причем в 2001 году сре</w:t>
      </w:r>
      <w:r>
        <w:t>д</w:t>
      </w:r>
      <w:r>
        <w:t>ства на развитие сельскохозяйственного производства были предоставлены 17 075 женщинам, на что было потрачено 62 процента от всего объема выд</w:t>
      </w:r>
      <w:r>
        <w:t>е</w:t>
      </w:r>
      <w:r>
        <w:t>ленных средств. Данные цифры обусловлены тем, что в качестве критерия о</w:t>
      </w:r>
      <w:r>
        <w:t>т</w:t>
      </w:r>
      <w:r>
        <w:t>бора использовался факт главенства женщины в семье. В 2002 году выделено 430 000 долларов США на поддержку 222 проектов инвестиций для 1 693 занимающихся сельским трудом женщин, которые были отобраны в ра</w:t>
      </w:r>
      <w:r>
        <w:t>м</w:t>
      </w:r>
      <w:r>
        <w:t xml:space="preserve">ках конкурса Проектов женщин-крестьянок в области сельскохозяйственного производства.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389.</w:t>
      </w:r>
      <w:r>
        <w:tab/>
        <w:t>Фонд аграрных инноваций (ФАИ) в 2001 году оказал содействие 721 женщине в проектах, касающихся вьючных животных, цветоводства, сад</w:t>
      </w:r>
      <w:r>
        <w:t>о</w:t>
      </w:r>
      <w:r>
        <w:t>водства, пчеловодства, ведения хозяйства и сельского туризма, а также помощь в проведении 19 технологических инспекций на общую сумму 543 000 долларов США. На проекты поддержки инноваций для женщин - пр</w:t>
      </w:r>
      <w:r>
        <w:t>о</w:t>
      </w:r>
      <w:r>
        <w:t>изводителей сельскохозяйственной продукции в течение ближайших 5 лет пл</w:t>
      </w:r>
      <w:r>
        <w:t>а</w:t>
      </w:r>
      <w:r>
        <w:t xml:space="preserve">нируется выделить около 2,5 миллионов долларов США.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Женщины коренных народностей</w:t>
      </w:r>
      <w:r>
        <w:rPr>
          <w:rStyle w:val="FootnoteReference"/>
        </w:rPr>
        <w:footnoteReference w:customMarkFollows="1" w:id="194"/>
        <w:t>191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390.</w:t>
      </w:r>
      <w:r>
        <w:tab/>
        <w:t>По данным последней переписи населения 2002 года, численность коре</w:t>
      </w:r>
      <w:r>
        <w:t>н</w:t>
      </w:r>
      <w:r>
        <w:t xml:space="preserve">ных народов составила 692 192 человека, что соответствует 4,6 процентам от общей численности населения. В национальном масштабе, из всех коренных этнических групп наиболее многочисленной являются индейцы мапучи (87,3 процента); на долю аймара приходится 7,0 процента, и на долю индейцев атакама - 3,0 процента. Остальные этнические меньшинства в совокупности составляют меньше 1 процента населения, из них наименьшую численность имеют яганы - 1 685 человек (0,2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391.</w:t>
      </w:r>
      <w:r>
        <w:tab/>
        <w:t>По данным НОСЭП-2000, большая часть коренного населения проживает в сельских зонах (62,8 процента). Тем не менее, эта доля меньше, чем доля н</w:t>
      </w:r>
      <w:r>
        <w:t>е</w:t>
      </w:r>
      <w:r>
        <w:t>индейского населения, проживающего в г</w:t>
      </w:r>
      <w:r>
        <w:t>о</w:t>
      </w:r>
      <w:r>
        <w:t xml:space="preserve">родских зонах (80,9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392.</w:t>
      </w:r>
      <w:r>
        <w:tab/>
      </w:r>
      <w:r>
        <w:rPr>
          <w:i/>
        </w:rPr>
        <w:t>Коренные народы Чили, как и в других странах мира, в большей степени, чем остальное население, подвержены нищете и имеют ограниченный доступ к социальным благам. При этом необходимо отметить, что в последние годы уровень бедности коренных народов снизился в большей степени, чем уровень бедности неиндейского населения</w:t>
      </w:r>
      <w:r>
        <w:t>. Около трети коренного населения Чили проживает в условиях бедности и нищеты (32,2 процента), что приблизительно на 12 процентов превосходит уровень бедности среди неиндейского населения. Однако в период 1996-2000 годов уровень бедности коренного населения сн</w:t>
      </w:r>
      <w:r>
        <w:t>и</w:t>
      </w:r>
      <w:r>
        <w:t>зился на 3,4 процента, опередив снижение уровня бедности среди неиндейск</w:t>
      </w:r>
      <w:r>
        <w:t>о</w:t>
      </w:r>
      <w:r>
        <w:t>го населения (2,6 процента). Это выразилось в том, что 22 655 представителей коренных народов преодолели бедность. Несмотря на это, уровень нищеты среди коренного населения в указанный период оставался практически без и</w:t>
      </w:r>
      <w:r>
        <w:t>з</w:t>
      </w:r>
      <w:r>
        <w:t xml:space="preserve">менений.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393.</w:t>
      </w:r>
      <w:r>
        <w:tab/>
      </w:r>
      <w:r>
        <w:rPr>
          <w:i/>
        </w:rPr>
        <w:t>Что касается различий между полами, то в отношении уровня бедности таковые не являются значительными</w:t>
      </w:r>
      <w:r>
        <w:t>. Как мужчины, так и женщины коренных народов подвержены бедности одинаково (21,2 процентов и 21,4 процента с</w:t>
      </w:r>
      <w:r>
        <w:t>о</w:t>
      </w:r>
      <w:r>
        <w:t xml:space="preserve">ответственно). При этом уровень нищеты несколько выше среди женщин, чем среди мужчин (11,1 и 10,8 процента соответственно).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394.</w:t>
      </w:r>
      <w:r>
        <w:tab/>
      </w:r>
      <w:r>
        <w:rPr>
          <w:i/>
        </w:rPr>
        <w:t>Наибольший уровень бедности среди представителей коренных народов связан с низким уровнем дохода, приходящегося на семью. Тем не менее, выд</w:t>
      </w:r>
      <w:r>
        <w:rPr>
          <w:i/>
        </w:rPr>
        <w:t>е</w:t>
      </w:r>
      <w:r>
        <w:rPr>
          <w:i/>
        </w:rPr>
        <w:t>ляемые индейским семьям денежные субсидии в период с 1996 по 2000 год ув</w:t>
      </w:r>
      <w:r>
        <w:rPr>
          <w:i/>
        </w:rPr>
        <w:t>е</w:t>
      </w:r>
      <w:r>
        <w:rPr>
          <w:i/>
        </w:rPr>
        <w:t>личились, будучи и в том, и в другом случае выше, чем субсидии, выделяемые неиндейским семьям</w:t>
      </w:r>
      <w:r>
        <w:rPr>
          <w:rStyle w:val="FootnoteReference"/>
        </w:rPr>
        <w:footnoteReference w:customMarkFollows="1" w:id="195"/>
        <w:t>192</w:t>
      </w:r>
      <w:r>
        <w:t>. Данный факт связан с государственными льготами, предлагаемыми этническим коренным группам, в частности, в плане денежных субсидий, размер которых с 1996 года постоянно увеличив</w:t>
      </w:r>
      <w:r>
        <w:t>а</w:t>
      </w:r>
      <w:r>
        <w:t xml:space="preserve">ется.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395.</w:t>
      </w:r>
      <w:r>
        <w:tab/>
      </w:r>
      <w:r>
        <w:rPr>
          <w:i/>
        </w:rPr>
        <w:t>Не усматривается существенной разницы между коренным и неинде</w:t>
      </w:r>
      <w:r>
        <w:rPr>
          <w:i/>
        </w:rPr>
        <w:t>й</w:t>
      </w:r>
      <w:r>
        <w:rPr>
          <w:i/>
        </w:rPr>
        <w:t>ским населением в отношении коэффициента занятости</w:t>
      </w:r>
      <w:r>
        <w:rPr>
          <w:rStyle w:val="FootnoteReference"/>
        </w:rPr>
        <w:footnoteReference w:customMarkFollows="1" w:id="196"/>
        <w:t>193</w:t>
      </w:r>
      <w:r>
        <w:rPr>
          <w:i/>
        </w:rPr>
        <w:t>. Тем не менее для этнической рабочей силы характерен больший уровень безработицы, чем для неиндейского населения</w:t>
      </w:r>
      <w:r>
        <w:rPr>
          <w:rStyle w:val="FootnoteReference"/>
          <w:i/>
        </w:rPr>
        <w:footnoteReference w:customMarkFollows="1" w:id="197"/>
        <w:t>194</w:t>
      </w:r>
      <w:r>
        <w:rPr>
          <w:i/>
        </w:rPr>
        <w:t>. Кроме того, трудовое положение представителей коренных народов сравнительно менее устойчиво, чем положение неиндейск</w:t>
      </w:r>
      <w:r>
        <w:rPr>
          <w:i/>
        </w:rPr>
        <w:t>о</w:t>
      </w:r>
      <w:r>
        <w:rPr>
          <w:i/>
        </w:rPr>
        <w:t>го населения: доля лиц, работающих без трудового договора</w:t>
      </w:r>
      <w:r>
        <w:rPr>
          <w:rStyle w:val="FootnoteReference"/>
          <w:i/>
        </w:rPr>
        <w:footnoteReference w:customMarkFollows="1" w:id="198"/>
        <w:t>195</w:t>
      </w:r>
      <w:r>
        <w:t>, имеющих вр</w:t>
      </w:r>
      <w:r>
        <w:t>е</w:t>
      </w:r>
      <w:r>
        <w:t>менную работу</w:t>
      </w:r>
      <w:r>
        <w:rPr>
          <w:rStyle w:val="FootnoteReference"/>
        </w:rPr>
        <w:footnoteReference w:customMarkFollows="1" w:id="199"/>
        <w:t>196</w:t>
      </w:r>
      <w:r>
        <w:t xml:space="preserve"> несколько больше, чем среди неиндейского населения. В вопросах социального обеспечения упомянутые различия углубляются, п</w:t>
      </w:r>
      <w:r>
        <w:t>о</w:t>
      </w:r>
      <w:r>
        <w:t xml:space="preserve">скольку больше половины имеющих работу представителей коренных народов не состоит в системе социального страхования.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396.</w:t>
      </w:r>
      <w:r>
        <w:tab/>
      </w:r>
      <w:r>
        <w:rPr>
          <w:i/>
        </w:rPr>
        <w:t>С другой стороны, для коренных народов характерен больший уровень н</w:t>
      </w:r>
      <w:r>
        <w:rPr>
          <w:i/>
        </w:rPr>
        <w:t>е</w:t>
      </w:r>
      <w:r>
        <w:rPr>
          <w:i/>
        </w:rPr>
        <w:t>грамотности</w:t>
      </w:r>
      <w:r>
        <w:rPr>
          <w:rStyle w:val="FootnoteReference"/>
          <w:i/>
        </w:rPr>
        <w:footnoteReference w:customMarkFollows="1" w:id="200"/>
        <w:t>197</w:t>
      </w:r>
      <w:r>
        <w:rPr>
          <w:i/>
        </w:rPr>
        <w:t xml:space="preserve"> и меньший уровень образования, чем для неиндейского насел</w:t>
      </w:r>
      <w:r>
        <w:rPr>
          <w:i/>
        </w:rPr>
        <w:t>е</w:t>
      </w:r>
      <w:r>
        <w:rPr>
          <w:i/>
        </w:rPr>
        <w:t>ния, тем не менее, следует признать, что подобные различия среди детей и подростков сократились</w:t>
      </w:r>
      <w:r>
        <w:t>. Это свидетельствует о том, что унаследованные с</w:t>
      </w:r>
      <w:r>
        <w:t>о</w:t>
      </w:r>
      <w:r>
        <w:t>циальные различия могут быть преодолены ввиду того, что дети коренных н</w:t>
      </w:r>
      <w:r>
        <w:t>а</w:t>
      </w:r>
      <w:r>
        <w:t xml:space="preserve">родов могут получить лучший уровень образования, чем их родители. Кроме того, дети и подростки, представляющие коренные народы страны, пользуются рядом государственных льгот, выражающихся в том, что им предоставляются льготы по Программе школьного питания, школьные принадлежности, учебные материалы, а также медицинские и стоматологические услуги.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397.</w:t>
      </w:r>
      <w:r>
        <w:tab/>
        <w:t>С точки зрения состояния здоровья, существенных различий между к</w:t>
      </w:r>
      <w:r>
        <w:t>о</w:t>
      </w:r>
      <w:r>
        <w:t>ренными народами и неиндейским населением не наблюдается. Стоит отм</w:t>
      </w:r>
      <w:r>
        <w:t>е</w:t>
      </w:r>
      <w:r>
        <w:t>тить, что значительная часть представителей коренных народов пользуется у</w:t>
      </w:r>
      <w:r>
        <w:t>с</w:t>
      </w:r>
      <w:r>
        <w:t xml:space="preserve">лугами государственной системы здравоохранения (80,4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398.</w:t>
      </w:r>
      <w:r>
        <w:tab/>
        <w:t>Для коренных народов характерна меньшая свобода доступа к новым и</w:t>
      </w:r>
      <w:r>
        <w:t>н</w:t>
      </w:r>
      <w:r>
        <w:t>формационным и коммуникационным технологиям (Интернет и сотовая связь), чем для неиндейского населения. С другой стороны, для коренных народов х</w:t>
      </w:r>
      <w:r>
        <w:t>а</w:t>
      </w:r>
      <w:r>
        <w:t>рактерная большая степень гражданского участия и членства в организациях ра</w:t>
      </w:r>
      <w:r>
        <w:t>з</w:t>
      </w:r>
      <w:r>
        <w:t xml:space="preserve">личных типов.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399.</w:t>
      </w:r>
      <w:r>
        <w:tab/>
        <w:t>Рамки взаимоотношений государства и этнических коренных народов страны определены Законом о коренных народах</w:t>
      </w:r>
      <w:r>
        <w:rPr>
          <w:rStyle w:val="FootnoteReference"/>
        </w:rPr>
        <w:footnoteReference w:customMarkFollows="1" w:id="201"/>
        <w:t>198</w:t>
      </w:r>
      <w:r>
        <w:t>, который устанавливает, что "долгом общества в целом и государства в частности, при поддержке ра</w:t>
      </w:r>
      <w:r>
        <w:t>з</w:t>
      </w:r>
      <w:r>
        <w:t>личных институтов, является уважение, защита и обеспечение развития коре</w:t>
      </w:r>
      <w:r>
        <w:t>н</w:t>
      </w:r>
      <w:r>
        <w:t>ного населения, его культуры, семейных и общинных ценностей, принимая с</w:t>
      </w:r>
      <w:r>
        <w:t>о</w:t>
      </w:r>
      <w:r>
        <w:t>ответствующие адекватные меры и защищая территории проживания коренных народов, контролируя их разумное использование, экологический баланс и с</w:t>
      </w:r>
      <w:r>
        <w:t>о</w:t>
      </w:r>
      <w:r>
        <w:t>действуя их расширению"</w:t>
      </w:r>
      <w:r>
        <w:rPr>
          <w:rStyle w:val="FootnoteReference"/>
        </w:rPr>
        <w:footnoteReference w:customMarkFollows="1" w:id="202"/>
        <w:t>199</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400.</w:t>
      </w:r>
      <w:r>
        <w:tab/>
        <w:t xml:space="preserve">Среди мероприятий, проводимых государством для улучшения условий жизни коренных чилийских народов, можно отметить </w:t>
      </w:r>
      <w:r>
        <w:rPr>
          <w:b/>
        </w:rPr>
        <w:t>программу "Здоровье и коренные народы"</w:t>
      </w:r>
      <w:r>
        <w:t xml:space="preserve"> Министерства здравоохранения, финансируемую Межам</w:t>
      </w:r>
      <w:r>
        <w:t>е</w:t>
      </w:r>
      <w:r>
        <w:t>риканским банком развития (МБР), одной из целей которых является прогре</w:t>
      </w:r>
      <w:r>
        <w:t>с</w:t>
      </w:r>
      <w:r>
        <w:t>сивное развитие модели межкультурных взаимоотношений в сфере здрав</w:t>
      </w:r>
      <w:r>
        <w:t>о</w:t>
      </w:r>
      <w:r>
        <w:t>охранения. Это подразумевает включение в систему здравоохранения знаний, практических навыков и потребностей коренных народов в плане сохранения здоровья и лечения заболеваний, на основании собственных представлений и культу</w:t>
      </w:r>
      <w:r>
        <w:t>р</w:t>
      </w:r>
      <w:r>
        <w:t xml:space="preserve">ных ценностей, в атмосфере взаимного уважения и пользы.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401.</w:t>
      </w:r>
      <w:r>
        <w:tab/>
        <w:t>В этой связи и с должным учетом прав женщин, представляющих коре</w:t>
      </w:r>
      <w:r>
        <w:t>н</w:t>
      </w:r>
      <w:r>
        <w:t>ные народы, различные медицинские учреждения страны стали накапливать местный опыт, связанный с более заботливым отношением к родам и уходу за новорожденными и матерями, уважая традиционные знания культуры коре</w:t>
      </w:r>
      <w:r>
        <w:t>н</w:t>
      </w:r>
      <w:r>
        <w:t>ных народов. В частности, одним из основных требований женщин народа а</w:t>
      </w:r>
      <w:r>
        <w:t>й</w:t>
      </w:r>
      <w:r>
        <w:t>мара является сохранение традиционного обряда родов, их общинного хара</w:t>
      </w:r>
      <w:r>
        <w:t>к</w:t>
      </w:r>
      <w:r>
        <w:t>тера, в семейной обстановке и при наличии определенных условий естестве</w:t>
      </w:r>
      <w:r>
        <w:t>н</w:t>
      </w:r>
      <w:r>
        <w:t xml:space="preserve">ного и эмоционального характера, которые очевидно не могут быть соблюдены в медицинских учреждениях.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402.</w:t>
      </w:r>
      <w:r>
        <w:tab/>
        <w:t>В Икике</w:t>
      </w:r>
      <w:r>
        <w:rPr>
          <w:rStyle w:val="FootnoteReference"/>
        </w:rPr>
        <w:footnoteReference w:customMarkFollows="1" w:id="203"/>
        <w:t>200</w:t>
      </w:r>
      <w:r>
        <w:t xml:space="preserve"> достигнут определенный прогресс в использовании услуг тр</w:t>
      </w:r>
      <w:r>
        <w:t>а</w:t>
      </w:r>
      <w:r>
        <w:t>диционного акушерства на этапе подготовки к родам женщин народа аймара в соответствии с их требованиями, в рамках Дома семьи высокогорных народов, созданного общественной организацией аймара по согласованию с медици</w:t>
      </w:r>
      <w:r>
        <w:t>н</w:t>
      </w:r>
      <w:r>
        <w:t>скими учреждениями. В больницах городов Арика</w:t>
      </w:r>
      <w:r>
        <w:rPr>
          <w:rStyle w:val="FootnoteReference"/>
        </w:rPr>
        <w:footnoteReference w:customMarkFollows="1" w:id="204"/>
        <w:t>201</w:t>
      </w:r>
      <w:r>
        <w:t xml:space="preserve"> и Темуко</w:t>
      </w:r>
      <w:r>
        <w:rPr>
          <w:rStyle w:val="FootnoteReference"/>
        </w:rPr>
        <w:footnoteReference w:customMarkFollows="1" w:id="205"/>
        <w:t>202</w:t>
      </w:r>
      <w:r>
        <w:t xml:space="preserve"> применяются процедуры ухода за роженицами коренного происхождения в соответствии с их требованиями, а также предоставляется традиционное питание. В больнице г</w:t>
      </w:r>
      <w:r>
        <w:t>о</w:t>
      </w:r>
      <w:r>
        <w:t>рода Осорно</w:t>
      </w:r>
      <w:r>
        <w:rPr>
          <w:rStyle w:val="FootnoteReference"/>
        </w:rPr>
        <w:footnoteReference w:customMarkFollows="1" w:id="206"/>
        <w:t>203</w:t>
      </w:r>
      <w:r>
        <w:t xml:space="preserve"> реализован проект улучшения традиционной культурной обст</w:t>
      </w:r>
      <w:r>
        <w:t>а</w:t>
      </w:r>
      <w:r>
        <w:t xml:space="preserve">новки родов женщин мапучи и уйличи.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403.</w:t>
      </w:r>
      <w:r>
        <w:tab/>
        <w:t xml:space="preserve">Департамент социальной защиты Министерства юстиции отвечает за </w:t>
      </w:r>
      <w:r>
        <w:rPr>
          <w:b/>
        </w:rPr>
        <w:t>юридическую работу в вопросах равенства полов и коренных народов</w:t>
      </w:r>
      <w:r>
        <w:t>. В 2003 году планируется разработать План работы юридических служб на 2003-2006 годы по вопросам коренных народов. В План будут включены ра</w:t>
      </w:r>
      <w:r>
        <w:t>з</w:t>
      </w:r>
      <w:r>
        <w:t>личные мероприятия, позволяющие, среди всего прочего, предотвращать ди</w:t>
      </w:r>
      <w:r>
        <w:t>с</w:t>
      </w:r>
      <w:r>
        <w:t>криминацию и предоставлять качественное обслуживание с учетом культурной прина</w:t>
      </w:r>
      <w:r>
        <w:t>д</w:t>
      </w:r>
      <w:r>
        <w:t xml:space="preserve">лежности.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404.</w:t>
      </w:r>
      <w:r>
        <w:tab/>
        <w:t>В данной связи в 2000-2002 годах реализована Программа професси</w:t>
      </w:r>
      <w:r>
        <w:t>о</w:t>
      </w:r>
      <w:r>
        <w:t>нальной подготовки сотрудников бесплатных юридической консультаций по вопросам индейского мировоззрения и законодательства. Принимая во вним</w:t>
      </w:r>
      <w:r>
        <w:t>а</w:t>
      </w:r>
      <w:r>
        <w:t>ние, что основными клиентами Корпораций правовой помощи являются же</w:t>
      </w:r>
      <w:r>
        <w:t>н</w:t>
      </w:r>
      <w:r>
        <w:t>щины, такая подготовка способствовала существенному улучшению качества работы с клиентами - представител</w:t>
      </w:r>
      <w:r>
        <w:t>я</w:t>
      </w:r>
      <w:r>
        <w:t>ми коренных народов. В период 2000-2002 годов бесплатными юридическими консультациями осуществлены сл</w:t>
      </w:r>
      <w:r>
        <w:t>е</w:t>
      </w:r>
      <w:r>
        <w:t>дующие основные мероприятия: подготовка и информирование специалистов, работающих в юридических консультациях; подготовка информационных и раздаточных материалов на языке мапудунгум</w:t>
      </w:r>
      <w:r>
        <w:rPr>
          <w:rStyle w:val="FootnoteReference"/>
        </w:rPr>
        <w:footnoteReference w:customMarkFollows="1" w:id="207"/>
        <w:t>204</w:t>
      </w:r>
      <w:r>
        <w:t>; разработка системы юрид</w:t>
      </w:r>
      <w:r>
        <w:t>и</w:t>
      </w:r>
      <w:r>
        <w:t>ческой помощи в форме посредничества для представителей коренных нар</w:t>
      </w:r>
      <w:r>
        <w:t>о</w:t>
      </w:r>
      <w:r>
        <w:t xml:space="preserve">дов.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Положение девочек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405.</w:t>
      </w:r>
      <w:r>
        <w:tab/>
        <w:t>Одной из наиболее заметных инициатив в сфере охраны детства и юн</w:t>
      </w:r>
      <w:r>
        <w:t>о</w:t>
      </w:r>
      <w:r>
        <w:t>шества стала выработка «</w:t>
      </w:r>
      <w:r>
        <w:rPr>
          <w:b/>
        </w:rPr>
        <w:t>Национальной политики и Единого плана дейс</w:t>
      </w:r>
      <w:r>
        <w:rPr>
          <w:b/>
        </w:rPr>
        <w:t>т</w:t>
      </w:r>
      <w:r>
        <w:rPr>
          <w:b/>
        </w:rPr>
        <w:t>вий по охране детей и подростков на 2001-2010 годы</w:t>
      </w:r>
      <w:r>
        <w:t>»</w:t>
      </w:r>
      <w:r>
        <w:rPr>
          <w:rStyle w:val="FootnoteReference"/>
        </w:rPr>
        <w:footnoteReference w:customMarkFollows="1" w:id="208"/>
        <w:t>205</w:t>
      </w:r>
      <w:r>
        <w:t>, подготовленного различными государственными органами, отвечающими за работу с этими группами населения, в сотрудничестве с организациями гражданского общес</w:t>
      </w:r>
      <w:r>
        <w:t>т</w:t>
      </w:r>
      <w:r>
        <w:t xml:space="preserve">ва и международными организациями, в том числе ЮНИСЕФ.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406.</w:t>
      </w:r>
      <w:r>
        <w:tab/>
        <w:t>Один из заинтересованных государственных органов, Национальное управление по делам несовершеннолетних (НУДН), рассматривает своих под</w:t>
      </w:r>
      <w:r>
        <w:t>о</w:t>
      </w:r>
      <w:r>
        <w:t>печных, то есть юношей и девушек, в качестве субъектов права в рамках прав человека и в данной связи наделяет их равенством в обращении и возможн</w:t>
      </w:r>
      <w:r>
        <w:t>о</w:t>
      </w:r>
      <w:r>
        <w:t>стях в отношениях с взрослыми, путем реализации программных мероприятий, способствующих осуществлению Конвенции о правах ребенка. В данной связи Управление отдает предпочтение программам, способствующим обеспечению равенства возможностей юношей и девушек. В частности, к их числу относятся Бюро по защите прав</w:t>
      </w:r>
      <w:r>
        <w:rPr>
          <w:rStyle w:val="FootnoteReference"/>
        </w:rPr>
        <w:footnoteReference w:customMarkFollows="1" w:id="209"/>
        <w:t>206</w:t>
      </w:r>
      <w:r>
        <w:t>; Программа против грубого обращения с детьми</w:t>
      </w:r>
      <w:r>
        <w:rPr>
          <w:rStyle w:val="FootnoteReference"/>
        </w:rPr>
        <w:footnoteReference w:customMarkFollows="1" w:id="210"/>
        <w:t>207</w:t>
      </w:r>
      <w:r>
        <w:t>; Программы взаимодействиями с семьями подростков</w:t>
      </w:r>
      <w:r>
        <w:rPr>
          <w:rStyle w:val="FootnoteReference"/>
        </w:rPr>
        <w:footnoteReference w:customMarkFollows="1" w:id="211"/>
        <w:t>208</w:t>
      </w:r>
      <w:r>
        <w:t>; и Программы защиты и юридической консультации для подростков</w:t>
      </w:r>
      <w:r>
        <w:rPr>
          <w:rStyle w:val="FootnoteReference"/>
        </w:rPr>
        <w:footnoteReference w:customMarkFollows="1" w:id="212"/>
        <w:t>209</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407.</w:t>
      </w:r>
      <w:r>
        <w:tab/>
        <w:t>Принимая во внимание важность, которая на мировом и национальном уровне придается вопросам выработки стратегии в отношении детей, прежде всего девочек, Национальное управление по делам несовершеннолетних в и</w:t>
      </w:r>
      <w:r>
        <w:t>ю</w:t>
      </w:r>
      <w:r>
        <w:t>не 2001 года учредило Специальную комиссию по вопросам труда, в состав к</w:t>
      </w:r>
      <w:r>
        <w:t>о</w:t>
      </w:r>
      <w:r>
        <w:t>торой вошли представители Департамента по правозащитным вопросам, по вопросам ответственности несовершеннолетних и по вопросам планирования. Задачей комиссии стало выполнение обязательств, изложенных в Плане по обеспечению равенства возможностей на период 2001-2006 годов, в том числе путем проведения новых плановых мероприятий. План предусматривает три основных направления работы: содействие и информирование о правах же</w:t>
      </w:r>
      <w:r>
        <w:t>н</w:t>
      </w:r>
      <w:r>
        <w:t>щины и надлежащем обращении с детьми; подготовка по вопросам равенства полов для чиновников и специалистов, работающих с женщинами, детьми и семьями; а также планирование специальных программ и мероприятий в отн</w:t>
      </w:r>
      <w:r>
        <w:t>о</w:t>
      </w:r>
      <w:r>
        <w:t xml:space="preserve">шении девочек и их семей.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408.</w:t>
      </w:r>
      <w:r>
        <w:tab/>
        <w:t>С другой стороны, по линии Медицинского и юридического управления были предприняты шаги по обеспечению соблюдения прав человека женщин и девушек, в равных условиях с мужчинами, в форме циклов бесед и семинаров информативного характера для подготовки чиновников, в обязанности которых входит работа с женщинами и девушками, ставшими жертвами насилия, секс</w:t>
      </w:r>
      <w:r>
        <w:t>у</w:t>
      </w:r>
      <w:r>
        <w:t>ального домогательства и грубого физического и психологического обращения. Данные инициативы преследуют две цели, во-первых, недопущение угроз, н</w:t>
      </w:r>
      <w:r>
        <w:t>а</w:t>
      </w:r>
      <w:r>
        <w:t>рушений и ограничений соблюдения и использования прав женщин и девушек в области криминальной экспертизы половых преступлений или в случаях причинения ущерба, влекущего наступление гражданской ответственности при покушении на их физическую или психологич</w:t>
      </w:r>
      <w:r>
        <w:t>е</w:t>
      </w:r>
      <w:r>
        <w:t>скую неприкосновенность. Во-вторых, обеспечение надлежащего информирования жертв половых преступл</w:t>
      </w:r>
      <w:r>
        <w:t>е</w:t>
      </w:r>
      <w:r>
        <w:t>ний, обратившихся в Управление, и также сотрудников полиции, непосредс</w:t>
      </w:r>
      <w:r>
        <w:t>т</w:t>
      </w:r>
      <w:r>
        <w:t xml:space="preserve">венно расследующих как данные типы преступлений, так и противозаконные акты в общем, о правах, возникающих в данной связи у женщин и девушек.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Женщины-инвалиды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409.</w:t>
      </w:r>
      <w:r>
        <w:tab/>
        <w:t>Правительство Чили стало рассматривать проблему инвалидности как один из приоритетных социальных вопросов с 1990 года. В 1994 году был опубликован Закон № 19.284 о социальной интеграции инвалидов. В рамках указанного закона был создан Национальный фонд инвалидов (НФИ), явля</w:t>
      </w:r>
      <w:r>
        <w:t>ю</w:t>
      </w:r>
      <w:r>
        <w:t>щийся государственным учреждением по вопросам инвалидов и государстве</w:t>
      </w:r>
      <w:r>
        <w:t>н</w:t>
      </w:r>
      <w:r>
        <w:t>ным фондом, связанным с органами исполнительной власти через Министерс</w:t>
      </w:r>
      <w:r>
        <w:t>т</w:t>
      </w:r>
      <w:r>
        <w:t xml:space="preserve">во планирования и кооперации (Минплан).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410.</w:t>
      </w:r>
      <w:r>
        <w:tab/>
        <w:t>По данным архивов НФИ, а также согласно результатов статистических исследований</w:t>
      </w:r>
      <w:r>
        <w:rPr>
          <w:i/>
        </w:rPr>
        <w:t>, с количественной точки зрения процент инвалидности среди мужчин и женщин по стране в целом одинаков</w:t>
      </w:r>
      <w:r>
        <w:t>. В Чили количество лиц, имеющих какую-либо форму инвалидности, составляет около 788 000 человек, что соответствует 5,3</w:t>
      </w:r>
      <w:r>
        <w:rPr>
          <w:lang w:val="fi-FI"/>
        </w:rPr>
        <w:t> </w:t>
      </w:r>
      <w:r>
        <w:t>процентам от общего населения страны. Применительно к различиям между полами, сообщается, что какую-либо форму инвалидности имеет 5,1 процента мужчин и 5,4 процента женщин, что указывает, в общем, на равный характер распространения инвалидности. Тем не менее, применительно к некоторым типам инвалидности отмечаются более или менее существенные различия, в частности, нарушения зрения чаще встречаются сред женщин, чем среди мужчин (2,3 процента против 1,4 процента)</w:t>
      </w:r>
      <w:r>
        <w:rPr>
          <w:rStyle w:val="FootnoteReference"/>
        </w:rPr>
        <w:footnoteReference w:customMarkFollows="1" w:id="213"/>
        <w:t>210</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411.</w:t>
      </w:r>
      <w:r>
        <w:tab/>
        <w:t>С качественной точки зрения, инвалидность оказывает различное возде</w:t>
      </w:r>
      <w:r>
        <w:t>й</w:t>
      </w:r>
      <w:r>
        <w:t>ствие на мужчин и женщин, так как последние оказываются в более неблаг</w:t>
      </w:r>
      <w:r>
        <w:t>о</w:t>
      </w:r>
      <w:r>
        <w:t xml:space="preserve">приятной ситуации, что также наблюдается и в других аспектах общественной жизни, в которых неравенство между полами еще не преодолено.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412.</w:t>
      </w:r>
      <w:r>
        <w:tab/>
        <w:t xml:space="preserve">Правительство Чили при участии НФИ осуществило ряд инициатив, в том числе </w:t>
      </w:r>
      <w:r>
        <w:rPr>
          <w:b/>
        </w:rPr>
        <w:t>Программу финансирования мероприятий по оказанию технической помощи</w:t>
      </w:r>
      <w:r>
        <w:t>. Целью данной программы является частичное или полное финанс</w:t>
      </w:r>
      <w:r>
        <w:t>и</w:t>
      </w:r>
      <w:r>
        <w:t>рование приобретения третьими сторонами средств технической помощи</w:t>
      </w:r>
      <w:r>
        <w:rPr>
          <w:rStyle w:val="FootnoteReference"/>
        </w:rPr>
        <w:footnoteReference w:customMarkFollows="1" w:id="214"/>
        <w:t>211</w:t>
      </w:r>
      <w:r>
        <w:t>, предназначенных для малообеспеченных инвалидов, либо для благотворител</w:t>
      </w:r>
      <w:r>
        <w:t>ь</w:t>
      </w:r>
      <w:r>
        <w:t>ных организаций, осуществляющих уход за инвалидами. Данная программа учитывает спрос на средства технической помощи, одинаковый как для му</w:t>
      </w:r>
      <w:r>
        <w:t>ж</w:t>
      </w:r>
      <w:r>
        <w:t>чин, так и для женщин. В данной связи, начиная с 2002 года, в программе уч</w:t>
      </w:r>
      <w:r>
        <w:t>и</w:t>
      </w:r>
      <w:r>
        <w:t>тываются критерии приоритетности потребностей женщин, являющихся глав</w:t>
      </w:r>
      <w:r>
        <w:t>а</w:t>
      </w:r>
      <w:r>
        <w:t>ми семьи, малоимущими или имеющими возраст старше 65</w:t>
      </w:r>
      <w:r>
        <w:rPr>
          <w:lang w:val="fi-FI"/>
        </w:rPr>
        <w:t> </w:t>
      </w:r>
      <w:r>
        <w:t xml:space="preserve">лет, среди всех прочих потребностей.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413.</w:t>
      </w:r>
      <w:r>
        <w:tab/>
      </w:r>
      <w:r>
        <w:rPr>
          <w:b/>
        </w:rPr>
        <w:t>Программа финансирования проектов</w:t>
      </w:r>
      <w:r>
        <w:t>. Данная программа предназн</w:t>
      </w:r>
      <w:r>
        <w:t>а</w:t>
      </w:r>
      <w:r>
        <w:t>чена для полного или частичного финансирования планов, программ и прое</w:t>
      </w:r>
      <w:r>
        <w:t>к</w:t>
      </w:r>
      <w:r>
        <w:t>тов в отношении имеющих инвалидность лиц, которые реализуются третьими сторонами и предпочтительно касаются вопросов профилактики, диагностики, реабилитации и социальной интеграции для нужд инвалидов. Следует упом</w:t>
      </w:r>
      <w:r>
        <w:t>я</w:t>
      </w:r>
      <w:r>
        <w:t>нуть о том, что применительно к целевому населению, на которое рассчитаны подобные проекты, не должно проводиться различия между полами. Отмечено, что 87 процентов проектов предназначаются для представителей обоих полов, 5 процентов – только для женщин, и 8 процентов – только для мужчин. Подо</w:t>
      </w:r>
      <w:r>
        <w:t>б</w:t>
      </w:r>
      <w:r>
        <w:t>ное соотношение объясняется большим количеством проектов общинного масштаба, а также проектов, дополняющих программы медицинского обслуж</w:t>
      </w:r>
      <w:r>
        <w:t>и</w:t>
      </w:r>
      <w:r>
        <w:t xml:space="preserve">вания, программы муниципалитетов и т.д.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414.</w:t>
      </w:r>
      <w:r>
        <w:tab/>
        <w:t>Принимая во внимание важность, которую приобретает вопрос равенства полов, соображения его учета были включены в Требования к благотворител</w:t>
      </w:r>
      <w:r>
        <w:t>ь</w:t>
      </w:r>
      <w:r>
        <w:t>ным проектам на 9-ом Национальном конкурсе проектов НФИ 2003 года. В данной связи, при выделении финансирования для представленных проектов использовался критерий приоритетности</w:t>
      </w:r>
      <w:r>
        <w:rPr>
          <w:rStyle w:val="FootnoteReference"/>
        </w:rPr>
        <w:footnoteReference w:customMarkFollows="1" w:id="215"/>
        <w:t>212</w:t>
      </w:r>
      <w:r>
        <w:t xml:space="preserve"> проектов, учитывающих вопрос равенства полов, предпочтительно в отношении женщин, имеющих инвали</w:t>
      </w:r>
      <w:r>
        <w:t>д</w:t>
      </w:r>
      <w:r>
        <w:t>ность, и решающих в количественном и качественном плане задачи по удовл</w:t>
      </w:r>
      <w:r>
        <w:t>е</w:t>
      </w:r>
      <w:r>
        <w:t xml:space="preserve">творению их специфических потребностей.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415.</w:t>
      </w:r>
      <w:r>
        <w:tab/>
      </w:r>
      <w:r>
        <w:rPr>
          <w:b/>
        </w:rPr>
        <w:t>Стипендии на приобретение средств технической помощи для мал</w:t>
      </w:r>
      <w:r>
        <w:rPr>
          <w:b/>
        </w:rPr>
        <w:t>о</w:t>
      </w:r>
      <w:r>
        <w:rPr>
          <w:b/>
        </w:rPr>
        <w:t>имущих учащихся системы среднего образования, имеющих инвали</w:t>
      </w:r>
      <w:r>
        <w:rPr>
          <w:b/>
        </w:rPr>
        <w:t>д</w:t>
      </w:r>
      <w:r>
        <w:rPr>
          <w:b/>
        </w:rPr>
        <w:t>ность</w:t>
      </w:r>
      <w:r>
        <w:t>. Целью данной программы является обеспечение равенства возможн</w:t>
      </w:r>
      <w:r>
        <w:t>о</w:t>
      </w:r>
      <w:r>
        <w:t>стей интеграции в систему образования и уменьшения разрыва в успеваемости среди имеющих и не имеющих инвалидность учащихся. В данной связи ста</w:t>
      </w:r>
      <w:r>
        <w:t>н</w:t>
      </w:r>
      <w:r>
        <w:t>дартная система образования в Чили все еще содержит множество препятствий для детей и подростков, имеющих инвалидность. Процентное соотношение учащихся, получавших подобные стипендии в 2002 году, выглядит следующим образом: 47 процентов учащихся женского пола и 53 процента - мужского пола. Даже если стипендиатами преимущественно являются мужчины, различия м</w:t>
      </w:r>
      <w:r>
        <w:t>е</w:t>
      </w:r>
      <w:r>
        <w:t>жду полами не существенны. Программа не предусматривает каких-либо ра</w:t>
      </w:r>
      <w:r>
        <w:t>з</w:t>
      </w:r>
      <w:r>
        <w:t xml:space="preserve">граничений или четких требований по выплате стипендий учащимся мужского или женского пола, однако ведется постоянный контроль соблюдения равенства в рамках отдельных обращений.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416.</w:t>
      </w:r>
      <w:r>
        <w:tab/>
      </w:r>
      <w:r>
        <w:rPr>
          <w:b/>
        </w:rPr>
        <w:t>Центры посредничества</w:t>
      </w:r>
      <w:r>
        <w:t xml:space="preserve"> </w:t>
      </w:r>
      <w:r>
        <w:rPr>
          <w:b/>
        </w:rPr>
        <w:t>в</w:t>
      </w:r>
      <w:r>
        <w:t xml:space="preserve"> </w:t>
      </w:r>
      <w:r>
        <w:rPr>
          <w:b/>
        </w:rPr>
        <w:t>сфере труда (ЦПТ)</w:t>
      </w:r>
      <w:r>
        <w:t>. Целью данной иници</w:t>
      </w:r>
      <w:r>
        <w:t>а</w:t>
      </w:r>
      <w:r>
        <w:t>тивы является трудоустройство инвалидов обоих полов путем координации р</w:t>
      </w:r>
      <w:r>
        <w:t>а</w:t>
      </w:r>
      <w:r>
        <w:t>боты в данной сфере между государственными органами и частными организ</w:t>
      </w:r>
      <w:r>
        <w:t>а</w:t>
      </w:r>
      <w:r>
        <w:t xml:space="preserve">циями, при участии специалистов в данной области. В 2002 году на пилотном этапе реализации программы 211 инвалидов обоих полов было трудоустроено на различные должности в трех областях страны, где проводилась программа (столичная область, область </w:t>
      </w:r>
      <w:r>
        <w:rPr>
          <w:lang w:val="en-US"/>
        </w:rPr>
        <w:t>IV</w:t>
      </w:r>
      <w:r>
        <w:t xml:space="preserve"> и область </w:t>
      </w:r>
      <w:r>
        <w:rPr>
          <w:lang w:val="en-US"/>
        </w:rPr>
        <w:t>VIII</w:t>
      </w:r>
      <w:r>
        <w:t>), при этом изначальный план был перевыполнен. Из числа трудоустроенных 63 процента составили мужчины и 37 процентов – женщины. Подобное различие отмечалось не только в плане трудоустройства, но и в плане обращения желающих, так как мужчины сост</w:t>
      </w:r>
      <w:r>
        <w:t>а</w:t>
      </w:r>
      <w:r>
        <w:t>вили большую часть обратившихся в ЦПТ. Подобное неравенство соотносимо с существующим в масштабе всей страны неравенством в вопросах доступа мужчин и женщин к трудовой деятельности, что также подтверждается данн</w:t>
      </w:r>
      <w:r>
        <w:t>ы</w:t>
      </w:r>
      <w:r>
        <w:t>ми статистических исследований и н</w:t>
      </w:r>
      <w:r>
        <w:t>а</w:t>
      </w:r>
      <w:r>
        <w:t xml:space="preserve">циональных обзоров.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417.</w:t>
      </w:r>
      <w:r>
        <w:tab/>
        <w:t>На основании вышеуказанного можно судить о том, что имеющие инв</w:t>
      </w:r>
      <w:r>
        <w:t>а</w:t>
      </w:r>
      <w:r>
        <w:t>лидность женщины подвержены двойной дискриминации при попытке труд</w:t>
      </w:r>
      <w:r>
        <w:t>о</w:t>
      </w:r>
      <w:r>
        <w:t>устройства, при этом их положение хуже, чем положение малоимущих же</w:t>
      </w:r>
      <w:r>
        <w:t>н</w:t>
      </w:r>
      <w:r>
        <w:t>щин. Учитывая ситуацию дискриминации женщин-инвалидов, НФИ, начиная с 2003 года, использует в работе ЦПТ критерий приоритетности, заключающи</w:t>
      </w:r>
      <w:r>
        <w:t>й</w:t>
      </w:r>
      <w:r>
        <w:t>ся в том, что из двух претендентов разных полов, имеющих одинаковый ур</w:t>
      </w:r>
      <w:r>
        <w:t>о</w:t>
      </w:r>
      <w:r>
        <w:t>вень квалификации, предпочтение при приеме на работу отдается женщине. Использование такого критерия имеет цель за короткий срок уменьшить в ра</w:t>
      </w:r>
      <w:r>
        <w:t>м</w:t>
      </w:r>
      <w:r>
        <w:t xml:space="preserve">ках программы разрыв в трудоустройстве между мужчинами и женщинами.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Женщины пожилого возраста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418.</w:t>
      </w:r>
      <w:r>
        <w:tab/>
        <w:t>Учет интересов пожилого населения, как часть государственной полит</w:t>
      </w:r>
      <w:r>
        <w:t>и</w:t>
      </w:r>
      <w:r>
        <w:t>ки, приобрел важность в начале девяностых годов, с приходом к власти дем</w:t>
      </w:r>
      <w:r>
        <w:t>о</w:t>
      </w:r>
      <w:r>
        <w:t>кратического правительства. Под руководством президента Патрисио Айлвина Асокара и при участии Министерства планирования и кооперации (Минплан), граждане старшего возраста были включены в число наиболее уязвимых групп, в отношении которых тр</w:t>
      </w:r>
      <w:r>
        <w:t>е</w:t>
      </w:r>
      <w:r>
        <w:t xml:space="preserve">бовалась особая социальная политика правительства.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419.</w:t>
      </w:r>
      <w:r>
        <w:tab/>
        <w:t>До начала девяностых годов работу с населением пожилого возраста пр</w:t>
      </w:r>
      <w:r>
        <w:t>е</w:t>
      </w:r>
      <w:r>
        <w:t>имущественно проводили религиозные организации, которые в основном з</w:t>
      </w:r>
      <w:r>
        <w:t>а</w:t>
      </w:r>
      <w:r>
        <w:t>нимались уходом за пожилыми людьми. На первом этапе деятельности дем</w:t>
      </w:r>
      <w:r>
        <w:t>о</w:t>
      </w:r>
      <w:r>
        <w:t>кратического правительства были предприняты меры по проведению исслед</w:t>
      </w:r>
      <w:r>
        <w:t>о</w:t>
      </w:r>
      <w:r>
        <w:t xml:space="preserve">ваний, обобщению имеющихся данных и изучению иностранного опыта, что способствовало выработке политических мер по решению данной проблемы с учетом чилийской специфики.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420.</w:t>
      </w:r>
      <w:r>
        <w:tab/>
        <w:t>В 1995 году по распоряжению президента Эдуардо Фрея Руис-Тагле была создана Национальная комиссия по делам престарелых, которая провела иссл</w:t>
      </w:r>
      <w:r>
        <w:t>е</w:t>
      </w:r>
      <w:r>
        <w:t>дование положения граждан пожилого возраста и других сопутствующих в</w:t>
      </w:r>
      <w:r>
        <w:t>о</w:t>
      </w:r>
      <w:r>
        <w:t>просов. В результате исследования был подготовлен сборник Комиссии по д</w:t>
      </w:r>
      <w:r>
        <w:t>е</w:t>
      </w:r>
      <w:r>
        <w:t>лам престарелых. Результаты исследования были настолько важными и нео</w:t>
      </w:r>
      <w:r>
        <w:t>с</w:t>
      </w:r>
      <w:r>
        <w:t>поримыми, что побудили президента издать Указ № 203 от 27 ноября 1995 года о создании Национального комитета по делам престарелых. До 31 декабря 2002 года Комитет являлся государственными органом, консультирующим пр</w:t>
      </w:r>
      <w:r>
        <w:t>е</w:t>
      </w:r>
      <w:r>
        <w:t>зидента по вопросам, связанным с этой возрастной группой и другим аспектам старения. Его основной задачей являлась координация и содействие меропри</w:t>
      </w:r>
      <w:r>
        <w:t>я</w:t>
      </w:r>
      <w:r>
        <w:t>тиям в данной области, проводимым различными государственными и частн</w:t>
      </w:r>
      <w:r>
        <w:t>ы</w:t>
      </w:r>
      <w:r>
        <w:t xml:space="preserve">ми институтами, а также гражданским обществом.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421.</w:t>
      </w:r>
      <w:r>
        <w:tab/>
        <w:t xml:space="preserve">Главной целью национальной политики является обеспечение культурного сдвига в масштабе всего населения, что означает большее уважение и заботу о людях пожилого возраста, являющихся членами нашего общества, для чего требуется глубокое понимание особенностей старения и обеспечение лучшего уровня жизни всех граждан пожилого возраста.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422.</w:t>
      </w:r>
      <w:r>
        <w:tab/>
        <w:t xml:space="preserve">В начале 2003 года была учреждена </w:t>
      </w:r>
      <w:r>
        <w:rPr>
          <w:b/>
        </w:rPr>
        <w:t>Национальная служба по делам пожилых лиц (НСДПЛ)</w:t>
      </w:r>
      <w:r>
        <w:rPr>
          <w:rStyle w:val="FootnoteReference"/>
        </w:rPr>
        <w:footnoteReference w:customMarkFollows="1" w:id="216"/>
        <w:t>213</w:t>
      </w:r>
      <w:r>
        <w:t>, в сферу ведения которой вошло все пожилое нас</w:t>
      </w:r>
      <w:r>
        <w:t>е</w:t>
      </w:r>
      <w:r>
        <w:t>ление страны, с особым акцентом на нуждающихся представителей данной возрастной группы, принимая во внимание их двойную уязвимость – бедность и пожилой возраст. В результате создания Службы удалось законодательно з</w:t>
      </w:r>
      <w:r>
        <w:t>а</w:t>
      </w:r>
      <w:r>
        <w:t>крепить урегулирование вопросов старости и пожилого возраста в компете</w:t>
      </w:r>
      <w:r>
        <w:t>н</w:t>
      </w:r>
      <w:r>
        <w:t>ции государственного аппарата. Основной задачей НСДПЛ является координ</w:t>
      </w:r>
      <w:r>
        <w:t>а</w:t>
      </w:r>
      <w:r>
        <w:t>ция мероприятий с ведающими социальными вопросами министерствами, службами и государственными учреждениями, а также частными институтами и гражданскими обществом, в таких важных областях, как здравоохранение, социальное обеспечение, образование, жилищное хозяйство, культура и досуг, деятельность муниципалитетов, частных предприятий и гражданского общес</w:t>
      </w:r>
      <w:r>
        <w:t>т</w:t>
      </w:r>
      <w:r>
        <w:t xml:space="preserve">ва (университеты, церковные институты и неправительственные организации).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423.</w:t>
      </w:r>
      <w:r>
        <w:tab/>
        <w:t>Необходимо упомянуть о ряде инициатив, осуществление которых пр</w:t>
      </w:r>
      <w:r>
        <w:t>о</w:t>
      </w:r>
      <w:r>
        <w:t>должается в настоящее время: в жилищном секторе принято решение о выд</w:t>
      </w:r>
      <w:r>
        <w:t>е</w:t>
      </w:r>
      <w:r>
        <w:t>лении в рамках одной из программ 2 процентов строящегося социального ж</w:t>
      </w:r>
      <w:r>
        <w:t>и</w:t>
      </w:r>
      <w:r>
        <w:t>лья пожилым людям. В сфере медицинского обеспечения предоставляется бе</w:t>
      </w:r>
      <w:r>
        <w:t>с</w:t>
      </w:r>
      <w:r>
        <w:t>платное лечение для лиц старше 65 лет, пользующихся услугами государстве</w:t>
      </w:r>
      <w:r>
        <w:t>н</w:t>
      </w:r>
      <w:r>
        <w:t>ной системы здравоохранения; также осуществляются такие программы, как Программа вакцинации против гриппа, Программа дополнительного питания, Программа охраны здоровья лиц пожилого возраста. В сфере социального обеспечения предусматривается индексация пенсий, выплата «зимних пр</w:t>
      </w:r>
      <w:r>
        <w:t>е</w:t>
      </w:r>
      <w:r>
        <w:t>мий», введение идентификационной карты пенсионера. В сфере туризма и ре</w:t>
      </w:r>
      <w:r>
        <w:t>к</w:t>
      </w:r>
      <w:r>
        <w:t>реации под руководством Национальной службы туризма (НСТ) уже третий год осуществляется Программа отдыха для лиц пожилого возраста, участие в кот</w:t>
      </w:r>
      <w:r>
        <w:t>о</w:t>
      </w:r>
      <w:r>
        <w:t>рой приняли более 20 000 людей пожилого возраста. В рамках данной пр</w:t>
      </w:r>
      <w:r>
        <w:t>о</w:t>
      </w:r>
      <w:r>
        <w:t>граммы Правительство Чили выделяет субсидии на оплату 60 процентов сто</w:t>
      </w:r>
      <w:r>
        <w:t>и</w:t>
      </w:r>
      <w:r>
        <w:t>мости туристической путевки, остальные 40 процентов оплачивает отдыха</w:t>
      </w:r>
      <w:r>
        <w:t>ю</w:t>
      </w:r>
      <w:r>
        <w:t xml:space="preserve">щий.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424.</w:t>
      </w:r>
      <w:r>
        <w:tab/>
        <w:t>В</w:t>
      </w:r>
      <w:r>
        <w:rPr>
          <w:lang w:val="en-US"/>
        </w:rPr>
        <w:t> </w:t>
      </w:r>
      <w:r>
        <w:t>данной связи следует отметить, что гендерный вопрос проявляется лишь в связи с тем, что большинство престарелых составляют женщины, кот</w:t>
      </w:r>
      <w:r>
        <w:t>о</w:t>
      </w:r>
      <w:r>
        <w:t xml:space="preserve">рые также в большей мере участвуют в указанных программах. Тем не менее, до настоящего времени не предлагалось специальных инициатив и программ, ориентированных на потребности представителей какого-либо одного пола.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rPr>
          <w:b/>
          <w:u w:val="single"/>
        </w:rPr>
        <w:t>Женщины, больные ВИЧ/СПИДом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425.</w:t>
      </w:r>
      <w:r>
        <w:tab/>
        <w:t>В Чили сбором данных о статистике заболеваемости ВИЧ-инфекцией и ее эпидемиологических проявлениях занимается служба эпидемиологического контроля ВИЧ/СПИДа, которая в обязательном порядке регистрирует случаи заболевания СПИДом и случаи выявления носителей ВИЧ без симптомов заб</w:t>
      </w:r>
      <w:r>
        <w:t>о</w:t>
      </w:r>
      <w:r>
        <w:t>левания. По состоянию на декабрь 2001 года зарегистрировано 4 646 больных СПИДом и 5 228 бессимптомных носителей ВИЧ во всех 13 областях страны, при этом СПИД стал причиной смерти 3 012 человек. Ежегодная картина заб</w:t>
      </w:r>
      <w:r>
        <w:t>о</w:t>
      </w:r>
      <w:r>
        <w:t>леваемости СПИДом и другими новыми инфекционными заболеваниями св</w:t>
      </w:r>
      <w:r>
        <w:t>и</w:t>
      </w:r>
      <w:r>
        <w:t>детельствует о тенденции к росту: в 1999 году, считающемся последним годом, по которому имеется точная статистика, уровень заболеваемости СПИДом с</w:t>
      </w:r>
      <w:r>
        <w:t>о</w:t>
      </w:r>
      <w:r>
        <w:t>ставил 3,60 на 100 000 человек, уровень заболеваемости новыми инфекцио</w:t>
      </w:r>
      <w:r>
        <w:t>н</w:t>
      </w:r>
      <w:r>
        <w:t>ными заболеваниями – 4,61 на 100 000</w:t>
      </w:r>
      <w:r>
        <w:rPr>
          <w:rStyle w:val="FootnoteReference"/>
        </w:rPr>
        <w:footnoteReference w:customMarkFollows="1" w:id="217"/>
        <w:t>214</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426.</w:t>
      </w:r>
      <w:r>
        <w:tab/>
        <w:t>Анализ данных о заболеваемости СПИДом, накопленных с начала эпид</w:t>
      </w:r>
      <w:r>
        <w:t>е</w:t>
      </w:r>
      <w:r>
        <w:t>мии, свидетельствует о том, что наибольший процент заболеваемости прих</w:t>
      </w:r>
      <w:r>
        <w:t>о</w:t>
      </w:r>
      <w:r>
        <w:t>дится на мужчин, 89,1 процента от всех случаев, в то время как среди женщин процент заболеваемости составляет 10,9 процента. При этом отмечается сра</w:t>
      </w:r>
      <w:r>
        <w:t>в</w:t>
      </w:r>
      <w:r>
        <w:t>нительно больший рост заболеваемости СПИДом женщин, нежели мужчин, с учетом всех механизмов заражения. Этот факт отражается на соотношении больных мужчин и женщин, разрыв между которыми со временем сократился, составив 5,8 к 1 в 1999 году (последний год, по которому имеется точная стат</w:t>
      </w:r>
      <w:r>
        <w:t>и</w:t>
      </w:r>
      <w:r>
        <w:t>стика)</w:t>
      </w:r>
      <w:r>
        <w:rPr>
          <w:rStyle w:val="FootnoteReference"/>
        </w:rPr>
        <w:footnoteReference w:customMarkFollows="1" w:id="218"/>
        <w:t>215</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427.</w:t>
      </w:r>
      <w:r>
        <w:tab/>
        <w:t>В период с 1996 по 2000 год в стране увеличилась процентная доля детей с ВИЧ, зарегистрированных в государственной системе здравоохранения и проходивших соответствующее лечение. В рамках действия Протокола о пр</w:t>
      </w:r>
      <w:r>
        <w:t>е</w:t>
      </w:r>
      <w:r>
        <w:t>дотвращении вертикальной передачи ВИЧ-инфекции</w:t>
      </w:r>
      <w:r>
        <w:rPr>
          <w:rStyle w:val="FootnoteReference"/>
        </w:rPr>
        <w:footnoteReference w:customMarkFollows="1" w:id="219"/>
        <w:t>216</w:t>
      </w:r>
      <w:r>
        <w:t xml:space="preserve"> также увеличилось к</w:t>
      </w:r>
      <w:r>
        <w:t>о</w:t>
      </w:r>
      <w:r>
        <w:t>личество беременных женщин с ВИЧ, проходящих лечение как в государстве</w:t>
      </w:r>
      <w:r>
        <w:t>н</w:t>
      </w:r>
      <w:r>
        <w:t>ных, так и в частных медицинских учреждениях. Зарегистрированные в гос</w:t>
      </w:r>
      <w:r>
        <w:t>у</w:t>
      </w:r>
      <w:r>
        <w:t>дарственной системе здравоохранения женщины при наличии соответству</w:t>
      </w:r>
      <w:r>
        <w:t>ю</w:t>
      </w:r>
      <w:r>
        <w:t>щих показаний продолжают антиретровирусную терапию после родов. В</w:t>
      </w:r>
      <w:r>
        <w:rPr>
          <w:lang w:val="en-US"/>
        </w:rPr>
        <w:t> </w:t>
      </w:r>
      <w:r>
        <w:t>настоящее время 100 процентов детей с ВИЧ, пользующихся услугами гос</w:t>
      </w:r>
      <w:r>
        <w:t>у</w:t>
      </w:r>
      <w:r>
        <w:t>дарственной медицины, проходят лечение в соответствии с имеющимися пок</w:t>
      </w:r>
      <w:r>
        <w:t>а</w:t>
      </w:r>
      <w:r>
        <w:t>заниями, что также распространяется на 100 процентов беременных женщин с ВИЧ, зарегистрированных как в государственных, так и в частных медици</w:t>
      </w:r>
      <w:r>
        <w:t>н</w:t>
      </w:r>
      <w:r>
        <w:t xml:space="preserve">ских учреждениях.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428.</w:t>
      </w:r>
      <w:r>
        <w:tab/>
        <w:t>В период с 1996 по 2000 год также увеличилась процентная доля взро</w:t>
      </w:r>
      <w:r>
        <w:t>с</w:t>
      </w:r>
      <w:r>
        <w:t>лых женщин, не имеющих беременности, которые состоят на лечении в гос</w:t>
      </w:r>
      <w:r>
        <w:t>у</w:t>
      </w:r>
      <w:r>
        <w:t>дарственной системе здравоохранения и имеют показания к антиретровиру</w:t>
      </w:r>
      <w:r>
        <w:t>с</w:t>
      </w:r>
      <w:r>
        <w:t>ному лечению. По состоянию на конец 2002 года, их доля составляет 85 процентов. Находящиеся в местах лишения свободы инфицированные же</w:t>
      </w:r>
      <w:r>
        <w:t>н</w:t>
      </w:r>
      <w:r>
        <w:t xml:space="preserve">щины в одинаковой мере с остальными гражданами имеют право на лечебную терапию и учтены в протоколах о предотвращении вертикальной передачи ВИЧ-инфекции.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429.</w:t>
      </w:r>
      <w:r>
        <w:tab/>
        <w:t>В</w:t>
      </w:r>
      <w:r>
        <w:rPr>
          <w:lang w:val="en-US"/>
        </w:rPr>
        <w:t> </w:t>
      </w:r>
      <w:r>
        <w:t>1999-2000 годах при широком участии общественности и заинтерес</w:t>
      </w:r>
      <w:r>
        <w:t>о</w:t>
      </w:r>
      <w:r>
        <w:t>ванных органов велась подготовка Закона, запрещающего дискриминацию лиц с ВИЧ в сфере трудовой деятельности, образования и здравоохранения, в час</w:t>
      </w:r>
      <w:r>
        <w:t>т</w:t>
      </w:r>
      <w:r>
        <w:t>ности, устанавливая, что медицинское обследование всегда должно проводит</w:t>
      </w:r>
      <w:r>
        <w:t>ь</w:t>
      </w:r>
      <w:r>
        <w:t>ся при условии явного информированного согласия пациента и должного ко</w:t>
      </w:r>
      <w:r>
        <w:t>н</w:t>
      </w:r>
      <w:r>
        <w:t xml:space="preserve">сультирования. Данный Закон был опубликован в конце 2001 года.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430.</w:t>
      </w:r>
      <w:r>
        <w:tab/>
        <w:t>Женщины, занятые предоставлением сексуальных услуг, на равных усл</w:t>
      </w:r>
      <w:r>
        <w:t>о</w:t>
      </w:r>
      <w:r>
        <w:t>виях участвуют в программах предотвращения заболеваний в парах и проф</w:t>
      </w:r>
      <w:r>
        <w:t>и</w:t>
      </w:r>
      <w:r>
        <w:t>лактики заболеваний, передающихся половым путем. Исследование заболева</w:t>
      </w:r>
      <w:r>
        <w:t>е</w:t>
      </w:r>
      <w:r>
        <w:t>мости ВИЧ-инфекцией, проведенное среди женщин, занятых предоставлением сексуальных услуг в центрах профилактики болезней, передающихся половым путем в столичной области в 2001 году</w:t>
      </w:r>
      <w:r>
        <w:rPr>
          <w:rStyle w:val="FootnoteReference"/>
        </w:rPr>
        <w:footnoteReference w:customMarkFollows="1" w:id="220"/>
        <w:t>217</w:t>
      </w:r>
      <w:r>
        <w:t xml:space="preserve"> подтвердило наличие 0 процента ВИЧ-инфицированных и низкую заболеваемость болезнями, передающимися половым путем.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431.</w:t>
      </w:r>
      <w:r>
        <w:tab/>
        <w:t>Принимая во внимание, что в настоящее время наибольшему риску инф</w:t>
      </w:r>
      <w:r>
        <w:t>и</w:t>
      </w:r>
      <w:r>
        <w:t>цирования подвергаются женщины, имеющие постоянных партнеров</w:t>
      </w:r>
      <w:r>
        <w:rPr>
          <w:rStyle w:val="FootnoteReference"/>
        </w:rPr>
        <w:footnoteReference w:customMarkFollows="1" w:id="221"/>
        <w:t>218</w:t>
      </w:r>
      <w:r>
        <w:t>, п</w:t>
      </w:r>
      <w:r>
        <w:t>о</w:t>
      </w:r>
      <w:r>
        <w:t>скольку, по причине своих представлений о верности зачастую относятся пр</w:t>
      </w:r>
      <w:r>
        <w:t>е</w:t>
      </w:r>
      <w:r>
        <w:t>небрежительно к риску заразиться. Правительство активизировало информац</w:t>
      </w:r>
      <w:r>
        <w:t>и</w:t>
      </w:r>
      <w:r>
        <w:t>онную кампанию, адресованную данной целевой группе. Тем не менее, камп</w:t>
      </w:r>
      <w:r>
        <w:t>а</w:t>
      </w:r>
      <w:r>
        <w:t>нии, призывающие к использованию презервативов, продолжают восприн</w:t>
      </w:r>
      <w:r>
        <w:t>и</w:t>
      </w:r>
      <w:r>
        <w:t>маться отрицательно наиболее консервативными группами населения стр</w:t>
      </w:r>
      <w:r>
        <w:t>а</w:t>
      </w:r>
      <w:r>
        <w:t>ны</w:t>
      </w:r>
      <w:r>
        <w:rPr>
          <w:rStyle w:val="FootnoteReference"/>
        </w:rPr>
        <w:footnoteReference w:customMarkFollows="1" w:id="222"/>
        <w:t>219</w:t>
      </w:r>
      <w:r>
        <w:t xml:space="preserve">, несмотря на очевидный рост заболеваемости.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432.</w:t>
      </w:r>
      <w:r>
        <w:tab/>
        <w:t>В стране все еще не сформировалась роль женщины как способствующей предотвращению случаев заболевания ВИЧ/СПИДом. С точки зрения здрав</w:t>
      </w:r>
      <w:r>
        <w:t>о</w:t>
      </w:r>
      <w:r>
        <w:t>охранения, приоритетным стало обеспечение доступа женщины к профилакт</w:t>
      </w:r>
      <w:r>
        <w:t>и</w:t>
      </w:r>
      <w:r>
        <w:t>ке и вовлечение ее в процесс предотвращения заболевания в парах, путем ре</w:t>
      </w:r>
      <w:r>
        <w:t>а</w:t>
      </w:r>
      <w:r>
        <w:t>лизации региональных межведомственных проектов в области здравоохран</w:t>
      </w:r>
      <w:r>
        <w:t>е</w:t>
      </w:r>
      <w:r>
        <w:t xml:space="preserve">ния. </w:t>
      </w:r>
    </w:p>
    <w:p w:rsidR="00000000" w:rsidRDefault="00000000">
      <w:pPr>
        <w:jc w:val="both"/>
      </w:pPr>
    </w:p>
    <w:p w:rsidR="00000000" w:rsidRDefault="00000000">
      <w:pPr>
        <w:jc w:val="center"/>
      </w:pPr>
      <w:r>
        <w:br w:type="page"/>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b/>
        </w:rPr>
      </w:pPr>
      <w:r>
        <w:rPr>
          <w:b/>
        </w:rPr>
        <w:t>ПРИЛОЖЕНИЕ</w:t>
      </w:r>
    </w:p>
    <w:p w:rsidR="00000000" w:rsidRDefault="00000000">
      <w:pPr>
        <w:jc w:val="center"/>
        <w:rPr>
          <w:b/>
        </w:rPr>
      </w:pPr>
    </w:p>
    <w:p w:rsidR="00000000" w:rsidRDefault="00000000">
      <w:pPr>
        <w:jc w:val="center"/>
        <w:rPr>
          <w:b/>
        </w:rPr>
      </w:pPr>
      <w:r>
        <w:rPr>
          <w:b/>
        </w:rPr>
        <w:t>ПЛАН ПО ОБЕСПЕЧЕНИЮ РАВЕНСТВА ВОЗМОЖНОСТЕЙ</w:t>
      </w:r>
      <w:r>
        <w:rPr>
          <w:b/>
        </w:rPr>
        <w:br/>
        <w:t>МУЖЧИН И ЖЕНЩИН НА</w:t>
      </w:r>
    </w:p>
    <w:p w:rsidR="00000000" w:rsidRDefault="00000000">
      <w:pPr>
        <w:jc w:val="center"/>
        <w:rPr>
          <w:b/>
          <w:lang w:val="en-US"/>
        </w:rPr>
      </w:pPr>
      <w:r>
        <w:rPr>
          <w:b/>
        </w:rPr>
        <w:t>2000-2010 годы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jc w:val="both"/>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NO&gt;&gt;N0436571R&lt;&lt;ODS JOB NO&gt;&gt;</w:t>
      </w:r>
    </w:p>
    <w:p w:rsidR="00000000" w:rsidRDefault="00000000">
      <w:pPr>
        <w:pStyle w:val="CommentText"/>
        <w:rPr>
          <w:lang w:val="en-US"/>
        </w:rPr>
      </w:pPr>
      <w:r>
        <w:rPr>
          <w:lang w:val="en-US"/>
        </w:rPr>
        <w:t>&lt;&lt;ODS DOC SYMBOL1&gt;&gt;CEDAW/C/CHI/4&lt;&lt;ODS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04-36571 (R)    16</w:t>
    </w:r>
    <w:r>
      <w:rPr>
        <w:b w:val="0"/>
        <w:noProof w:val="0"/>
        <w:sz w:val="20"/>
      </w:rPr>
      <w:t>08</w:t>
    </w:r>
    <w:r>
      <w:rPr>
        <w:b w:val="0"/>
        <w:sz w:val="20"/>
      </w:rPr>
      <w:t>04    160804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*0436571*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доклад издается без предварительного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pP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Первоначальный доклад, представленный правительством Чили, см. документ </w:t>
      </w:r>
      <w:r>
        <w:rPr>
          <w:lang w:val="en-US"/>
        </w:rPr>
        <w:t>CEDAW</w:t>
      </w:r>
      <w:r>
        <w:t>/</w:t>
      </w:r>
      <w:r>
        <w:rPr>
          <w:lang w:val="en-US"/>
        </w:rPr>
        <w:t>C</w:t>
      </w:r>
      <w:r>
        <w:t>/</w:t>
      </w:r>
      <w:r>
        <w:rPr>
          <w:lang w:val="en-US"/>
        </w:rPr>
        <w:t>CHI</w:t>
      </w:r>
      <w:r>
        <w:t xml:space="preserve">/1, который Комитет рассмотрел на своей четырнадцатой сессии. Второй периодический доклад, представленный правительством Чили, см. документ </w:t>
      </w:r>
      <w:r>
        <w:rPr>
          <w:lang w:val="en-US"/>
        </w:rPr>
        <w:t>CEDAW</w:t>
      </w:r>
      <w:r>
        <w:t>/</w:t>
      </w:r>
      <w:r>
        <w:rPr>
          <w:lang w:val="en-US"/>
        </w:rPr>
        <w:t>C</w:t>
      </w:r>
      <w:r>
        <w:t>/</w:t>
      </w:r>
      <w:r>
        <w:rPr>
          <w:lang w:val="en-US"/>
        </w:rPr>
        <w:t>CHI</w:t>
      </w:r>
      <w:r>
        <w:t xml:space="preserve">/2, был рассмотрен Комитетом на его двадцать первой сессии. Третий периодический доклад, представленный правительством Чили, см.  документ </w:t>
      </w:r>
      <w:r>
        <w:rPr>
          <w:lang w:val="en-US"/>
        </w:rPr>
        <w:t>CEDAW</w:t>
      </w:r>
      <w:r>
        <w:t>/</w:t>
      </w:r>
      <w:r>
        <w:rPr>
          <w:lang w:val="en-US"/>
        </w:rPr>
        <w:t>C</w:t>
      </w:r>
      <w:r>
        <w:t>/</w:t>
      </w:r>
      <w:r>
        <w:rPr>
          <w:lang w:val="en-US"/>
        </w:rPr>
        <w:t>CHI</w:t>
      </w:r>
      <w:r>
        <w:t>/3, был рассмотрен Комитетом на его двадцать первой сессии.</w:t>
      </w:r>
    </w:p>
  </w:footnote>
  <w:footnote w:id="2">
    <w:p w:rsidR="00000000" w:rsidRDefault="00000000">
      <w:pPr>
        <w:pStyle w:val="FootnoteText"/>
        <w:tabs>
          <w:tab w:val="clear" w:pos="418"/>
        </w:tabs>
        <w:suppressAutoHyphens w:val="0"/>
        <w:ind w:left="993" w:right="1210" w:hanging="158"/>
        <w:jc w:val="both"/>
      </w:pPr>
      <w:r>
        <w:rPr>
          <w:rStyle w:val="FootnoteReference"/>
        </w:rPr>
        <w:footnoteRef/>
      </w:r>
      <w:r>
        <w:t xml:space="preserve"> </w:t>
      </w:r>
      <w:r>
        <w:tab/>
        <w:t>Решение о том, чтобы проанализировать ситуацию за десятилетие, при том что доклад охват</w:t>
      </w:r>
      <w:r>
        <w:t>ы</w:t>
      </w:r>
      <w:r>
        <w:t>вает четырехлетний период, обусловлено тем, что 24 апреля 2002 года была проведена семн</w:t>
      </w:r>
      <w:r>
        <w:t>а</w:t>
      </w:r>
      <w:r>
        <w:t>дцатая перепись населения и жилого фонда, которая проводится в Чили каждые десять лет. Р</w:t>
      </w:r>
      <w:r>
        <w:t>е</w:t>
      </w:r>
      <w:r>
        <w:t>зультаты переписи дают исключительно важную информацию о тенденциях, происходящих в демографических процессах в стране, в частности в том, что касается чилийских женщин, в связи с чем и было признано необходимым включить эту информацию в настоящий доклад.</w:t>
      </w:r>
    </w:p>
  </w:footnote>
  <w:footnote w:id="3">
    <w:p w:rsidR="00000000" w:rsidRDefault="00000000">
      <w:pPr>
        <w:pStyle w:val="FootnoteText"/>
        <w:tabs>
          <w:tab w:val="clear" w:pos="418"/>
        </w:tabs>
        <w:ind w:left="990" w:right="1210" w:hanging="155"/>
        <w:rPr>
          <w:lang w:val="en-US"/>
        </w:rPr>
      </w:pPr>
      <w:r>
        <w:rPr>
          <w:rStyle w:val="FootnoteReference"/>
        </w:rPr>
        <w:footnoteRef/>
      </w:r>
      <w:r>
        <w:rPr>
          <w:lang w:val="en-US"/>
        </w:rPr>
        <w:t xml:space="preserve"> "Osadía de la Prudencia. Un nuevo sentido del progreso". Ernesto Ottone y Crisóstomo Pizarro, Santiago, 2003.</w:t>
      </w:r>
    </w:p>
  </w:footnote>
  <w:footnote w:id="4">
    <w:p w:rsidR="00000000" w:rsidRDefault="00000000">
      <w:pPr>
        <w:pStyle w:val="FootnoteText"/>
        <w:tabs>
          <w:tab w:val="clear" w:pos="418"/>
        </w:tabs>
        <w:ind w:left="990" w:right="1300" w:hanging="180"/>
      </w:pPr>
      <w:r>
        <w:rPr>
          <w:rStyle w:val="FootnoteReference"/>
        </w:rPr>
        <w:footnoteRef/>
      </w:r>
      <w:r>
        <w:t xml:space="preserve"> </w:t>
      </w:r>
      <w:r>
        <w:tab/>
        <w:t>Показатель численности женского населения равен количеству женщин, которое приходится на каждые 100 мужчин.</w:t>
      </w:r>
    </w:p>
  </w:footnote>
  <w:footnote w:id="5">
    <w:p w:rsidR="00000000" w:rsidRDefault="00000000">
      <w:pPr>
        <w:pStyle w:val="FootnoteText"/>
        <w:tabs>
          <w:tab w:val="clear" w:pos="418"/>
        </w:tabs>
        <w:ind w:left="990" w:right="1210" w:hanging="180"/>
      </w:pPr>
      <w:r>
        <w:rPr>
          <w:rStyle w:val="FootnoteReference"/>
        </w:rPr>
        <w:footnoteRef/>
      </w:r>
      <w:r>
        <w:t xml:space="preserve"> </w:t>
      </w:r>
      <w:r>
        <w:tab/>
        <w:t>ЭКЛА. Экономическая комиссия для Латинской Америки и Карибского бассейна. Социальная панорама Латинской Америки. 2002-2003 годы.</w:t>
      </w:r>
    </w:p>
  </w:footnote>
  <w:footnote w:id="6">
    <w:p w:rsidR="00000000" w:rsidRDefault="00000000">
      <w:pPr>
        <w:pStyle w:val="FootnoteText"/>
        <w:tabs>
          <w:tab w:val="clear" w:pos="418"/>
        </w:tabs>
        <w:ind w:left="1080" w:right="1210" w:hanging="270"/>
      </w:pPr>
      <w:r>
        <w:rPr>
          <w:rStyle w:val="FootnoteReference"/>
        </w:rPr>
        <w:footnoteRef/>
      </w:r>
      <w:r>
        <w:tab/>
        <w:t>Закон № 19611, опубликованный в "Официальных ведомостях" 16 июня 1999 года. Поправка к Политической конституции, в которой ясно устанавливается равенство мужчин и женщин.</w:t>
      </w:r>
    </w:p>
  </w:footnote>
  <w:footnote w:id="7">
    <w:p w:rsidR="00000000" w:rsidRDefault="00000000">
      <w:pPr>
        <w:pStyle w:val="FootnoteText"/>
        <w:tabs>
          <w:tab w:val="clear" w:pos="418"/>
        </w:tabs>
        <w:ind w:left="1080" w:right="1210" w:hanging="270"/>
      </w:pPr>
      <w:r>
        <w:rPr>
          <w:rStyle w:val="FootnoteReference"/>
        </w:rPr>
        <w:sym w:font="Symbol" w:char="F02A"/>
      </w:r>
      <w:r>
        <w:tab/>
        <w:t>Люди (примеч. переводчика).</w:t>
      </w:r>
    </w:p>
  </w:footnote>
  <w:footnote w:id="8">
    <w:p w:rsidR="00000000" w:rsidRDefault="00000000">
      <w:pPr>
        <w:pStyle w:val="FootnoteText"/>
        <w:tabs>
          <w:tab w:val="clear" w:pos="418"/>
        </w:tabs>
        <w:ind w:left="1080" w:right="1210" w:hanging="270"/>
      </w:pPr>
      <w:r>
        <w:rPr>
          <w:rStyle w:val="FootnoteReference"/>
        </w:rPr>
        <w:sym w:font="Symbol" w:char="F02A"/>
      </w:r>
      <w:r>
        <w:rPr>
          <w:rStyle w:val="FootnoteReference"/>
        </w:rPr>
        <w:sym w:font="Symbol" w:char="F02A"/>
      </w:r>
      <w:r>
        <w:tab/>
        <w:t>Люди: мужчины (примеч. переводчика).</w:t>
      </w:r>
    </w:p>
  </w:footnote>
  <w:footnote w:id="9">
    <w:p w:rsidR="00000000" w:rsidRDefault="00000000">
      <w:pPr>
        <w:pStyle w:val="FootnoteText"/>
        <w:tabs>
          <w:tab w:val="clear" w:pos="418"/>
        </w:tabs>
        <w:suppressAutoHyphens w:val="0"/>
        <w:ind w:left="994" w:right="1210" w:hanging="184"/>
        <w:jc w:val="both"/>
      </w:pPr>
      <w:r>
        <w:rPr>
          <w:rStyle w:val="FootnoteReference"/>
        </w:rPr>
        <w:footnoteRef/>
      </w:r>
      <w:r>
        <w:t xml:space="preserve"> </w:t>
      </w:r>
      <w:r>
        <w:tab/>
        <w:t>Опубликован в "Официальных ведомостях" 24 июля 2001 года. В соответствии с этим Законом изменен Закон № 14908, который регулирует вопросы ухода из семьи и выплаты алиментов.</w:t>
      </w:r>
    </w:p>
  </w:footnote>
  <w:footnote w:id="10">
    <w:p w:rsidR="00000000" w:rsidRDefault="00000000">
      <w:pPr>
        <w:pStyle w:val="FootnoteText"/>
        <w:tabs>
          <w:tab w:val="clear" w:pos="418"/>
        </w:tabs>
        <w:suppressAutoHyphens w:val="0"/>
        <w:ind w:left="994" w:right="1210" w:hanging="184"/>
        <w:jc w:val="both"/>
      </w:pPr>
      <w:r>
        <w:rPr>
          <w:rStyle w:val="FootnoteReference"/>
        </w:rPr>
        <w:footnoteRef/>
      </w:r>
      <w:r>
        <w:t xml:space="preserve"> </w:t>
      </w:r>
      <w:r>
        <w:tab/>
        <w:t>Представлен правительством 30 августа 2001 ода. Этап рассмотрения: направлен в Палату д</w:t>
      </w:r>
      <w:r>
        <w:t>е</w:t>
      </w:r>
      <w:r>
        <w:t>путатов, передан на рассмотрение Комиссии по делам семьи на заключение.</w:t>
      </w:r>
    </w:p>
  </w:footnote>
  <w:footnote w:id="11">
    <w:p w:rsidR="00000000" w:rsidRDefault="00000000">
      <w:pPr>
        <w:pStyle w:val="FootnoteText"/>
        <w:tabs>
          <w:tab w:val="clear" w:pos="418"/>
        </w:tabs>
        <w:suppressAutoHyphens w:val="0"/>
        <w:ind w:left="994" w:right="1210" w:hanging="184"/>
        <w:jc w:val="both"/>
      </w:pPr>
      <w:r>
        <w:rPr>
          <w:rStyle w:val="FootnoteReference"/>
        </w:rPr>
        <w:footnoteRef/>
      </w:r>
      <w:r>
        <w:t xml:space="preserve"> </w:t>
      </w:r>
      <w:r>
        <w:tab/>
        <w:t>Закон о насилии в семье был принят в 1994 году и результаты его оценки и анализ его прим</w:t>
      </w:r>
      <w:r>
        <w:t>е</w:t>
      </w:r>
      <w:r>
        <w:t>нения показывают, какие необходимо внести в этот Закон изменения для того, чтобы сделать его более эффективным.</w:t>
      </w:r>
    </w:p>
  </w:footnote>
  <w:footnote w:id="12">
    <w:p w:rsidR="00000000" w:rsidRDefault="00000000">
      <w:pPr>
        <w:pStyle w:val="FootnoteText"/>
        <w:tabs>
          <w:tab w:val="clear" w:pos="418"/>
        </w:tabs>
        <w:suppressAutoHyphens w:val="0"/>
        <w:ind w:left="993" w:right="1210" w:hanging="184"/>
        <w:jc w:val="both"/>
      </w:pPr>
      <w:r>
        <w:rPr>
          <w:rStyle w:val="FootnoteReference"/>
        </w:rPr>
        <w:footnoteRef/>
      </w:r>
      <w:r>
        <w:t xml:space="preserve"> </w:t>
      </w:r>
      <w:r>
        <w:tab/>
        <w:t>Представлен 30 мая 2001 года. Этап рассмотрения: находится в настоящее время на обсужд</w:t>
      </w:r>
      <w:r>
        <w:t>е</w:t>
      </w:r>
      <w:r>
        <w:t>нии в совместных комиссиях по конституции, законодательству, юстиции, а также по делам семьи Палаты депутатов.</w:t>
      </w:r>
    </w:p>
  </w:footnote>
  <w:footnote w:id="13">
    <w:p w:rsidR="00000000" w:rsidRDefault="00000000">
      <w:pPr>
        <w:pStyle w:val="FootnoteText"/>
        <w:tabs>
          <w:tab w:val="clear" w:pos="418"/>
        </w:tabs>
        <w:suppressAutoHyphens w:val="0"/>
        <w:ind w:left="993" w:right="1210" w:hanging="187"/>
        <w:jc w:val="both"/>
      </w:pPr>
      <w:r>
        <w:rPr>
          <w:rStyle w:val="FootnoteReference"/>
        </w:rPr>
        <w:footnoteRef/>
      </w:r>
      <w:r>
        <w:tab/>
        <w:t>Опубликован в "Официальных ведомостях" 5 августа 2000 года. Изменяет текст Конституц</w:t>
      </w:r>
      <w:r>
        <w:t>и</w:t>
      </w:r>
      <w:r>
        <w:t>онного закона об образовании № 18962.</w:t>
      </w:r>
    </w:p>
  </w:footnote>
  <w:footnote w:id="14">
    <w:p w:rsidR="00000000" w:rsidRDefault="00000000">
      <w:pPr>
        <w:pStyle w:val="FootnoteText"/>
        <w:tabs>
          <w:tab w:val="clear" w:pos="418"/>
        </w:tabs>
        <w:ind w:left="990" w:hanging="180"/>
        <w:jc w:val="both"/>
      </w:pPr>
      <w:r>
        <w:rPr>
          <w:rStyle w:val="FootnoteReference"/>
        </w:rPr>
        <w:footnoteRef/>
      </w:r>
      <w:r>
        <w:tab/>
        <w:t>Конституционная поправка, принятая 7 мая 2003 года.</w:t>
      </w:r>
    </w:p>
  </w:footnote>
  <w:footnote w:id="15">
    <w:p w:rsidR="00000000" w:rsidRDefault="00000000">
      <w:pPr>
        <w:pStyle w:val="FootnoteText"/>
        <w:tabs>
          <w:tab w:val="clear" w:pos="418"/>
        </w:tabs>
        <w:suppressAutoHyphens w:val="0"/>
        <w:ind w:left="990" w:right="1210" w:hanging="180"/>
        <w:jc w:val="both"/>
      </w:pPr>
      <w:r>
        <w:rPr>
          <w:rStyle w:val="FootnoteReference"/>
        </w:rPr>
        <w:footnoteRef/>
      </w:r>
      <w:r>
        <w:tab/>
        <w:t>В этом проекте, который сегодня является законом, была лишь одна статья, которая заменила пятый подпункт пункта 10 статьи 19 Политической конституции Республики, чтобы зафикс</w:t>
      </w:r>
      <w:r>
        <w:t>и</w:t>
      </w:r>
      <w:r>
        <w:t>ровать это н</w:t>
      </w:r>
      <w:r>
        <w:t>о</w:t>
      </w:r>
      <w:r>
        <w:t>вое обязательство чилийского государства.</w:t>
      </w:r>
    </w:p>
  </w:footnote>
  <w:footnote w:id="16">
    <w:p w:rsidR="00000000" w:rsidRDefault="00000000">
      <w:pPr>
        <w:pStyle w:val="FootnoteText"/>
        <w:tabs>
          <w:tab w:val="clear" w:pos="418"/>
        </w:tabs>
        <w:ind w:left="990" w:right="1210" w:hanging="180"/>
        <w:jc w:val="both"/>
      </w:pPr>
      <w:r>
        <w:rPr>
          <w:rStyle w:val="FootnoteReference"/>
        </w:rPr>
        <w:footnoteRef/>
      </w:r>
      <w:r>
        <w:tab/>
        <w:t>Опубликован в "Официальных ведомостях" 25 марта 1999 года. Изменяет Конституционный закон № 18602 о муниципалитетах в части, касающейся функций муниципального управления.</w:t>
      </w:r>
    </w:p>
  </w:footnote>
  <w:footnote w:id="17">
    <w:p w:rsidR="00000000" w:rsidRDefault="00000000">
      <w:pPr>
        <w:pStyle w:val="FootnoteText"/>
        <w:tabs>
          <w:tab w:val="clear" w:pos="418"/>
        </w:tabs>
        <w:ind w:left="990" w:right="1210" w:hanging="180"/>
      </w:pPr>
      <w:r>
        <w:rPr>
          <w:rStyle w:val="FootnoteReference"/>
        </w:rPr>
        <w:footnoteRef/>
      </w:r>
      <w:r>
        <w:tab/>
        <w:t>Представлен 24 октября 1994 года. Этап рассмотрения: одобрен палатой депутатов. В настоящее время проходит второе слушание в сенате для окончательного его представления сенатской комиссии по труду.</w:t>
      </w:r>
    </w:p>
  </w:footnote>
  <w:footnote w:id="18">
    <w:p w:rsidR="00000000" w:rsidRDefault="00000000">
      <w:pPr>
        <w:pStyle w:val="FootnoteText"/>
        <w:tabs>
          <w:tab w:val="clear" w:pos="418"/>
        </w:tabs>
        <w:suppressAutoHyphens w:val="0"/>
        <w:ind w:left="993" w:right="1210" w:hanging="187"/>
        <w:jc w:val="both"/>
      </w:pPr>
      <w:r>
        <w:rPr>
          <w:rStyle w:val="FootnoteReference"/>
        </w:rPr>
        <w:footnoteRef/>
      </w:r>
      <w:r>
        <w:tab/>
        <w:t>Сексуальное домогательство определяется в проекте как одностороннее поведение сексуал</w:t>
      </w:r>
      <w:r>
        <w:t>ь</w:t>
      </w:r>
      <w:r>
        <w:t>ного характера, которое является нежелательным для лица, на которое оно направлено, и кот</w:t>
      </w:r>
      <w:r>
        <w:t>о</w:t>
      </w:r>
      <w:r>
        <w:t>рое отрицательно сказывается на рабочем положении последнего, причиняя ему определенный ущерб. Такое поведение может состоять из одного или нескольких действий, повторяющихся во времени, с помощью которых вышестоящее должностное лицо оказывает сексуальное да</w:t>
      </w:r>
      <w:r>
        <w:t>в</w:t>
      </w:r>
      <w:r>
        <w:t>ление на своего подчиненного, предлагая взамен повышение по службе, увеличение зарабо</w:t>
      </w:r>
      <w:r>
        <w:t>т</w:t>
      </w:r>
      <w:r>
        <w:t>ной платы или расширение положенных ему прав, в частности права на отпуск.</w:t>
      </w:r>
    </w:p>
  </w:footnote>
  <w:footnote w:id="19">
    <w:p w:rsidR="00000000" w:rsidRDefault="00000000">
      <w:pPr>
        <w:pStyle w:val="FootnoteText"/>
        <w:tabs>
          <w:tab w:val="clear" w:pos="418"/>
        </w:tabs>
        <w:suppressAutoHyphens w:val="0"/>
        <w:ind w:left="1080" w:right="1210" w:hanging="270"/>
        <w:jc w:val="both"/>
      </w:pPr>
      <w:r>
        <w:rPr>
          <w:rStyle w:val="FootnoteReference"/>
        </w:rPr>
        <w:footnoteRef/>
      </w:r>
      <w:r>
        <w:t xml:space="preserve"> </w:t>
      </w:r>
      <w:r>
        <w:tab/>
        <w:t>НУДЖ, будучи одним из авторов проекта этого закона, озабоченное слишком медленным процессом его рассмотрения, направит в срочном порядке официальную просьбу о том, чт</w:t>
      </w:r>
      <w:r>
        <w:t>о</w:t>
      </w:r>
      <w:r>
        <w:t>бы этот пр</w:t>
      </w:r>
      <w:r>
        <w:t>о</w:t>
      </w:r>
      <w:r>
        <w:t>ект был принят в конце 2004 года.</w:t>
      </w:r>
    </w:p>
  </w:footnote>
  <w:footnote w:id="20">
    <w:p w:rsidR="00000000" w:rsidRDefault="00000000">
      <w:pPr>
        <w:pStyle w:val="FootnoteText"/>
        <w:tabs>
          <w:tab w:val="clear" w:pos="418"/>
        </w:tabs>
        <w:suppressAutoHyphens w:val="0"/>
        <w:ind w:left="1080" w:right="1210" w:hanging="270"/>
        <w:jc w:val="both"/>
      </w:pPr>
      <w:r>
        <w:rPr>
          <w:rStyle w:val="FootnoteReference"/>
        </w:rPr>
        <w:footnoteRef/>
      </w:r>
      <w:r>
        <w:t xml:space="preserve"> </w:t>
      </w:r>
      <w:r>
        <w:tab/>
        <w:t>Опубликован в "Официальных ведомостях" 12 июля 1999 года.</w:t>
      </w:r>
    </w:p>
  </w:footnote>
  <w:footnote w:id="21">
    <w:p w:rsidR="00000000" w:rsidRDefault="00000000">
      <w:pPr>
        <w:pStyle w:val="FootnoteText"/>
        <w:tabs>
          <w:tab w:val="clear" w:pos="418"/>
        </w:tabs>
        <w:suppressAutoHyphens w:val="0"/>
        <w:ind w:left="1080" w:right="1210" w:hanging="270"/>
        <w:jc w:val="both"/>
      </w:pPr>
      <w:r>
        <w:rPr>
          <w:rStyle w:val="FootnoteReference"/>
        </w:rPr>
        <w:footnoteRef/>
      </w:r>
      <w:r>
        <w:t xml:space="preserve"> </w:t>
      </w:r>
      <w:r>
        <w:tab/>
        <w:t>Если в прежнем законе изнасилованием считалось проникновение мужчиной во влагалище, то в нынешнем законе изнасилованием считается половой доступ (проникновение) во влаг</w:t>
      </w:r>
      <w:r>
        <w:t>а</w:t>
      </w:r>
      <w:r>
        <w:t>лище, анальное или ротовое отверстие любого лица.</w:t>
      </w:r>
    </w:p>
  </w:footnote>
  <w:footnote w:id="22">
    <w:p w:rsidR="00000000" w:rsidRDefault="00000000">
      <w:pPr>
        <w:pStyle w:val="FootnoteText"/>
        <w:tabs>
          <w:tab w:val="clear" w:pos="418"/>
        </w:tabs>
        <w:suppressAutoHyphens w:val="0"/>
        <w:ind w:left="1080" w:right="1210" w:hanging="270"/>
        <w:jc w:val="both"/>
      </w:pPr>
      <w:r>
        <w:rPr>
          <w:rStyle w:val="FootnoteReference"/>
        </w:rPr>
        <w:footnoteRef/>
      </w:r>
      <w:r>
        <w:t xml:space="preserve"> </w:t>
      </w:r>
      <w:r>
        <w:tab/>
        <w:t>В настоящее время это преступление определяется, как совершение полового акта, когда с</w:t>
      </w:r>
      <w:r>
        <w:t>о</w:t>
      </w:r>
      <w:r>
        <w:t>вершающее его лицо пользуется неопытностью жертвы или злоупотребляет своей властью, причем жертвами могут теперь считаться как мужчина, так и женщина моложе 18 лет и ста</w:t>
      </w:r>
      <w:r>
        <w:t>р</w:t>
      </w:r>
      <w:r>
        <w:t>ше 12 лет.</w:t>
      </w:r>
    </w:p>
  </w:footnote>
  <w:footnote w:id="23">
    <w:p w:rsidR="00000000" w:rsidRDefault="00000000">
      <w:pPr>
        <w:pStyle w:val="FootnoteText"/>
        <w:tabs>
          <w:tab w:val="clear" w:pos="418"/>
        </w:tabs>
        <w:ind w:left="1080" w:right="1210" w:hanging="270"/>
        <w:jc w:val="both"/>
      </w:pPr>
      <w:r>
        <w:rPr>
          <w:rStyle w:val="FootnoteReference"/>
        </w:rPr>
        <w:footnoteRef/>
      </w:r>
      <w:r>
        <w:tab/>
        <w:t>Раньше в качестве подтверждающего документа признавались лишь справки, выданные официальными медицинскими службами.</w:t>
      </w:r>
    </w:p>
  </w:footnote>
  <w:footnote w:id="24">
    <w:p w:rsidR="00000000" w:rsidRDefault="00000000">
      <w:pPr>
        <w:pStyle w:val="FootnoteText"/>
        <w:tabs>
          <w:tab w:val="clear" w:pos="418"/>
        </w:tabs>
        <w:ind w:left="1080" w:right="1210" w:hanging="270"/>
        <w:jc w:val="both"/>
      </w:pPr>
      <w:r>
        <w:rPr>
          <w:rStyle w:val="FootnoteReference"/>
        </w:rPr>
        <w:footnoteRef/>
      </w:r>
      <w:r>
        <w:t xml:space="preserve"> </w:t>
      </w:r>
      <w:r>
        <w:tab/>
        <w:t>Представлен 28 ноября 1995 года. Этап рассмотрения: проект с изменениями одобрен Палатой депутатов и в настоящее время проходит его второе чтение в сенатской комиссии по конституционным вопросам, вопросам законодательства, юстиции и регламента.</w:t>
      </w:r>
    </w:p>
  </w:footnote>
  <w:footnote w:id="25">
    <w:p w:rsidR="00000000" w:rsidRDefault="00000000">
      <w:pPr>
        <w:pStyle w:val="FootnoteText"/>
        <w:tabs>
          <w:tab w:val="clear" w:pos="418"/>
        </w:tabs>
        <w:ind w:left="1080" w:right="1210" w:hanging="270"/>
      </w:pPr>
      <w:r>
        <w:rPr>
          <w:rStyle w:val="FootnoteReference"/>
        </w:rPr>
        <w:footnoteRef/>
      </w:r>
      <w:r>
        <w:t xml:space="preserve"> </w:t>
      </w:r>
      <w:r>
        <w:tab/>
        <w:t>Результаты различных опросов показывают, что около 80 процентов чилийских граждан, как мужчин, так и женщин, выступают за юридическое признание развода.</w:t>
      </w:r>
    </w:p>
  </w:footnote>
  <w:footnote w:id="26">
    <w:p w:rsidR="00000000" w:rsidRDefault="00000000">
      <w:pPr>
        <w:pStyle w:val="FootnoteText"/>
        <w:tabs>
          <w:tab w:val="clear" w:pos="418"/>
        </w:tabs>
        <w:ind w:left="1080" w:right="1210" w:hanging="270"/>
        <w:jc w:val="both"/>
      </w:pPr>
      <w:r>
        <w:rPr>
          <w:rStyle w:val="FootnoteReference"/>
        </w:rPr>
        <w:footnoteRef/>
      </w:r>
      <w:r>
        <w:t xml:space="preserve"> </w:t>
      </w:r>
      <w:r>
        <w:tab/>
        <w:t>Представлен 13 марта 1997 года. Этап рассмотрение: проект передан в комиссию по делам семьи Палаты депутатов, которая пока еще не приступила к его рассмотрению.</w:t>
      </w:r>
    </w:p>
  </w:footnote>
  <w:footnote w:id="27">
    <w:p w:rsidR="00000000" w:rsidRDefault="00000000">
      <w:pPr>
        <w:pStyle w:val="FootnoteText"/>
        <w:tabs>
          <w:tab w:val="clear" w:pos="418"/>
        </w:tabs>
        <w:ind w:left="1080" w:right="1210" w:hanging="270"/>
      </w:pPr>
      <w:r>
        <w:rPr>
          <w:rStyle w:val="FootnoteReference"/>
        </w:rPr>
        <w:footnoteRef/>
      </w:r>
      <w:r>
        <w:t xml:space="preserve"> </w:t>
      </w:r>
      <w:r>
        <w:tab/>
        <w:t xml:space="preserve">Опубликован в "Официальных ведомостях " 8 января 2003 года. </w:t>
      </w:r>
    </w:p>
  </w:footnote>
  <w:footnote w:id="28">
    <w:p w:rsidR="00000000" w:rsidRDefault="00000000">
      <w:pPr>
        <w:pStyle w:val="FootnoteText"/>
        <w:tabs>
          <w:tab w:val="clear" w:pos="418"/>
        </w:tabs>
        <w:ind w:left="1080" w:hanging="270"/>
      </w:pPr>
      <w:r>
        <w:rPr>
          <w:rStyle w:val="FootnoteReference"/>
        </w:rPr>
        <w:footnoteRef/>
      </w:r>
      <w:r>
        <w:t xml:space="preserve"> </w:t>
      </w:r>
      <w:r>
        <w:tab/>
        <w:t>Принят в декабре 2001 года.</w:t>
      </w:r>
    </w:p>
  </w:footnote>
  <w:footnote w:id="29">
    <w:p w:rsidR="00000000" w:rsidRDefault="00000000">
      <w:pPr>
        <w:pStyle w:val="FootnoteText"/>
        <w:tabs>
          <w:tab w:val="clear" w:pos="418"/>
        </w:tabs>
        <w:ind w:left="1080" w:hanging="270"/>
      </w:pPr>
      <w:r>
        <w:rPr>
          <w:rStyle w:val="FootnoteReference"/>
        </w:rPr>
        <w:footnoteRef/>
      </w:r>
      <w:r>
        <w:t xml:space="preserve"> </w:t>
      </w:r>
      <w:r>
        <w:tab/>
        <w:t xml:space="preserve">См. пункт 5 о равенстве возможностей в вопросах труда и занятости. </w:t>
      </w:r>
    </w:p>
  </w:footnote>
  <w:footnote w:id="30">
    <w:p w:rsidR="00000000" w:rsidRDefault="00000000">
      <w:pPr>
        <w:pStyle w:val="FootnoteText"/>
        <w:tabs>
          <w:tab w:val="clear" w:pos="418"/>
        </w:tabs>
        <w:ind w:left="1080" w:right="1210" w:hanging="270"/>
      </w:pPr>
      <w:r>
        <w:rPr>
          <w:rStyle w:val="FootnoteReference"/>
        </w:rPr>
        <w:footnoteRef/>
      </w:r>
      <w:r>
        <w:t xml:space="preserve"> </w:t>
      </w:r>
      <w:r>
        <w:tab/>
        <w:t>Опубликован в "Официальных ведомостях" 15 апреля 2000 года.</w:t>
      </w:r>
    </w:p>
  </w:footnote>
  <w:footnote w:id="31">
    <w:p w:rsidR="00000000" w:rsidRDefault="00000000">
      <w:pPr>
        <w:pStyle w:val="FootnoteText"/>
        <w:tabs>
          <w:tab w:val="clear" w:pos="418"/>
        </w:tabs>
        <w:ind w:left="1080" w:right="1210" w:hanging="270"/>
        <w:jc w:val="both"/>
      </w:pPr>
      <w:r>
        <w:rPr>
          <w:rStyle w:val="FootnoteReference"/>
        </w:rPr>
        <w:footnoteRef/>
      </w:r>
      <w:r>
        <w:t xml:space="preserve"> </w:t>
      </w:r>
      <w:r>
        <w:tab/>
        <w:t>Представлен 12 июля 1994 года. Этап рассмотрения: одобрен Палатой депутатов. В настоящее время проходит чтение в Сенате и должен быть включен в повестку дня сенатской комиссии по труду.</w:t>
      </w:r>
    </w:p>
  </w:footnote>
  <w:footnote w:id="32">
    <w:p w:rsidR="00000000" w:rsidRDefault="00000000">
      <w:pPr>
        <w:pStyle w:val="FootnoteText"/>
        <w:tabs>
          <w:tab w:val="clear" w:pos="418"/>
        </w:tabs>
        <w:ind w:left="1080" w:right="1210" w:hanging="270"/>
        <w:jc w:val="both"/>
      </w:pPr>
      <w:r>
        <w:rPr>
          <w:rStyle w:val="FootnoteReference"/>
        </w:rPr>
        <w:footnoteRef/>
      </w:r>
      <w:r>
        <w:tab/>
        <w:t>Представлен 23 ноября 1995 года. Этап рассмотрения: одобрен Палатой депутатов. В настоящее время проходит второе чтение в сенатской комиссии по труду и социальному обеспечению.</w:t>
      </w:r>
    </w:p>
  </w:footnote>
  <w:footnote w:id="33">
    <w:p w:rsidR="00000000" w:rsidRDefault="00000000">
      <w:pPr>
        <w:pStyle w:val="FootnoteText"/>
        <w:tabs>
          <w:tab w:val="clear" w:pos="418"/>
        </w:tabs>
        <w:ind w:left="1080" w:right="1210" w:hanging="270"/>
        <w:jc w:val="both"/>
      </w:pPr>
      <w:r>
        <w:rPr>
          <w:rStyle w:val="FootnoteReference"/>
        </w:rPr>
        <w:footnoteRef/>
      </w:r>
      <w:r>
        <w:tab/>
        <w:t>Вступил в силу 27 октября 1999 года.</w:t>
      </w:r>
    </w:p>
  </w:footnote>
  <w:footnote w:id="34">
    <w:p w:rsidR="00000000" w:rsidRDefault="00000000">
      <w:pPr>
        <w:pStyle w:val="FootnoteText"/>
        <w:tabs>
          <w:tab w:val="clear" w:pos="418"/>
        </w:tabs>
        <w:ind w:left="1080" w:right="1210" w:hanging="270"/>
        <w:jc w:val="both"/>
      </w:pPr>
      <w:r>
        <w:rPr>
          <w:rStyle w:val="FootnoteReference"/>
        </w:rPr>
        <w:footnoteRef/>
      </w:r>
      <w:r>
        <w:t xml:space="preserve"> </w:t>
      </w:r>
      <w:r>
        <w:tab/>
        <w:t>Опубликован в "Официальных ведомостях" 18 января 2001 года.</w:t>
      </w:r>
    </w:p>
  </w:footnote>
  <w:footnote w:id="35">
    <w:p w:rsidR="00000000" w:rsidRDefault="00000000">
      <w:pPr>
        <w:pStyle w:val="FootnoteText"/>
        <w:tabs>
          <w:tab w:val="clear" w:pos="418"/>
        </w:tabs>
        <w:ind w:left="1080" w:right="1210" w:hanging="270"/>
        <w:jc w:val="both"/>
      </w:pPr>
      <w:r>
        <w:rPr>
          <w:rStyle w:val="FootnoteReference"/>
        </w:rPr>
        <w:footnoteRef/>
      </w:r>
      <w:r>
        <w:t xml:space="preserve"> </w:t>
      </w:r>
      <w:r>
        <w:tab/>
        <w:t>Опубликован в " Официальных ведомостях " 9 ноября 1998 года.</w:t>
      </w:r>
    </w:p>
  </w:footnote>
  <w:footnote w:id="36">
    <w:p w:rsidR="00000000" w:rsidRDefault="00000000">
      <w:pPr>
        <w:pStyle w:val="FootnoteText"/>
        <w:tabs>
          <w:tab w:val="clear" w:pos="418"/>
        </w:tabs>
        <w:ind w:left="1080" w:right="1210" w:hanging="270"/>
        <w:jc w:val="both"/>
      </w:pPr>
      <w:r>
        <w:rPr>
          <w:rStyle w:val="FootnoteReference"/>
        </w:rPr>
        <w:footnoteRef/>
      </w:r>
      <w:r>
        <w:t xml:space="preserve"> </w:t>
      </w:r>
      <w:r>
        <w:tab/>
        <w:t>Требование о необходимости иметь детские ясли больше не ограничивается учреждениями и предприятиями, где работают 20 и более женщин. Теперь оно распространяется на всю компанию, т.е. теперь женщины, которые работают в различных магазинах или помещениях компании, в том случае, если их набирается не менее 20 человек, могут требовать создания яслей.</w:t>
      </w:r>
    </w:p>
  </w:footnote>
  <w:footnote w:id="37">
    <w:p w:rsidR="00000000" w:rsidRDefault="00000000">
      <w:pPr>
        <w:pStyle w:val="FootnoteText"/>
        <w:tabs>
          <w:tab w:val="clear" w:pos="418"/>
        </w:tabs>
        <w:ind w:left="1080" w:right="1210" w:hanging="270"/>
        <w:jc w:val="both"/>
      </w:pPr>
      <w:r>
        <w:rPr>
          <w:rStyle w:val="FootnoteReference"/>
        </w:rPr>
        <w:footnoteRef/>
      </w:r>
      <w:r>
        <w:t xml:space="preserve"> </w:t>
      </w:r>
      <w:r>
        <w:tab/>
        <w:t>Представлен 17 октября 1995 года. Этап рассмотрения: проходит первое чтение в Палате депутатов. Находится на рассмотрении комиссии по делам семьи.</w:t>
      </w:r>
    </w:p>
  </w:footnote>
  <w:footnote w:id="38">
    <w:p w:rsidR="00000000" w:rsidRDefault="00000000">
      <w:pPr>
        <w:pStyle w:val="FootnoteText"/>
        <w:tabs>
          <w:tab w:val="clear" w:pos="418"/>
        </w:tabs>
        <w:ind w:left="1080" w:right="1210" w:hanging="270"/>
        <w:jc w:val="both"/>
      </w:pPr>
      <w:r>
        <w:rPr>
          <w:rStyle w:val="FootnoteReference"/>
        </w:rPr>
        <w:footnoteRef/>
      </w:r>
      <w:r>
        <w:t xml:space="preserve"> </w:t>
      </w:r>
      <w:r>
        <w:tab/>
        <w:t>Имуществом, которое принадлежит жене, считается имущество, которым она обладала до вступления в брак, а также имущество, которое она приобрела безвозмездно во время брака в виде наследства, легата или пожертвования.</w:t>
      </w:r>
    </w:p>
  </w:footnote>
  <w:footnote w:id="39">
    <w:p w:rsidR="00000000" w:rsidRDefault="00000000">
      <w:pPr>
        <w:pStyle w:val="FootnoteText"/>
        <w:tabs>
          <w:tab w:val="clear" w:pos="418"/>
        </w:tabs>
        <w:ind w:left="1080" w:right="1210" w:hanging="270"/>
        <w:jc w:val="both"/>
      </w:pPr>
      <w:r>
        <w:rPr>
          <w:rStyle w:val="FootnoteReference"/>
        </w:rPr>
        <w:footnoteRef/>
      </w:r>
      <w:r>
        <w:t xml:space="preserve"> </w:t>
      </w:r>
      <w:r>
        <w:tab/>
        <w:t>Удерживаемое имущество позволяет работающей женщине, проживающей раздельно от своего мужа, свободно управлять имуществом, приобретенным собственным трудом, и не передавать его в общую собственность после прекращения указанного режима, если она отказывается от доли имущества, приобретенного мужем в качестве управляющего общей совместной собственностью супругов.</w:t>
      </w:r>
    </w:p>
  </w:footnote>
  <w:footnote w:id="40">
    <w:p w:rsidR="00000000" w:rsidRDefault="00000000">
      <w:pPr>
        <w:pStyle w:val="FootnoteText"/>
        <w:tabs>
          <w:tab w:val="clear" w:pos="418"/>
        </w:tabs>
        <w:ind w:left="1080" w:right="1210" w:hanging="270"/>
        <w:jc w:val="both"/>
      </w:pPr>
      <w:r>
        <w:rPr>
          <w:rStyle w:val="FootnoteReference"/>
        </w:rPr>
        <w:footnoteRef/>
      </w:r>
      <w:r>
        <w:t xml:space="preserve"> </w:t>
      </w:r>
      <w:r>
        <w:tab/>
        <w:t>В ходе пяти заседаний, состоявшихся в период с марта по июнь 2001 года.</w:t>
      </w:r>
    </w:p>
  </w:footnote>
  <w:footnote w:id="41">
    <w:p w:rsidR="00000000" w:rsidRDefault="00000000">
      <w:pPr>
        <w:pStyle w:val="FootnoteText"/>
        <w:tabs>
          <w:tab w:val="clear" w:pos="418"/>
        </w:tabs>
        <w:ind w:left="1080" w:right="1210" w:hanging="270"/>
        <w:jc w:val="both"/>
      </w:pPr>
      <w:r>
        <w:rPr>
          <w:rStyle w:val="FootnoteReference"/>
        </w:rPr>
        <w:footnoteRef/>
      </w:r>
      <w:r>
        <w:t xml:space="preserve"> </w:t>
      </w:r>
      <w:r>
        <w:tab/>
        <w:t>Семью голосами против одного при двух воздержавшихся.</w:t>
      </w:r>
    </w:p>
  </w:footnote>
  <w:footnote w:id="42">
    <w:p w:rsidR="00000000" w:rsidRDefault="00000000">
      <w:pPr>
        <w:pStyle w:val="FootnoteText"/>
        <w:tabs>
          <w:tab w:val="clear" w:pos="418"/>
        </w:tabs>
        <w:ind w:left="1080" w:right="1210" w:hanging="270"/>
        <w:jc w:val="both"/>
      </w:pPr>
      <w:r>
        <w:rPr>
          <w:rStyle w:val="FootnoteReference"/>
        </w:rPr>
        <w:footnoteRef/>
      </w:r>
      <w:r>
        <w:t xml:space="preserve"> </w:t>
      </w:r>
      <w:r>
        <w:tab/>
        <w:t>43 голосами против 20 при одном воздержавшемся на заседании 14 августа 2001 года, в котором приняли участие 64 депутата.</w:t>
      </w:r>
    </w:p>
  </w:footnote>
  <w:footnote w:id="43">
    <w:p w:rsidR="00000000" w:rsidRDefault="00000000">
      <w:pPr>
        <w:pStyle w:val="FootnoteText"/>
        <w:tabs>
          <w:tab w:val="clear" w:pos="418"/>
        </w:tabs>
        <w:ind w:left="1080" w:right="1210" w:hanging="270"/>
        <w:jc w:val="both"/>
      </w:pPr>
      <w:r>
        <w:rPr>
          <w:rStyle w:val="FootnoteReference"/>
        </w:rPr>
        <w:footnoteRef/>
      </w:r>
      <w:r>
        <w:t xml:space="preserve"> </w:t>
      </w:r>
      <w:r>
        <w:tab/>
        <w:t>На очередном заседании, состоявшемся 21 августа 2001 года.</w:t>
      </w:r>
    </w:p>
  </w:footnote>
  <w:footnote w:id="44">
    <w:p w:rsidR="00000000" w:rsidRDefault="00000000">
      <w:pPr>
        <w:pStyle w:val="FootnoteText"/>
        <w:tabs>
          <w:tab w:val="clear" w:pos="418"/>
        </w:tabs>
        <w:ind w:left="1080" w:right="1210" w:hanging="270"/>
        <w:jc w:val="both"/>
      </w:pPr>
      <w:r>
        <w:rPr>
          <w:rStyle w:val="FootnoteReference"/>
        </w:rPr>
        <w:footnoteRef/>
      </w:r>
      <w:r>
        <w:t xml:space="preserve"> </w:t>
      </w:r>
      <w:r>
        <w:tab/>
        <w:t>Которая продолжается с 18 сентября по 21 мая.</w:t>
      </w:r>
    </w:p>
  </w:footnote>
  <w:footnote w:id="45">
    <w:p w:rsidR="00000000" w:rsidRDefault="00000000">
      <w:pPr>
        <w:pStyle w:val="FootnoteText"/>
        <w:tabs>
          <w:tab w:val="clear" w:pos="418"/>
        </w:tabs>
        <w:ind w:left="1080" w:right="1210" w:hanging="270"/>
        <w:jc w:val="both"/>
      </w:pPr>
      <w:r>
        <w:rPr>
          <w:rStyle w:val="FootnoteReference"/>
        </w:rPr>
        <w:footnoteRef/>
      </w:r>
      <w:r>
        <w:tab/>
        <w:t>План обеспечения равных возможностей на 2000-2010 годы содержится в Приложении.</w:t>
      </w:r>
    </w:p>
  </w:footnote>
  <w:footnote w:id="46">
    <w:p w:rsidR="00000000" w:rsidRDefault="00000000">
      <w:pPr>
        <w:pStyle w:val="FootnoteText"/>
        <w:tabs>
          <w:tab w:val="clear" w:pos="418"/>
        </w:tabs>
        <w:ind w:left="1080" w:right="1210" w:hanging="270"/>
        <w:jc w:val="both"/>
      </w:pPr>
      <w:r>
        <w:rPr>
          <w:rStyle w:val="FootnoteReference"/>
        </w:rPr>
        <w:footnoteRef/>
      </w:r>
      <w:r>
        <w:tab/>
        <w:t>Совет министров по вопросам равенства возможностей был создан в соответствии с президентским указом № 15 от 24 марта 2000 года. В состав Совета входят министры-члены Генерального секретариата Президента; министры экономики, развития и реконструкции; планирования и кооперации; здравоохранения; просвещения; юстиции; внутренних дел; труда и социального обеспечения, а также руководитель Национального управления по делам женщин в ранге министра.</w:t>
      </w:r>
    </w:p>
  </w:footnote>
  <w:footnote w:id="47">
    <w:p w:rsidR="00000000" w:rsidRDefault="00000000">
      <w:pPr>
        <w:pStyle w:val="FootnoteText"/>
        <w:tabs>
          <w:tab w:val="clear" w:pos="418"/>
        </w:tabs>
        <w:ind w:left="1080" w:right="1210" w:hanging="270"/>
        <w:jc w:val="both"/>
      </w:pPr>
      <w:r>
        <w:rPr>
          <w:rStyle w:val="FootnoteReference"/>
        </w:rPr>
        <w:footnoteRef/>
      </w:r>
      <w:r>
        <w:tab/>
        <w:t xml:space="preserve">В числе основных механизмов государственной политики можно отметить следующие: </w:t>
      </w:r>
      <w:r>
        <w:rPr>
          <w:b/>
        </w:rPr>
        <w:t>Систему базовой статистики ассигнований (СПСА)</w:t>
      </w:r>
      <w:r>
        <w:t xml:space="preserve"> - инструмент планирования, деятельность которого координирует министерство национального планирования и сотрудничества (минплан). </w:t>
      </w:r>
      <w:r>
        <w:rPr>
          <w:b/>
        </w:rPr>
        <w:t>Конкурсный фонд 2-процентных отчислений</w:t>
      </w:r>
      <w:r>
        <w:t xml:space="preserve"> - инструмент, который использует министерство финансов при подготовке бюджета и в инструкциях которого о представлении инициатив включены гендерные аспекты. </w:t>
      </w:r>
      <w:r>
        <w:rPr>
          <w:b/>
        </w:rPr>
        <w:t xml:space="preserve">Система последовательного осуществления государственных программ - </w:t>
      </w:r>
      <w:r>
        <w:t>контрольный механизм, созданный Генеральным секретариатом канцелярии Президента для контроля за выполнением обязательств по обеспечению равенства возможностей.</w:t>
      </w:r>
    </w:p>
  </w:footnote>
  <w:footnote w:id="48">
    <w:p w:rsidR="00000000" w:rsidRDefault="00000000">
      <w:pPr>
        <w:pStyle w:val="FootnoteText"/>
        <w:tabs>
          <w:tab w:val="clear" w:pos="418"/>
        </w:tabs>
        <w:ind w:left="1080" w:right="1210" w:hanging="270"/>
      </w:pPr>
      <w:r>
        <w:rPr>
          <w:rStyle w:val="FootnoteReference"/>
        </w:rPr>
        <w:footnoteRef/>
      </w:r>
      <w:r>
        <w:t xml:space="preserve"> </w:t>
      </w:r>
      <w:r>
        <w:tab/>
        <w:t>"</w:t>
      </w:r>
      <w:r>
        <w:rPr>
          <w:lang w:val="en-US"/>
        </w:rPr>
        <w:t>Mujeres</w:t>
      </w:r>
      <w:r>
        <w:t xml:space="preserve"> </w:t>
      </w:r>
      <w:r>
        <w:rPr>
          <w:lang w:val="en-US"/>
        </w:rPr>
        <w:t>Chilenas</w:t>
      </w:r>
      <w:r>
        <w:t xml:space="preserve">: </w:t>
      </w:r>
      <w:r>
        <w:rPr>
          <w:lang w:val="en-US"/>
        </w:rPr>
        <w:t>Estad</w:t>
      </w:r>
      <w:r>
        <w:t>í</w:t>
      </w:r>
      <w:r>
        <w:rPr>
          <w:lang w:val="en-US"/>
        </w:rPr>
        <w:t>sticas</w:t>
      </w:r>
      <w:r>
        <w:t xml:space="preserve"> </w:t>
      </w:r>
      <w:r>
        <w:rPr>
          <w:lang w:val="en-US"/>
        </w:rPr>
        <w:t>para</w:t>
      </w:r>
      <w:r>
        <w:t xml:space="preserve"> </w:t>
      </w:r>
      <w:r>
        <w:rPr>
          <w:lang w:val="en-US"/>
        </w:rPr>
        <w:t>el</w:t>
      </w:r>
      <w:r>
        <w:t xml:space="preserve"> </w:t>
      </w:r>
      <w:r>
        <w:rPr>
          <w:lang w:val="en-US"/>
        </w:rPr>
        <w:t>Nuevo</w:t>
      </w:r>
      <w:r>
        <w:t xml:space="preserve"> </w:t>
      </w:r>
      <w:r>
        <w:rPr>
          <w:lang w:val="en-US"/>
        </w:rPr>
        <w:t>Siglo</w:t>
      </w:r>
      <w:r>
        <w:t>" (Чилийские женщины: статистика для нового века). 2001</w:t>
      </w:r>
      <w:r>
        <w:rPr>
          <w:lang w:val="en-US"/>
        </w:rPr>
        <w:t> </w:t>
      </w:r>
      <w:r>
        <w:t>год.</w:t>
      </w:r>
    </w:p>
  </w:footnote>
  <w:footnote w:id="49">
    <w:p w:rsidR="00000000" w:rsidRDefault="00000000">
      <w:pPr>
        <w:pStyle w:val="FootnoteText"/>
        <w:tabs>
          <w:tab w:val="clear" w:pos="418"/>
        </w:tabs>
        <w:ind w:left="1080" w:right="1210" w:hanging="270"/>
        <w:jc w:val="both"/>
      </w:pPr>
      <w:r>
        <w:rPr>
          <w:rStyle w:val="FootnoteReference"/>
        </w:rPr>
        <w:footnoteRef/>
      </w:r>
      <w:r>
        <w:tab/>
        <w:t>В ОПТЧ входят: Национальная ассоциация служащих Национального совета детских садов (НСДС); Национальная ассоциация работников государственных университетов (НАРГУ); Национальная ассоциация сотрудников прокуратуры (НАСП); Ассоциация работников муниципалитетов (АРМ); Профессиональный колледж медсестер; Профессиональный колледж преподавателей; Национальная конфедерация служащих системы муниципального образования (НКСМО); Национальная конфедерация работников здравоохранения (НКРЗ); Национальная конфедерация служащих системы муниципального здравоохранения (НКССМЗ); Федерация профессоров государственных университетов (ФПГУ); Национальная федерация служащих Чилийского университета (НФСЧУ); Национальная федерация университетских специалистов службы здравоохранения (НФУССЗ); Национальная федерация среднего медицинского персонала служб здравоохранения (НФСМП).</w:t>
      </w:r>
    </w:p>
  </w:footnote>
  <w:footnote w:id="50">
    <w:p w:rsidR="00000000" w:rsidRDefault="00000000">
      <w:pPr>
        <w:pStyle w:val="FootnoteText"/>
        <w:tabs>
          <w:tab w:val="clear" w:pos="418"/>
        </w:tabs>
        <w:ind w:left="1080" w:right="1210" w:hanging="270"/>
        <w:jc w:val="both"/>
      </w:pPr>
      <w:r>
        <w:rPr>
          <w:rStyle w:val="FootnoteReference"/>
        </w:rPr>
        <w:footnoteRef/>
      </w:r>
      <w:r>
        <w:t xml:space="preserve"> </w:t>
      </w:r>
      <w:r>
        <w:tab/>
        <w:t>ОИРС были созданы президентским указом № 680 от сентября 1990 года.</w:t>
      </w:r>
    </w:p>
  </w:footnote>
  <w:footnote w:id="51">
    <w:p w:rsidR="00000000" w:rsidRDefault="00000000">
      <w:pPr>
        <w:pStyle w:val="FootnoteText"/>
        <w:tabs>
          <w:tab w:val="clear" w:pos="418"/>
        </w:tabs>
        <w:ind w:left="1080" w:right="1210" w:hanging="270"/>
        <w:jc w:val="both"/>
      </w:pPr>
      <w:r>
        <w:rPr>
          <w:rStyle w:val="FootnoteReference"/>
        </w:rPr>
        <w:footnoteRef/>
      </w:r>
      <w:r>
        <w:t xml:space="preserve"> </w:t>
      </w:r>
      <w:r>
        <w:tab/>
        <w:t xml:space="preserve">Адрес страницы НУДЖ в Интернете: </w:t>
      </w:r>
      <w:r>
        <w:rPr>
          <w:lang w:val="en-US"/>
        </w:rPr>
        <w:t>www</w:t>
      </w:r>
      <w:r>
        <w:t>.</w:t>
      </w:r>
      <w:r>
        <w:rPr>
          <w:lang w:val="en-US"/>
        </w:rPr>
        <w:t>sernam</w:t>
      </w:r>
      <w:r>
        <w:t>.</w:t>
      </w:r>
      <w:r>
        <w:rPr>
          <w:lang w:val="en-US"/>
        </w:rPr>
        <w:t>cl</w:t>
      </w:r>
      <w:r>
        <w:t>.</w:t>
      </w:r>
    </w:p>
  </w:footnote>
  <w:footnote w:id="52">
    <w:p w:rsidR="00000000" w:rsidRDefault="00000000">
      <w:pPr>
        <w:pStyle w:val="FootnoteText"/>
        <w:tabs>
          <w:tab w:val="clear" w:pos="418"/>
        </w:tabs>
        <w:ind w:left="1080" w:right="1210" w:hanging="270"/>
        <w:jc w:val="both"/>
      </w:pPr>
      <w:r>
        <w:rPr>
          <w:rStyle w:val="FootnoteReference"/>
        </w:rPr>
        <w:footnoteRef/>
      </w:r>
      <w:r>
        <w:t xml:space="preserve"> </w:t>
      </w:r>
      <w:r>
        <w:tab/>
        <w:t xml:space="preserve">Этот портал был создан в 2001 году и его можно найти по адресу: </w:t>
      </w:r>
      <w:r>
        <w:rPr>
          <w:lang w:val="en-US"/>
        </w:rPr>
        <w:t>www</w:t>
      </w:r>
      <w:r>
        <w:t>.</w:t>
      </w:r>
      <w:r>
        <w:rPr>
          <w:lang w:val="en-US"/>
        </w:rPr>
        <w:t>mujereschile</w:t>
      </w:r>
      <w:r>
        <w:t>.</w:t>
      </w:r>
      <w:r>
        <w:rPr>
          <w:lang w:val="en-US"/>
        </w:rPr>
        <w:t>cl</w:t>
      </w:r>
      <w:r>
        <w:t>.</w:t>
      </w:r>
    </w:p>
  </w:footnote>
  <w:footnote w:id="53">
    <w:p w:rsidR="00000000" w:rsidRDefault="00000000">
      <w:pPr>
        <w:pStyle w:val="FootnoteText"/>
        <w:tabs>
          <w:tab w:val="clear" w:pos="418"/>
        </w:tabs>
        <w:ind w:left="1080" w:right="1210" w:hanging="270"/>
        <w:jc w:val="both"/>
      </w:pPr>
      <w:r>
        <w:rPr>
          <w:rStyle w:val="FootnoteReference"/>
        </w:rPr>
        <w:footnoteRef/>
      </w:r>
      <w:r>
        <w:rPr>
          <w:lang w:val="en-US"/>
        </w:rPr>
        <w:tab/>
        <w:t xml:space="preserve">Certifica.Com, 1999 год. </w:t>
      </w:r>
      <w:r>
        <w:t>В этом году 64 процента всего объема связи через Интернет приходилось на мужчин.</w:t>
      </w:r>
    </w:p>
  </w:footnote>
  <w:footnote w:id="54">
    <w:p w:rsidR="00000000" w:rsidRDefault="00000000">
      <w:pPr>
        <w:pStyle w:val="FootnoteText"/>
        <w:tabs>
          <w:tab w:val="clear" w:pos="418"/>
        </w:tabs>
        <w:ind w:left="1080" w:right="1210" w:hanging="270"/>
        <w:jc w:val="both"/>
        <w:rPr>
          <w:lang w:val="en-US"/>
        </w:rPr>
      </w:pPr>
      <w:r>
        <w:rPr>
          <w:rStyle w:val="FootnoteReference"/>
        </w:rPr>
        <w:footnoteRef/>
      </w:r>
      <w:r>
        <w:rPr>
          <w:lang w:val="en-US"/>
        </w:rPr>
        <w:t xml:space="preserve"> </w:t>
      </w:r>
      <w:r>
        <w:rPr>
          <w:lang w:val="en-US"/>
        </w:rPr>
        <w:tab/>
        <w:t>Certifica.Com, 2001 год.</w:t>
      </w:r>
    </w:p>
  </w:footnote>
  <w:footnote w:id="55">
    <w:p w:rsidR="00000000" w:rsidRDefault="00000000">
      <w:pPr>
        <w:pStyle w:val="FootnoteText"/>
        <w:tabs>
          <w:tab w:val="clear" w:pos="418"/>
        </w:tabs>
        <w:ind w:left="1080" w:right="1210" w:hanging="270"/>
        <w:jc w:val="both"/>
      </w:pPr>
      <w:r>
        <w:rPr>
          <w:rStyle w:val="FootnoteReference"/>
        </w:rPr>
        <w:footnoteRef/>
      </w:r>
      <w:r>
        <w:t xml:space="preserve"> </w:t>
      </w:r>
      <w:r>
        <w:tab/>
        <w:t>Предоставляются следующие основные услуги по оказанию социальной юридической помощи: внесудебное урегулирование, распространение информации о правах и обязанностях общин, альтернативные пути урегулирования конфликтов с упором на посреднические услуги и предоставление услуг центрами по оказанию комплексной помощи жертвам тяжких насильственных преступлений.</w:t>
      </w:r>
    </w:p>
  </w:footnote>
  <w:footnote w:id="56">
    <w:p w:rsidR="00000000" w:rsidRDefault="00000000">
      <w:pPr>
        <w:pStyle w:val="FootnoteText"/>
        <w:tabs>
          <w:tab w:val="clear" w:pos="418"/>
          <w:tab w:val="left" w:pos="8640"/>
        </w:tabs>
        <w:ind w:left="1080" w:right="1210" w:hanging="270"/>
        <w:jc w:val="both"/>
      </w:pPr>
      <w:r>
        <w:rPr>
          <w:rStyle w:val="FootnoteReference"/>
        </w:rPr>
        <w:footnoteRef/>
      </w:r>
      <w:r>
        <w:tab/>
        <w:t>В числе текстов, опубликованных с целью распространения информации о правах человека, можно упомянуть следующие: 1. Справочник о применении Закона № 19325 о насилии в семье; 2. Новый закон об усыновлении; 3. Новое положение о праве на получение алиментов.</w:t>
      </w:r>
    </w:p>
  </w:footnote>
  <w:footnote w:id="57">
    <w:p w:rsidR="00000000" w:rsidRDefault="00000000">
      <w:pPr>
        <w:pStyle w:val="FootnoteText"/>
        <w:tabs>
          <w:tab w:val="clear" w:pos="418"/>
        </w:tabs>
        <w:ind w:left="1080" w:right="1210" w:hanging="270"/>
        <w:jc w:val="both"/>
      </w:pPr>
      <w:r>
        <w:rPr>
          <w:rStyle w:val="FootnoteReference"/>
        </w:rPr>
        <w:footnoteRef/>
      </w:r>
      <w:r>
        <w:tab/>
        <w:t>Цель этой инициативы состоит в том, чтобы заменить процедуру расследования уголовно-процессуальной системой, которая отвечала бы требованиям устного публичного и состязательного судопроизводства, проводимого коллегиальным судом, который рассматривает доказательства и выносит решение; а также требованиям, предъявляемым к расследованиям, проводимым прокуратурой при содействии сотрудников полиции. Намерение состоит в том, чтобы отделить функции расследования от судопроизводства.</w:t>
      </w:r>
    </w:p>
  </w:footnote>
  <w:footnote w:id="58">
    <w:p w:rsidR="00000000" w:rsidRDefault="00000000">
      <w:pPr>
        <w:pStyle w:val="FootnoteText"/>
        <w:tabs>
          <w:tab w:val="clear" w:pos="418"/>
        </w:tabs>
        <w:ind w:left="1080" w:right="1210" w:hanging="270"/>
        <w:jc w:val="both"/>
      </w:pPr>
      <w:r>
        <w:rPr>
          <w:rStyle w:val="FootnoteReference"/>
        </w:rPr>
        <w:footnoteRef/>
      </w:r>
      <w:r>
        <w:tab/>
        <w:t>Орган, созданный в рамках этой реформы, основной функцией которого является расследование преступлений и обеспечение защиты жертв.</w:t>
      </w:r>
    </w:p>
  </w:footnote>
  <w:footnote w:id="59">
    <w:p w:rsidR="00000000" w:rsidRDefault="00000000">
      <w:pPr>
        <w:pStyle w:val="FootnoteText"/>
        <w:tabs>
          <w:tab w:val="clear" w:pos="418"/>
        </w:tabs>
        <w:ind w:left="1080" w:right="1210" w:hanging="270"/>
        <w:jc w:val="both"/>
      </w:pPr>
      <w:r>
        <w:rPr>
          <w:rStyle w:val="FootnoteReference"/>
        </w:rPr>
        <w:footnoteRef/>
      </w:r>
      <w:r>
        <w:t xml:space="preserve"> </w:t>
      </w:r>
      <w:r>
        <w:tab/>
        <w:t>Президентский указ № 518 от 21 августа 1998 года.</w:t>
      </w:r>
    </w:p>
  </w:footnote>
  <w:footnote w:id="60">
    <w:p w:rsidR="00000000" w:rsidRDefault="00000000">
      <w:pPr>
        <w:pStyle w:val="FootnoteText"/>
        <w:tabs>
          <w:tab w:val="clear" w:pos="418"/>
        </w:tabs>
        <w:ind w:left="1080" w:right="1210" w:hanging="270"/>
        <w:jc w:val="both"/>
      </w:pPr>
      <w:r>
        <w:rPr>
          <w:rStyle w:val="FootnoteReference"/>
        </w:rPr>
        <w:footnoteRef/>
      </w:r>
      <w:r>
        <w:t xml:space="preserve"> </w:t>
      </w:r>
      <w:r>
        <w:tab/>
        <w:t>Это право распространяется только на уже осужденных заключенных и не распространяется не на тех, кто находится под следствием.</w:t>
      </w:r>
    </w:p>
  </w:footnote>
  <w:footnote w:id="61">
    <w:p w:rsidR="00000000" w:rsidRDefault="00000000">
      <w:pPr>
        <w:pStyle w:val="FootnoteText"/>
        <w:tabs>
          <w:tab w:val="clear" w:pos="418"/>
        </w:tabs>
        <w:ind w:left="1080" w:right="1210" w:hanging="270"/>
        <w:jc w:val="both"/>
      </w:pPr>
      <w:r>
        <w:rPr>
          <w:rStyle w:val="FootnoteReference"/>
        </w:rPr>
        <w:footnoteRef/>
      </w:r>
      <w:r>
        <w:t xml:space="preserve"> Подсчитано, что за счет показа телевизионных рекламных роликов, общественного оповещения (в прессе, метро и автобусах) с помощью плакатов и радио всего информацией были охвачены 5 миллионов человек.</w:t>
      </w:r>
    </w:p>
  </w:footnote>
  <w:footnote w:id="62">
    <w:p w:rsidR="00000000" w:rsidRDefault="00000000">
      <w:pPr>
        <w:pStyle w:val="FootnoteText"/>
        <w:tabs>
          <w:tab w:val="clear" w:pos="418"/>
        </w:tabs>
        <w:ind w:left="1080" w:right="1210" w:hanging="270"/>
        <w:jc w:val="both"/>
      </w:pPr>
      <w:r>
        <w:rPr>
          <w:rStyle w:val="FootnoteReference"/>
        </w:rPr>
        <w:footnoteRef/>
      </w:r>
      <w:r>
        <w:t xml:space="preserve"> </w:t>
      </w:r>
      <w:r>
        <w:tab/>
        <w:t xml:space="preserve">Адрес сайта </w:t>
      </w:r>
      <w:r>
        <w:rPr>
          <w:lang w:val="en-US"/>
        </w:rPr>
        <w:t>www</w:t>
      </w:r>
      <w:r>
        <w:t>.</w:t>
      </w:r>
      <w:r>
        <w:rPr>
          <w:lang w:val="en-US"/>
        </w:rPr>
        <w:t>mujereschile</w:t>
      </w:r>
      <w:r>
        <w:t>.</w:t>
      </w:r>
      <w:r>
        <w:rPr>
          <w:lang w:val="en-US"/>
        </w:rPr>
        <w:t>cl</w:t>
      </w:r>
      <w:r>
        <w:t>.</w:t>
      </w:r>
    </w:p>
  </w:footnote>
  <w:footnote w:id="63">
    <w:p w:rsidR="00000000" w:rsidRDefault="00000000">
      <w:pPr>
        <w:pStyle w:val="FootnoteText"/>
        <w:tabs>
          <w:tab w:val="clear" w:pos="418"/>
        </w:tabs>
        <w:ind w:left="1080" w:right="1210" w:hanging="270"/>
        <w:jc w:val="both"/>
      </w:pPr>
      <w:r>
        <w:rPr>
          <w:rStyle w:val="FootnoteReference"/>
        </w:rPr>
        <w:footnoteRef/>
      </w:r>
      <w:r>
        <w:t xml:space="preserve"> Количество зарегистрированных посещений сайта быстро растет. Так, по данным, полученным от одной внешней фирмы, число посещений сайта в 2001 году составило 47 132, а в 2002 году - 96 956. Лица, зарегистрированные как "ассоциированные участники" с полными личными данными и адресом электронной почты, поддерживают постоянный контакт с редакционным комитетом и получают еженедельный бюллетень.</w:t>
      </w:r>
    </w:p>
  </w:footnote>
  <w:footnote w:id="64">
    <w:p w:rsidR="00000000" w:rsidRDefault="00000000">
      <w:pPr>
        <w:pStyle w:val="FootnoteText"/>
        <w:tabs>
          <w:tab w:val="clear" w:pos="418"/>
        </w:tabs>
        <w:ind w:left="1080" w:right="1210" w:hanging="270"/>
        <w:jc w:val="both"/>
      </w:pPr>
      <w:r>
        <w:rPr>
          <w:rStyle w:val="FootnoteReference"/>
        </w:rPr>
        <w:footnoteRef/>
      </w:r>
      <w:r>
        <w:t xml:space="preserve"> </w:t>
      </w:r>
      <w:r>
        <w:tab/>
        <w:t>Муниципальные отделения и программы по вопросам детства, Программы по искоренению крайней нищеты, Программы по борьбе с насилием в семье или жестоким обращением с детьми.</w:t>
      </w:r>
    </w:p>
  </w:footnote>
  <w:footnote w:id="65">
    <w:p w:rsidR="00000000" w:rsidRDefault="00000000">
      <w:pPr>
        <w:pStyle w:val="FootnoteText"/>
        <w:tabs>
          <w:tab w:val="clear" w:pos="418"/>
        </w:tabs>
        <w:ind w:left="1080" w:right="1210" w:hanging="270"/>
        <w:jc w:val="both"/>
      </w:pPr>
      <w:r>
        <w:rPr>
          <w:rStyle w:val="FootnoteReference"/>
        </w:rPr>
        <w:footnoteRef/>
      </w:r>
      <w:r>
        <w:t xml:space="preserve"> </w:t>
      </w:r>
      <w:r>
        <w:tab/>
        <w:t>Новый вид первичной медико-санитарной помощи, который осваивают многие консультации на местах.</w:t>
      </w:r>
    </w:p>
  </w:footnote>
  <w:footnote w:id="66">
    <w:p w:rsidR="00000000" w:rsidRDefault="00000000">
      <w:pPr>
        <w:pStyle w:val="FootnoteText"/>
        <w:tabs>
          <w:tab w:val="clear" w:pos="418"/>
        </w:tabs>
        <w:ind w:left="1080" w:right="1210" w:hanging="270"/>
        <w:jc w:val="both"/>
      </w:pPr>
      <w:r>
        <w:rPr>
          <w:rStyle w:val="FootnoteReference"/>
        </w:rPr>
        <w:footnoteRef/>
      </w:r>
      <w:r>
        <w:t xml:space="preserve"> </w:t>
      </w:r>
      <w:r>
        <w:tab/>
        <w:t xml:space="preserve">Правительственная программа, цель которой состоит в ликвидации крайней нищеты в Чили. Программой предстоит охватить 225 000 семей, живущих в таком положении. Механизм решения этой задачи подробно изложен в главе, посвященной экономическим, социальным и культурным правам. </w:t>
      </w:r>
    </w:p>
  </w:footnote>
  <w:footnote w:id="67">
    <w:p w:rsidR="00000000" w:rsidRDefault="00000000">
      <w:pPr>
        <w:pStyle w:val="FootnoteText"/>
        <w:tabs>
          <w:tab w:val="clear" w:pos="418"/>
        </w:tabs>
        <w:ind w:left="1080" w:right="1210" w:hanging="270"/>
        <w:jc w:val="both"/>
      </w:pPr>
      <w:r>
        <w:rPr>
          <w:rStyle w:val="FootnoteReference"/>
        </w:rPr>
        <w:footnoteRef/>
      </w:r>
      <w:r>
        <w:t xml:space="preserve"> </w:t>
      </w:r>
      <w:r>
        <w:tab/>
        <w:t>НУДЖ: Рабочий документ № 68, Сантьяго, 2002 год.</w:t>
      </w:r>
    </w:p>
  </w:footnote>
  <w:footnote w:id="68">
    <w:p w:rsidR="00000000" w:rsidRDefault="00000000">
      <w:pPr>
        <w:pStyle w:val="FootnoteText"/>
        <w:tabs>
          <w:tab w:val="clear" w:pos="418"/>
        </w:tabs>
        <w:ind w:left="1080" w:right="1210" w:hanging="270"/>
        <w:jc w:val="both"/>
      </w:pPr>
      <w:r>
        <w:rPr>
          <w:rStyle w:val="FootnoteReference"/>
        </w:rPr>
        <w:footnoteRef/>
      </w:r>
      <w:r>
        <w:t xml:space="preserve"> </w:t>
      </w:r>
      <w:r>
        <w:tab/>
        <w:t>НУДЖ: Рабочий документ № 67, Сантьяго, 2002 год.</w:t>
      </w:r>
    </w:p>
  </w:footnote>
  <w:footnote w:id="69">
    <w:p w:rsidR="00000000" w:rsidRDefault="00000000">
      <w:pPr>
        <w:pStyle w:val="FootnoteText"/>
        <w:tabs>
          <w:tab w:val="clear" w:pos="418"/>
        </w:tabs>
        <w:ind w:left="1080" w:right="1210" w:hanging="270"/>
        <w:jc w:val="both"/>
      </w:pPr>
      <w:r>
        <w:rPr>
          <w:rStyle w:val="FootnoteReference"/>
        </w:rPr>
        <w:footnoteRef/>
      </w:r>
      <w:r>
        <w:t xml:space="preserve"> </w:t>
      </w:r>
      <w:r>
        <w:tab/>
        <w:t>Декрет № 1907, опубликованный 3 марта 1999 года.</w:t>
      </w:r>
    </w:p>
  </w:footnote>
  <w:footnote w:id="70">
    <w:p w:rsidR="00000000" w:rsidRDefault="00000000">
      <w:pPr>
        <w:pStyle w:val="FootnoteText"/>
        <w:tabs>
          <w:tab w:val="clear" w:pos="418"/>
        </w:tabs>
        <w:ind w:left="1080" w:right="1210" w:hanging="270"/>
        <w:jc w:val="both"/>
      </w:pPr>
      <w:r>
        <w:rPr>
          <w:rStyle w:val="FootnoteReference"/>
        </w:rPr>
        <w:footnoteRef/>
      </w:r>
      <w:r>
        <w:t xml:space="preserve"> </w:t>
      </w:r>
      <w:r>
        <w:tab/>
        <w:t>В</w:t>
      </w:r>
      <w:r>
        <w:rPr>
          <w:lang w:val="en-US"/>
        </w:rPr>
        <w:t> </w:t>
      </w:r>
      <w:r>
        <w:t>частности, организация предпринимателей/предпринимательниц, организация работников/работниц.</w:t>
      </w:r>
    </w:p>
  </w:footnote>
  <w:footnote w:id="71">
    <w:p w:rsidR="00000000" w:rsidRDefault="00000000">
      <w:pPr>
        <w:pStyle w:val="FootnoteText"/>
        <w:tabs>
          <w:tab w:val="clear" w:pos="418"/>
        </w:tabs>
        <w:ind w:left="1080" w:right="1210" w:hanging="270"/>
        <w:jc w:val="both"/>
      </w:pPr>
      <w:r>
        <w:rPr>
          <w:rStyle w:val="FootnoteReference"/>
        </w:rPr>
        <w:footnoteRef/>
      </w:r>
      <w:r>
        <w:t xml:space="preserve"> </w:t>
      </w:r>
      <w:r>
        <w:tab/>
        <w:t>НУДЖ: Руководство по вопросам наилучшей практики в области предпринимательства, Сантьяго, 2003 год.</w:t>
      </w:r>
    </w:p>
  </w:footnote>
  <w:footnote w:id="72">
    <w:p w:rsidR="00000000" w:rsidRDefault="00000000">
      <w:pPr>
        <w:pStyle w:val="FootnoteText"/>
        <w:tabs>
          <w:tab w:val="clear" w:pos="418"/>
        </w:tabs>
        <w:ind w:left="1080" w:right="1210" w:hanging="270"/>
        <w:jc w:val="both"/>
      </w:pPr>
      <w:r>
        <w:rPr>
          <w:rStyle w:val="FootnoteReference"/>
        </w:rPr>
        <w:footnoteRef/>
      </w:r>
      <w:r>
        <w:t xml:space="preserve"> </w:t>
      </w:r>
      <w:r>
        <w:tab/>
        <w:t>См. пункт о равенстве перед законом.</w:t>
      </w:r>
    </w:p>
  </w:footnote>
  <w:footnote w:id="73">
    <w:p w:rsidR="00000000" w:rsidRDefault="00000000">
      <w:pPr>
        <w:pStyle w:val="FootnoteText"/>
        <w:tabs>
          <w:tab w:val="clear" w:pos="418"/>
        </w:tabs>
        <w:ind w:left="1080" w:right="1210" w:hanging="270"/>
        <w:jc w:val="both"/>
      </w:pPr>
      <w:r>
        <w:rPr>
          <w:rStyle w:val="FootnoteReference"/>
        </w:rPr>
        <w:footnoteRef/>
      </w:r>
      <w:r>
        <w:t xml:space="preserve"> </w:t>
      </w:r>
      <w:r>
        <w:tab/>
        <w:t>Закон № 19670, изданный 15 апреля 2000 года.</w:t>
      </w:r>
    </w:p>
  </w:footnote>
  <w:footnote w:id="74">
    <w:p w:rsidR="00000000" w:rsidRDefault="00000000">
      <w:pPr>
        <w:pStyle w:val="FootnoteText"/>
        <w:tabs>
          <w:tab w:val="clear" w:pos="418"/>
        </w:tabs>
        <w:ind w:left="990" w:right="1210" w:hanging="180"/>
        <w:jc w:val="both"/>
      </w:pPr>
      <w:r>
        <w:rPr>
          <w:rStyle w:val="FootnoteReference"/>
        </w:rPr>
        <w:footnoteRef/>
      </w:r>
      <w:r>
        <w:tab/>
      </w:r>
      <w:r>
        <w:rPr>
          <w:lang w:val="en-US"/>
        </w:rPr>
        <w:t>Veloso, Paulina: "Factibilidad de una Ley de Cuotas en el Ordenamiento Juridico Chileno" Sernam, 2001.</w:t>
      </w:r>
    </w:p>
  </w:footnote>
  <w:footnote w:id="75">
    <w:p w:rsidR="00000000" w:rsidRDefault="00000000">
      <w:pPr>
        <w:pStyle w:val="FootnoteText"/>
        <w:tabs>
          <w:tab w:val="clear" w:pos="418"/>
        </w:tabs>
        <w:ind w:left="990" w:right="1210" w:hanging="180"/>
        <w:jc w:val="both"/>
      </w:pPr>
      <w:r>
        <w:rPr>
          <w:rStyle w:val="FootnoteReference"/>
        </w:rPr>
        <w:footnoteRef/>
      </w:r>
      <w:r>
        <w:tab/>
        <w:t>Ныне действующая система выборов биноминальна; различные исследования показывают, что система пропорционального типа способствовала бы более широкому участию женщин.</w:t>
      </w:r>
    </w:p>
  </w:footnote>
  <w:footnote w:id="76">
    <w:p w:rsidR="00000000" w:rsidRDefault="00000000">
      <w:pPr>
        <w:pStyle w:val="FootnoteText"/>
        <w:tabs>
          <w:tab w:val="clear" w:pos="418"/>
        </w:tabs>
        <w:ind w:left="990" w:right="1210" w:hanging="180"/>
        <w:jc w:val="both"/>
      </w:pPr>
      <w:r>
        <w:rPr>
          <w:rStyle w:val="FootnoteReference"/>
        </w:rPr>
        <w:footnoteRef/>
      </w:r>
      <w:r>
        <w:tab/>
        <w:t>Главы областных правительств.</w:t>
      </w:r>
    </w:p>
  </w:footnote>
  <w:footnote w:id="77">
    <w:p w:rsidR="00000000" w:rsidRDefault="00000000">
      <w:pPr>
        <w:pStyle w:val="FootnoteText"/>
        <w:tabs>
          <w:tab w:val="clear" w:pos="418"/>
        </w:tabs>
        <w:ind w:left="990" w:right="1210" w:hanging="180"/>
        <w:jc w:val="both"/>
      </w:pPr>
      <w:r>
        <w:rPr>
          <w:rStyle w:val="FootnoteReference"/>
        </w:rPr>
        <w:footnoteRef/>
      </w:r>
      <w:r>
        <w:tab/>
        <w:t>Источник: НУДЖ на основе докладов соответствующих министерств.</w:t>
      </w:r>
    </w:p>
  </w:footnote>
  <w:footnote w:id="78">
    <w:p w:rsidR="00000000" w:rsidRDefault="00000000">
      <w:pPr>
        <w:pStyle w:val="FootnoteText"/>
        <w:tabs>
          <w:tab w:val="clear" w:pos="418"/>
        </w:tabs>
        <w:ind w:left="990" w:right="1210" w:hanging="180"/>
        <w:jc w:val="both"/>
      </w:pPr>
      <w:r>
        <w:rPr>
          <w:rStyle w:val="FootnoteReference"/>
        </w:rPr>
        <w:footnoteRef/>
      </w:r>
      <w:r>
        <w:tab/>
        <w:t>Источник: Министерство юстиции. В обоих судах имеются в виду посты альгвазила, прокурора, судебного докладчика и штатных адвокатов.</w:t>
      </w:r>
    </w:p>
  </w:footnote>
  <w:footnote w:id="79">
    <w:p w:rsidR="00000000" w:rsidRDefault="00000000">
      <w:pPr>
        <w:pStyle w:val="FootnoteText"/>
        <w:tabs>
          <w:tab w:val="clear" w:pos="418"/>
        </w:tabs>
        <w:ind w:left="990" w:right="1210" w:hanging="205"/>
        <w:jc w:val="both"/>
      </w:pPr>
      <w:r>
        <w:rPr>
          <w:rStyle w:val="FootnoteReference"/>
        </w:rPr>
        <w:footnoteRef/>
      </w:r>
      <w:r>
        <w:t xml:space="preserve"> </w:t>
      </w:r>
      <w:r>
        <w:tab/>
        <w:t>Источник: Служба выборов.</w:t>
      </w:r>
    </w:p>
  </w:footnote>
  <w:footnote w:id="80">
    <w:p w:rsidR="00000000" w:rsidRDefault="00000000">
      <w:pPr>
        <w:pStyle w:val="FootnoteText"/>
        <w:tabs>
          <w:tab w:val="clear" w:pos="418"/>
        </w:tabs>
        <w:ind w:left="990" w:right="1210" w:hanging="205"/>
        <w:jc w:val="both"/>
      </w:pPr>
      <w:r>
        <w:rPr>
          <w:rStyle w:val="FootnoteReference"/>
        </w:rPr>
        <w:footnoteRef/>
      </w:r>
      <w:r>
        <w:t xml:space="preserve"> </w:t>
      </w:r>
      <w:r>
        <w:tab/>
        <w:t>Соотношение отображает число избранных от числа кандидатов в процентах.</w:t>
      </w:r>
    </w:p>
  </w:footnote>
  <w:footnote w:id="81">
    <w:p w:rsidR="00000000" w:rsidRDefault="00000000">
      <w:pPr>
        <w:pStyle w:val="FootnoteText"/>
        <w:tabs>
          <w:tab w:val="clear" w:pos="418"/>
        </w:tabs>
        <w:ind w:left="1080" w:right="1210" w:hanging="270"/>
        <w:jc w:val="both"/>
      </w:pPr>
      <w:r>
        <w:rPr>
          <w:rStyle w:val="FootnoteReference"/>
        </w:rPr>
        <w:t>78</w:t>
      </w:r>
      <w:r>
        <w:tab/>
        <w:t>Источник: Департамент кадров Правительства Чили</w:t>
      </w:r>
    </w:p>
  </w:footnote>
  <w:footnote w:id="82">
    <w:p w:rsidR="00000000" w:rsidRDefault="00000000">
      <w:pPr>
        <w:pStyle w:val="FootnoteText"/>
        <w:tabs>
          <w:tab w:val="clear" w:pos="418"/>
        </w:tabs>
        <w:ind w:left="1080" w:right="1210" w:hanging="270"/>
        <w:jc w:val="both"/>
      </w:pPr>
      <w:r>
        <w:rPr>
          <w:rStyle w:val="FootnoteReference"/>
        </w:rPr>
        <w:t>79</w:t>
      </w:r>
      <w:r>
        <w:tab/>
        <w:t>Дипломатическая служба предусматривает продвижение с должностей третьего, второго и первого секретаря до министра-посланника и, в конечном итоге, до должностей консула и посла.</w:t>
      </w:r>
    </w:p>
  </w:footnote>
  <w:footnote w:id="83">
    <w:p w:rsidR="00000000" w:rsidRDefault="00000000">
      <w:pPr>
        <w:pStyle w:val="FootnoteText"/>
        <w:tabs>
          <w:tab w:val="clear" w:pos="418"/>
        </w:tabs>
        <w:ind w:left="1080" w:right="1210" w:hanging="270"/>
        <w:jc w:val="both"/>
      </w:pPr>
      <w:r>
        <w:rPr>
          <w:rStyle w:val="FootnoteReference"/>
        </w:rPr>
        <w:t>80</w:t>
      </w:r>
      <w:r>
        <w:tab/>
        <w:t>Речь идет об адвокате и правозащитнике г-же Сесилии Медине, которая вплоть до своего избрания занимала пост члена Комитета по правам человека Международного пакта о гражданских и политических правах ООН.</w:t>
      </w:r>
    </w:p>
  </w:footnote>
  <w:footnote w:id="84">
    <w:p w:rsidR="00000000" w:rsidRDefault="00000000">
      <w:pPr>
        <w:pStyle w:val="FootnoteText"/>
        <w:tabs>
          <w:tab w:val="clear" w:pos="418"/>
        </w:tabs>
        <w:ind w:left="990" w:right="1210" w:hanging="205"/>
        <w:jc w:val="both"/>
      </w:pPr>
      <w:r>
        <w:rPr>
          <w:rStyle w:val="FootnoteReference"/>
        </w:rPr>
        <w:t>81</w:t>
      </w:r>
      <w:r>
        <w:tab/>
        <w:t>Изменения вносятся в Органический конституционный закон о политических партиях; в Органический конституционный закон о муниципалитетах; и в Органический конституционный закон о государственных выборах и подсчете голосов.</w:t>
      </w:r>
    </w:p>
  </w:footnote>
  <w:footnote w:id="85">
    <w:p w:rsidR="00000000" w:rsidRDefault="00000000">
      <w:pPr>
        <w:pStyle w:val="FootnoteText"/>
        <w:tabs>
          <w:tab w:val="clear" w:pos="418"/>
        </w:tabs>
        <w:ind w:left="990" w:right="1210" w:hanging="205"/>
        <w:jc w:val="both"/>
      </w:pPr>
      <w:r>
        <w:rPr>
          <w:rStyle w:val="FootnoteReference"/>
        </w:rPr>
        <w:t>82</w:t>
      </w:r>
      <w:r>
        <w:t xml:space="preserve"> </w:t>
      </w:r>
      <w:r>
        <w:rPr>
          <w:lang w:val="en-US"/>
        </w:rPr>
        <w:tab/>
      </w:r>
      <w:r>
        <w:t>Имеются в виду следующие работы: "Опыт участия женщин (введение квот) в деятельности чилийских политических партий", декабрь 1998; "Исследование результатов исполнения закона о квотах в чилийской законодательной системе", март 2000; "Мнения политических и общественных лидеров по отношению к закону о квотах: сущность и выполнимость", декабрь 2000; "Политические партии и другие возможности участия женщин в системе выборов", май 2001; и "Решения семинара по вопросам участия и представительства: условия развития человеческого общества", январь 2002.</w:t>
      </w:r>
    </w:p>
  </w:footnote>
  <w:footnote w:id="86">
    <w:p w:rsidR="00000000" w:rsidRDefault="00000000">
      <w:pPr>
        <w:pStyle w:val="FootnoteText"/>
        <w:tabs>
          <w:tab w:val="clear" w:pos="418"/>
        </w:tabs>
        <w:ind w:left="990" w:right="1210" w:hanging="205"/>
        <w:jc w:val="both"/>
      </w:pPr>
      <w:r>
        <w:rPr>
          <w:rStyle w:val="FootnoteReference"/>
        </w:rPr>
        <w:t>83</w:t>
      </w:r>
      <w:r>
        <w:t xml:space="preserve"> </w:t>
      </w:r>
      <w:r>
        <w:rPr>
          <w:lang w:val="en-US"/>
        </w:rPr>
        <w:tab/>
      </w:r>
      <w:r>
        <w:t>Одним из выводов явилось то, что введение закона о квотах в Чили представляется возможным, для чего необходимо внести изменения в Органический конституционный закон о государственных выборах и подсчете голосов, в части парламентских выборов; а также в Органический конституционный закон о муниципалитетах, в части выборов председателей и членов муниципальных советов. Кроме того, необходимо расширить на национальном уровне дискуссию об участии женщин в политической жизни и о необходимости антидискриминационных мер, направленных на обеспечение равенства в данной сфере.</w:t>
      </w:r>
    </w:p>
  </w:footnote>
  <w:footnote w:id="87">
    <w:p w:rsidR="00000000" w:rsidRDefault="00000000">
      <w:pPr>
        <w:pStyle w:val="FootnoteText"/>
        <w:tabs>
          <w:tab w:val="clear" w:pos="418"/>
        </w:tabs>
        <w:suppressAutoHyphens w:val="0"/>
        <w:ind w:left="990" w:right="1210" w:hanging="180"/>
        <w:jc w:val="both"/>
      </w:pPr>
      <w:r>
        <w:rPr>
          <w:sz w:val="11"/>
        </w:rPr>
        <w:t>84</w:t>
      </w:r>
      <w:r>
        <w:tab/>
        <w:t>Посредством Министерства генерального секретариата правительства и, в частности, Депа</w:t>
      </w:r>
      <w:r>
        <w:t>р</w:t>
      </w:r>
      <w:r>
        <w:t>тамента общественных организаций.</w:t>
      </w:r>
    </w:p>
  </w:footnote>
  <w:footnote w:id="88">
    <w:p w:rsidR="00000000" w:rsidRDefault="00000000">
      <w:pPr>
        <w:pStyle w:val="FootnoteText"/>
        <w:tabs>
          <w:tab w:val="clear" w:pos="418"/>
        </w:tabs>
        <w:suppressAutoHyphens w:val="0"/>
        <w:ind w:left="990" w:right="1210" w:hanging="180"/>
        <w:jc w:val="both"/>
      </w:pPr>
      <w:r>
        <w:rPr>
          <w:sz w:val="11"/>
        </w:rPr>
        <w:t>85</w:t>
      </w:r>
      <w:r>
        <w:tab/>
        <w:t>По данным Министерства планирования и кооперации. Национальный обзор социально-экономического положения (НОСЭП), проведенный в конце 2000 года. В опрос впервые был включен параметр участия граждан.</w:t>
      </w:r>
    </w:p>
  </w:footnote>
  <w:footnote w:id="89">
    <w:p w:rsidR="00000000" w:rsidRDefault="00000000">
      <w:pPr>
        <w:pStyle w:val="FootnoteText"/>
        <w:tabs>
          <w:tab w:val="clear" w:pos="418"/>
        </w:tabs>
        <w:suppressAutoHyphens w:val="0"/>
        <w:ind w:left="1080" w:right="1210" w:hanging="270"/>
        <w:jc w:val="both"/>
      </w:pPr>
      <w:r>
        <w:rPr>
          <w:sz w:val="11"/>
        </w:rPr>
        <w:t>86</w:t>
      </w:r>
      <w:r>
        <w:t xml:space="preserve"> Распоряжение Президента № 30 от 7 декабря 2000 года.</w:t>
      </w:r>
    </w:p>
  </w:footnote>
  <w:footnote w:id="90">
    <w:p w:rsidR="00000000" w:rsidRDefault="00000000">
      <w:pPr>
        <w:pStyle w:val="FootnoteText"/>
        <w:tabs>
          <w:tab w:val="clear" w:pos="418"/>
        </w:tabs>
        <w:suppressAutoHyphens w:val="0"/>
        <w:ind w:left="1080" w:right="1210" w:hanging="270"/>
        <w:jc w:val="both"/>
      </w:pPr>
      <w:r>
        <w:rPr>
          <w:sz w:val="11"/>
        </w:rPr>
        <w:t>87</w:t>
      </w:r>
      <w:r>
        <w:tab/>
        <w:t>Данная мера выразилась в подготовке предварительного проекта закона для вынесения на рассмотрение Национального конгресса. Проект Закона о гражданском участии наряду с др</w:t>
      </w:r>
      <w:r>
        <w:t>у</w:t>
      </w:r>
      <w:r>
        <w:t>гими инициативами формирует необходимые условия для создания законодательной базы, обеспечивающей признание прав и форм участия, являющейся фундаментальным элементом процесса реформирования государственной системы и ключевым направлением развития страны.</w:t>
      </w:r>
    </w:p>
  </w:footnote>
  <w:footnote w:id="91">
    <w:p w:rsidR="00000000" w:rsidRDefault="00000000">
      <w:pPr>
        <w:pStyle w:val="FootnoteText"/>
        <w:tabs>
          <w:tab w:val="clear" w:pos="418"/>
        </w:tabs>
        <w:suppressAutoHyphens w:val="0"/>
        <w:ind w:left="1080" w:right="1210" w:hanging="270"/>
        <w:jc w:val="both"/>
      </w:pPr>
      <w:r>
        <w:rPr>
          <w:sz w:val="11"/>
        </w:rPr>
        <w:t>88</w:t>
      </w:r>
      <w:r>
        <w:t xml:space="preserve"> </w:t>
      </w:r>
      <w:r>
        <w:rPr>
          <w:lang w:val="en-US"/>
        </w:rPr>
        <w:tab/>
      </w:r>
      <w:r>
        <w:t>В целях расширения доступа к информации был организован маршрут автобуса с информац</w:t>
      </w:r>
      <w:r>
        <w:t>и</w:t>
      </w:r>
      <w:r>
        <w:t>ей о сущности правительственных предложений, который с 1999 года приезжает в удаленные от крупных городов населенные пункты, где обязанности по поддержанию домашнего хозя</w:t>
      </w:r>
      <w:r>
        <w:t>й</w:t>
      </w:r>
      <w:r>
        <w:t>ства и благополучия преимущественно лежат на женщине. Другой инициативой в данной о</w:t>
      </w:r>
      <w:r>
        <w:t>б</w:t>
      </w:r>
      <w:r>
        <w:t xml:space="preserve">ласти стало введение Центров информации, жалоб и предложений (ЦИЖП), проект которых рассматривался в рамках раздела об антидискриминационных мерах. </w:t>
      </w:r>
    </w:p>
  </w:footnote>
  <w:footnote w:id="92">
    <w:p w:rsidR="00000000" w:rsidRDefault="00000000">
      <w:pPr>
        <w:pStyle w:val="FootnoteText"/>
        <w:tabs>
          <w:tab w:val="clear" w:pos="418"/>
        </w:tabs>
        <w:suppressAutoHyphens w:val="0"/>
        <w:ind w:left="1080" w:right="1210" w:hanging="270"/>
        <w:jc w:val="both"/>
      </w:pPr>
      <w:r>
        <w:rPr>
          <w:sz w:val="11"/>
        </w:rPr>
        <w:t>89</w:t>
      </w:r>
      <w:r>
        <w:t xml:space="preserve"> </w:t>
      </w:r>
      <w:r>
        <w:rPr>
          <w:lang w:val="en-US"/>
        </w:rPr>
        <w:tab/>
      </w:r>
      <w:r>
        <w:t>Университет Чили. "Демографический состав и модели поведения чилийских пользователей в сети Интернет", Сантьяго, 1999.</w:t>
      </w:r>
    </w:p>
  </w:footnote>
  <w:footnote w:id="93">
    <w:p w:rsidR="00000000" w:rsidRDefault="00000000">
      <w:pPr>
        <w:pStyle w:val="FootnoteText"/>
        <w:tabs>
          <w:tab w:val="clear" w:pos="418"/>
        </w:tabs>
        <w:suppressAutoHyphens w:val="0"/>
        <w:ind w:left="1080" w:right="1210" w:hanging="270"/>
        <w:jc w:val="both"/>
      </w:pPr>
      <w:r>
        <w:rPr>
          <w:sz w:val="11"/>
        </w:rPr>
        <w:t>90</w:t>
      </w:r>
      <w:r>
        <w:t xml:space="preserve"> </w:t>
      </w:r>
      <w:r>
        <w:rPr>
          <w:lang w:val="en-US"/>
        </w:rPr>
        <w:tab/>
      </w:r>
      <w:r>
        <w:t>Использованные в докладе данные об уровне бедности в стране и преимущественной роли женщин в качестве домохозяек взяты из Анализа результатов VIII Национального обзора с</w:t>
      </w:r>
      <w:r>
        <w:t>о</w:t>
      </w:r>
      <w:r>
        <w:t>циально-экономического положения (НОСЭП 2000), подготовленного Министерством план</w:t>
      </w:r>
      <w:r>
        <w:t>и</w:t>
      </w:r>
      <w:r>
        <w:t>рования и кооперации.</w:t>
      </w:r>
    </w:p>
  </w:footnote>
  <w:footnote w:id="94">
    <w:p w:rsidR="00000000" w:rsidRDefault="00000000">
      <w:pPr>
        <w:pStyle w:val="FootnoteText"/>
        <w:tabs>
          <w:tab w:val="clear" w:pos="418"/>
        </w:tabs>
        <w:suppressAutoHyphens w:val="0"/>
        <w:ind w:left="1080" w:right="1210" w:hanging="270"/>
        <w:jc w:val="both"/>
      </w:pPr>
      <w:r>
        <w:rPr>
          <w:sz w:val="11"/>
        </w:rPr>
        <w:t>91</w:t>
      </w:r>
      <w:r>
        <w:tab/>
        <w:t>Использованные в докладе данные по системе образования взяты из Анализа результатов VIII Национального обзора социально-экономического положения (НОСЭП 2000), подготовленн</w:t>
      </w:r>
      <w:r>
        <w:t>о</w:t>
      </w:r>
      <w:r>
        <w:t>го Министерством планирования и кооперации.</w:t>
      </w:r>
    </w:p>
  </w:footnote>
  <w:footnote w:id="95">
    <w:p w:rsidR="00000000" w:rsidRDefault="00000000">
      <w:pPr>
        <w:pStyle w:val="FootnoteText"/>
        <w:tabs>
          <w:tab w:val="clear" w:pos="418"/>
        </w:tabs>
        <w:suppressAutoHyphens w:val="0"/>
        <w:ind w:left="1080" w:right="1210" w:hanging="270"/>
        <w:jc w:val="both"/>
      </w:pPr>
      <w:r>
        <w:rPr>
          <w:sz w:val="11"/>
        </w:rPr>
        <w:t>92</w:t>
      </w:r>
      <w:r>
        <w:tab/>
        <w:t>7 мая 2003 года опубликован текст поправки к Конституции, предусматривающей обязател</w:t>
      </w:r>
      <w:r>
        <w:t>ь</w:t>
      </w:r>
      <w:r>
        <w:t>ное 12-летнее среднее образование и обязательства государства по бесплатно обеспечению таким образованием всех граждан Чили в возрасте до 21 года.</w:t>
      </w:r>
    </w:p>
  </w:footnote>
  <w:footnote w:id="96">
    <w:p w:rsidR="00000000" w:rsidRDefault="00000000">
      <w:pPr>
        <w:pStyle w:val="FootnoteText"/>
        <w:tabs>
          <w:tab w:val="clear" w:pos="418"/>
        </w:tabs>
        <w:suppressAutoHyphens w:val="0"/>
        <w:ind w:left="1080" w:right="1210" w:hanging="270"/>
        <w:jc w:val="both"/>
      </w:pPr>
      <w:r>
        <w:rPr>
          <w:sz w:val="11"/>
        </w:rPr>
        <w:t>93</w:t>
      </w:r>
      <w:r>
        <w:tab/>
        <w:t>Указанная поправка рассматривалась в рамках темы равенства перед законом.</w:t>
      </w:r>
    </w:p>
  </w:footnote>
  <w:footnote w:id="97">
    <w:p w:rsidR="00000000" w:rsidRDefault="00000000">
      <w:pPr>
        <w:pStyle w:val="FootnoteText"/>
        <w:tabs>
          <w:tab w:val="clear" w:pos="418"/>
        </w:tabs>
        <w:suppressAutoHyphens w:val="0"/>
        <w:ind w:left="990" w:right="1210" w:hanging="180"/>
        <w:jc w:val="both"/>
      </w:pPr>
      <w:r>
        <w:rPr>
          <w:sz w:val="11"/>
        </w:rPr>
        <w:t>94</w:t>
      </w:r>
      <w:r>
        <w:t xml:space="preserve"> </w:t>
      </w:r>
      <w:r>
        <w:rPr>
          <w:lang w:val="en-US"/>
        </w:rPr>
        <w:tab/>
      </w:r>
      <w:r>
        <w:t>По данным Национального обзора социально-экономического положения (НОСЭП 2000). С</w:t>
      </w:r>
      <w:r>
        <w:t>у</w:t>
      </w:r>
      <w:r>
        <w:t xml:space="preserve">щественным также представляется тот факт, что данные о коэффициенте участия женщин в трудовой деятельности варьируются в зависимости от используемого инструмента оценки. По данным переписи 2002 года, в 2002 году этот коэффициент составил 35,57 процента. </w:t>
      </w:r>
    </w:p>
  </w:footnote>
  <w:footnote w:id="98">
    <w:p w:rsidR="00000000" w:rsidRDefault="00000000">
      <w:pPr>
        <w:pStyle w:val="FootnoteText"/>
        <w:tabs>
          <w:tab w:val="clear" w:pos="418"/>
        </w:tabs>
        <w:suppressAutoHyphens w:val="0"/>
        <w:ind w:left="990" w:right="1210" w:hanging="180"/>
        <w:jc w:val="both"/>
      </w:pPr>
      <w:r>
        <w:rPr>
          <w:sz w:val="11"/>
        </w:rPr>
        <w:t>95</w:t>
      </w:r>
      <w:r>
        <w:t xml:space="preserve"> </w:t>
      </w:r>
      <w:r>
        <w:rPr>
          <w:lang w:val="en-US"/>
        </w:rPr>
        <w:tab/>
      </w:r>
      <w:r>
        <w:t>Наибольший коэффициент участия женщин в трудовой деятельности приходится на возра</w:t>
      </w:r>
      <w:r>
        <w:t>с</w:t>
      </w:r>
      <w:r>
        <w:t xml:space="preserve">тную группу от 25 до 44 лет, в рамках которой достигает 53,5 процента. </w:t>
      </w:r>
    </w:p>
  </w:footnote>
  <w:footnote w:id="99">
    <w:p w:rsidR="00000000" w:rsidRDefault="00000000">
      <w:pPr>
        <w:pStyle w:val="FootnoteText"/>
        <w:tabs>
          <w:tab w:val="clear" w:pos="418"/>
        </w:tabs>
        <w:suppressAutoHyphens w:val="0"/>
        <w:ind w:left="990" w:right="1210" w:hanging="180"/>
        <w:jc w:val="both"/>
      </w:pPr>
      <w:r>
        <w:rPr>
          <w:sz w:val="11"/>
        </w:rPr>
        <w:t>96</w:t>
      </w:r>
      <w:r>
        <w:t xml:space="preserve"> </w:t>
      </w:r>
      <w:r>
        <w:rPr>
          <w:lang w:val="en-US"/>
        </w:rPr>
        <w:tab/>
      </w:r>
      <w:r>
        <w:t>Коэффициент участия женщин-глав семьи составляет 49,2 процента, замужних женщин – 37,1 процента, и незамужних – 42,6 процента, по данным того же источника.</w:t>
      </w:r>
    </w:p>
  </w:footnote>
  <w:footnote w:id="100">
    <w:p w:rsidR="00000000" w:rsidRDefault="00000000">
      <w:pPr>
        <w:pStyle w:val="FootnoteText"/>
        <w:tabs>
          <w:tab w:val="clear" w:pos="418"/>
        </w:tabs>
        <w:suppressAutoHyphens w:val="0"/>
        <w:ind w:left="990" w:right="1210" w:hanging="180"/>
        <w:jc w:val="both"/>
      </w:pPr>
      <w:r>
        <w:rPr>
          <w:sz w:val="11"/>
        </w:rPr>
        <w:t>97</w:t>
      </w:r>
      <w:r>
        <w:t xml:space="preserve"> </w:t>
      </w:r>
      <w:r>
        <w:rPr>
          <w:lang w:val="en-US"/>
        </w:rPr>
        <w:tab/>
      </w:r>
      <w:r>
        <w:t>По данным НОСЭП 2000, коэффициент участия женщин с университетским образованием б</w:t>
      </w:r>
      <w:r>
        <w:t>о</w:t>
      </w:r>
      <w:r>
        <w:t>лее чем вдвое (61,1 процента) больше коэффициента участия женщин с начальным образов</w:t>
      </w:r>
      <w:r>
        <w:t>а</w:t>
      </w:r>
      <w:r>
        <w:t>нием (28,7 процента), при этом коэффициент женщин без образования составляет 13 процентов.</w:t>
      </w:r>
    </w:p>
  </w:footnote>
  <w:footnote w:id="101">
    <w:p w:rsidR="00000000" w:rsidRDefault="00000000">
      <w:pPr>
        <w:pStyle w:val="FootnoteText"/>
        <w:tabs>
          <w:tab w:val="clear" w:pos="418"/>
        </w:tabs>
        <w:suppressAutoHyphens w:val="0"/>
        <w:ind w:left="990" w:right="1210" w:hanging="180"/>
        <w:jc w:val="both"/>
      </w:pPr>
      <w:r>
        <w:rPr>
          <w:sz w:val="11"/>
        </w:rPr>
        <w:t>98</w:t>
      </w:r>
      <w:r>
        <w:t xml:space="preserve"> </w:t>
      </w:r>
      <w:r>
        <w:rPr>
          <w:lang w:val="en-US"/>
        </w:rPr>
        <w:tab/>
      </w:r>
      <w:r>
        <w:t>Имеется значительная разница между коэффициентом участия женщин, которые входят в д</w:t>
      </w:r>
      <w:r>
        <w:t>е</w:t>
      </w:r>
      <w:r>
        <w:t>циль с наибольшими доходами, равным 54,4 процента, и коэффициентом женщин, входящих в дециль менее обеспеченных слоев населения, составляющим лишь 22,7 процента. Коэффиц</w:t>
      </w:r>
      <w:r>
        <w:t>и</w:t>
      </w:r>
      <w:r>
        <w:t>ент участия женщин, входящих в последний дециль, в 2,4 раза больше коэффициента женщин, входящих в дециль с наименьшими доходами (НОСЭП 2000).</w:t>
      </w:r>
    </w:p>
  </w:footnote>
  <w:footnote w:id="102">
    <w:p w:rsidR="00000000" w:rsidRDefault="00000000">
      <w:pPr>
        <w:pStyle w:val="FootnoteText"/>
        <w:tabs>
          <w:tab w:val="clear" w:pos="418"/>
        </w:tabs>
        <w:suppressAutoHyphens w:val="0"/>
        <w:ind w:left="1080" w:right="1210" w:hanging="270"/>
        <w:jc w:val="both"/>
      </w:pPr>
      <w:r>
        <w:rPr>
          <w:sz w:val="11"/>
        </w:rPr>
        <w:t>99</w:t>
      </w:r>
      <w:r>
        <w:t xml:space="preserve"> </w:t>
      </w:r>
      <w:r>
        <w:rPr>
          <w:lang w:val="en-US"/>
        </w:rPr>
        <w:tab/>
      </w:r>
      <w:r>
        <w:t>НОСЭП, 2000.</w:t>
      </w:r>
    </w:p>
  </w:footnote>
  <w:footnote w:id="103">
    <w:p w:rsidR="00000000" w:rsidRDefault="00000000">
      <w:pPr>
        <w:pStyle w:val="FootnoteText"/>
        <w:tabs>
          <w:tab w:val="clear" w:pos="418"/>
        </w:tabs>
        <w:suppressAutoHyphens w:val="0"/>
        <w:ind w:left="1080" w:right="1210" w:hanging="270"/>
        <w:jc w:val="both"/>
      </w:pPr>
      <w:r>
        <w:rPr>
          <w:sz w:val="11"/>
        </w:rPr>
        <w:t>100</w:t>
      </w:r>
      <w:r>
        <w:t xml:space="preserve"> </w:t>
      </w:r>
      <w:r>
        <w:rPr>
          <w:lang w:val="en-US"/>
        </w:rPr>
        <w:tab/>
      </w:r>
      <w:r>
        <w:t>Источник: Национальное управление статистики (НУС), Национальный обзор положения в области занятости, октябрь-декабрь.</w:t>
      </w:r>
    </w:p>
  </w:footnote>
  <w:footnote w:id="104">
    <w:p w:rsidR="00000000" w:rsidRDefault="00000000">
      <w:pPr>
        <w:pStyle w:val="FootnoteText"/>
        <w:tabs>
          <w:tab w:val="clear" w:pos="418"/>
        </w:tabs>
        <w:suppressAutoHyphens w:val="0"/>
        <w:ind w:left="1080" w:right="1210" w:hanging="270"/>
        <w:jc w:val="both"/>
      </w:pPr>
      <w:r>
        <w:rPr>
          <w:sz w:val="11"/>
        </w:rPr>
        <w:t>101</w:t>
      </w:r>
      <w:r>
        <w:t xml:space="preserve"> </w:t>
      </w:r>
      <w:r>
        <w:rPr>
          <w:lang w:val="en-US"/>
        </w:rPr>
        <w:tab/>
      </w:r>
      <w:r>
        <w:t>НУС. Национальный обзор положения в области занятости, октябрь-декабрь.</w:t>
      </w:r>
    </w:p>
  </w:footnote>
  <w:footnote w:id="105">
    <w:p w:rsidR="00000000" w:rsidRDefault="00000000">
      <w:pPr>
        <w:pStyle w:val="FootnoteText"/>
        <w:tabs>
          <w:tab w:val="clear" w:pos="418"/>
        </w:tabs>
        <w:suppressAutoHyphens w:val="0"/>
        <w:ind w:left="1080" w:right="1210" w:hanging="270"/>
        <w:jc w:val="both"/>
      </w:pPr>
      <w:r>
        <w:rPr>
          <w:sz w:val="11"/>
        </w:rPr>
        <w:t>102</w:t>
      </w:r>
      <w:r>
        <w:t xml:space="preserve"> По данным НОСЭП за соответствующие годы.</w:t>
      </w:r>
    </w:p>
  </w:footnote>
  <w:footnote w:id="106">
    <w:p w:rsidR="00000000" w:rsidRDefault="00000000">
      <w:pPr>
        <w:pStyle w:val="FootnoteText"/>
        <w:tabs>
          <w:tab w:val="clear" w:pos="418"/>
        </w:tabs>
        <w:suppressAutoHyphens w:val="0"/>
        <w:ind w:left="1080" w:right="1210" w:hanging="270"/>
        <w:jc w:val="both"/>
      </w:pPr>
      <w:r>
        <w:rPr>
          <w:sz w:val="11"/>
        </w:rPr>
        <w:t>103</w:t>
      </w:r>
      <w:r>
        <w:t xml:space="preserve"> В Чили возраст выхода на пенсию для женщин составляет 60 лет, для мужчин – 65 лет.</w:t>
      </w:r>
    </w:p>
  </w:footnote>
  <w:footnote w:id="107">
    <w:p w:rsidR="00000000" w:rsidRDefault="00000000">
      <w:pPr>
        <w:pStyle w:val="FootnoteText"/>
        <w:tabs>
          <w:tab w:val="clear" w:pos="418"/>
        </w:tabs>
        <w:suppressAutoHyphens w:val="0"/>
        <w:ind w:left="1080" w:right="1210" w:hanging="270"/>
        <w:jc w:val="both"/>
      </w:pPr>
      <w:r>
        <w:rPr>
          <w:sz w:val="11"/>
        </w:rPr>
        <w:t>104</w:t>
      </w:r>
      <w:r>
        <w:t xml:space="preserve"> </w:t>
      </w:r>
      <w:r>
        <w:rPr>
          <w:lang w:val="en-US"/>
        </w:rPr>
        <w:tab/>
      </w:r>
      <w:r>
        <w:t>НОСЭП, 1998.</w:t>
      </w:r>
    </w:p>
  </w:footnote>
  <w:footnote w:id="108">
    <w:p w:rsidR="00000000" w:rsidRDefault="00000000">
      <w:pPr>
        <w:pStyle w:val="FootnoteText"/>
        <w:tabs>
          <w:tab w:val="clear" w:pos="418"/>
        </w:tabs>
        <w:suppressAutoHyphens w:val="0"/>
        <w:ind w:left="1080" w:right="1210" w:hanging="270"/>
        <w:jc w:val="both"/>
      </w:pPr>
      <w:r>
        <w:rPr>
          <w:sz w:val="11"/>
        </w:rPr>
        <w:t>105</w:t>
      </w:r>
      <w:r>
        <w:t xml:space="preserve"> </w:t>
      </w:r>
      <w:r>
        <w:rPr>
          <w:lang w:val="en-US"/>
        </w:rPr>
        <w:tab/>
      </w:r>
      <w:r>
        <w:t>НОСЭП, 2000.</w:t>
      </w:r>
    </w:p>
  </w:footnote>
  <w:footnote w:id="109">
    <w:p w:rsidR="00000000" w:rsidRDefault="00000000">
      <w:pPr>
        <w:pStyle w:val="FootnoteText"/>
        <w:tabs>
          <w:tab w:val="clear" w:pos="418"/>
        </w:tabs>
        <w:suppressAutoHyphens w:val="0"/>
        <w:ind w:left="1080" w:right="1210" w:hanging="270"/>
        <w:jc w:val="both"/>
      </w:pPr>
      <w:r>
        <w:rPr>
          <w:sz w:val="11"/>
        </w:rPr>
        <w:t>106</w:t>
      </w:r>
      <w:r>
        <w:t xml:space="preserve"> </w:t>
      </w:r>
      <w:r>
        <w:rPr>
          <w:lang w:val="en-US"/>
        </w:rPr>
        <w:tab/>
      </w:r>
      <w:r>
        <w:t>НОСЭП, 2000.</w:t>
      </w:r>
    </w:p>
  </w:footnote>
  <w:footnote w:id="110">
    <w:p w:rsidR="00000000" w:rsidRDefault="00000000">
      <w:pPr>
        <w:pStyle w:val="FootnoteText"/>
        <w:tabs>
          <w:tab w:val="clear" w:pos="418"/>
        </w:tabs>
        <w:suppressAutoHyphens w:val="0"/>
        <w:ind w:left="1080" w:right="1210" w:hanging="270"/>
        <w:jc w:val="both"/>
      </w:pPr>
      <w:r>
        <w:rPr>
          <w:sz w:val="11"/>
        </w:rPr>
        <w:t>107</w:t>
      </w:r>
      <w:r>
        <w:t xml:space="preserve"> </w:t>
      </w:r>
      <w:r>
        <w:rPr>
          <w:lang w:val="en-US"/>
        </w:rPr>
        <w:tab/>
      </w:r>
      <w:r>
        <w:t>По данным Обзора уровня оплаты труда и стоимости найма рабочей силы. НУС – НУДЖ, 2002.</w:t>
      </w:r>
    </w:p>
  </w:footnote>
  <w:footnote w:id="111">
    <w:p w:rsidR="00000000" w:rsidRDefault="00000000">
      <w:pPr>
        <w:pStyle w:val="FootnoteText"/>
        <w:tabs>
          <w:tab w:val="clear" w:pos="418"/>
        </w:tabs>
        <w:suppressAutoHyphens w:val="0"/>
        <w:ind w:left="1080" w:right="1210" w:hanging="270"/>
        <w:jc w:val="both"/>
      </w:pPr>
      <w:r>
        <w:rPr>
          <w:sz w:val="11"/>
        </w:rPr>
        <w:t>108</w:t>
      </w:r>
      <w:r>
        <w:tab/>
        <w:t>Утверждено Законом 19.728, опубликованным в "Официальных ведомостях" 14 мая 2001 года.</w:t>
      </w:r>
    </w:p>
  </w:footnote>
  <w:footnote w:id="112">
    <w:p w:rsidR="00000000" w:rsidRDefault="00000000">
      <w:pPr>
        <w:pStyle w:val="FootnoteText"/>
        <w:tabs>
          <w:tab w:val="clear" w:pos="418"/>
        </w:tabs>
        <w:suppressAutoHyphens w:val="0"/>
        <w:ind w:left="1080" w:right="1210" w:hanging="270"/>
        <w:jc w:val="both"/>
      </w:pPr>
      <w:r>
        <w:rPr>
          <w:sz w:val="11"/>
        </w:rPr>
        <w:t>109</w:t>
      </w:r>
      <w:r>
        <w:tab/>
        <w:t xml:space="preserve">Ассоциация производителей фруктов (FEDEFRUTA), Ассоциация экспортеров фруктов (ASOEX), и Национальное сельскохозяйственное общество (SNA). </w:t>
      </w:r>
    </w:p>
  </w:footnote>
  <w:footnote w:id="113">
    <w:p w:rsidR="00000000" w:rsidRDefault="00000000">
      <w:pPr>
        <w:pStyle w:val="FootnoteText"/>
        <w:tabs>
          <w:tab w:val="clear" w:pos="418"/>
        </w:tabs>
        <w:suppressAutoHyphens w:val="0"/>
        <w:ind w:left="1080" w:right="1210" w:hanging="270"/>
        <w:jc w:val="both"/>
      </w:pPr>
      <w:r>
        <w:rPr>
          <w:sz w:val="11"/>
        </w:rPr>
        <w:t>110</w:t>
      </w:r>
      <w:r>
        <w:tab/>
        <w:t>Комиссия по вопросам гигиены труда, особенно значимая для женщин, занятых на сезонных работах, подготовила Программу помощи женщинам, занятым на сезонных работах, которая включает пять пунктов: контроль условий обеспечения гигиены труда; контроль применения пестицидов; медицинские освидетельствования; информирование о сопутствующих правах; профессиональную подготовку.</w:t>
      </w:r>
    </w:p>
  </w:footnote>
  <w:footnote w:id="114">
    <w:p w:rsidR="00000000" w:rsidRDefault="00000000">
      <w:pPr>
        <w:pStyle w:val="FootnoteText"/>
        <w:tabs>
          <w:tab w:val="clear" w:pos="418"/>
        </w:tabs>
        <w:suppressAutoHyphens w:val="0"/>
        <w:ind w:left="1080" w:right="1210" w:hanging="270"/>
        <w:jc w:val="both"/>
      </w:pPr>
      <w:r>
        <w:rPr>
          <w:sz w:val="11"/>
        </w:rPr>
        <w:t>111</w:t>
      </w:r>
      <w:r>
        <w:tab/>
        <w:t>Ратифицировано Чили 14 октября 1994 года.</w:t>
      </w:r>
    </w:p>
  </w:footnote>
  <w:footnote w:id="115">
    <w:p w:rsidR="00000000" w:rsidRDefault="00000000">
      <w:pPr>
        <w:pStyle w:val="FootnoteText"/>
        <w:tabs>
          <w:tab w:val="clear" w:pos="418"/>
        </w:tabs>
        <w:suppressAutoHyphens w:val="0"/>
        <w:ind w:left="1080" w:right="1210" w:hanging="270"/>
        <w:jc w:val="both"/>
      </w:pPr>
      <w:r>
        <w:rPr>
          <w:sz w:val="11"/>
        </w:rPr>
        <w:t>112</w:t>
      </w:r>
      <w:r>
        <w:tab/>
        <w:t>Включает создание моделей кодексов наилучшей практики в рамках двух крупных наци</w:t>
      </w:r>
      <w:r>
        <w:t>о</w:t>
      </w:r>
      <w:r>
        <w:t>нальных предприятий; проведение семинаров и совместной работы с Комитетом по ин</w:t>
      </w:r>
      <w:r>
        <w:t>о</w:t>
      </w:r>
      <w:r>
        <w:t>странным инвестициям, с Чилийско-Североамериканской торговой палатой и с Советом по предпринимательству, организацией, которая следит за проведением на предприятиях-участниках политики повышения социальной ответственности бизнеса.</w:t>
      </w:r>
    </w:p>
  </w:footnote>
  <w:footnote w:id="116">
    <w:p w:rsidR="00000000" w:rsidRDefault="00000000">
      <w:pPr>
        <w:pStyle w:val="FootnoteText"/>
        <w:tabs>
          <w:tab w:val="clear" w:pos="418"/>
        </w:tabs>
        <w:suppressAutoHyphens w:val="0"/>
        <w:ind w:left="1080" w:right="1210" w:hanging="270"/>
        <w:jc w:val="both"/>
      </w:pPr>
      <w:r>
        <w:rPr>
          <w:sz w:val="11"/>
        </w:rPr>
        <w:t>113</w:t>
      </w:r>
      <w:r>
        <w:t xml:space="preserve"> </w:t>
      </w:r>
      <w:r>
        <w:rPr>
          <w:lang w:val="en-US"/>
        </w:rPr>
        <w:tab/>
      </w:r>
      <w:r>
        <w:t>Проведено исследование, анализирующее расходы и доходы от реализации мер по согласов</w:t>
      </w:r>
      <w:r>
        <w:t>а</w:t>
      </w:r>
      <w:r>
        <w:t>нию трудовых и семейных обязанностей на пяти чилийских предприятиях.</w:t>
      </w:r>
    </w:p>
  </w:footnote>
  <w:footnote w:id="117">
    <w:p w:rsidR="00000000" w:rsidRDefault="00000000">
      <w:pPr>
        <w:pStyle w:val="FootnoteText"/>
        <w:tabs>
          <w:tab w:val="clear" w:pos="418"/>
        </w:tabs>
        <w:suppressAutoHyphens w:val="0"/>
        <w:ind w:left="1080" w:right="1210" w:hanging="270"/>
        <w:jc w:val="both"/>
      </w:pPr>
      <w:r>
        <w:rPr>
          <w:sz w:val="11"/>
        </w:rPr>
        <w:t>114</w:t>
      </w:r>
      <w:r>
        <w:tab/>
        <w:t>Стоимость составляет примерно 600 долларов США на одну женщину.</w:t>
      </w:r>
    </w:p>
  </w:footnote>
  <w:footnote w:id="118">
    <w:p w:rsidR="00000000" w:rsidRDefault="00000000">
      <w:pPr>
        <w:pStyle w:val="FootnoteText"/>
        <w:tabs>
          <w:tab w:val="clear" w:pos="418"/>
        </w:tabs>
        <w:suppressAutoHyphens w:val="0"/>
        <w:ind w:left="1080" w:right="1210" w:hanging="270"/>
        <w:jc w:val="both"/>
      </w:pPr>
      <w:r>
        <w:rPr>
          <w:sz w:val="11"/>
        </w:rPr>
        <w:t>115</w:t>
      </w:r>
      <w:r>
        <w:tab/>
        <w:t>Руководство по его применению содержится в Верховном декрете № 102 и было опубликов</w:t>
      </w:r>
      <w:r>
        <w:t>а</w:t>
      </w:r>
      <w:r>
        <w:t>но в “Официальном вестнике” 16 мая 2002 года.</w:t>
      </w:r>
    </w:p>
  </w:footnote>
  <w:footnote w:id="119">
    <w:p w:rsidR="00000000" w:rsidRDefault="00000000">
      <w:pPr>
        <w:pStyle w:val="FootnoteText"/>
        <w:tabs>
          <w:tab w:val="clear" w:pos="418"/>
        </w:tabs>
        <w:ind w:left="1080" w:right="1210" w:hanging="270"/>
        <w:jc w:val="both"/>
      </w:pPr>
      <w:r>
        <w:rPr>
          <w:rStyle w:val="FootnoteReference"/>
        </w:rPr>
        <w:t>116</w:t>
      </w:r>
      <w:r>
        <w:tab/>
        <w:t xml:space="preserve">Адрес сайта </w:t>
      </w:r>
      <w:r>
        <w:rPr>
          <w:lang w:val="en-US"/>
        </w:rPr>
        <w:t>www</w:t>
      </w:r>
      <w:r>
        <w:t>.</w:t>
      </w:r>
      <w:r>
        <w:rPr>
          <w:lang w:val="en-US"/>
        </w:rPr>
        <w:t>economia</w:t>
      </w:r>
      <w:r>
        <w:t>.</w:t>
      </w:r>
      <w:r>
        <w:rPr>
          <w:lang w:val="en-US"/>
        </w:rPr>
        <w:t>cl</w:t>
      </w:r>
    </w:p>
  </w:footnote>
  <w:footnote w:id="120">
    <w:p w:rsidR="00000000" w:rsidRDefault="00000000">
      <w:pPr>
        <w:pStyle w:val="FootnoteText"/>
        <w:tabs>
          <w:tab w:val="clear" w:pos="418"/>
        </w:tabs>
        <w:ind w:left="1080" w:right="1210" w:hanging="270"/>
        <w:jc w:val="both"/>
      </w:pPr>
      <w:r>
        <w:rPr>
          <w:rStyle w:val="FootnoteReference"/>
        </w:rPr>
        <w:t>117</w:t>
      </w:r>
      <w:r>
        <w:tab/>
        <w:t xml:space="preserve">Адрес сайта </w:t>
      </w:r>
      <w:r>
        <w:rPr>
          <w:lang w:val="en-US"/>
        </w:rPr>
        <w:t>www</w:t>
      </w:r>
      <w:r>
        <w:t>.</w:t>
      </w:r>
      <w:r>
        <w:rPr>
          <w:lang w:val="en-US"/>
        </w:rPr>
        <w:t>sitioempresa</w:t>
      </w:r>
      <w:r>
        <w:t>.</w:t>
      </w:r>
      <w:r>
        <w:rPr>
          <w:lang w:val="en-US"/>
        </w:rPr>
        <w:t>cl</w:t>
      </w:r>
    </w:p>
  </w:footnote>
  <w:footnote w:id="121">
    <w:p w:rsidR="00000000" w:rsidRDefault="00000000">
      <w:pPr>
        <w:pStyle w:val="FootnoteText"/>
        <w:tabs>
          <w:tab w:val="clear" w:pos="418"/>
        </w:tabs>
        <w:ind w:left="1080" w:right="1210" w:hanging="270"/>
        <w:jc w:val="both"/>
      </w:pPr>
      <w:r>
        <w:rPr>
          <w:rStyle w:val="FootnoteReference"/>
        </w:rPr>
        <w:t>118</w:t>
      </w:r>
      <w:r>
        <w:tab/>
        <w:t>В июле 1990 года был опубликован Закон № 18.989, учредивший эту децентрализованную  государственную службу, задача которой состоит в участии в усилиях страны по преодолению бедности путем обеспечения полного или частичного финансирования план, программ, проектов и специальных действий по социальному развитию.</w:t>
      </w:r>
    </w:p>
  </w:footnote>
  <w:footnote w:id="122">
    <w:p w:rsidR="00000000" w:rsidRDefault="00000000">
      <w:pPr>
        <w:pStyle w:val="FootnoteText"/>
        <w:tabs>
          <w:tab w:val="clear" w:pos="418"/>
        </w:tabs>
        <w:ind w:left="1080" w:right="1210" w:hanging="270"/>
        <w:jc w:val="both"/>
      </w:pPr>
      <w:r>
        <w:rPr>
          <w:rStyle w:val="FootnoteReference"/>
        </w:rPr>
        <w:t>119</w:t>
      </w:r>
      <w:r>
        <w:tab/>
        <w:t>Женщины составляли примерно 47,6 процента (по данным за 1998 год).</w:t>
      </w:r>
    </w:p>
  </w:footnote>
  <w:footnote w:id="123">
    <w:p w:rsidR="00000000" w:rsidRDefault="00000000">
      <w:pPr>
        <w:pStyle w:val="FootnoteText"/>
        <w:tabs>
          <w:tab w:val="clear" w:pos="418"/>
        </w:tabs>
        <w:ind w:left="1080" w:right="1210" w:hanging="270"/>
        <w:jc w:val="both"/>
      </w:pPr>
      <w:r>
        <w:rPr>
          <w:rStyle w:val="FootnoteReference"/>
        </w:rPr>
        <w:t>120</w:t>
      </w:r>
      <w:r>
        <w:tab/>
        <w:t xml:space="preserve">Согласованы следующие действия в этой области: </w:t>
      </w:r>
      <w:r>
        <w:rPr>
          <w:lang w:val="en-US"/>
        </w:rPr>
        <w:t>a</w:t>
      </w:r>
      <w:r>
        <w:t>)</w:t>
      </w:r>
      <w:r>
        <w:rPr>
          <w:lang w:val="en-US"/>
        </w:rPr>
        <w:t> </w:t>
      </w:r>
      <w:r>
        <w:t>координация усилий с корпоративными и предпринимательскими учреждениями и направлении средств, полученных от налоговых льгот в виде денежных остатков за прошедший финансовый год, на выплату социальных стипендий для трудовой профессиональной подготовки женщин</w:t>
      </w:r>
      <w:r>
        <w:rPr>
          <w:sz w:val="28"/>
        </w:rPr>
        <w:t>–</w:t>
      </w:r>
      <w:r>
        <w:t xml:space="preserve">предпринимательниц на уровне микропредприятий; </w:t>
      </w:r>
      <w:r>
        <w:rPr>
          <w:lang w:val="en-US"/>
        </w:rPr>
        <w:t>b</w:t>
      </w:r>
      <w:r>
        <w:t>)</w:t>
      </w:r>
      <w:r>
        <w:rPr>
          <w:lang w:val="en-US"/>
        </w:rPr>
        <w:t> </w:t>
      </w:r>
      <w:r>
        <w:t xml:space="preserve">разработка соглашения о направлении денежных остатков за прошедший финансовый год в государственных и других учреждениях на финансирование учебных курсов для женщин; и </w:t>
      </w:r>
      <w:r>
        <w:rPr>
          <w:lang w:val="en-US"/>
        </w:rPr>
        <w:t>c</w:t>
      </w:r>
      <w:r>
        <w:t>)</w:t>
      </w:r>
      <w:r>
        <w:rPr>
          <w:lang w:val="en-US"/>
        </w:rPr>
        <w:t> </w:t>
      </w:r>
      <w:r>
        <w:t>координация действий по увеличению охвата женщин</w:t>
      </w:r>
      <w:r>
        <w:rPr>
          <w:sz w:val="28"/>
        </w:rPr>
        <w:t>–</w:t>
      </w:r>
      <w:r>
        <w:t>предпринимательниц программами по предоставлению налоговых льгот.</w:t>
      </w:r>
    </w:p>
  </w:footnote>
  <w:footnote w:id="124">
    <w:p w:rsidR="00000000" w:rsidRDefault="00000000">
      <w:pPr>
        <w:pStyle w:val="FootnoteText"/>
        <w:tabs>
          <w:tab w:val="clear" w:pos="418"/>
        </w:tabs>
        <w:ind w:left="1080" w:right="1210" w:hanging="270"/>
        <w:jc w:val="both"/>
      </w:pPr>
      <w:r>
        <w:rPr>
          <w:rStyle w:val="FootnoteReference"/>
        </w:rPr>
        <w:t>121</w:t>
      </w:r>
      <w:r>
        <w:tab/>
        <w:t xml:space="preserve">От бывшей Службы социального страхования, от бывшей Страховой кассы Национального торгового флота – секция </w:t>
      </w:r>
      <w:r>
        <w:rPr>
          <w:lang w:val="en-US"/>
        </w:rPr>
        <w:t>ТРИОМАР</w:t>
      </w:r>
      <w:r>
        <w:t xml:space="preserve"> (судовые экипажи и морские операторы) и от бывшей Кассы социального страхования для отставников сил специального назначения.</w:t>
      </w:r>
    </w:p>
  </w:footnote>
  <w:footnote w:id="125">
    <w:p w:rsidR="00000000" w:rsidRDefault="00000000">
      <w:pPr>
        <w:pStyle w:val="FootnoteText"/>
        <w:tabs>
          <w:tab w:val="clear" w:pos="418"/>
        </w:tabs>
        <w:ind w:left="1080" w:right="1210" w:hanging="270"/>
        <w:jc w:val="both"/>
      </w:pPr>
      <w:r>
        <w:rPr>
          <w:rStyle w:val="FootnoteReference"/>
        </w:rPr>
        <w:t>122</w:t>
      </w:r>
      <w:r>
        <w:tab/>
        <w:t>Исследование, озаглавленное “</w:t>
      </w:r>
      <w:r>
        <w:rPr>
          <w:caps/>
        </w:rPr>
        <w:t>з</w:t>
      </w:r>
      <w:r>
        <w:t>адолженность физических лиц перед кредитно</w:t>
      </w:r>
      <w:r>
        <w:rPr>
          <w:sz w:val="28"/>
        </w:rPr>
        <w:t>–</w:t>
      </w:r>
      <w:r>
        <w:t>финансовыми учреждениями” (за 2002 год), было проведено Главным управлением банков и кредитно</w:t>
      </w:r>
      <w:r>
        <w:rPr>
          <w:sz w:val="28"/>
        </w:rPr>
        <w:t>–</w:t>
      </w:r>
      <w:r>
        <w:t xml:space="preserve">финансовых учреждений. Оно охватило 1 809 537 физических лиц, что составляет 80 процентов от общего числа мужчин и женщин, зарегистрированных в национальной банковской системе. </w:t>
      </w:r>
    </w:p>
  </w:footnote>
  <w:footnote w:id="126">
    <w:p w:rsidR="00000000" w:rsidRDefault="00000000">
      <w:pPr>
        <w:pStyle w:val="FootnoteText"/>
        <w:tabs>
          <w:tab w:val="clear" w:pos="418"/>
        </w:tabs>
        <w:ind w:left="1080" w:right="1210" w:hanging="270"/>
        <w:jc w:val="both"/>
      </w:pPr>
      <w:r>
        <w:rPr>
          <w:rStyle w:val="FootnoteReference"/>
        </w:rPr>
        <w:t>123</w:t>
      </w:r>
      <w:r>
        <w:tab/>
        <w:t>36 процентов должников</w:t>
      </w:r>
      <w:r>
        <w:rPr>
          <w:sz w:val="28"/>
        </w:rPr>
        <w:t>–</w:t>
      </w:r>
      <w:r>
        <w:t>мужчин имеют задолженность коммерческого типа (связанную с производственной деятельностью), в то время как такая задолженность наблюдается только у 24 процентов должников</w:t>
      </w:r>
      <w:r>
        <w:rPr>
          <w:sz w:val="28"/>
        </w:rPr>
        <w:t>–</w:t>
      </w:r>
      <w:r>
        <w:t>женщин. 53 процента от общего числа должников</w:t>
      </w:r>
      <w:r>
        <w:rPr>
          <w:sz w:val="28"/>
        </w:rPr>
        <w:t>–</w:t>
      </w:r>
      <w:r>
        <w:t>женщин и 45 процентов должников</w:t>
      </w:r>
      <w:r>
        <w:rPr>
          <w:sz w:val="28"/>
        </w:rPr>
        <w:t>–</w:t>
      </w:r>
      <w:r>
        <w:t>мужчин имеют задолженность по ссудам под недвижимость.</w:t>
      </w:r>
    </w:p>
  </w:footnote>
  <w:footnote w:id="127">
    <w:p w:rsidR="00000000" w:rsidRDefault="00000000">
      <w:pPr>
        <w:pStyle w:val="FootnoteText"/>
        <w:tabs>
          <w:tab w:val="clear" w:pos="418"/>
        </w:tabs>
        <w:ind w:left="1080" w:right="1210" w:hanging="270"/>
        <w:jc w:val="both"/>
      </w:pPr>
      <w:r>
        <w:rPr>
          <w:rStyle w:val="FootnoteReference"/>
        </w:rPr>
        <w:t>124</w:t>
      </w:r>
      <w:r>
        <w:tab/>
        <w:t>У 4,2 процента женщин и 4,8 процента мужчин, имеющих задолженность коммерческого типа, истекли сроки погашения. В то же время только у 0,8 процента женщин и 0,9 процента мужчин, имеющих задолженность по ссудам под недвижимость, истекли сроки погашения.</w:t>
      </w:r>
    </w:p>
  </w:footnote>
  <w:footnote w:id="128">
    <w:p w:rsidR="00000000" w:rsidRDefault="00000000">
      <w:pPr>
        <w:pStyle w:val="FootnoteText"/>
        <w:tabs>
          <w:tab w:val="clear" w:pos="418"/>
        </w:tabs>
        <w:ind w:left="1080" w:right="1210" w:hanging="270"/>
        <w:jc w:val="both"/>
        <w:rPr>
          <w:lang w:val="en-US"/>
        </w:rPr>
      </w:pPr>
      <w:r>
        <w:rPr>
          <w:rStyle w:val="FootnoteReference"/>
        </w:rPr>
        <w:t>125</w:t>
      </w:r>
      <w:r>
        <w:tab/>
        <w:t xml:space="preserve">“Чилийские женщины: статистика для нового века”. </w:t>
      </w:r>
      <w:r>
        <w:rPr>
          <w:lang w:val="en-US"/>
        </w:rPr>
        <w:t>ИНЕ – СЕРНАМ, 2001 </w:t>
      </w:r>
      <w:r>
        <w:t>год</w:t>
      </w:r>
      <w:r>
        <w:rPr>
          <w:lang w:val="en-US"/>
        </w:rPr>
        <w:t>.</w:t>
      </w:r>
    </w:p>
  </w:footnote>
  <w:footnote w:id="129">
    <w:p w:rsidR="00000000" w:rsidRDefault="00000000">
      <w:pPr>
        <w:pStyle w:val="FootnoteText"/>
        <w:tabs>
          <w:tab w:val="clear" w:pos="418"/>
        </w:tabs>
        <w:ind w:left="1080" w:right="1210" w:hanging="270"/>
        <w:jc w:val="both"/>
      </w:pPr>
      <w:r>
        <w:rPr>
          <w:rStyle w:val="FootnoteReference"/>
        </w:rPr>
        <w:t>126</w:t>
      </w:r>
      <w:r>
        <w:tab/>
        <w:t xml:space="preserve">С использованием налоговых льгот по линии </w:t>
      </w:r>
      <w:r>
        <w:rPr>
          <w:lang w:val="en-US"/>
        </w:rPr>
        <w:t>СЕНСЕ</w:t>
      </w:r>
      <w:r>
        <w:t>, когда предусматривается нулевая стоимость для клиента.</w:t>
      </w:r>
    </w:p>
  </w:footnote>
  <w:footnote w:id="130">
    <w:p w:rsidR="00000000" w:rsidRDefault="00000000">
      <w:pPr>
        <w:pStyle w:val="FootnoteText"/>
        <w:tabs>
          <w:tab w:val="clear" w:pos="418"/>
        </w:tabs>
        <w:ind w:left="1080" w:right="1210" w:hanging="270"/>
        <w:jc w:val="both"/>
      </w:pPr>
      <w:r>
        <w:rPr>
          <w:rStyle w:val="FootnoteReference"/>
        </w:rPr>
        <w:t>127</w:t>
      </w:r>
      <w:r>
        <w:tab/>
      </w:r>
      <w:r>
        <w:rPr>
          <w:lang w:val="en-US"/>
        </w:rPr>
        <w:t>БАНЕФЕ</w:t>
      </w:r>
      <w:r>
        <w:t xml:space="preserve">, Государственный банк и </w:t>
      </w:r>
      <w:r>
        <w:rPr>
          <w:lang w:val="en-US"/>
        </w:rPr>
        <w:t>ФИНАМ</w:t>
      </w:r>
      <w:r>
        <w:t>.</w:t>
      </w:r>
    </w:p>
  </w:footnote>
  <w:footnote w:id="131">
    <w:p w:rsidR="00000000" w:rsidRDefault="00000000">
      <w:pPr>
        <w:pStyle w:val="FootnoteText"/>
        <w:tabs>
          <w:tab w:val="clear" w:pos="418"/>
        </w:tabs>
        <w:ind w:left="1080" w:right="1210" w:hanging="270"/>
        <w:jc w:val="both"/>
      </w:pPr>
      <w:r>
        <w:rPr>
          <w:rStyle w:val="FootnoteReference"/>
        </w:rPr>
        <w:t>128</w:t>
      </w:r>
      <w:r>
        <w:tab/>
        <w:t>Законодательные предложения, упоминающиеся в этом разделе, были рассмотрены в разделе “Равноправие перед законом”.</w:t>
      </w:r>
    </w:p>
  </w:footnote>
  <w:footnote w:id="132">
    <w:p w:rsidR="00000000" w:rsidRDefault="00000000">
      <w:pPr>
        <w:pStyle w:val="FootnoteText"/>
        <w:tabs>
          <w:tab w:val="clear" w:pos="418"/>
        </w:tabs>
        <w:ind w:left="1080" w:right="1210" w:hanging="270"/>
        <w:jc w:val="both"/>
      </w:pPr>
      <w:r>
        <w:rPr>
          <w:rStyle w:val="FootnoteReference"/>
        </w:rPr>
        <w:t>129</w:t>
      </w:r>
      <w:r>
        <w:tab/>
        <w:t>Опубликован в “Официальном вестнике” 9 ноября 1998 года.</w:t>
      </w:r>
    </w:p>
  </w:footnote>
  <w:footnote w:id="133">
    <w:p w:rsidR="00000000" w:rsidRDefault="00000000">
      <w:pPr>
        <w:pStyle w:val="FootnoteText"/>
        <w:tabs>
          <w:tab w:val="clear" w:pos="418"/>
        </w:tabs>
        <w:ind w:left="1080" w:right="1210" w:hanging="270"/>
        <w:jc w:val="both"/>
      </w:pPr>
      <w:r>
        <w:rPr>
          <w:rStyle w:val="FootnoteReference"/>
        </w:rPr>
        <w:t>130</w:t>
      </w:r>
      <w:r>
        <w:tab/>
        <w:t>Парламентское предложение, выдвинутое 23 ноября 1995 года. Этап рассмотрения: принято Палатой депутатов. Находится на втором этапе конституционного рассмотрения в Комиссии по труду и социальному страхованию Сената.</w:t>
      </w:r>
    </w:p>
  </w:footnote>
  <w:footnote w:id="134">
    <w:p w:rsidR="00000000" w:rsidRDefault="00000000">
      <w:pPr>
        <w:pStyle w:val="FootnoteText"/>
        <w:tabs>
          <w:tab w:val="clear" w:pos="418"/>
        </w:tabs>
        <w:ind w:left="1080" w:right="1210" w:hanging="270"/>
        <w:jc w:val="both"/>
      </w:pPr>
      <w:r>
        <w:rPr>
          <w:rStyle w:val="FootnoteReference"/>
        </w:rPr>
        <w:t>131</w:t>
      </w:r>
      <w:r>
        <w:tab/>
        <w:t>Источник: Министерство образования, Краткий статистический справочник за 1998, 1999 и 2000 годы.</w:t>
      </w:r>
    </w:p>
  </w:footnote>
  <w:footnote w:id="135">
    <w:p w:rsidR="00000000" w:rsidRDefault="00000000">
      <w:pPr>
        <w:pStyle w:val="FootnoteText"/>
        <w:tabs>
          <w:tab w:val="clear" w:pos="418"/>
        </w:tabs>
        <w:ind w:left="1080" w:right="1210" w:hanging="270"/>
        <w:jc w:val="both"/>
      </w:pPr>
      <w:r>
        <w:rPr>
          <w:rStyle w:val="FootnoteReference"/>
        </w:rPr>
        <w:t>132</w:t>
      </w:r>
      <w:r>
        <w:tab/>
        <w:t>“Чилийские женщины: статистика для нового века”. 2001 год. Имеются частные детские сады, но отсутствует соответствующая статистическая информация.</w:t>
      </w:r>
    </w:p>
  </w:footnote>
  <w:footnote w:id="136">
    <w:p w:rsidR="00000000" w:rsidRDefault="00000000">
      <w:pPr>
        <w:pStyle w:val="FootnoteText"/>
        <w:tabs>
          <w:tab w:val="clear" w:pos="418"/>
        </w:tabs>
        <w:ind w:left="1080" w:right="1210" w:hanging="270"/>
        <w:jc w:val="both"/>
      </w:pPr>
      <w:r>
        <w:rPr>
          <w:rStyle w:val="FootnoteReference"/>
        </w:rPr>
        <w:t>133</w:t>
      </w:r>
      <w:r>
        <w:tab/>
        <w:t>Этот экспериментальный проект осуществляется в пяти муниципальных округах в четырех областях страны.</w:t>
      </w:r>
    </w:p>
  </w:footnote>
  <w:footnote w:id="137">
    <w:p w:rsidR="00000000" w:rsidRDefault="00000000">
      <w:pPr>
        <w:pStyle w:val="FootnoteText"/>
        <w:tabs>
          <w:tab w:val="clear" w:pos="418"/>
        </w:tabs>
        <w:ind w:left="1080" w:hanging="270"/>
        <w:jc w:val="both"/>
      </w:pPr>
      <w:r>
        <w:rPr>
          <w:rStyle w:val="FootnoteReference"/>
        </w:rPr>
        <w:t>134</w:t>
      </w:r>
      <w:r>
        <w:t> </w:t>
      </w:r>
      <w:r>
        <w:rPr>
          <w:lang w:val="en-US"/>
        </w:rPr>
        <w:t>КАСЕН</w:t>
      </w:r>
      <w:r>
        <w:t xml:space="preserve"> за 2000 год.</w:t>
      </w:r>
    </w:p>
  </w:footnote>
  <w:footnote w:id="138">
    <w:p w:rsidR="00000000" w:rsidRDefault="00000000">
      <w:pPr>
        <w:pStyle w:val="FootnoteText"/>
        <w:tabs>
          <w:tab w:val="clear" w:pos="418"/>
        </w:tabs>
        <w:ind w:left="1080" w:hanging="270"/>
        <w:jc w:val="both"/>
      </w:pPr>
      <w:r>
        <w:rPr>
          <w:rStyle w:val="FootnoteReference"/>
        </w:rPr>
        <w:t>135</w:t>
      </w:r>
      <w:r>
        <w:t> </w:t>
      </w:r>
      <w:r>
        <w:rPr>
          <w:lang w:val="en-US"/>
        </w:rPr>
        <w:t>КАСЕН</w:t>
      </w:r>
      <w:r>
        <w:t xml:space="preserve"> за соответствующие годы.</w:t>
      </w:r>
    </w:p>
  </w:footnote>
  <w:footnote w:id="139">
    <w:p w:rsidR="00000000" w:rsidRDefault="00000000">
      <w:pPr>
        <w:pStyle w:val="FootnoteText"/>
        <w:tabs>
          <w:tab w:val="clear" w:pos="418"/>
        </w:tabs>
        <w:ind w:left="1080" w:hanging="270"/>
        <w:jc w:val="both"/>
      </w:pPr>
      <w:r>
        <w:rPr>
          <w:rStyle w:val="FootnoteReference"/>
        </w:rPr>
        <w:t>136</w:t>
      </w:r>
      <w:r>
        <w:t> Министерство здравоохранения. Отдел медицинской статистики и информации.</w:t>
      </w:r>
    </w:p>
  </w:footnote>
  <w:footnote w:id="140">
    <w:p w:rsidR="00000000" w:rsidRDefault="00000000">
      <w:pPr>
        <w:pStyle w:val="FootnoteText"/>
        <w:tabs>
          <w:tab w:val="clear" w:pos="418"/>
        </w:tabs>
        <w:ind w:left="1080" w:right="1210" w:hanging="270"/>
        <w:jc w:val="both"/>
      </w:pPr>
      <w:r>
        <w:rPr>
          <w:rStyle w:val="FootnoteReference"/>
        </w:rPr>
        <w:t>137</w:t>
      </w:r>
      <w:r>
        <w:tab/>
      </w:r>
      <w:r>
        <w:rPr>
          <w:lang w:val="en-US"/>
        </w:rPr>
        <w:t>КАСЕН</w:t>
      </w:r>
      <w:r>
        <w:t xml:space="preserve"> за 2000 год.</w:t>
      </w:r>
    </w:p>
  </w:footnote>
  <w:footnote w:id="141">
    <w:p w:rsidR="00000000" w:rsidRDefault="00000000">
      <w:pPr>
        <w:pStyle w:val="FootnoteText"/>
        <w:tabs>
          <w:tab w:val="clear" w:pos="418"/>
        </w:tabs>
        <w:ind w:left="1080" w:right="1210" w:hanging="270"/>
        <w:jc w:val="both"/>
      </w:pPr>
      <w:r>
        <w:rPr>
          <w:rStyle w:val="FootnoteReference"/>
        </w:rPr>
        <w:t>138</w:t>
      </w:r>
      <w:r>
        <w:tab/>
        <w:t xml:space="preserve">Под совместными платежами подразумевается, что бенефициар, мужчина или женщина, платит некую долю, а система здравоохранения оплачивает остальную часть. </w:t>
      </w:r>
    </w:p>
  </w:footnote>
  <w:footnote w:id="142">
    <w:p w:rsidR="00000000" w:rsidRDefault="00000000">
      <w:pPr>
        <w:pStyle w:val="FootnoteText"/>
        <w:tabs>
          <w:tab w:val="clear" w:pos="418"/>
        </w:tabs>
        <w:ind w:left="1080" w:right="1210" w:hanging="270"/>
        <w:jc w:val="both"/>
      </w:pPr>
      <w:r>
        <w:rPr>
          <w:rStyle w:val="FootnoteReference"/>
        </w:rPr>
        <w:t>139</w:t>
      </w:r>
      <w:r>
        <w:tab/>
        <w:t>Например: Гарантируется комплексное обследование не позднее, чем через месяц после вынесения диагноза, для рака шейки матки и рака груди; пациенты имеют право на болеутоляющее лечение в случае смертельной раковой болезни и на применение программ по облегчению боли, которые должны быть начаты не позднее, чем через 15 дней после вынесения соответствующего диагноза. Беременные, инфицированные ВИЧ и больные СПИДом с показаниями к антиретровирусному лечению имеют право на лечение, соответствующее их клиническому состоянию; обследование проводится не позднее, чем через 7 дней после получения запроса и осуществляется бесплатно для детей и беременных и на условиях совместного платежа для взрослых мужчин и женщин с долей оплаты от 0 процентов до 20 процентов, в зависимости от семейного дохода. Всем беременным гарантируется профессиональное обслуживание родов с применением анестезии или наркоза (по желанию) с правом присутствия отца ребенка или другого родственника.</w:t>
      </w:r>
    </w:p>
  </w:footnote>
  <w:footnote w:id="143">
    <w:p w:rsidR="00000000" w:rsidRDefault="00000000">
      <w:pPr>
        <w:pStyle w:val="FootnoteText"/>
        <w:tabs>
          <w:tab w:val="clear" w:pos="418"/>
        </w:tabs>
        <w:ind w:left="1080" w:right="1210" w:hanging="270"/>
        <w:jc w:val="both"/>
      </w:pPr>
      <w:r>
        <w:rPr>
          <w:rStyle w:val="FootnoteReference"/>
        </w:rPr>
        <w:t>140</w:t>
      </w:r>
      <w:r>
        <w:tab/>
        <w:t xml:space="preserve">Эта цена – под названием Всеобщий страховой взнос – назначается каждые три года с учетом технического анализа результатов деятельности страховых агентств, в результате которого определяется средняя стоимость Режима гарантий по охране здоровья для всех бенефициаров, как </w:t>
      </w:r>
      <w:r>
        <w:rPr>
          <w:lang w:val="en-US"/>
        </w:rPr>
        <w:t>ФОНАСА</w:t>
      </w:r>
      <w:r>
        <w:t xml:space="preserve">, так и </w:t>
      </w:r>
      <w:r>
        <w:rPr>
          <w:lang w:val="en-US"/>
        </w:rPr>
        <w:t>ИСАПРЕС</w:t>
      </w:r>
      <w:r>
        <w:t>.</w:t>
      </w:r>
    </w:p>
  </w:footnote>
  <w:footnote w:id="144">
    <w:p w:rsidR="00000000" w:rsidRDefault="00000000">
      <w:pPr>
        <w:pStyle w:val="FootnoteText"/>
        <w:tabs>
          <w:tab w:val="clear" w:pos="418"/>
        </w:tabs>
        <w:ind w:left="1080" w:right="1210" w:hanging="270"/>
        <w:jc w:val="both"/>
      </w:pPr>
      <w:r>
        <w:rPr>
          <w:rStyle w:val="FootnoteReference"/>
        </w:rPr>
        <w:t>141</w:t>
      </w:r>
      <w:r>
        <w:tab/>
        <w:t xml:space="preserve">Эта солидарность будет задействована через Солидарный компенсационный фонд, в который отчисляют взносы все клиенты </w:t>
      </w:r>
      <w:r>
        <w:rPr>
          <w:lang w:val="en-US"/>
        </w:rPr>
        <w:t>ИСАПРЕС</w:t>
      </w:r>
      <w:r>
        <w:t xml:space="preserve"> и </w:t>
      </w:r>
      <w:r>
        <w:rPr>
          <w:lang w:val="en-US"/>
        </w:rPr>
        <w:t>ФОНАСА</w:t>
      </w:r>
      <w:r>
        <w:t>. Фонд под управлением Министерства здравоохранения соберет сумму, эквивалентную средней цене (Всеобщему страховому взносу) Режима гарантий по охране здоровья на каждого бенефициара, и перечислит эти средства различным учреждениям в зависимости от потребностей их клиентов.</w:t>
      </w:r>
    </w:p>
  </w:footnote>
  <w:footnote w:id="145">
    <w:p w:rsidR="00000000" w:rsidRDefault="00000000">
      <w:pPr>
        <w:pStyle w:val="FootnoteText"/>
        <w:tabs>
          <w:tab w:val="clear" w:pos="418"/>
        </w:tabs>
        <w:ind w:left="1080" w:right="1210" w:hanging="295"/>
        <w:jc w:val="both"/>
      </w:pPr>
      <w:r>
        <w:rPr>
          <w:rStyle w:val="FootnoteReference"/>
        </w:rPr>
        <w:t>142</w:t>
      </w:r>
      <w:r>
        <w:tab/>
        <w:t xml:space="preserve">Такие, как </w:t>
      </w:r>
      <w:r>
        <w:rPr>
          <w:caps/>
        </w:rPr>
        <w:t>ф</w:t>
      </w:r>
      <w:r>
        <w:t>орум “Сеть здравоохранения и половые и репродуктивные права”, Сеть женщин Латинской Америки и Карибского бассейна по вопросам охраны здоровья, Чилийский институт репродуктивной медицины, Латиноамериканский факультет общественных наук (</w:t>
      </w:r>
      <w:r>
        <w:rPr>
          <w:lang w:val="en-US"/>
        </w:rPr>
        <w:t>ФЛАКСО</w:t>
      </w:r>
      <w:r>
        <w:t>), Чилийский университет, Фонд содействия развитию женщин (</w:t>
      </w:r>
      <w:r>
        <w:rPr>
          <w:lang w:val="en-US"/>
        </w:rPr>
        <w:t>ПРОДЕМУ</w:t>
      </w:r>
      <w:r>
        <w:t>).</w:t>
      </w:r>
    </w:p>
  </w:footnote>
  <w:footnote w:id="146">
    <w:p w:rsidR="00000000" w:rsidRDefault="00000000">
      <w:pPr>
        <w:pStyle w:val="FootnoteText"/>
        <w:tabs>
          <w:tab w:val="clear" w:pos="418"/>
        </w:tabs>
        <w:ind w:left="1080" w:right="1210" w:hanging="295"/>
        <w:jc w:val="both"/>
        <w:rPr>
          <w:lang w:val="en-US"/>
        </w:rPr>
      </w:pPr>
      <w:r>
        <w:rPr>
          <w:rStyle w:val="FootnoteReference"/>
          <w:lang w:val="en-US"/>
        </w:rPr>
        <w:t>143</w:t>
      </w:r>
      <w:r>
        <w:rPr>
          <w:lang w:val="en-US"/>
        </w:rPr>
        <w:tab/>
      </w:r>
      <w:r>
        <w:t>Источник</w:t>
      </w:r>
      <w:r>
        <w:rPr>
          <w:lang w:val="en-US"/>
        </w:rPr>
        <w:t xml:space="preserve">: The Tobacco Epidemic: Global Public Health Emergency. </w:t>
      </w:r>
      <w:r>
        <w:t>ВОЗ</w:t>
      </w:r>
      <w:r>
        <w:rPr>
          <w:lang w:val="en-US"/>
        </w:rPr>
        <w:t>, 1996 </w:t>
      </w:r>
      <w:r>
        <w:t>год</w:t>
      </w:r>
      <w:r>
        <w:rPr>
          <w:lang w:val="en-US"/>
        </w:rPr>
        <w:t>.</w:t>
      </w:r>
    </w:p>
  </w:footnote>
  <w:footnote w:id="147">
    <w:p w:rsidR="00000000" w:rsidRDefault="00000000">
      <w:pPr>
        <w:pStyle w:val="FootnoteText"/>
        <w:tabs>
          <w:tab w:val="clear" w:pos="418"/>
        </w:tabs>
        <w:ind w:left="1080" w:right="1210" w:hanging="270"/>
        <w:jc w:val="both"/>
      </w:pPr>
      <w:r>
        <w:rPr>
          <w:rStyle w:val="FootnoteReference"/>
        </w:rPr>
        <w:t>144</w:t>
      </w:r>
      <w:r>
        <w:tab/>
        <w:t>Источник: Управление социологических исследований Католического университета Чили (</w:t>
      </w:r>
      <w:r>
        <w:rPr>
          <w:lang w:val="en-US"/>
        </w:rPr>
        <w:t>ДЕСУК</w:t>
      </w:r>
      <w:r>
        <w:t xml:space="preserve">), для </w:t>
      </w:r>
      <w:r>
        <w:rPr>
          <w:lang w:val="en-US"/>
        </w:rPr>
        <w:t>КОНАCE</w:t>
      </w:r>
      <w:r>
        <w:t>. “Четвертое национальное исследование потребления наркотиков в Чили”, Сантьяго, 2001 год.</w:t>
      </w:r>
    </w:p>
  </w:footnote>
  <w:footnote w:id="148">
    <w:p w:rsidR="00000000" w:rsidRDefault="00000000">
      <w:pPr>
        <w:pStyle w:val="FootnoteText"/>
        <w:tabs>
          <w:tab w:val="clear" w:pos="418"/>
        </w:tabs>
        <w:ind w:left="1080" w:right="1210" w:hanging="270"/>
        <w:jc w:val="both"/>
      </w:pPr>
      <w:r>
        <w:rPr>
          <w:rStyle w:val="FootnoteReference"/>
        </w:rPr>
        <w:t>145</w:t>
      </w:r>
      <w:r>
        <w:tab/>
        <w:t>Опрос было проведен в сентябре 2002 года среди 800 мужчин и женщин в возрасте от 15 до 24 лет.</w:t>
      </w:r>
    </w:p>
  </w:footnote>
  <w:footnote w:id="149">
    <w:p w:rsidR="00000000" w:rsidRDefault="00000000">
      <w:pPr>
        <w:pStyle w:val="FootnoteText"/>
        <w:tabs>
          <w:tab w:val="clear" w:pos="418"/>
        </w:tabs>
        <w:ind w:left="1080" w:right="1210" w:hanging="270"/>
        <w:jc w:val="both"/>
      </w:pPr>
      <w:r>
        <w:rPr>
          <w:rStyle w:val="FootnoteReference"/>
        </w:rPr>
        <w:t>146</w:t>
      </w:r>
      <w:r>
        <w:tab/>
        <w:t xml:space="preserve">“Простые женщины и перевозки наркотиков минимальными партиями: экспериментальное исследование”. </w:t>
      </w:r>
      <w:r>
        <w:rPr>
          <w:lang w:val="en-US"/>
        </w:rPr>
        <w:t>КОНАСE</w:t>
      </w:r>
      <w:r>
        <w:t>, 2001 год.</w:t>
      </w:r>
    </w:p>
  </w:footnote>
  <w:footnote w:id="150">
    <w:p w:rsidR="00000000" w:rsidRDefault="00000000">
      <w:pPr>
        <w:pStyle w:val="FootnoteText"/>
        <w:tabs>
          <w:tab w:val="clear" w:pos="418"/>
        </w:tabs>
        <w:ind w:left="1080" w:hanging="270"/>
        <w:jc w:val="both"/>
      </w:pPr>
      <w:r>
        <w:rPr>
          <w:rStyle w:val="FootnoteReference"/>
        </w:rPr>
        <w:t>147</w:t>
      </w:r>
      <w:r>
        <w:t xml:space="preserve"> Фонд солидарности и социального обеспечения, </w:t>
      </w:r>
      <w:r>
        <w:rPr>
          <w:lang w:val="en-US"/>
        </w:rPr>
        <w:t>КОНАСE</w:t>
      </w:r>
      <w:r>
        <w:t>, муниципалитеты и т.д.</w:t>
      </w:r>
    </w:p>
  </w:footnote>
  <w:footnote w:id="151">
    <w:p w:rsidR="00000000" w:rsidRDefault="00000000">
      <w:pPr>
        <w:pStyle w:val="FootnoteText"/>
        <w:tabs>
          <w:tab w:val="clear" w:pos="418"/>
        </w:tabs>
        <w:ind w:left="1080" w:hanging="270"/>
        <w:jc w:val="both"/>
      </w:pPr>
      <w:r>
        <w:rPr>
          <w:rStyle w:val="FootnoteReference"/>
        </w:rPr>
        <w:t>148</w:t>
      </w:r>
      <w:r>
        <w:t xml:space="preserve"> Статистика </w:t>
      </w:r>
      <w:r>
        <w:rPr>
          <w:lang w:val="en-US"/>
        </w:rPr>
        <w:t>ИНД</w:t>
      </w:r>
      <w:r>
        <w:t xml:space="preserve"> за 2002 год.</w:t>
      </w:r>
    </w:p>
  </w:footnote>
  <w:footnote w:id="152">
    <w:p w:rsidR="00000000" w:rsidRDefault="00000000">
      <w:pPr>
        <w:pStyle w:val="FootnoteText"/>
        <w:tabs>
          <w:tab w:val="clear" w:pos="418"/>
        </w:tabs>
        <w:ind w:left="1080" w:hanging="270"/>
        <w:jc w:val="both"/>
      </w:pPr>
      <w:r>
        <w:rPr>
          <w:rStyle w:val="FootnoteReference"/>
        </w:rPr>
        <w:t>149</w:t>
      </w:r>
      <w:r>
        <w:t> </w:t>
      </w:r>
      <w:r>
        <w:rPr>
          <w:lang w:val="en-US"/>
        </w:rPr>
        <w:t>Idem.</w:t>
      </w:r>
    </w:p>
  </w:footnote>
  <w:footnote w:id="153">
    <w:p w:rsidR="00000000" w:rsidRDefault="00000000">
      <w:pPr>
        <w:pStyle w:val="FootnoteText"/>
        <w:tabs>
          <w:tab w:val="clear" w:pos="418"/>
        </w:tabs>
        <w:ind w:left="1080" w:hanging="270"/>
        <w:jc w:val="both"/>
      </w:pPr>
      <w:r>
        <w:rPr>
          <w:rStyle w:val="FootnoteReference"/>
        </w:rPr>
        <w:t>150</w:t>
      </w:r>
      <w:r>
        <w:t> </w:t>
      </w:r>
      <w:r>
        <w:rPr>
          <w:lang w:val="en-US"/>
        </w:rPr>
        <w:t>Idem.</w:t>
      </w:r>
    </w:p>
  </w:footnote>
  <w:footnote w:id="154">
    <w:p w:rsidR="00000000" w:rsidRDefault="00000000">
      <w:pPr>
        <w:pStyle w:val="FootnoteText"/>
        <w:tabs>
          <w:tab w:val="clear" w:pos="418"/>
        </w:tabs>
        <w:ind w:left="1080" w:right="1210" w:hanging="270"/>
        <w:jc w:val="both"/>
      </w:pPr>
      <w:r>
        <w:rPr>
          <w:rStyle w:val="FootnoteReference"/>
        </w:rPr>
        <w:t>151</w:t>
      </w:r>
      <w:r>
        <w:tab/>
        <w:t xml:space="preserve">В 1996 году нижеследующие статистические данные о поступлении дел на судебное рассмотрение отражали такое положение дел: семейные конфликты – 43,3 процента; трудовые споры – 24,6 процента; уголовные дела – 14,5 процента. В свою очередь, в 1998 году 63 процента из рассмотренных гражданских дел касались требований по выплате алиментов. В том же году поступило 73 559 исков по вопросу насилия в семье. Наконец, предполагается, что 90 процентов жертв сексуального насилия – женщины. Источник: Учебник по повышению качества оказания помощи с учетом половой специфики. </w:t>
      </w:r>
      <w:r>
        <w:rPr>
          <w:lang w:val="en-US"/>
        </w:rPr>
        <w:t>СЕРНАМ</w:t>
      </w:r>
      <w:r>
        <w:t>, 2002 год.</w:t>
      </w:r>
    </w:p>
  </w:footnote>
  <w:footnote w:id="155">
    <w:p w:rsidR="00000000" w:rsidRDefault="00000000">
      <w:pPr>
        <w:pStyle w:val="FootnoteText"/>
        <w:tabs>
          <w:tab w:val="clear" w:pos="418"/>
        </w:tabs>
        <w:ind w:left="1080" w:right="1210" w:hanging="270"/>
        <w:jc w:val="both"/>
      </w:pPr>
      <w:r>
        <w:rPr>
          <w:rStyle w:val="FootnoteReference"/>
        </w:rPr>
        <w:t>152</w:t>
      </w:r>
      <w:r>
        <w:tab/>
      </w:r>
      <w:r>
        <w:rPr>
          <w:lang w:val="en-US"/>
        </w:rPr>
        <w:t>СЕРНАМ</w:t>
      </w:r>
      <w:r>
        <w:t>: “Исследование роста насилия в семье”. Сантьяго, 1993 год.</w:t>
      </w:r>
    </w:p>
  </w:footnote>
  <w:footnote w:id="156">
    <w:p w:rsidR="00000000" w:rsidRDefault="00000000">
      <w:pPr>
        <w:pStyle w:val="FootnoteText"/>
        <w:tabs>
          <w:tab w:val="clear" w:pos="418"/>
        </w:tabs>
        <w:ind w:left="1080" w:right="1210" w:hanging="270"/>
        <w:jc w:val="both"/>
      </w:pPr>
      <w:r>
        <w:rPr>
          <w:rStyle w:val="FootnoteReference"/>
        </w:rPr>
        <w:t>153</w:t>
      </w:r>
      <w:r>
        <w:tab/>
      </w:r>
      <w:r>
        <w:rPr>
          <w:lang w:val="en-US"/>
        </w:rPr>
        <w:t>СЕРНАМ</w:t>
      </w:r>
      <w:r>
        <w:t>: “Выявление и анализ роста насилия в семье”. Сантьяго, 2001 год. При проведении данного исследования был использован Основной протокол ВОЗ.</w:t>
      </w:r>
    </w:p>
  </w:footnote>
  <w:footnote w:id="157">
    <w:p w:rsidR="00000000" w:rsidRDefault="00000000">
      <w:pPr>
        <w:pStyle w:val="FootnoteText"/>
        <w:tabs>
          <w:tab w:val="clear" w:pos="418"/>
        </w:tabs>
        <w:ind w:left="1080" w:right="1210" w:hanging="270"/>
        <w:jc w:val="both"/>
      </w:pPr>
      <w:r>
        <w:rPr>
          <w:rStyle w:val="FootnoteReference"/>
        </w:rPr>
        <w:t>154</w:t>
      </w:r>
      <w:r>
        <w:tab/>
        <w:t>См. раздел “Равноправие перед законом”.</w:t>
      </w:r>
    </w:p>
  </w:footnote>
  <w:footnote w:id="158">
    <w:p w:rsidR="00000000" w:rsidRDefault="00000000">
      <w:pPr>
        <w:pStyle w:val="FootnoteText"/>
        <w:tabs>
          <w:tab w:val="clear" w:pos="418"/>
        </w:tabs>
        <w:ind w:left="1080" w:right="1210" w:hanging="270"/>
        <w:jc w:val="both"/>
      </w:pPr>
      <w:r>
        <w:rPr>
          <w:rStyle w:val="FootnoteReference"/>
        </w:rPr>
        <w:t>155</w:t>
      </w:r>
      <w:r>
        <w:tab/>
        <w:t>ОАГ, Белен-ду-Пара – Бразилия, 1994 год. Данная Конвенция была опубликована в “Официальном вестнике Чили” в 1998 году, и поэтому она считается действующей в нашей стране, начиная с этого года.</w:t>
      </w:r>
    </w:p>
  </w:footnote>
  <w:footnote w:id="159">
    <w:p w:rsidR="00000000" w:rsidRDefault="00000000">
      <w:pPr>
        <w:pStyle w:val="FootnoteText"/>
        <w:tabs>
          <w:tab w:val="clear" w:pos="418"/>
        </w:tabs>
        <w:ind w:left="1080" w:right="1210" w:hanging="270"/>
        <w:jc w:val="both"/>
      </w:pPr>
      <w:r>
        <w:rPr>
          <w:rStyle w:val="FootnoteReference"/>
        </w:rPr>
        <w:t>156</w:t>
      </w:r>
      <w:r>
        <w:tab/>
        <w:t>Министерство здравоохранения, 1998 год.</w:t>
      </w:r>
    </w:p>
  </w:footnote>
  <w:footnote w:id="160">
    <w:p w:rsidR="00000000" w:rsidRDefault="00000000">
      <w:pPr>
        <w:pStyle w:val="FootnoteText"/>
        <w:tabs>
          <w:tab w:val="clear" w:pos="418"/>
        </w:tabs>
        <w:ind w:left="1080" w:right="1210" w:hanging="270"/>
        <w:jc w:val="both"/>
      </w:pPr>
      <w:r>
        <w:rPr>
          <w:rStyle w:val="FootnoteReference"/>
        </w:rPr>
        <w:t>157</w:t>
      </w:r>
      <w:r>
        <w:tab/>
      </w:r>
      <w:r>
        <w:rPr>
          <w:lang w:val="en-US"/>
        </w:rPr>
        <w:t>Ibid</w:t>
      </w:r>
      <w:r>
        <w:t>.</w:t>
      </w:r>
    </w:p>
  </w:footnote>
  <w:footnote w:id="161">
    <w:p w:rsidR="00000000" w:rsidRDefault="00000000">
      <w:pPr>
        <w:pStyle w:val="FootnoteText"/>
        <w:tabs>
          <w:tab w:val="clear" w:pos="418"/>
        </w:tabs>
        <w:ind w:left="1080" w:right="1210" w:hanging="270"/>
        <w:jc w:val="both"/>
      </w:pPr>
      <w:r>
        <w:rPr>
          <w:rStyle w:val="FootnoteReference"/>
        </w:rPr>
        <w:t>158</w:t>
      </w:r>
      <w:r>
        <w:tab/>
        <w:t>См. раздел “Равноправие перед законом”.</w:t>
      </w:r>
    </w:p>
  </w:footnote>
  <w:footnote w:id="162">
    <w:p w:rsidR="00000000" w:rsidRDefault="00000000">
      <w:pPr>
        <w:pStyle w:val="FootnoteText"/>
        <w:tabs>
          <w:tab w:val="clear" w:pos="418"/>
        </w:tabs>
        <w:ind w:left="1080" w:hanging="270"/>
        <w:jc w:val="both"/>
      </w:pPr>
      <w:r>
        <w:rPr>
          <w:rStyle w:val="FootnoteReference"/>
        </w:rPr>
        <w:t>159</w:t>
      </w:r>
      <w:r>
        <w:t> См. раздел “Изменение социально–культурных моделей”.</w:t>
      </w:r>
    </w:p>
  </w:footnote>
  <w:footnote w:id="163">
    <w:p w:rsidR="00000000" w:rsidRDefault="00000000">
      <w:pPr>
        <w:pStyle w:val="FootnoteText"/>
        <w:tabs>
          <w:tab w:val="clear" w:pos="418"/>
        </w:tabs>
        <w:ind w:left="1080" w:right="1210" w:hanging="270"/>
        <w:jc w:val="both"/>
      </w:pPr>
      <w:r>
        <w:rPr>
          <w:rStyle w:val="FootnoteReference"/>
        </w:rPr>
        <w:t>160</w:t>
      </w:r>
      <w:r>
        <w:tab/>
        <w:t>В данный Комитет входят представители Министерств образования, внутренних дел, финансов, планирования и кооперации, здравоохранения, секретариата министра юстиции по столичной области (</w:t>
      </w:r>
      <w:r>
        <w:rPr>
          <w:lang w:val="en-US"/>
        </w:rPr>
        <w:t>ОБЛСЕКМИН</w:t>
      </w:r>
      <w:r>
        <w:t xml:space="preserve">), Министерства юстиции и входящих в него ведомств (Национальная служба по делам несовершеннолетних, жандармерия Чили и Служба судебно–медицинской экспертизы), </w:t>
      </w:r>
      <w:r>
        <w:rPr>
          <w:lang w:val="en-US"/>
        </w:rPr>
        <w:t>СЕРНАМ</w:t>
      </w:r>
      <w:r>
        <w:t xml:space="preserve">, Корпуса карабинеров Чили и следственной полиции. Также принимала участие Муниципальная сеть в защиту детей, а позже присоединились Фонд </w:t>
      </w:r>
      <w:r>
        <w:rPr>
          <w:lang w:val="en-US"/>
        </w:rPr>
        <w:t>ИНТЕГРА</w:t>
      </w:r>
      <w:r>
        <w:t xml:space="preserve">, Национальная ассоциация детских садов, </w:t>
      </w:r>
      <w:r>
        <w:rPr>
          <w:lang w:val="en-US"/>
        </w:rPr>
        <w:t>ФОСИС</w:t>
      </w:r>
      <w:r>
        <w:t>, Фонд семьи (Кабинет супруги президента страны) и ЮНИСЕФ.</w:t>
      </w:r>
    </w:p>
  </w:footnote>
  <w:footnote w:id="164">
    <w:p w:rsidR="00000000" w:rsidRDefault="00000000">
      <w:pPr>
        <w:pStyle w:val="FootnoteText"/>
        <w:tabs>
          <w:tab w:val="clear" w:pos="418"/>
        </w:tabs>
        <w:ind w:left="1080" w:right="1210" w:hanging="270"/>
        <w:jc w:val="both"/>
      </w:pPr>
      <w:r>
        <w:rPr>
          <w:rStyle w:val="FootnoteReference"/>
        </w:rPr>
        <w:t>161</w:t>
      </w:r>
      <w:r>
        <w:t xml:space="preserve"> В эту сеть входят следующие учреждения: </w:t>
      </w:r>
      <w:r>
        <w:rPr>
          <w:lang w:val="en-US"/>
        </w:rPr>
        <w:t>КАВАС</w:t>
      </w:r>
      <w:r>
        <w:t xml:space="preserve"> – Бригада по борьбе с сексуальными преступлениями и преступлениями против несовершеннолетних, Службы при следственной полиции, Национальная служба по делам несовершеннолетних, Служба судебно–медицинской экспертизы, Службы при Министерстве юстиции.</w:t>
      </w:r>
    </w:p>
  </w:footnote>
  <w:footnote w:id="165">
    <w:p w:rsidR="00000000" w:rsidRDefault="00000000">
      <w:pPr>
        <w:pStyle w:val="FootnoteText"/>
        <w:tabs>
          <w:tab w:val="clear" w:pos="418"/>
        </w:tabs>
        <w:ind w:left="1080" w:hanging="270"/>
        <w:jc w:val="both"/>
      </w:pPr>
      <w:r>
        <w:rPr>
          <w:rStyle w:val="FootnoteReference"/>
        </w:rPr>
        <w:t>162</w:t>
      </w:r>
      <w:r>
        <w:tab/>
        <w:t xml:space="preserve">Психиатры работают только в </w:t>
      </w:r>
      <w:r>
        <w:rPr>
          <w:lang w:val="en-US"/>
        </w:rPr>
        <w:t>КОСАМ</w:t>
      </w:r>
      <w:r>
        <w:t xml:space="preserve"> столичной области.</w:t>
      </w:r>
    </w:p>
  </w:footnote>
  <w:footnote w:id="166">
    <w:p w:rsidR="00000000" w:rsidRDefault="00000000">
      <w:pPr>
        <w:pStyle w:val="FootnoteText"/>
        <w:tabs>
          <w:tab w:val="clear" w:pos="418"/>
        </w:tabs>
        <w:ind w:left="1080" w:right="1210" w:hanging="270"/>
        <w:jc w:val="both"/>
      </w:pPr>
      <w:r>
        <w:rPr>
          <w:sz w:val="12"/>
        </w:rPr>
        <w:t>163</w:t>
      </w:r>
      <w:r>
        <w:t xml:space="preserve"> Sernam: “Detección y Análisis de la Prevalencia de la Violencia Intrafamiliar en la Región de la Araucanía”, Santiago, 2001.</w:t>
      </w:r>
    </w:p>
  </w:footnote>
  <w:footnote w:id="167">
    <w:p w:rsidR="00000000" w:rsidRDefault="00000000">
      <w:pPr>
        <w:pStyle w:val="FootnoteText"/>
        <w:tabs>
          <w:tab w:val="clear" w:pos="418"/>
        </w:tabs>
        <w:ind w:left="1080" w:right="1210" w:hanging="270"/>
        <w:jc w:val="both"/>
      </w:pPr>
      <w:r>
        <w:rPr>
          <w:sz w:val="11"/>
        </w:rPr>
        <w:t>164</w:t>
      </w:r>
      <w:r>
        <w:tab/>
        <w:t>Также называется "черной цифрой", то есть количество случаев, которые происходят, но о которых не заявляют в судебном порядке.</w:t>
      </w:r>
    </w:p>
  </w:footnote>
  <w:footnote w:id="168">
    <w:p w:rsidR="00000000" w:rsidRDefault="00000000">
      <w:pPr>
        <w:pStyle w:val="FootnoteText"/>
        <w:tabs>
          <w:tab w:val="clear" w:pos="418"/>
        </w:tabs>
        <w:ind w:left="1080" w:right="1210" w:hanging="270"/>
        <w:jc w:val="both"/>
      </w:pPr>
      <w:r>
        <w:rPr>
          <w:sz w:val="11"/>
        </w:rPr>
        <w:t>165</w:t>
      </w:r>
      <w:r>
        <w:tab/>
        <w:t>Использовались ответы 5407 человек в возрасте от 18 до 69 лет.</w:t>
      </w:r>
    </w:p>
  </w:footnote>
  <w:footnote w:id="169">
    <w:p w:rsidR="00000000" w:rsidRDefault="00000000">
      <w:pPr>
        <w:pStyle w:val="FootnoteText"/>
        <w:tabs>
          <w:tab w:val="clear" w:pos="418"/>
        </w:tabs>
        <w:ind w:left="1080" w:right="1210" w:hanging="270"/>
        <w:jc w:val="both"/>
      </w:pPr>
      <w:r>
        <w:rPr>
          <w:sz w:val="11"/>
        </w:rPr>
        <w:t>166</w:t>
      </w:r>
      <w:r>
        <w:tab/>
        <w:t>Стоит отметить, что этот показатель оставался неизменным во всех возрастных и географических группах опрашиваемых. Незначительны изменения в зависимости от концентрации городского населения (столичный город, большие города, средние города). Различия заметны только при сравнении уровня школьного образования (начальное – 11 процентов, среднее – 6.8 процента, высшее – 3.5 процента) и социально-экономического уровня (высший средний класс – 5.1 процента, неблагополучные – 10.2 процента). Bravo, L.: "Estudio Nacional de Comportamiento Sexual. Primero análisis Chile 2000", Ministerio de Salud, Comisión Nacional del SIDA, Agence Nationale de Recherches sur le SIDA, Chile, 2000.</w:t>
      </w:r>
    </w:p>
  </w:footnote>
  <w:footnote w:id="170">
    <w:p w:rsidR="00000000" w:rsidRDefault="00000000">
      <w:pPr>
        <w:pStyle w:val="FootnoteText"/>
        <w:tabs>
          <w:tab w:val="clear" w:pos="418"/>
        </w:tabs>
        <w:ind w:left="1080" w:right="1210" w:hanging="270"/>
        <w:jc w:val="both"/>
      </w:pPr>
      <w:r>
        <w:rPr>
          <w:sz w:val="11"/>
        </w:rPr>
        <w:t>167</w:t>
      </w:r>
      <w:r>
        <w:tab/>
        <w:t xml:space="preserve">Там же. </w:t>
      </w:r>
    </w:p>
  </w:footnote>
  <w:footnote w:id="171">
    <w:p w:rsidR="00000000" w:rsidRDefault="00000000">
      <w:pPr>
        <w:pStyle w:val="FootnoteText"/>
        <w:tabs>
          <w:tab w:val="clear" w:pos="418"/>
        </w:tabs>
        <w:ind w:left="1080" w:right="1210" w:hanging="270"/>
        <w:jc w:val="both"/>
      </w:pPr>
      <w:r>
        <w:rPr>
          <w:sz w:val="11"/>
        </w:rPr>
        <w:t>168</w:t>
      </w:r>
      <w:r>
        <w:tab/>
        <w:t xml:space="preserve">Там же. </w:t>
      </w:r>
    </w:p>
  </w:footnote>
  <w:footnote w:id="172">
    <w:p w:rsidR="00000000" w:rsidRDefault="00000000">
      <w:pPr>
        <w:pStyle w:val="FootnoteText"/>
        <w:tabs>
          <w:tab w:val="clear" w:pos="418"/>
        </w:tabs>
        <w:ind w:left="1080" w:right="1210" w:hanging="270"/>
        <w:jc w:val="both"/>
      </w:pPr>
      <w:r>
        <w:rPr>
          <w:sz w:val="11"/>
        </w:rPr>
        <w:t>169</w:t>
      </w:r>
      <w:r>
        <w:tab/>
        <w:t>Служба судебной медицины. Статистический отчет за 2000 и 2001 годы. Стоит отметить, что с 2000 по 2001 год увеличилось число обследований в связи с сексуальным принуждением; это увеличение свидетельствует о проведение большего числа консультаций, но необязательно о увеличение числа самих случаев сексуального принуждение. Это могло стать результатом изменения, внесенного в Уголовный кодекс в отношении сексуальных преступлений в 1999 году и предусматривавшего среди прочего упрощение судебного рассмотрения подобных преступлений и усиление защиты прав жертвы.</w:t>
      </w:r>
    </w:p>
  </w:footnote>
  <w:footnote w:id="173">
    <w:p w:rsidR="00000000" w:rsidRDefault="00000000">
      <w:pPr>
        <w:pStyle w:val="FootnoteText"/>
        <w:tabs>
          <w:tab w:val="clear" w:pos="418"/>
        </w:tabs>
        <w:ind w:left="1080" w:right="1210" w:hanging="270"/>
        <w:jc w:val="both"/>
      </w:pPr>
      <w:r>
        <w:rPr>
          <w:sz w:val="11"/>
        </w:rPr>
        <w:t>170</w:t>
      </w:r>
      <w:r>
        <w:tab/>
        <w:t>Там же.</w:t>
      </w:r>
    </w:p>
  </w:footnote>
  <w:footnote w:id="174">
    <w:p w:rsidR="00000000" w:rsidRDefault="00000000">
      <w:pPr>
        <w:pStyle w:val="FootnoteText"/>
        <w:tabs>
          <w:tab w:val="clear" w:pos="418"/>
        </w:tabs>
        <w:ind w:left="1080" w:right="1210" w:hanging="270"/>
        <w:jc w:val="both"/>
      </w:pPr>
      <w:r>
        <w:rPr>
          <w:sz w:val="11"/>
        </w:rPr>
        <w:t>171</w:t>
      </w:r>
      <w:r>
        <w:tab/>
        <w:t>Calvin P. y Toro C.: "Violencia Sexual Conyugal y Oferta Pública de Servicios para su Atención", 1er Informa Investigación “Violencia Conyugal en San Ramón”, Educación Popular en Salud – EPES, Mayo 2001.</w:t>
      </w:r>
    </w:p>
  </w:footnote>
  <w:footnote w:id="175">
    <w:p w:rsidR="00000000" w:rsidRDefault="00000000">
      <w:pPr>
        <w:pStyle w:val="FootnoteText"/>
        <w:tabs>
          <w:tab w:val="clear" w:pos="418"/>
        </w:tabs>
        <w:ind w:left="1080" w:right="1210" w:hanging="270"/>
        <w:jc w:val="both"/>
      </w:pPr>
      <w:r>
        <w:rPr>
          <w:sz w:val="11"/>
        </w:rPr>
        <w:t>172</w:t>
      </w:r>
      <w:r>
        <w:tab/>
        <w:t>SERNAM: "Detección y Análisis de la Prevalencia de la Violencia Intrafamiliar", Santiago, Julio 2001.</w:t>
      </w:r>
    </w:p>
  </w:footnote>
  <w:footnote w:id="176">
    <w:p w:rsidR="00000000" w:rsidRDefault="00000000">
      <w:pPr>
        <w:pStyle w:val="FootnoteText"/>
        <w:tabs>
          <w:tab w:val="clear" w:pos="418"/>
        </w:tabs>
        <w:ind w:left="1080" w:right="1210" w:hanging="270"/>
        <w:jc w:val="both"/>
      </w:pPr>
      <w:r>
        <w:rPr>
          <w:sz w:val="11"/>
        </w:rPr>
        <w:t>173</w:t>
      </w:r>
      <w:r>
        <w:tab/>
        <w:t>24 часа в сутки, каждый день в году.</w:t>
      </w:r>
    </w:p>
  </w:footnote>
  <w:footnote w:id="177">
    <w:p w:rsidR="00000000" w:rsidRDefault="00000000">
      <w:pPr>
        <w:pStyle w:val="FootnoteText"/>
        <w:tabs>
          <w:tab w:val="clear" w:pos="418"/>
        </w:tabs>
        <w:ind w:left="1080" w:right="1210" w:hanging="270"/>
        <w:jc w:val="both"/>
      </w:pPr>
      <w:r>
        <w:rPr>
          <w:sz w:val="11"/>
        </w:rPr>
        <w:t>174</w:t>
      </w:r>
      <w:r>
        <w:rPr>
          <w:sz w:val="11"/>
        </w:rPr>
        <w:tab/>
      </w:r>
      <w:r>
        <w:t>Сотрудник 48-го комиссариата по делам семьи и сексуальным преступлениям.</w:t>
      </w:r>
    </w:p>
  </w:footnote>
  <w:footnote w:id="178">
    <w:p w:rsidR="00000000" w:rsidRDefault="00000000">
      <w:pPr>
        <w:pStyle w:val="FootnoteText"/>
        <w:tabs>
          <w:tab w:val="clear" w:pos="418"/>
        </w:tabs>
        <w:ind w:left="1080" w:right="1210" w:hanging="270"/>
        <w:jc w:val="both"/>
      </w:pPr>
      <w:r>
        <w:rPr>
          <w:sz w:val="11"/>
        </w:rPr>
        <w:t>175</w:t>
      </w:r>
      <w:r>
        <w:tab/>
        <w:t>Национальная служба по делам несовершеннолетних, 2001 год.</w:t>
      </w:r>
    </w:p>
  </w:footnote>
  <w:footnote w:id="179">
    <w:p w:rsidR="00000000" w:rsidRDefault="00000000">
      <w:pPr>
        <w:pStyle w:val="FootnoteText"/>
        <w:tabs>
          <w:tab w:val="clear" w:pos="418"/>
        </w:tabs>
        <w:ind w:left="1080" w:right="1210" w:hanging="270"/>
        <w:jc w:val="both"/>
      </w:pPr>
      <w:r>
        <w:rPr>
          <w:sz w:val="11"/>
        </w:rPr>
        <w:t>176</w:t>
      </w:r>
      <w:r>
        <w:tab/>
        <w:t>Принята резолюцией 317 (IV) Генеральной Ассамблеи Организации Объединенных Наций от 2 декабря 1949 года; вступила в силу 25 июля 1951 года.</w:t>
      </w:r>
    </w:p>
  </w:footnote>
  <w:footnote w:id="180">
    <w:p w:rsidR="00000000" w:rsidRDefault="00000000">
      <w:pPr>
        <w:pStyle w:val="FootnoteText"/>
        <w:tabs>
          <w:tab w:val="clear" w:pos="418"/>
        </w:tabs>
        <w:ind w:left="1080" w:right="1210" w:hanging="270"/>
        <w:jc w:val="both"/>
      </w:pPr>
      <w:r>
        <w:rPr>
          <w:sz w:val="11"/>
        </w:rPr>
        <w:t>177</w:t>
      </w:r>
      <w:r>
        <w:t xml:space="preserve"> Организация Объединенных Наций, 2001 год.</w:t>
      </w:r>
    </w:p>
  </w:footnote>
  <w:footnote w:id="181">
    <w:p w:rsidR="00000000" w:rsidRDefault="00000000">
      <w:pPr>
        <w:pStyle w:val="FootnoteText"/>
        <w:tabs>
          <w:tab w:val="clear" w:pos="418"/>
        </w:tabs>
        <w:ind w:left="1080" w:right="1210" w:hanging="270"/>
        <w:jc w:val="both"/>
      </w:pPr>
      <w:r>
        <w:rPr>
          <w:sz w:val="11"/>
        </w:rPr>
        <w:t>178</w:t>
      </w:r>
      <w:r>
        <w:t xml:space="preserve"> Организация Объединенных Наций, 2001 год.</w:t>
      </w:r>
    </w:p>
  </w:footnote>
  <w:footnote w:id="182">
    <w:p w:rsidR="00000000" w:rsidRDefault="00000000">
      <w:pPr>
        <w:pStyle w:val="FootnoteText"/>
        <w:tabs>
          <w:tab w:val="clear" w:pos="418"/>
        </w:tabs>
        <w:ind w:left="1080" w:right="1210" w:hanging="270"/>
        <w:jc w:val="both"/>
      </w:pPr>
      <w:r>
        <w:rPr>
          <w:sz w:val="11"/>
        </w:rPr>
        <w:t>179</w:t>
      </w:r>
      <w:r>
        <w:t xml:space="preserve"> ОАГ, 1994 год.</w:t>
      </w:r>
    </w:p>
  </w:footnote>
  <w:footnote w:id="183">
    <w:p w:rsidR="00000000" w:rsidRDefault="00000000">
      <w:pPr>
        <w:pStyle w:val="FootnoteText"/>
        <w:tabs>
          <w:tab w:val="clear" w:pos="418"/>
        </w:tabs>
        <w:ind w:left="1080" w:right="1210" w:hanging="270"/>
        <w:jc w:val="both"/>
      </w:pPr>
      <w:r>
        <w:rPr>
          <w:sz w:val="11"/>
        </w:rPr>
        <w:t>180</w:t>
      </w:r>
      <w:r>
        <w:t xml:space="preserve"> Санитарный кодекс. </w:t>
      </w:r>
    </w:p>
  </w:footnote>
  <w:footnote w:id="184">
    <w:p w:rsidR="00000000" w:rsidRDefault="00000000">
      <w:pPr>
        <w:pStyle w:val="FootnoteText"/>
        <w:tabs>
          <w:tab w:val="clear" w:pos="418"/>
        </w:tabs>
        <w:ind w:left="1080" w:right="1210" w:hanging="270"/>
        <w:jc w:val="both"/>
      </w:pPr>
      <w:r>
        <w:rPr>
          <w:sz w:val="11"/>
        </w:rPr>
        <w:t>181</w:t>
      </w:r>
      <w:r>
        <w:t xml:space="preserve"> Уголовный кодекс.</w:t>
      </w:r>
    </w:p>
  </w:footnote>
  <w:footnote w:id="185">
    <w:p w:rsidR="00000000" w:rsidRDefault="00000000">
      <w:pPr>
        <w:pStyle w:val="FootnoteText"/>
        <w:tabs>
          <w:tab w:val="clear" w:pos="418"/>
        </w:tabs>
        <w:ind w:left="1080" w:right="1210" w:hanging="270"/>
        <w:jc w:val="both"/>
      </w:pPr>
      <w:r>
        <w:rPr>
          <w:sz w:val="11"/>
        </w:rPr>
        <w:t>182</w:t>
      </w:r>
      <w:r>
        <w:tab/>
        <w:t xml:space="preserve">По данным переписи, доля женщин в сельской зоне составляла 86 женщин на 100 мужчин в 1992 году и затем увеличилась до 87 женщин на 100 мужчин. В то же время, наблюдалось уменьшение доли женщин в городе, с 108 женщин на 100 мужчин в 1992 году, до 106 женщин на 100 мужчин в 2002 году. </w:t>
      </w:r>
    </w:p>
  </w:footnote>
  <w:footnote w:id="186">
    <w:p w:rsidR="00000000" w:rsidRDefault="00000000">
      <w:pPr>
        <w:pStyle w:val="FootnoteText"/>
        <w:tabs>
          <w:tab w:val="clear" w:pos="418"/>
        </w:tabs>
        <w:ind w:left="1080" w:right="1210" w:hanging="270"/>
        <w:jc w:val="both"/>
      </w:pPr>
      <w:r>
        <w:rPr>
          <w:sz w:val="11"/>
        </w:rPr>
        <w:t>183</w:t>
      </w:r>
      <w:r>
        <w:tab/>
        <w:t>Приведенные в разделе данные взяты из документа Минплана "Положение женщины в Чили", составленного с учетом данных НОСЭП-2000. Сантьяго, 2001.</w:t>
      </w:r>
    </w:p>
  </w:footnote>
  <w:footnote w:id="187">
    <w:p w:rsidR="00000000" w:rsidRDefault="00000000">
      <w:pPr>
        <w:pStyle w:val="FootnoteText"/>
        <w:tabs>
          <w:tab w:val="clear" w:pos="418"/>
        </w:tabs>
        <w:ind w:left="1080" w:right="1210" w:hanging="270"/>
        <w:jc w:val="both"/>
      </w:pPr>
      <w:r>
        <w:rPr>
          <w:sz w:val="11"/>
        </w:rPr>
        <w:t>184</w:t>
      </w:r>
      <w:r>
        <w:tab/>
        <w:t>Семьи, входящие в первые два квинтиля по уровню дохода.</w:t>
      </w:r>
    </w:p>
  </w:footnote>
  <w:footnote w:id="188">
    <w:p w:rsidR="00000000" w:rsidRDefault="00000000">
      <w:pPr>
        <w:pStyle w:val="FootnoteText"/>
        <w:tabs>
          <w:tab w:val="clear" w:pos="418"/>
        </w:tabs>
        <w:ind w:left="1080" w:right="1210" w:hanging="270"/>
        <w:jc w:val="both"/>
      </w:pPr>
      <w:r>
        <w:rPr>
          <w:sz w:val="11"/>
        </w:rPr>
        <w:t>185</w:t>
      </w:r>
      <w:r>
        <w:tab/>
        <w:t>Приведенные в разделе данные взяты из документа Минплана "Положение на рынке сельского труда в Чили", составленного с учетом данных НОСЭП-2000. Сантьяго, 2002.</w:t>
      </w:r>
    </w:p>
  </w:footnote>
  <w:footnote w:id="189">
    <w:p w:rsidR="00000000" w:rsidRDefault="00000000">
      <w:pPr>
        <w:pStyle w:val="FootnoteText"/>
        <w:tabs>
          <w:tab w:val="clear" w:pos="418"/>
        </w:tabs>
        <w:ind w:left="1080" w:right="1210" w:hanging="270"/>
        <w:jc w:val="both"/>
      </w:pPr>
      <w:r>
        <w:rPr>
          <w:sz w:val="11"/>
        </w:rPr>
        <w:t>186</w:t>
      </w:r>
      <w:r>
        <w:tab/>
        <w:t>Статистические методики определяют трудовой статус женщины на основании реестра женской занятости, в частности, связанного с учетом сельскохозяйственных работ. Что касается проживающих в сельской зоне женщин, то в статистических обзорах данная группа классифицируется как часть несамодеятельного населения или рабочая сила в составе семьи, труд которой не оплачивается, что не отражает факт их работы, например, в сфере производства продуктов питания и услуг для обеспечения воспроизводства в рамках крестьянских хозяйств.</w:t>
      </w:r>
    </w:p>
  </w:footnote>
  <w:footnote w:id="190">
    <w:p w:rsidR="00000000" w:rsidRDefault="00000000">
      <w:pPr>
        <w:pStyle w:val="FootnoteText"/>
        <w:tabs>
          <w:tab w:val="clear" w:pos="418"/>
        </w:tabs>
        <w:ind w:left="1080" w:right="1210" w:hanging="270"/>
        <w:jc w:val="both"/>
      </w:pPr>
      <w:r>
        <w:rPr>
          <w:sz w:val="11"/>
        </w:rPr>
        <w:t>187</w:t>
      </w:r>
      <w:r>
        <w:tab/>
        <w:t>Это обусловлено массовыми увольнениями, имевшими место в стране после начала экономического кризиса 1998 года.</w:t>
      </w:r>
    </w:p>
  </w:footnote>
  <w:footnote w:id="191">
    <w:p w:rsidR="00000000" w:rsidRDefault="00000000">
      <w:pPr>
        <w:pStyle w:val="FootnoteText"/>
        <w:tabs>
          <w:tab w:val="clear" w:pos="418"/>
        </w:tabs>
        <w:ind w:left="1080" w:right="1210" w:hanging="270"/>
        <w:jc w:val="both"/>
      </w:pPr>
      <w:r>
        <w:rPr>
          <w:sz w:val="11"/>
        </w:rPr>
        <w:t>188</w:t>
      </w:r>
      <w:r>
        <w:tab/>
        <w:t>Данная трудовая категория преимущественно занимается крестьянским трудом, в частности: севом, уборкой урожая, собирательством, разведением скота, сезонными работами по сбору фруктов, кустарными промыслами и другими видами деятельности, не связанными с сельским хозяйством.</w:t>
      </w:r>
    </w:p>
  </w:footnote>
  <w:footnote w:id="192">
    <w:p w:rsidR="00000000" w:rsidRDefault="00000000">
      <w:pPr>
        <w:pStyle w:val="FootnoteText"/>
        <w:tabs>
          <w:tab w:val="clear" w:pos="418"/>
        </w:tabs>
        <w:ind w:left="1080" w:right="1210" w:hanging="270"/>
        <w:jc w:val="both"/>
      </w:pPr>
      <w:r>
        <w:rPr>
          <w:sz w:val="11"/>
        </w:rPr>
        <w:t>189</w:t>
      </w:r>
      <w:r>
        <w:tab/>
        <w:t>Приведенные в разделе данные взяты из документа Минплана "Положение женщины и разрыв в положении мужчин и женщин", составленного с учетом данных НОСЭП-2000. Сантьяго, 2002.</w:t>
      </w:r>
    </w:p>
  </w:footnote>
  <w:footnote w:id="193">
    <w:p w:rsidR="00000000" w:rsidRDefault="00000000">
      <w:pPr>
        <w:pStyle w:val="FootnoteText"/>
        <w:tabs>
          <w:tab w:val="clear" w:pos="418"/>
        </w:tabs>
        <w:ind w:left="1080" w:right="1210" w:hanging="270"/>
        <w:jc w:val="both"/>
      </w:pPr>
      <w:r>
        <w:rPr>
          <w:sz w:val="11"/>
        </w:rPr>
        <w:t>190</w:t>
      </w:r>
      <w:r>
        <w:tab/>
        <w:t>Приведенные в разделе данные взяты из документа Минплана "Положение женщины и разрыв в положении мужчин и женщин", составленного с учетом данных НОСЭП-2000. Сантьяго, 2002.</w:t>
      </w:r>
    </w:p>
  </w:footnote>
  <w:footnote w:id="194">
    <w:p w:rsidR="00000000" w:rsidRDefault="00000000">
      <w:pPr>
        <w:pStyle w:val="FootnoteText"/>
        <w:tabs>
          <w:tab w:val="clear" w:pos="418"/>
        </w:tabs>
        <w:ind w:left="1080" w:right="1210" w:hanging="270"/>
        <w:jc w:val="both"/>
      </w:pPr>
      <w:r>
        <w:rPr>
          <w:sz w:val="11"/>
        </w:rPr>
        <w:t>191</w:t>
      </w:r>
      <w:r>
        <w:tab/>
        <w:t>Приведенные в разделе данные взяты из документа Минплана "Этнические группы и бедность в Чили", составленного с учетом данных НОСЭП-2000. Сантьяго, 2002.</w:t>
      </w:r>
    </w:p>
    <w:p w:rsidR="00000000" w:rsidRDefault="00000000">
      <w:pPr>
        <w:pStyle w:val="FootnoteText"/>
      </w:pPr>
    </w:p>
  </w:footnote>
  <w:footnote w:id="195">
    <w:p w:rsidR="00000000" w:rsidRDefault="00000000">
      <w:pPr>
        <w:pStyle w:val="FootnoteText"/>
        <w:tabs>
          <w:tab w:val="clear" w:pos="418"/>
        </w:tabs>
        <w:ind w:left="1080" w:right="1210" w:hanging="270"/>
        <w:jc w:val="both"/>
      </w:pPr>
      <w:r>
        <w:rPr>
          <w:sz w:val="11"/>
        </w:rPr>
        <w:t>192</w:t>
      </w:r>
      <w:r>
        <w:rPr>
          <w:sz w:val="11"/>
          <w:lang w:val="en-US"/>
        </w:rPr>
        <w:tab/>
      </w:r>
      <w:r>
        <w:t>В</w:t>
      </w:r>
      <w:r>
        <w:rPr>
          <w:lang w:val="en-US"/>
        </w:rPr>
        <w:t> </w:t>
      </w:r>
      <w:r>
        <w:t>период 1996-2000 годов соотношение денежных субсидий к денежному доходу малоимущих семей увеличилось с 8,5 процента до 9,9 процента, применительно к представителям коренных народов, и с 6,1 процента до 6,8 процента применительно к неиндейскому населению.</w:t>
      </w:r>
    </w:p>
  </w:footnote>
  <w:footnote w:id="196">
    <w:p w:rsidR="00000000" w:rsidRDefault="00000000">
      <w:pPr>
        <w:pStyle w:val="FootnoteText"/>
        <w:tabs>
          <w:tab w:val="clear" w:pos="418"/>
        </w:tabs>
        <w:ind w:left="1080" w:right="1210" w:hanging="270"/>
        <w:jc w:val="both"/>
      </w:pPr>
      <w:r>
        <w:rPr>
          <w:sz w:val="11"/>
        </w:rPr>
        <w:t>193</w:t>
      </w:r>
      <w:r>
        <w:tab/>
        <w:t>По состоянию на 2000 год, доля участия представителей коренных народов составила 54,1 процента и неиндейского населения - 55,4 процента.</w:t>
      </w:r>
    </w:p>
  </w:footnote>
  <w:footnote w:id="197">
    <w:p w:rsidR="00000000" w:rsidRDefault="00000000">
      <w:pPr>
        <w:pStyle w:val="FootnoteText"/>
        <w:tabs>
          <w:tab w:val="clear" w:pos="418"/>
        </w:tabs>
        <w:ind w:left="1080" w:right="1210" w:hanging="270"/>
        <w:jc w:val="both"/>
      </w:pPr>
      <w:r>
        <w:rPr>
          <w:sz w:val="11"/>
        </w:rPr>
        <w:t>194</w:t>
      </w:r>
      <w:r>
        <w:tab/>
        <w:t>По состоянию на 2000 год, уровень безработицы среди представителей коренных народов составил 13,3 процента, в то время как среди неиндейского населения держался на уровне 10,2 процента.</w:t>
      </w:r>
    </w:p>
  </w:footnote>
  <w:footnote w:id="198">
    <w:p w:rsidR="00000000" w:rsidRDefault="00000000">
      <w:pPr>
        <w:pStyle w:val="FootnoteText"/>
        <w:tabs>
          <w:tab w:val="clear" w:pos="418"/>
        </w:tabs>
        <w:ind w:left="1080" w:right="1210" w:hanging="270"/>
        <w:jc w:val="both"/>
      </w:pPr>
      <w:r>
        <w:rPr>
          <w:sz w:val="11"/>
        </w:rPr>
        <w:t>195</w:t>
      </w:r>
      <w:r>
        <w:tab/>
        <w:t>По состоянию на 2000 год, 75,5 процентов имеющего работу неиндейского населения заключило трудовой договор, при этом в случае имеющих работу представителей коренных народов данный показатель составлял 67,3 процента.</w:t>
      </w:r>
    </w:p>
  </w:footnote>
  <w:footnote w:id="199">
    <w:p w:rsidR="00000000" w:rsidRDefault="00000000">
      <w:pPr>
        <w:pStyle w:val="FootnoteText"/>
        <w:tabs>
          <w:tab w:val="clear" w:pos="418"/>
        </w:tabs>
        <w:ind w:left="1080" w:right="1210" w:hanging="270"/>
        <w:jc w:val="both"/>
      </w:pPr>
      <w:r>
        <w:rPr>
          <w:sz w:val="11"/>
        </w:rPr>
        <w:t>196</w:t>
      </w:r>
      <w:r>
        <w:tab/>
        <w:t>По состоянию на 2000 год, 15,1 процента имеющего работу неиндейского населения было занято на временной работе, при этом в случае имеющих работу представителей коренных народов данный показатель составлял 19,2 процента. С другой стороны, 77,1 процента из числа первой группы и 70,1 процента из числа второй группы имели постоянную работу.</w:t>
      </w:r>
    </w:p>
  </w:footnote>
  <w:footnote w:id="200">
    <w:p w:rsidR="00000000" w:rsidRDefault="00000000">
      <w:pPr>
        <w:pStyle w:val="FootnoteText"/>
        <w:tabs>
          <w:tab w:val="clear" w:pos="418"/>
        </w:tabs>
        <w:ind w:left="1080" w:right="1210" w:hanging="270"/>
        <w:jc w:val="both"/>
      </w:pPr>
      <w:r>
        <w:rPr>
          <w:sz w:val="11"/>
        </w:rPr>
        <w:t>197</w:t>
      </w:r>
      <w:r>
        <w:tab/>
        <w:t>Уровень неграмотности среди коренных народов более чем в два раза превышает уровень неграмотности среди неиндейского населения.</w:t>
      </w:r>
    </w:p>
  </w:footnote>
  <w:footnote w:id="201">
    <w:p w:rsidR="00000000" w:rsidRDefault="00000000">
      <w:pPr>
        <w:pStyle w:val="FootnoteText"/>
        <w:tabs>
          <w:tab w:val="clear" w:pos="418"/>
        </w:tabs>
        <w:ind w:left="1080" w:right="1210" w:hanging="270"/>
      </w:pPr>
      <w:r>
        <w:rPr>
          <w:sz w:val="11"/>
        </w:rPr>
        <w:t>198</w:t>
      </w:r>
      <w:r>
        <w:tab/>
        <w:t>Опубликован в октябре 1993 года.</w:t>
      </w:r>
    </w:p>
  </w:footnote>
  <w:footnote w:id="202">
    <w:p w:rsidR="00000000" w:rsidRDefault="00000000">
      <w:pPr>
        <w:pStyle w:val="FootnoteText"/>
        <w:tabs>
          <w:tab w:val="clear" w:pos="418"/>
        </w:tabs>
        <w:ind w:left="1080" w:right="1210" w:hanging="270"/>
      </w:pPr>
      <w:r>
        <w:rPr>
          <w:sz w:val="11"/>
        </w:rPr>
        <w:t>199</w:t>
      </w:r>
      <w:r>
        <w:tab/>
        <w:t>Закон о коренных народах, Статья 1, Общие положения</w:t>
      </w:r>
    </w:p>
  </w:footnote>
  <w:footnote w:id="203">
    <w:p w:rsidR="00000000" w:rsidRDefault="00000000">
      <w:pPr>
        <w:pStyle w:val="FootnoteText"/>
        <w:tabs>
          <w:tab w:val="clear" w:pos="418"/>
        </w:tabs>
        <w:ind w:left="1080" w:right="1210" w:hanging="270"/>
      </w:pPr>
      <w:r>
        <w:rPr>
          <w:sz w:val="11"/>
        </w:rPr>
        <w:t>200</w:t>
      </w:r>
      <w:r>
        <w:tab/>
        <w:t xml:space="preserve">Город на севере Чили, область I, значительную часть населения которого составляют индейца аймара и кечуа. </w:t>
      </w:r>
    </w:p>
  </w:footnote>
  <w:footnote w:id="204">
    <w:p w:rsidR="00000000" w:rsidRDefault="00000000">
      <w:pPr>
        <w:pStyle w:val="FootnoteText"/>
        <w:tabs>
          <w:tab w:val="clear" w:pos="418"/>
        </w:tabs>
        <w:ind w:left="1080" w:right="1210" w:hanging="270"/>
      </w:pPr>
      <w:r>
        <w:rPr>
          <w:sz w:val="11"/>
        </w:rPr>
        <w:t>201</w:t>
      </w:r>
      <w:r>
        <w:tab/>
        <w:t>Город на самом севере Чили на границе с Перу, область I, значительную часть населения которого составляют индейца аймара и кечуа.</w:t>
      </w:r>
    </w:p>
  </w:footnote>
  <w:footnote w:id="205">
    <w:p w:rsidR="00000000" w:rsidRDefault="00000000">
      <w:pPr>
        <w:pStyle w:val="FootnoteText"/>
        <w:tabs>
          <w:tab w:val="clear" w:pos="418"/>
        </w:tabs>
        <w:ind w:left="1080" w:right="1210" w:hanging="270"/>
      </w:pPr>
      <w:r>
        <w:rPr>
          <w:sz w:val="11"/>
        </w:rPr>
        <w:t>202</w:t>
      </w:r>
      <w:r>
        <w:tab/>
        <w:t>Город на юге Чили, область IX, значительную часть населения которого составляют мапучи.</w:t>
      </w:r>
    </w:p>
  </w:footnote>
  <w:footnote w:id="206">
    <w:p w:rsidR="00000000" w:rsidRDefault="00000000">
      <w:pPr>
        <w:pStyle w:val="FootnoteText"/>
        <w:tabs>
          <w:tab w:val="clear" w:pos="418"/>
        </w:tabs>
        <w:ind w:left="1080" w:right="1210" w:hanging="270"/>
      </w:pPr>
      <w:r>
        <w:rPr>
          <w:sz w:val="11"/>
        </w:rPr>
        <w:t>203</w:t>
      </w:r>
      <w:r>
        <w:tab/>
        <w:t>Город на юге Чили, область X, значительную часть населения которого составляют мапучи.</w:t>
      </w:r>
    </w:p>
  </w:footnote>
  <w:footnote w:id="207">
    <w:p w:rsidR="00000000" w:rsidRDefault="00000000">
      <w:pPr>
        <w:pStyle w:val="FootnoteText"/>
        <w:tabs>
          <w:tab w:val="clear" w:pos="418"/>
        </w:tabs>
        <w:ind w:left="1080" w:right="1210" w:hanging="270"/>
      </w:pPr>
      <w:r>
        <w:rPr>
          <w:sz w:val="11"/>
        </w:rPr>
        <w:t>204</w:t>
      </w:r>
      <w:r>
        <w:tab/>
        <w:t xml:space="preserve">Традиционный язык мапучи. </w:t>
      </w:r>
    </w:p>
  </w:footnote>
  <w:footnote w:id="208">
    <w:p w:rsidR="00000000" w:rsidRDefault="00000000">
      <w:pPr>
        <w:pStyle w:val="FootnoteText"/>
        <w:tabs>
          <w:tab w:val="clear" w:pos="418"/>
        </w:tabs>
        <w:ind w:left="1080" w:right="1210" w:hanging="270"/>
      </w:pPr>
      <w:r>
        <w:rPr>
          <w:sz w:val="11"/>
        </w:rPr>
        <w:t>205</w:t>
      </w:r>
      <w:r>
        <w:tab/>
        <w:t>Дополнительная информация по указанному плану приведена в разделе об Общей ответственности мужчин и женщин в вопросах образования и развития детей и материнства как социальной функции.</w:t>
      </w:r>
    </w:p>
  </w:footnote>
  <w:footnote w:id="209">
    <w:p w:rsidR="00000000" w:rsidRDefault="00000000">
      <w:pPr>
        <w:pStyle w:val="FootnoteText"/>
        <w:tabs>
          <w:tab w:val="clear" w:pos="418"/>
        </w:tabs>
        <w:ind w:left="1080" w:right="1210" w:hanging="270"/>
      </w:pPr>
      <w:r>
        <w:rPr>
          <w:sz w:val="11"/>
        </w:rPr>
        <w:t>206</w:t>
      </w:r>
      <w:r>
        <w:tab/>
        <w:t>Данные центры, действующие на местном уровне, призваны обеспечить реализацию комплекса мер по созданию единого пространства защиты прав детей и подростков, которые находятся в ситуации социального отчуждения или ущемления прав, что позволяет избежать ненужного и безразличного вовлечения детей и подростков в процессуальные и официальные мероприятия.</w:t>
      </w:r>
    </w:p>
  </w:footnote>
  <w:footnote w:id="210">
    <w:p w:rsidR="00000000" w:rsidRDefault="00000000">
      <w:pPr>
        <w:pStyle w:val="FootnoteText"/>
        <w:tabs>
          <w:tab w:val="clear" w:pos="418"/>
        </w:tabs>
        <w:ind w:left="1080" w:right="1210" w:hanging="270"/>
      </w:pPr>
      <w:r>
        <w:rPr>
          <w:sz w:val="11"/>
        </w:rPr>
        <w:t>207</w:t>
      </w:r>
      <w:r>
        <w:tab/>
        <w:t>Данная программа предназначена для решения проблемы ущемления прав и предоставляет возможность психологической помощи; а также включает раздельный подход, предусматривая индивидуальные методы работы с мальчиками и девочками. Программа способствует уважению прав детей для ограждения их от грубого обращения и сексуального домогательства, которое серьезно нарушает права детей и затрудняет их развитие и социальную интеграцию.</w:t>
      </w:r>
    </w:p>
  </w:footnote>
  <w:footnote w:id="211">
    <w:p w:rsidR="00000000" w:rsidRDefault="00000000">
      <w:pPr>
        <w:pStyle w:val="FootnoteText"/>
        <w:tabs>
          <w:tab w:val="clear" w:pos="418"/>
        </w:tabs>
        <w:ind w:left="1080" w:right="1210" w:hanging="270"/>
        <w:jc w:val="both"/>
      </w:pPr>
      <w:r>
        <w:rPr>
          <w:sz w:val="11"/>
        </w:rPr>
        <w:t>208</w:t>
      </w:r>
      <w:r>
        <w:rPr>
          <w:lang w:val="en-US"/>
        </w:rPr>
        <w:tab/>
      </w:r>
      <w:r>
        <w:t xml:space="preserve">Задачей данной Программы является создание благоприятных условий для окончания подростками учебных заведений и облегчение процесса их социальной реинтеграции путем укрепления семейных связей и восстановления роли родителей, а также путем доступа к информации и услугам для повышения качества жизни. На уровне консультаций применяется раздельный подход, учитывая, что семьи подростков в большинстве случаев состоят из женщин - глав семьи. </w:t>
      </w:r>
    </w:p>
  </w:footnote>
  <w:footnote w:id="212">
    <w:p w:rsidR="00000000" w:rsidRDefault="00000000">
      <w:pPr>
        <w:pStyle w:val="FootnoteText"/>
        <w:tabs>
          <w:tab w:val="clear" w:pos="418"/>
        </w:tabs>
        <w:ind w:left="1080" w:right="1210" w:hanging="270"/>
        <w:jc w:val="both"/>
      </w:pPr>
      <w:r>
        <w:rPr>
          <w:sz w:val="11"/>
        </w:rPr>
        <w:t>209</w:t>
      </w:r>
      <w:r>
        <w:tab/>
        <w:t>Данная программа ориентирована на подростков в возрасте 14-18 лет, как юношей, так и девушек, обвиняемых в совершении уголовных преступлений, которые поступают в различные структуры в рамках НУДН, где с ними ведется работа, способствующая их социальной реинтеграции и осознанию ответственности. На уровне консультаций обеспечивается оказание юридической помощи для всех подростков, с применением раздельного подхода, что облегчает их юридическую защиту.</w:t>
      </w:r>
    </w:p>
  </w:footnote>
  <w:footnote w:id="213">
    <w:p w:rsidR="00000000" w:rsidRDefault="00000000">
      <w:pPr>
        <w:pStyle w:val="FootnoteText"/>
        <w:tabs>
          <w:tab w:val="clear" w:pos="418"/>
        </w:tabs>
        <w:ind w:left="1080" w:right="1210" w:hanging="270"/>
        <w:jc w:val="both"/>
      </w:pPr>
      <w:r>
        <w:rPr>
          <w:sz w:val="11"/>
        </w:rPr>
        <w:t>210</w:t>
      </w:r>
      <w:r>
        <w:t xml:space="preserve"> </w:t>
      </w:r>
      <w:r>
        <w:rPr>
          <w:lang w:val="en-US"/>
        </w:rPr>
        <w:tab/>
      </w:r>
      <w:r>
        <w:t>НОСЭП-2000.</w:t>
      </w:r>
    </w:p>
  </w:footnote>
  <w:footnote w:id="214">
    <w:p w:rsidR="00000000" w:rsidRDefault="00000000">
      <w:pPr>
        <w:pStyle w:val="FootnoteText"/>
        <w:tabs>
          <w:tab w:val="clear" w:pos="418"/>
        </w:tabs>
        <w:ind w:left="1080" w:right="1210" w:hanging="270"/>
        <w:jc w:val="both"/>
      </w:pPr>
      <w:r>
        <w:rPr>
          <w:sz w:val="11"/>
        </w:rPr>
        <w:t>211</w:t>
      </w:r>
      <w:r>
        <w:t xml:space="preserve"> </w:t>
      </w:r>
      <w:r>
        <w:rPr>
          <w:lang w:val="en-US"/>
        </w:rPr>
        <w:tab/>
      </w:r>
      <w:r>
        <w:t>В качестве средства технической помощи понимаются любые элементы, применение которых требуется в случае инвалидности или нарушений и обеспечивает излечение или реабилитацию таковых, либо предотвращение их развития или трансформации в другую форму инвалидности. Таким образом, к средствам технической помощи относятся элементы, помогающие компенсировать одно или несколько функциональных моторных, сенсорных или когнитивных ограничений лица, имеющего инвалидность, с целью преодоления им/ей барьеров в коммуникации и подвижности, и способствовать его/ее полной интеграции в условия обычной жизни.</w:t>
      </w:r>
    </w:p>
  </w:footnote>
  <w:footnote w:id="215">
    <w:p w:rsidR="00000000" w:rsidRDefault="00000000">
      <w:pPr>
        <w:pStyle w:val="FootnoteText"/>
        <w:tabs>
          <w:tab w:val="clear" w:pos="418"/>
        </w:tabs>
        <w:ind w:left="1080" w:right="1210" w:hanging="270"/>
      </w:pPr>
      <w:r>
        <w:rPr>
          <w:sz w:val="11"/>
        </w:rPr>
        <w:t>212</w:t>
      </w:r>
      <w:r>
        <w:t xml:space="preserve"> </w:t>
      </w:r>
      <w:r>
        <w:rPr>
          <w:lang w:val="en-US"/>
        </w:rPr>
        <w:tab/>
      </w:r>
      <w:r>
        <w:t>Дополнительный критерий.</w:t>
      </w:r>
    </w:p>
  </w:footnote>
  <w:footnote w:id="216">
    <w:p w:rsidR="00000000" w:rsidRDefault="00000000">
      <w:pPr>
        <w:pStyle w:val="FootnoteText"/>
        <w:tabs>
          <w:tab w:val="clear" w:pos="418"/>
        </w:tabs>
        <w:ind w:left="1080" w:right="1210" w:hanging="270"/>
        <w:jc w:val="both"/>
      </w:pPr>
      <w:r>
        <w:rPr>
          <w:sz w:val="11"/>
        </w:rPr>
        <w:t>213</w:t>
      </w:r>
      <w:r>
        <w:tab/>
        <w:t>27 сентября 2002 года в "Официальных ведомостях" был опубликован текст Закона № 19828 о создании Национального управления по делам пожилых лиц, государственного органа с децентрализованными функциями, действующем при Президенте через Генеральный секретариат канцелярии Президента.</w:t>
      </w:r>
    </w:p>
  </w:footnote>
  <w:footnote w:id="217">
    <w:p w:rsidR="00000000" w:rsidRDefault="00000000">
      <w:pPr>
        <w:pStyle w:val="FootnoteText"/>
        <w:tabs>
          <w:tab w:val="clear" w:pos="418"/>
        </w:tabs>
        <w:ind w:left="1080" w:right="1210" w:hanging="270"/>
        <w:jc w:val="both"/>
      </w:pPr>
      <w:r>
        <w:rPr>
          <w:sz w:val="11"/>
        </w:rPr>
        <w:t>214</w:t>
      </w:r>
      <w:r>
        <w:t xml:space="preserve"> Источник: Эпидемиологический вестник Национальной комиссии по СПИДу (НКСПИД) № 14, декабрь 2001. НКСПИД; Министерство образования.</w:t>
      </w:r>
    </w:p>
  </w:footnote>
  <w:footnote w:id="218">
    <w:p w:rsidR="00000000" w:rsidRDefault="00000000">
      <w:pPr>
        <w:pStyle w:val="FootnoteText"/>
        <w:tabs>
          <w:tab w:val="clear" w:pos="418"/>
        </w:tabs>
        <w:ind w:left="1080" w:right="1210" w:hanging="270"/>
        <w:jc w:val="both"/>
      </w:pPr>
      <w:r>
        <w:rPr>
          <w:sz w:val="11"/>
        </w:rPr>
        <w:t>215</w:t>
      </w:r>
      <w:r>
        <w:tab/>
        <w:t>Там же.</w:t>
      </w:r>
    </w:p>
  </w:footnote>
  <w:footnote w:id="219">
    <w:p w:rsidR="00000000" w:rsidRDefault="00000000">
      <w:pPr>
        <w:pStyle w:val="FootnoteText"/>
        <w:tabs>
          <w:tab w:val="clear" w:pos="418"/>
        </w:tabs>
        <w:ind w:left="1080" w:right="1210" w:hanging="270"/>
        <w:jc w:val="both"/>
      </w:pPr>
      <w:r>
        <w:rPr>
          <w:sz w:val="11"/>
        </w:rPr>
        <w:t>216</w:t>
      </w:r>
      <w:r>
        <w:tab/>
        <w:t>Речь идет о передаче инфекции от матери к ребенку во время беременности.</w:t>
      </w:r>
    </w:p>
  </w:footnote>
  <w:footnote w:id="220">
    <w:p w:rsidR="00000000" w:rsidRDefault="00000000">
      <w:pPr>
        <w:pStyle w:val="FootnoteText"/>
        <w:tabs>
          <w:tab w:val="clear" w:pos="418"/>
        </w:tabs>
        <w:ind w:left="1080" w:right="1210" w:hanging="270"/>
        <w:jc w:val="both"/>
      </w:pPr>
      <w:r>
        <w:rPr>
          <w:rStyle w:val="FootnoteReference"/>
        </w:rPr>
        <w:t>217</w:t>
      </w:r>
      <w:r>
        <w:tab/>
        <w:t>Министерство здравоохранения, 2001.</w:t>
      </w:r>
    </w:p>
  </w:footnote>
  <w:footnote w:id="221">
    <w:p w:rsidR="00000000" w:rsidRDefault="00000000">
      <w:pPr>
        <w:pStyle w:val="FootnoteText"/>
        <w:tabs>
          <w:tab w:val="clear" w:pos="418"/>
        </w:tabs>
        <w:ind w:left="1080" w:right="1210" w:hanging="270"/>
        <w:jc w:val="both"/>
      </w:pPr>
      <w:r>
        <w:rPr>
          <w:rStyle w:val="FootnoteReference"/>
        </w:rPr>
        <w:t>218</w:t>
      </w:r>
      <w:r>
        <w:tab/>
        <w:t>Панамериканская организация здравоохранения (ПОЗ), 2000.</w:t>
      </w:r>
    </w:p>
  </w:footnote>
  <w:footnote w:id="222">
    <w:p w:rsidR="00000000" w:rsidRDefault="00000000">
      <w:pPr>
        <w:pStyle w:val="FootnoteText"/>
        <w:tabs>
          <w:tab w:val="clear" w:pos="418"/>
        </w:tabs>
        <w:ind w:left="1080" w:right="1210" w:hanging="270"/>
        <w:jc w:val="both"/>
      </w:pPr>
      <w:r>
        <w:rPr>
          <w:rStyle w:val="FootnoteReference"/>
        </w:rPr>
        <w:t>219</w:t>
      </w:r>
      <w:r>
        <w:tab/>
        <w:t>Необходимо отметить, что в ходе последней кампании по предотвращению заболевания СПИДом, инициированной Министерством здравоохранения в последние месяцы 2003 года, только три из шести открытых каналов телевидения, вещающих на территории всей страны, согласились предоставить эфирное время для роликов, транслируемые в рамках данной государственной кампании.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/C/CHI/4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17 May 2004</w:t>
          </w:r>
        </w:p>
        <w:p w:rsidR="00000000" w:rsidRDefault="00000000">
          <w:pPr>
            <w:rPr>
              <w:lang w:val="en-US"/>
            </w:rPr>
          </w:pPr>
          <w:r>
            <w:rPr>
              <w:lang w:val="en-US"/>
            </w:rPr>
            <w:t>Russian</w:t>
          </w:r>
        </w:p>
        <w:p w:rsidR="00000000" w:rsidRDefault="00000000">
          <w:pPr>
            <w:rPr>
              <w:lang w:val="en-US"/>
            </w:rPr>
          </w:pPr>
          <w:r>
            <w:rPr>
              <w:lang w:val="en-US"/>
            </w:rPr>
            <w:t>Original: Spanish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CEDAW/C/CHI/4</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CEDAW/C/CHI/4</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1">
    <w:nsid w:val="06FF0D37"/>
    <w:multiLevelType w:val="multilevel"/>
    <w:tmpl w:val="2D580E4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2">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8AD0774"/>
    <w:multiLevelType w:val="multilevel"/>
    <w:tmpl w:val="2FFC5BF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8BA78F5"/>
    <w:multiLevelType w:val="singleLevel"/>
    <w:tmpl w:val="F938A33E"/>
    <w:lvl w:ilvl="0">
      <w:numFmt w:val="bullet"/>
      <w:lvlText w:val="-"/>
      <w:lvlJc w:val="left"/>
      <w:pPr>
        <w:tabs>
          <w:tab w:val="num" w:pos="360"/>
        </w:tabs>
        <w:ind w:left="360" w:hanging="360"/>
      </w:pPr>
      <w:rPr>
        <w:rFonts w:hint="default"/>
      </w:rPr>
    </w:lvl>
  </w:abstractNum>
  <w:abstractNum w:abstractNumId="28">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3">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5">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8">
    <w:nsid w:val="0C55490E"/>
    <w:multiLevelType w:val="singleLevel"/>
    <w:tmpl w:val="F938A33E"/>
    <w:lvl w:ilvl="0">
      <w:numFmt w:val="bullet"/>
      <w:lvlText w:val="-"/>
      <w:lvlJc w:val="left"/>
      <w:pPr>
        <w:tabs>
          <w:tab w:val="num" w:pos="360"/>
        </w:tabs>
        <w:ind w:left="360" w:hanging="360"/>
      </w:pPr>
      <w:rPr>
        <w:rFonts w:hint="default"/>
      </w:rPr>
    </w:lvl>
  </w:abstractNum>
  <w:abstractNum w:abstractNumId="39">
    <w:nsid w:val="0CB35F63"/>
    <w:multiLevelType w:val="multilevel"/>
    <w:tmpl w:val="1D103C1A"/>
    <w:lvl w:ilvl="0">
      <w:start w:val="344"/>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42">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5">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0C8709E"/>
    <w:multiLevelType w:val="singleLevel"/>
    <w:tmpl w:val="E556B404"/>
    <w:lvl w:ilvl="0">
      <w:start w:val="1"/>
      <w:numFmt w:val="decimal"/>
      <w:lvlText w:val="%1."/>
      <w:lvlJc w:val="left"/>
      <w:pPr>
        <w:tabs>
          <w:tab w:val="num" w:pos="648"/>
        </w:tabs>
        <w:ind w:left="288" w:firstLine="0"/>
      </w:pPr>
    </w:lvl>
  </w:abstractNum>
  <w:abstractNum w:abstractNumId="47">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50">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51">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2">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126E317D"/>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56">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
    <w:nsid w:val="135420E0"/>
    <w:multiLevelType w:val="singleLevel"/>
    <w:tmpl w:val="05143C68"/>
    <w:lvl w:ilvl="0">
      <w:start w:val="43"/>
      <w:numFmt w:val="decimal"/>
      <w:lvlText w:val="%1."/>
      <w:lvlJc w:val="left"/>
      <w:pPr>
        <w:tabs>
          <w:tab w:val="num" w:pos="648"/>
        </w:tabs>
        <w:ind w:left="360" w:hanging="72"/>
      </w:pPr>
    </w:lvl>
  </w:abstractNum>
  <w:abstractNum w:abstractNumId="59">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60">
    <w:nsid w:val="14C740E3"/>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61">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2">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5D36F16"/>
    <w:multiLevelType w:val="singleLevel"/>
    <w:tmpl w:val="0409000F"/>
    <w:lvl w:ilvl="0">
      <w:start w:val="1"/>
      <w:numFmt w:val="decimal"/>
      <w:lvlText w:val="%1."/>
      <w:lvlJc w:val="left"/>
      <w:pPr>
        <w:tabs>
          <w:tab w:val="num" w:pos="360"/>
        </w:tabs>
        <w:ind w:left="360" w:hanging="360"/>
      </w:pPr>
    </w:lvl>
  </w:abstractNum>
  <w:abstractNum w:abstractNumId="65">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7">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8">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
    <w:nsid w:val="18094EC5"/>
    <w:multiLevelType w:val="singleLevel"/>
    <w:tmpl w:val="0409000F"/>
    <w:lvl w:ilvl="0">
      <w:start w:val="1"/>
      <w:numFmt w:val="decimal"/>
      <w:lvlText w:val="%1."/>
      <w:lvlJc w:val="left"/>
      <w:pPr>
        <w:tabs>
          <w:tab w:val="num" w:pos="360"/>
        </w:tabs>
        <w:ind w:left="360" w:hanging="360"/>
      </w:pPr>
    </w:lvl>
  </w:abstractNum>
  <w:abstractNum w:abstractNumId="70">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1">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2">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5">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8">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9">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1">
    <w:nsid w:val="1F1772A6"/>
    <w:multiLevelType w:val="singleLevel"/>
    <w:tmpl w:val="AA5AC07E"/>
    <w:lvl w:ilvl="0">
      <w:start w:val="132"/>
      <w:numFmt w:val="decimal"/>
      <w:lvlText w:val="%1."/>
      <w:lvlJc w:val="left"/>
      <w:pPr>
        <w:tabs>
          <w:tab w:val="num" w:pos="648"/>
        </w:tabs>
        <w:ind w:left="288" w:firstLine="0"/>
      </w:pPr>
    </w:lvl>
  </w:abstractNum>
  <w:abstractNum w:abstractNumId="82">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3">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221234C1"/>
    <w:multiLevelType w:val="singleLevel"/>
    <w:tmpl w:val="CE0084AC"/>
    <w:lvl w:ilvl="0">
      <w:start w:val="1"/>
      <w:numFmt w:val="decimal"/>
      <w:lvlText w:val="%1."/>
      <w:lvlJc w:val="left"/>
      <w:pPr>
        <w:tabs>
          <w:tab w:val="num" w:pos="360"/>
        </w:tabs>
        <w:ind w:left="360" w:hanging="360"/>
      </w:pPr>
    </w:lvl>
  </w:abstractNum>
  <w:abstractNum w:abstractNumId="86">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7">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0">
    <w:nsid w:val="2518546C"/>
    <w:multiLevelType w:val="singleLevel"/>
    <w:tmpl w:val="0409000F"/>
    <w:lvl w:ilvl="0">
      <w:start w:val="1"/>
      <w:numFmt w:val="decimal"/>
      <w:lvlText w:val="%1."/>
      <w:lvlJc w:val="left"/>
      <w:pPr>
        <w:tabs>
          <w:tab w:val="num" w:pos="360"/>
        </w:tabs>
        <w:ind w:left="360" w:hanging="360"/>
      </w:pPr>
    </w:lvl>
  </w:abstractNum>
  <w:abstractNum w:abstractNumId="91">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2">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67333E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94">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5">
    <w:nsid w:val="281F7A4C"/>
    <w:multiLevelType w:val="multilevel"/>
    <w:tmpl w:val="7034EA74"/>
    <w:lvl w:ilvl="0">
      <w:start w:val="1"/>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7">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8">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9">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0">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1">
    <w:nsid w:val="2A856AD7"/>
    <w:multiLevelType w:val="singleLevel"/>
    <w:tmpl w:val="E556B404"/>
    <w:lvl w:ilvl="0">
      <w:start w:val="1"/>
      <w:numFmt w:val="decimal"/>
      <w:lvlText w:val="%1."/>
      <w:lvlJc w:val="left"/>
      <w:pPr>
        <w:tabs>
          <w:tab w:val="num" w:pos="648"/>
        </w:tabs>
        <w:ind w:left="288" w:firstLine="0"/>
      </w:pPr>
    </w:lvl>
  </w:abstractNum>
  <w:abstractNum w:abstractNumId="102">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3">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4">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5">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6">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7">
    <w:nsid w:val="2F127D9A"/>
    <w:multiLevelType w:val="singleLevel"/>
    <w:tmpl w:val="BBBA8180"/>
    <w:lvl w:ilvl="0">
      <w:numFmt w:val="bullet"/>
      <w:lvlText w:val="-"/>
      <w:lvlJc w:val="left"/>
      <w:pPr>
        <w:tabs>
          <w:tab w:val="num" w:pos="720"/>
        </w:tabs>
        <w:ind w:left="720" w:hanging="720"/>
      </w:pPr>
      <w:rPr>
        <w:rFonts w:hint="default"/>
      </w:rPr>
    </w:lvl>
  </w:abstractNum>
  <w:abstractNum w:abstractNumId="108">
    <w:nsid w:val="2F4A5879"/>
    <w:multiLevelType w:val="singleLevel"/>
    <w:tmpl w:val="F938A33E"/>
    <w:lvl w:ilvl="0">
      <w:numFmt w:val="bullet"/>
      <w:lvlText w:val="-"/>
      <w:lvlJc w:val="left"/>
      <w:pPr>
        <w:tabs>
          <w:tab w:val="num" w:pos="360"/>
        </w:tabs>
        <w:ind w:left="360" w:hanging="360"/>
      </w:pPr>
      <w:rPr>
        <w:rFonts w:hint="default"/>
      </w:rPr>
    </w:lvl>
  </w:abstractNum>
  <w:abstractNum w:abstractNumId="109">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1">
    <w:nsid w:val="2FFC19A7"/>
    <w:multiLevelType w:val="singleLevel"/>
    <w:tmpl w:val="40BE0C7C"/>
    <w:lvl w:ilvl="0">
      <w:start w:val="131"/>
      <w:numFmt w:val="decimal"/>
      <w:lvlText w:val="%1."/>
      <w:lvlJc w:val="left"/>
      <w:pPr>
        <w:tabs>
          <w:tab w:val="num" w:pos="648"/>
        </w:tabs>
        <w:ind w:left="288" w:firstLine="0"/>
      </w:pPr>
    </w:lvl>
  </w:abstractNum>
  <w:abstractNum w:abstractNumId="112">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4">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0">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21">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2">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3">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5">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2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2">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3">
    <w:nsid w:val="391F1A82"/>
    <w:multiLevelType w:val="singleLevel"/>
    <w:tmpl w:val="E0743FFA"/>
    <w:lvl w:ilvl="0">
      <w:start w:val="1"/>
      <w:numFmt w:val="decimal"/>
      <w:lvlText w:val="%1."/>
      <w:lvlJc w:val="left"/>
      <w:pPr>
        <w:tabs>
          <w:tab w:val="num" w:pos="648"/>
        </w:tabs>
        <w:ind w:left="360" w:hanging="72"/>
      </w:pPr>
    </w:lvl>
  </w:abstractNum>
  <w:abstractNum w:abstractNumId="134">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5">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7">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38">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9">
    <w:nsid w:val="3AAB773F"/>
    <w:multiLevelType w:val="singleLevel"/>
    <w:tmpl w:val="F938A33E"/>
    <w:lvl w:ilvl="0">
      <w:numFmt w:val="bullet"/>
      <w:lvlText w:val="-"/>
      <w:lvlJc w:val="left"/>
      <w:pPr>
        <w:tabs>
          <w:tab w:val="num" w:pos="360"/>
        </w:tabs>
        <w:ind w:left="360" w:hanging="360"/>
      </w:pPr>
      <w:rPr>
        <w:rFonts w:hint="default"/>
      </w:rPr>
    </w:lvl>
  </w:abstractNum>
  <w:abstractNum w:abstractNumId="140">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2">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4">
    <w:nsid w:val="3DE81D6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45">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6">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8">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49">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1">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4">
    <w:nsid w:val="411E6E92"/>
    <w:multiLevelType w:val="singleLevel"/>
    <w:tmpl w:val="E0743FFA"/>
    <w:lvl w:ilvl="0">
      <w:start w:val="1"/>
      <w:numFmt w:val="decimal"/>
      <w:lvlText w:val="%1."/>
      <w:lvlJc w:val="left"/>
      <w:pPr>
        <w:tabs>
          <w:tab w:val="num" w:pos="648"/>
        </w:tabs>
        <w:ind w:left="360" w:hanging="72"/>
      </w:pPr>
    </w:lvl>
  </w:abstractNum>
  <w:abstractNum w:abstractNumId="155">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57">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8">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9">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0">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2">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3">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94A6BC7"/>
    <w:multiLevelType w:val="singleLevel"/>
    <w:tmpl w:val="F938A33E"/>
    <w:lvl w:ilvl="0">
      <w:numFmt w:val="bullet"/>
      <w:lvlText w:val="-"/>
      <w:lvlJc w:val="left"/>
      <w:pPr>
        <w:tabs>
          <w:tab w:val="num" w:pos="360"/>
        </w:tabs>
        <w:ind w:left="360" w:hanging="360"/>
      </w:pPr>
      <w:rPr>
        <w:rFonts w:hint="default"/>
      </w:rPr>
    </w:lvl>
  </w:abstractNum>
  <w:abstractNum w:abstractNumId="167">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9">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1">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5">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76">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77">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0">
    <w:nsid w:val="507A1C8B"/>
    <w:multiLevelType w:val="singleLevel"/>
    <w:tmpl w:val="F938A33E"/>
    <w:lvl w:ilvl="0">
      <w:numFmt w:val="bullet"/>
      <w:lvlText w:val="-"/>
      <w:lvlJc w:val="left"/>
      <w:pPr>
        <w:tabs>
          <w:tab w:val="num" w:pos="360"/>
        </w:tabs>
        <w:ind w:left="360" w:hanging="360"/>
      </w:pPr>
      <w:rPr>
        <w:rFonts w:hint="default"/>
      </w:rPr>
    </w:lvl>
  </w:abstractNum>
  <w:abstractNum w:abstractNumId="181">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2">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3">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85">
    <w:nsid w:val="52C34885"/>
    <w:multiLevelType w:val="singleLevel"/>
    <w:tmpl w:val="E556B404"/>
    <w:lvl w:ilvl="0">
      <w:start w:val="1"/>
      <w:numFmt w:val="decimal"/>
      <w:lvlText w:val="%1."/>
      <w:lvlJc w:val="left"/>
      <w:pPr>
        <w:tabs>
          <w:tab w:val="num" w:pos="648"/>
        </w:tabs>
        <w:ind w:left="288" w:firstLine="0"/>
      </w:pPr>
    </w:lvl>
  </w:abstractNum>
  <w:abstractNum w:abstractNumId="186">
    <w:nsid w:val="52F00051"/>
    <w:multiLevelType w:val="singleLevel"/>
    <w:tmpl w:val="E556B404"/>
    <w:lvl w:ilvl="0">
      <w:start w:val="1"/>
      <w:numFmt w:val="decimal"/>
      <w:lvlText w:val="%1."/>
      <w:lvlJc w:val="left"/>
      <w:pPr>
        <w:tabs>
          <w:tab w:val="num" w:pos="648"/>
        </w:tabs>
        <w:ind w:left="288" w:firstLine="0"/>
      </w:pPr>
    </w:lvl>
  </w:abstractNum>
  <w:abstractNum w:abstractNumId="187">
    <w:nsid w:val="53081281"/>
    <w:multiLevelType w:val="singleLevel"/>
    <w:tmpl w:val="E556B404"/>
    <w:lvl w:ilvl="0">
      <w:start w:val="1"/>
      <w:numFmt w:val="decimal"/>
      <w:lvlText w:val="%1."/>
      <w:lvlJc w:val="left"/>
      <w:pPr>
        <w:tabs>
          <w:tab w:val="num" w:pos="648"/>
        </w:tabs>
        <w:ind w:left="288" w:firstLine="0"/>
      </w:pPr>
    </w:lvl>
  </w:abstractNum>
  <w:abstractNum w:abstractNumId="188">
    <w:nsid w:val="54C24DB7"/>
    <w:multiLevelType w:val="singleLevel"/>
    <w:tmpl w:val="79D089C4"/>
    <w:lvl w:ilvl="0">
      <w:start w:val="1"/>
      <w:numFmt w:val="decimal"/>
      <w:lvlText w:val="%1."/>
      <w:lvlJc w:val="left"/>
      <w:pPr>
        <w:tabs>
          <w:tab w:val="num" w:pos="360"/>
        </w:tabs>
        <w:ind w:left="0" w:firstLine="0"/>
      </w:pPr>
    </w:lvl>
  </w:abstractNum>
  <w:abstractNum w:abstractNumId="189">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560E1ED1"/>
    <w:multiLevelType w:val="singleLevel"/>
    <w:tmpl w:val="0409000F"/>
    <w:lvl w:ilvl="0">
      <w:start w:val="1"/>
      <w:numFmt w:val="decimal"/>
      <w:lvlText w:val="%1."/>
      <w:lvlJc w:val="left"/>
      <w:pPr>
        <w:tabs>
          <w:tab w:val="num" w:pos="360"/>
        </w:tabs>
        <w:ind w:left="360" w:hanging="360"/>
      </w:pPr>
    </w:lvl>
  </w:abstractNum>
  <w:abstractNum w:abstractNumId="191">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2">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3">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94">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95">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96">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7">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8">
    <w:nsid w:val="5B1738B9"/>
    <w:multiLevelType w:val="singleLevel"/>
    <w:tmpl w:val="0409000F"/>
    <w:lvl w:ilvl="0">
      <w:start w:val="1"/>
      <w:numFmt w:val="decimal"/>
      <w:lvlText w:val="%1."/>
      <w:lvlJc w:val="left"/>
      <w:pPr>
        <w:tabs>
          <w:tab w:val="num" w:pos="360"/>
        </w:tabs>
        <w:ind w:left="360" w:hanging="360"/>
      </w:pPr>
    </w:lvl>
  </w:abstractNum>
  <w:abstractNum w:abstractNumId="199">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0">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5B9476C9"/>
    <w:multiLevelType w:val="singleLevel"/>
    <w:tmpl w:val="E0743FFA"/>
    <w:lvl w:ilvl="0">
      <w:start w:val="1"/>
      <w:numFmt w:val="decimal"/>
      <w:lvlText w:val="%1."/>
      <w:lvlJc w:val="left"/>
      <w:pPr>
        <w:tabs>
          <w:tab w:val="num" w:pos="648"/>
        </w:tabs>
        <w:ind w:left="360" w:hanging="72"/>
      </w:pPr>
    </w:lvl>
  </w:abstractNum>
  <w:abstractNum w:abstractNumId="202">
    <w:nsid w:val="5BAB79B9"/>
    <w:multiLevelType w:val="singleLevel"/>
    <w:tmpl w:val="0409000F"/>
    <w:lvl w:ilvl="0">
      <w:start w:val="1"/>
      <w:numFmt w:val="decimal"/>
      <w:lvlText w:val="%1."/>
      <w:lvlJc w:val="left"/>
      <w:pPr>
        <w:tabs>
          <w:tab w:val="num" w:pos="360"/>
        </w:tabs>
        <w:ind w:left="360" w:hanging="360"/>
      </w:pPr>
    </w:lvl>
  </w:abstractNum>
  <w:abstractNum w:abstractNumId="203">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5">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6">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7">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08">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0">
    <w:nsid w:val="602827E8"/>
    <w:multiLevelType w:val="singleLevel"/>
    <w:tmpl w:val="79D089C4"/>
    <w:lvl w:ilvl="0">
      <w:start w:val="1"/>
      <w:numFmt w:val="decimal"/>
      <w:lvlText w:val="%1."/>
      <w:lvlJc w:val="left"/>
      <w:pPr>
        <w:tabs>
          <w:tab w:val="num" w:pos="360"/>
        </w:tabs>
        <w:ind w:left="0" w:firstLine="0"/>
      </w:pPr>
    </w:lvl>
  </w:abstractNum>
  <w:abstractNum w:abstractNumId="211">
    <w:nsid w:val="605C02FF"/>
    <w:multiLevelType w:val="singleLevel"/>
    <w:tmpl w:val="77743DB6"/>
    <w:lvl w:ilvl="0">
      <w:start w:val="1"/>
      <w:numFmt w:val="lowerLetter"/>
      <w:lvlText w:val="(%1)"/>
      <w:lvlJc w:val="left"/>
      <w:pPr>
        <w:tabs>
          <w:tab w:val="num" w:pos="360"/>
        </w:tabs>
        <w:ind w:left="360" w:hanging="360"/>
      </w:pPr>
    </w:lvl>
  </w:abstractNum>
  <w:abstractNum w:abstractNumId="212">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13">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15">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7">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18">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19">
    <w:nsid w:val="625A5FCE"/>
    <w:multiLevelType w:val="singleLevel"/>
    <w:tmpl w:val="F938A33E"/>
    <w:lvl w:ilvl="0">
      <w:numFmt w:val="bullet"/>
      <w:lvlText w:val="-"/>
      <w:lvlJc w:val="left"/>
      <w:pPr>
        <w:tabs>
          <w:tab w:val="num" w:pos="360"/>
        </w:tabs>
        <w:ind w:left="360" w:hanging="360"/>
      </w:pPr>
      <w:rPr>
        <w:rFonts w:hint="default"/>
      </w:rPr>
    </w:lvl>
  </w:abstractNum>
  <w:abstractNum w:abstractNumId="220">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1">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22">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3">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25">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6">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27">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8">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29">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0">
    <w:nsid w:val="67197D68"/>
    <w:multiLevelType w:val="singleLevel"/>
    <w:tmpl w:val="0409000F"/>
    <w:lvl w:ilvl="0">
      <w:start w:val="1"/>
      <w:numFmt w:val="decimal"/>
      <w:lvlText w:val="%1."/>
      <w:lvlJc w:val="left"/>
      <w:pPr>
        <w:tabs>
          <w:tab w:val="num" w:pos="360"/>
        </w:tabs>
        <w:ind w:left="360" w:hanging="360"/>
      </w:pPr>
    </w:lvl>
  </w:abstractNum>
  <w:abstractNum w:abstractNumId="231">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4">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5">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6">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37">
    <w:nsid w:val="6B8773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38">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0">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1">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2">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46">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47">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48">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49">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0">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2">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55">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56">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7">
    <w:nsid w:val="7A2660E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58">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9">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0">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2">
    <w:nsid w:val="7F401B4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63">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4"/>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41"/>
  </w:num>
  <w:num w:numId="13">
    <w:abstractNumId w:val="182"/>
  </w:num>
  <w:num w:numId="14">
    <w:abstractNumId w:val="9"/>
  </w:num>
  <w:num w:numId="15">
    <w:abstractNumId w:val="246"/>
  </w:num>
  <w:num w:numId="16">
    <w:abstractNumId w:val="221"/>
  </w:num>
  <w:num w:numId="17">
    <w:abstractNumId w:val="209"/>
  </w:num>
  <w:num w:numId="18">
    <w:abstractNumId w:val="71"/>
  </w:num>
  <w:num w:numId="19">
    <w:abstractNumId w:val="212"/>
  </w:num>
  <w:num w:numId="20">
    <w:abstractNumId w:val="156"/>
  </w:num>
  <w:num w:numId="21">
    <w:abstractNumId w:val="248"/>
  </w:num>
  <w:num w:numId="22">
    <w:abstractNumId w:val="113"/>
  </w:num>
  <w:num w:numId="23">
    <w:abstractNumId w:val="123"/>
  </w:num>
  <w:num w:numId="24">
    <w:abstractNumId w:val="193"/>
  </w:num>
  <w:num w:numId="25">
    <w:abstractNumId w:val="89"/>
  </w:num>
  <w:num w:numId="26">
    <w:abstractNumId w:val="127"/>
  </w:num>
  <w:num w:numId="27">
    <w:abstractNumId w:val="228"/>
  </w:num>
  <w:num w:numId="28">
    <w:abstractNumId w:val="70"/>
  </w:num>
  <w:num w:numId="29">
    <w:abstractNumId w:val="58"/>
  </w:num>
  <w:num w:numId="30">
    <w:abstractNumId w:val="201"/>
  </w:num>
  <w:num w:numId="31">
    <w:abstractNumId w:val="154"/>
  </w:num>
  <w:num w:numId="32">
    <w:abstractNumId w:val="133"/>
  </w:num>
  <w:num w:numId="33">
    <w:abstractNumId w:val="64"/>
  </w:num>
  <w:num w:numId="34">
    <w:abstractNumId w:val="230"/>
  </w:num>
  <w:num w:numId="35">
    <w:abstractNumId w:val="198"/>
  </w:num>
  <w:num w:numId="36">
    <w:abstractNumId w:val="202"/>
  </w:num>
  <w:num w:numId="37">
    <w:abstractNumId w:val="210"/>
  </w:num>
  <w:num w:numId="38">
    <w:abstractNumId w:val="254"/>
  </w:num>
  <w:num w:numId="39">
    <w:abstractNumId w:val="170"/>
  </w:num>
  <w:num w:numId="40">
    <w:abstractNumId w:val="184"/>
  </w:num>
  <w:num w:numId="41">
    <w:abstractNumId w:val="166"/>
  </w:num>
  <w:num w:numId="42">
    <w:abstractNumId w:val="38"/>
  </w:num>
  <w:num w:numId="43">
    <w:abstractNumId w:val="219"/>
  </w:num>
  <w:num w:numId="44">
    <w:abstractNumId w:val="108"/>
  </w:num>
  <w:num w:numId="45">
    <w:abstractNumId w:val="180"/>
  </w:num>
  <w:num w:numId="46">
    <w:abstractNumId w:val="139"/>
  </w:num>
  <w:num w:numId="47">
    <w:abstractNumId w:val="27"/>
  </w:num>
  <w:num w:numId="48">
    <w:abstractNumId w:val="107"/>
  </w:num>
  <w:num w:numId="49">
    <w:abstractNumId w:val="199"/>
  </w:num>
  <w:num w:numId="50">
    <w:abstractNumId w:val="74"/>
  </w:num>
  <w:num w:numId="51">
    <w:abstractNumId w:val="34"/>
  </w:num>
  <w:num w:numId="52">
    <w:abstractNumId w:val="62"/>
  </w:num>
  <w:num w:numId="53">
    <w:abstractNumId w:val="22"/>
  </w:num>
  <w:num w:numId="54">
    <w:abstractNumId w:val="188"/>
  </w:num>
  <w:num w:numId="55">
    <w:abstractNumId w:val="69"/>
  </w:num>
  <w:num w:numId="56">
    <w:abstractNumId w:val="80"/>
  </w:num>
  <w:num w:numId="57">
    <w:abstractNumId w:val="44"/>
  </w:num>
  <w:num w:numId="58">
    <w:abstractNumId w:val="224"/>
  </w:num>
  <w:num w:numId="59">
    <w:abstractNumId w:val="31"/>
  </w:num>
  <w:num w:numId="60">
    <w:abstractNumId w:val="85"/>
  </w:num>
  <w:num w:numId="61">
    <w:abstractNumId w:val="207"/>
  </w:num>
  <w:num w:numId="62">
    <w:abstractNumId w:val="141"/>
  </w:num>
  <w:num w:numId="63">
    <w:abstractNumId w:val="263"/>
  </w:num>
  <w:num w:numId="64">
    <w:abstractNumId w:val="145"/>
  </w:num>
  <w:num w:numId="65">
    <w:abstractNumId w:val="66"/>
  </w:num>
  <w:num w:numId="66">
    <w:abstractNumId w:val="41"/>
  </w:num>
  <w:num w:numId="67">
    <w:abstractNumId w:val="37"/>
  </w:num>
  <w:num w:numId="68">
    <w:abstractNumId w:val="122"/>
  </w:num>
  <w:num w:numId="69">
    <w:abstractNumId w:val="61"/>
  </w:num>
  <w:num w:numId="70">
    <w:abstractNumId w:val="216"/>
  </w:num>
  <w:num w:numId="71">
    <w:abstractNumId w:val="121"/>
  </w:num>
  <w:num w:numId="72">
    <w:abstractNumId w:val="211"/>
  </w:num>
  <w:num w:numId="73">
    <w:abstractNumId w:val="78"/>
  </w:num>
  <w:num w:numId="74">
    <w:abstractNumId w:val="162"/>
  </w:num>
  <w:num w:numId="75">
    <w:abstractNumId w:val="96"/>
  </w:num>
  <w:num w:numId="76">
    <w:abstractNumId w:val="32"/>
  </w:num>
  <w:num w:numId="77">
    <w:abstractNumId w:val="195"/>
  </w:num>
  <w:num w:numId="78">
    <w:abstractNumId w:val="67"/>
  </w:num>
  <w:num w:numId="79">
    <w:abstractNumId w:val="159"/>
  </w:num>
  <w:num w:numId="80">
    <w:abstractNumId w:val="249"/>
  </w:num>
  <w:num w:numId="81">
    <w:abstractNumId w:val="97"/>
  </w:num>
  <w:num w:numId="82">
    <w:abstractNumId w:val="16"/>
  </w:num>
  <w:num w:numId="83">
    <w:abstractNumId w:val="217"/>
  </w:num>
  <w:num w:numId="84">
    <w:abstractNumId w:val="103"/>
  </w:num>
  <w:num w:numId="85">
    <w:abstractNumId w:val="98"/>
  </w:num>
  <w:num w:numId="86">
    <w:abstractNumId w:val="190"/>
  </w:num>
  <w:num w:numId="87">
    <w:abstractNumId w:val="185"/>
  </w:num>
  <w:num w:numId="88">
    <w:abstractNumId w:val="186"/>
  </w:num>
  <w:num w:numId="89">
    <w:abstractNumId w:val="187"/>
  </w:num>
  <w:num w:numId="90">
    <w:abstractNumId w:val="46"/>
  </w:num>
  <w:num w:numId="91">
    <w:abstractNumId w:val="101"/>
  </w:num>
  <w:num w:numId="92">
    <w:abstractNumId w:val="81"/>
  </w:num>
  <w:num w:numId="93">
    <w:abstractNumId w:val="111"/>
  </w:num>
  <w:num w:numId="94">
    <w:abstractNumId w:val="83"/>
  </w:num>
  <w:num w:numId="95">
    <w:abstractNumId w:val="177"/>
  </w:num>
  <w:num w:numId="96">
    <w:abstractNumId w:val="235"/>
  </w:num>
  <w:num w:numId="97">
    <w:abstractNumId w:val="10"/>
  </w:num>
  <w:num w:numId="98">
    <w:abstractNumId w:val="149"/>
  </w:num>
  <w:num w:numId="99">
    <w:abstractNumId w:val="87"/>
  </w:num>
  <w:num w:numId="100">
    <w:abstractNumId w:val="17"/>
  </w:num>
  <w:num w:numId="101">
    <w:abstractNumId w:val="86"/>
  </w:num>
  <w:num w:numId="102">
    <w:abstractNumId w:val="51"/>
  </w:num>
  <w:num w:numId="103">
    <w:abstractNumId w:val="169"/>
  </w:num>
  <w:num w:numId="104">
    <w:abstractNumId w:val="73"/>
  </w:num>
  <w:num w:numId="105">
    <w:abstractNumId w:val="11"/>
  </w:num>
  <w:num w:numId="106">
    <w:abstractNumId w:val="48"/>
  </w:num>
  <w:num w:numId="107">
    <w:abstractNumId w:val="194"/>
  </w:num>
  <w:num w:numId="108">
    <w:abstractNumId w:val="23"/>
  </w:num>
  <w:num w:numId="109">
    <w:abstractNumId w:val="245"/>
  </w:num>
  <w:num w:numId="110">
    <w:abstractNumId w:val="151"/>
  </w:num>
  <w:num w:numId="111">
    <w:abstractNumId w:val="112"/>
  </w:num>
  <w:num w:numId="112">
    <w:abstractNumId w:val="200"/>
  </w:num>
  <w:num w:numId="113">
    <w:abstractNumId w:val="88"/>
  </w:num>
  <w:num w:numId="114">
    <w:abstractNumId w:val="176"/>
  </w:num>
  <w:num w:numId="115">
    <w:abstractNumId w:val="75"/>
  </w:num>
  <w:num w:numId="116">
    <w:abstractNumId w:val="79"/>
  </w:num>
  <w:num w:numId="117">
    <w:abstractNumId w:val="47"/>
  </w:num>
  <w:num w:numId="118">
    <w:abstractNumId w:val="82"/>
  </w:num>
  <w:num w:numId="119">
    <w:abstractNumId w:val="164"/>
  </w:num>
  <w:num w:numId="120">
    <w:abstractNumId w:val="247"/>
  </w:num>
  <w:num w:numId="121">
    <w:abstractNumId w:val="252"/>
  </w:num>
  <w:num w:numId="122">
    <w:abstractNumId w:val="43"/>
  </w:num>
  <w:num w:numId="123">
    <w:abstractNumId w:val="137"/>
  </w:num>
  <w:num w:numId="124">
    <w:abstractNumId w:val="35"/>
  </w:num>
  <w:num w:numId="125">
    <w:abstractNumId w:val="174"/>
  </w:num>
  <w:num w:numId="126">
    <w:abstractNumId w:val="155"/>
  </w:num>
  <w:num w:numId="127">
    <w:abstractNumId w:val="240"/>
  </w:num>
  <w:num w:numId="128">
    <w:abstractNumId w:val="142"/>
  </w:num>
  <w:num w:numId="129">
    <w:abstractNumId w:val="140"/>
  </w:num>
  <w:num w:numId="130">
    <w:abstractNumId w:val="171"/>
  </w:num>
  <w:num w:numId="131">
    <w:abstractNumId w:val="99"/>
  </w:num>
  <w:num w:numId="132">
    <w:abstractNumId w:val="206"/>
  </w:num>
  <w:num w:numId="133">
    <w:abstractNumId w:val="213"/>
  </w:num>
  <w:num w:numId="134">
    <w:abstractNumId w:val="173"/>
  </w:num>
  <w:num w:numId="135">
    <w:abstractNumId w:val="146"/>
  </w:num>
  <w:num w:numId="136">
    <w:abstractNumId w:val="15"/>
  </w:num>
  <w:num w:numId="137">
    <w:abstractNumId w:val="105"/>
  </w:num>
  <w:num w:numId="138">
    <w:abstractNumId w:val="106"/>
  </w:num>
  <w:num w:numId="139">
    <w:abstractNumId w:val="236"/>
  </w:num>
  <w:num w:numId="140">
    <w:abstractNumId w:val="255"/>
  </w:num>
  <w:num w:numId="141">
    <w:abstractNumId w:val="77"/>
  </w:num>
  <w:num w:numId="142">
    <w:abstractNumId w:val="45"/>
  </w:num>
  <w:num w:numId="143">
    <w:abstractNumId w:val="131"/>
  </w:num>
  <w:num w:numId="144">
    <w:abstractNumId w:val="179"/>
  </w:num>
  <w:num w:numId="145">
    <w:abstractNumId w:val="19"/>
  </w:num>
  <w:num w:numId="146">
    <w:abstractNumId w:val="208"/>
  </w:num>
  <w:num w:numId="147">
    <w:abstractNumId w:val="52"/>
  </w:num>
  <w:num w:numId="148">
    <w:abstractNumId w:val="148"/>
  </w:num>
  <w:num w:numId="149">
    <w:abstractNumId w:val="222"/>
  </w:num>
  <w:num w:numId="150">
    <w:abstractNumId w:val="260"/>
  </w:num>
  <w:num w:numId="151">
    <w:abstractNumId w:val="2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61"/>
  </w:num>
  <w:num w:numId="153">
    <w:abstractNumId w:val="26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25"/>
  </w:num>
  <w:num w:numId="155">
    <w:abstractNumId w:val="22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14"/>
  </w:num>
  <w:num w:numId="157">
    <w:abstractNumId w:val="233"/>
  </w:num>
  <w:num w:numId="158">
    <w:abstractNumId w:val="36"/>
  </w:num>
  <w:num w:numId="159">
    <w:abstractNumId w:val="57"/>
  </w:num>
  <w:num w:numId="160">
    <w:abstractNumId w:val="49"/>
  </w:num>
  <w:num w:numId="161">
    <w:abstractNumId w:val="253"/>
  </w:num>
  <w:num w:numId="162">
    <w:abstractNumId w:val="205"/>
  </w:num>
  <w:num w:numId="163">
    <w:abstractNumId w:val="20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3"/>
  </w:num>
  <w:num w:numId="165">
    <w:abstractNumId w:val="1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6"/>
  </w:num>
  <w:num w:numId="167">
    <w:abstractNumId w:val="204"/>
  </w:num>
  <w:num w:numId="168">
    <w:abstractNumId w:val="40"/>
  </w:num>
  <w:num w:numId="169">
    <w:abstractNumId w:val="197"/>
  </w:num>
  <w:num w:numId="170">
    <w:abstractNumId w:val="197"/>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58"/>
  </w:num>
  <w:num w:numId="174">
    <w:abstractNumId w:val="2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2"/>
  </w:num>
  <w:num w:numId="176">
    <w:abstractNumId w:val="9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20"/>
  </w:num>
  <w:num w:numId="178">
    <w:abstractNumId w:val="251"/>
  </w:num>
  <w:num w:numId="179">
    <w:abstractNumId w:val="226"/>
  </w:num>
  <w:num w:numId="180">
    <w:abstractNumId w:val="163"/>
  </w:num>
  <w:num w:numId="181">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3"/>
  </w:num>
  <w:num w:numId="183">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34"/>
  </w:num>
  <w:num w:numId="185">
    <w:abstractNumId w:val="126"/>
  </w:num>
  <w:num w:numId="186">
    <w:abstractNumId w:val="128"/>
  </w:num>
  <w:num w:numId="187">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0"/>
  </w:num>
  <w:num w:numId="189">
    <w:abstractNumId w:val="1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67"/>
  </w:num>
  <w:num w:numId="191">
    <w:abstractNumId w:val="1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7"/>
  </w:num>
  <w:num w:numId="193">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38"/>
  </w:num>
  <w:num w:numId="195">
    <w:abstractNumId w:val="65"/>
  </w:num>
  <w:num w:numId="196">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4"/>
  </w:num>
  <w:num w:numId="198">
    <w:abstractNumId w:val="114"/>
  </w:num>
  <w:num w:numId="199">
    <w:abstractNumId w:val="11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27"/>
  </w:num>
  <w:num w:numId="201">
    <w:abstractNumId w:val="175"/>
  </w:num>
  <w:num w:numId="202">
    <w:abstractNumId w:val="54"/>
  </w:num>
  <w:num w:numId="203">
    <w:abstractNumId w:val="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0"/>
  </w:num>
  <w:num w:numId="205">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6"/>
  </w:num>
  <w:num w:numId="207">
    <w:abstractNumId w:val="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9"/>
  </w:num>
  <w:num w:numId="209">
    <w:abstractNumId w:val="1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196"/>
  </w:num>
  <w:num w:numId="211">
    <w:abstractNumId w:val="19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68"/>
  </w:num>
  <w:num w:numId="213">
    <w:abstractNumId w:val="110"/>
  </w:num>
  <w:num w:numId="214">
    <w:abstractNumId w:val="172"/>
  </w:num>
  <w:num w:numId="215">
    <w:abstractNumId w:val="104"/>
  </w:num>
  <w:num w:numId="216">
    <w:abstractNumId w:val="10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2"/>
  </w:num>
  <w:num w:numId="218">
    <w:abstractNumId w:val="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0"/>
  </w:num>
  <w:num w:numId="220">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44"/>
  </w:num>
  <w:num w:numId="222">
    <w:abstractNumId w:val="24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6"/>
  </w:num>
  <w:num w:numId="224">
    <w:abstractNumId w:val="13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4"/>
  </w:num>
  <w:num w:numId="226">
    <w:abstractNumId w:val="94"/>
  </w:num>
  <w:num w:numId="227">
    <w:abstractNumId w:val="232"/>
  </w:num>
  <w:num w:numId="228">
    <w:abstractNumId w:val="2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7"/>
  </w:num>
  <w:num w:numId="230">
    <w:abstractNumId w:val="165"/>
  </w:num>
  <w:num w:numId="231">
    <w:abstractNumId w:val="203"/>
  </w:num>
  <w:num w:numId="232">
    <w:abstractNumId w:val="76"/>
  </w:num>
  <w:num w:numId="233">
    <w:abstractNumId w:val="181"/>
  </w:num>
  <w:num w:numId="234">
    <w:abstractNumId w:val="143"/>
  </w:num>
  <w:num w:numId="235">
    <w:abstractNumId w:val="14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18"/>
  </w:num>
  <w:num w:numId="237">
    <w:abstractNumId w:val="157"/>
  </w:num>
  <w:num w:numId="238">
    <w:abstractNumId w:val="15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2"/>
  </w:num>
  <w:num w:numId="240">
    <w:abstractNumId w:val="118"/>
  </w:num>
  <w:num w:numId="241">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50"/>
  </w:num>
  <w:num w:numId="243">
    <w:abstractNumId w:val="14"/>
  </w:num>
  <w:num w:numId="244">
    <w:abstractNumId w:val="59"/>
  </w:num>
  <w:num w:numId="245">
    <w:abstractNumId w:val="68"/>
  </w:num>
  <w:num w:numId="246">
    <w:abstractNumId w:val="6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2"/>
  </w:num>
  <w:num w:numId="248">
    <w:abstractNumId w:val="125"/>
  </w:num>
  <w:num w:numId="249">
    <w:abstractNumId w:val="259"/>
  </w:num>
  <w:num w:numId="250">
    <w:abstractNumId w:val="91"/>
  </w:num>
  <w:num w:numId="251">
    <w:abstractNumId w:val="243"/>
  </w:num>
  <w:num w:numId="252">
    <w:abstractNumId w:val="158"/>
  </w:num>
  <w:num w:numId="253">
    <w:abstractNumId w:val="215"/>
  </w:num>
  <w:num w:numId="254">
    <w:abstractNumId w:val="2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1"/>
  </w:num>
  <w:num w:numId="256">
    <w:abstractNumId w:val="19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39"/>
  </w:num>
  <w:num w:numId="258">
    <w:abstractNumId w:val="2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3"/>
  </w:num>
  <w:num w:numId="260">
    <w:abstractNumId w:val="129"/>
  </w:num>
  <w:num w:numId="261">
    <w:abstractNumId w:val="13"/>
  </w:num>
  <w:num w:numId="262">
    <w:abstractNumId w:val="231"/>
  </w:num>
  <w:num w:numId="263">
    <w:abstractNumId w:val="178"/>
  </w:num>
  <w:num w:numId="264">
    <w:abstractNumId w:val="150"/>
  </w:num>
  <w:num w:numId="265">
    <w:abstractNumId w:val="84"/>
  </w:num>
  <w:num w:numId="266">
    <w:abstractNumId w:val="12"/>
  </w:num>
  <w:num w:numId="267">
    <w:abstractNumId w:val="250"/>
  </w:num>
  <w:num w:numId="268">
    <w:abstractNumId w:val="229"/>
  </w:num>
  <w:num w:numId="269">
    <w:abstractNumId w:val="192"/>
  </w:num>
  <w:num w:numId="270">
    <w:abstractNumId w:val="33"/>
  </w:num>
  <w:num w:numId="271">
    <w:abstractNumId w:val="256"/>
  </w:num>
  <w:num w:numId="272">
    <w:abstractNumId w:val="25"/>
  </w:num>
  <w:num w:numId="273">
    <w:abstractNumId w:val="135"/>
  </w:num>
  <w:num w:numId="274">
    <w:abstractNumId w:val="109"/>
  </w:num>
  <w:num w:numId="275">
    <w:abstractNumId w:val="115"/>
  </w:num>
  <w:num w:numId="276">
    <w:abstractNumId w:val="53"/>
  </w:num>
  <w:num w:numId="277">
    <w:abstractNumId w:val="223"/>
  </w:num>
  <w:num w:numId="278">
    <w:abstractNumId w:val="42"/>
  </w:num>
  <w:num w:numId="279">
    <w:abstractNumId w:val="30"/>
  </w:num>
  <w:num w:numId="280">
    <w:abstractNumId w:val="242"/>
  </w:num>
  <w:num w:numId="281">
    <w:abstractNumId w:val="152"/>
  </w:num>
  <w:num w:numId="282">
    <w:abstractNumId w:val="28"/>
  </w:num>
  <w:num w:numId="283">
    <w:abstractNumId w:val="29"/>
  </w:num>
  <w:num w:numId="284">
    <w:abstractNumId w:val="238"/>
  </w:num>
  <w:num w:numId="285">
    <w:abstractNumId w:val="189"/>
  </w:num>
  <w:num w:numId="286">
    <w:abstractNumId w:val="7"/>
  </w:num>
  <w:num w:numId="287">
    <w:abstractNumId w:val="6"/>
  </w:num>
  <w:num w:numId="288">
    <w:abstractNumId w:val="5"/>
  </w:num>
  <w:num w:numId="289">
    <w:abstractNumId w:val="4"/>
  </w:num>
  <w:num w:numId="290">
    <w:abstractNumId w:val="20"/>
  </w:num>
  <w:num w:numId="291">
    <w:abstractNumId w:val="120"/>
  </w:num>
  <w:num w:numId="292">
    <w:abstractNumId w:val="161"/>
  </w:num>
  <w:num w:numId="293">
    <w:abstractNumId w:val="237"/>
  </w:num>
  <w:num w:numId="294">
    <w:abstractNumId w:val="90"/>
  </w:num>
  <w:num w:numId="295">
    <w:abstractNumId w:val="257"/>
  </w:num>
  <w:num w:numId="296">
    <w:abstractNumId w:val="60"/>
  </w:num>
  <w:num w:numId="297">
    <w:abstractNumId w:val="262"/>
  </w:num>
  <w:num w:numId="298">
    <w:abstractNumId w:val="93"/>
  </w:num>
  <w:num w:numId="299">
    <w:abstractNumId w:val="55"/>
  </w:num>
  <w:num w:numId="300">
    <w:abstractNumId w:val="144"/>
  </w:num>
  <w:num w:numId="301">
    <w:abstractNumId w:val="95"/>
  </w:num>
  <w:num w:numId="302">
    <w:abstractNumId w:val="21"/>
  </w:num>
  <w:num w:numId="303">
    <w:abstractNumId w:val="26"/>
  </w:num>
  <w:num w:numId="30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lang="en-US" w:vendorID="8" w:dllVersion="513"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39808</Words>
  <Characters>226909</Characters>
  <Application>Microsoft Office Word</Application>
  <DocSecurity>4</DocSecurity>
  <Lines>1890</Lines>
  <Paragraphs>453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278660</CharactersWithSpaces>
  <SharedDoc>false</SharedDoc>
  <HLinks>
    <vt:vector size="6" baseType="variant">
      <vt:variant>
        <vt:i4>4522087</vt:i4>
      </vt:variant>
      <vt:variant>
        <vt:i4>629928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2004-08-16T08:58:00Z</cp:lastPrinted>
  <dcterms:created xsi:type="dcterms:W3CDTF">2004-08-16T08:51:00Z</dcterms:created>
  <dcterms:modified xsi:type="dcterms:W3CDTF">2004-08-16T09:27:00Z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104</vt:lpwstr>
  </property>
  <property fmtid="{D5CDD505-2E9C-101B-9397-08002B2CF9AE}" pid="8" name="Operator">
    <vt:lpwstr>Panichkina</vt:lpwstr>
  </property>
</Properties>
</file>