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CA35DF" w14:paraId="7EDBD4B3" w14:textId="77777777" w:rsidTr="00B456A0">
        <w:trPr>
          <w:trHeight w:hRule="exact" w:val="810"/>
        </w:trPr>
        <w:tc>
          <w:tcPr>
            <w:tcW w:w="1266" w:type="dxa"/>
            <w:tcBorders>
              <w:top w:val="nil"/>
              <w:bottom w:val="single" w:sz="4" w:space="0" w:color="auto"/>
            </w:tcBorders>
            <w:shd w:val="clear" w:color="auto" w:fill="auto"/>
          </w:tcPr>
          <w:p w14:paraId="0E16F36C" w14:textId="77777777" w:rsidR="00712059" w:rsidRPr="00CA35DF" w:rsidRDefault="00712059" w:rsidP="007A52A9">
            <w:pPr>
              <w:kinsoku w:val="0"/>
              <w:overflowPunct w:val="0"/>
              <w:autoSpaceDE w:val="0"/>
              <w:autoSpaceDN w:val="0"/>
              <w:adjustRightInd w:val="0"/>
              <w:snapToGrid w:val="0"/>
              <w:spacing w:after="80" w:line="480" w:lineRule="exact"/>
              <w:rPr>
                <w:rFonts w:hint="cs"/>
                <w:szCs w:val="40"/>
                <w:rtl/>
              </w:rPr>
            </w:pPr>
          </w:p>
        </w:tc>
        <w:tc>
          <w:tcPr>
            <w:tcW w:w="4767" w:type="dxa"/>
            <w:tcBorders>
              <w:top w:val="nil"/>
              <w:bottom w:val="single" w:sz="4" w:space="0" w:color="auto"/>
            </w:tcBorders>
            <w:shd w:val="clear" w:color="auto" w:fill="auto"/>
            <w:vAlign w:val="bottom"/>
          </w:tcPr>
          <w:p w14:paraId="21851D6D" w14:textId="77777777" w:rsidR="006B3E27" w:rsidRPr="00CA35DF" w:rsidRDefault="006B3E27" w:rsidP="00E2697F">
            <w:pPr>
              <w:spacing w:after="80" w:line="480" w:lineRule="exact"/>
              <w:ind w:left="57"/>
              <w:rPr>
                <w:sz w:val="30"/>
                <w:szCs w:val="30"/>
                <w:rtl/>
              </w:rPr>
            </w:pPr>
            <w:r w:rsidRPr="00CA35DF">
              <w:rPr>
                <w:rFonts w:hint="cs"/>
                <w:sz w:val="30"/>
                <w:szCs w:val="30"/>
                <w:rtl/>
              </w:rPr>
              <w:t>الأمم المتحدة</w:t>
            </w:r>
          </w:p>
        </w:tc>
        <w:tc>
          <w:tcPr>
            <w:tcW w:w="3598" w:type="dxa"/>
            <w:tcBorders>
              <w:top w:val="nil"/>
              <w:bottom w:val="single" w:sz="4" w:space="0" w:color="auto"/>
            </w:tcBorders>
            <w:shd w:val="clear" w:color="auto" w:fill="auto"/>
            <w:vAlign w:val="bottom"/>
          </w:tcPr>
          <w:p w14:paraId="0AC69201" w14:textId="010CFCF8" w:rsidR="006B3E27" w:rsidRPr="005B7576" w:rsidRDefault="005B7576" w:rsidP="005B7576">
            <w:pPr>
              <w:bidi w:val="0"/>
              <w:rPr>
                <w:szCs w:val="20"/>
              </w:rPr>
            </w:pPr>
            <w:r w:rsidRPr="006853C9">
              <w:rPr>
                <w:sz w:val="40"/>
                <w:szCs w:val="20"/>
              </w:rPr>
              <w:t>CAT</w:t>
            </w:r>
            <w:r w:rsidRPr="006853C9">
              <w:rPr>
                <w:szCs w:val="20"/>
              </w:rPr>
              <w:t>/C/KAZ/CO/</w:t>
            </w:r>
            <w:r w:rsidRPr="00E223F5">
              <w:rPr>
                <w:szCs w:val="20"/>
              </w:rPr>
              <w:t>4</w:t>
            </w:r>
          </w:p>
        </w:tc>
      </w:tr>
      <w:tr w:rsidR="006B3E27" w:rsidRPr="00CA35DF" w14:paraId="7DFAE1D6" w14:textId="77777777" w:rsidTr="00B456A0">
        <w:trPr>
          <w:trHeight w:hRule="exact" w:val="2835"/>
        </w:trPr>
        <w:tc>
          <w:tcPr>
            <w:tcW w:w="1266" w:type="dxa"/>
            <w:tcBorders>
              <w:top w:val="nil"/>
              <w:bottom w:val="single" w:sz="12" w:space="0" w:color="auto"/>
            </w:tcBorders>
            <w:shd w:val="clear" w:color="auto" w:fill="auto"/>
          </w:tcPr>
          <w:p w14:paraId="527BDAE6" w14:textId="77777777" w:rsidR="006B3E27" w:rsidRPr="00CA35DF" w:rsidRDefault="00261289" w:rsidP="00CA35DF">
            <w:pPr>
              <w:jc w:val="center"/>
              <w:rPr>
                <w:rtl/>
              </w:rPr>
            </w:pPr>
            <w:r w:rsidRPr="00CA35DF">
              <w:rPr>
                <w:noProof/>
                <w:rtl/>
              </w:rPr>
              <w:drawing>
                <wp:inline distT="0" distB="0" distL="0" distR="0" wp14:anchorId="294B2CF9" wp14:editId="440924B9">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74899DC4" w14:textId="77777777" w:rsidR="00A67AF5" w:rsidRPr="00E223F5" w:rsidRDefault="00817373" w:rsidP="00D3653E">
            <w:pPr>
              <w:spacing w:before="120" w:after="40" w:line="580" w:lineRule="exact"/>
              <w:ind w:left="57"/>
              <w:rPr>
                <w:b/>
                <w:bCs/>
                <w:sz w:val="42"/>
                <w:szCs w:val="42"/>
              </w:rPr>
            </w:pPr>
            <w:r w:rsidRPr="00E223F5">
              <w:rPr>
                <w:rFonts w:hint="cs"/>
                <w:b/>
                <w:bCs/>
                <w:sz w:val="42"/>
                <w:szCs w:val="42"/>
                <w:rtl/>
              </w:rPr>
              <w:t xml:space="preserve">اتفاقية مناهضة التعذيب وغيره من ضروب </w:t>
            </w:r>
            <w:proofErr w:type="gramStart"/>
            <w:r w:rsidRPr="00E223F5">
              <w:rPr>
                <w:rFonts w:hint="cs"/>
                <w:b/>
                <w:bCs/>
                <w:sz w:val="42"/>
                <w:szCs w:val="42"/>
                <w:rtl/>
              </w:rPr>
              <w:t>المعاملة</w:t>
            </w:r>
            <w:proofErr w:type="gramEnd"/>
            <w:r w:rsidRPr="00E223F5">
              <w:rPr>
                <w:rFonts w:hint="cs"/>
                <w:b/>
                <w:bCs/>
                <w:sz w:val="42"/>
                <w:szCs w:val="42"/>
                <w:rtl/>
              </w:rPr>
              <w:t xml:space="preserve"> أو العقوبة القاسية أو اللاإنسانية أو المهينة</w:t>
            </w:r>
          </w:p>
        </w:tc>
        <w:tc>
          <w:tcPr>
            <w:tcW w:w="3598" w:type="dxa"/>
            <w:tcBorders>
              <w:top w:val="nil"/>
              <w:bottom w:val="single" w:sz="12" w:space="0" w:color="auto"/>
            </w:tcBorders>
            <w:shd w:val="clear" w:color="auto" w:fill="auto"/>
          </w:tcPr>
          <w:p w14:paraId="6B1731E4" w14:textId="37EA31D7" w:rsidR="007F0FC8" w:rsidRPr="007F0FC8" w:rsidRDefault="007F0FC8" w:rsidP="007F0FC8">
            <w:pPr>
              <w:bidi w:val="0"/>
              <w:spacing w:before="240" w:line="240" w:lineRule="exact"/>
              <w:jc w:val="left"/>
              <w:rPr>
                <w:rFonts w:eastAsia="SimSun" w:cs="Times New Roman"/>
                <w:szCs w:val="20"/>
                <w:lang w:val="en-GB" w:eastAsia="zh-CN"/>
              </w:rPr>
            </w:pPr>
            <w:r w:rsidRPr="007F0FC8">
              <w:rPr>
                <w:rFonts w:eastAsia="SimSun" w:cs="Times New Roman"/>
                <w:szCs w:val="20"/>
                <w:lang w:val="en-GB" w:eastAsia="zh-CN"/>
              </w:rPr>
              <w:t>Dist</w:t>
            </w:r>
            <w:r w:rsidR="006853C9" w:rsidRPr="007F0FC8">
              <w:rPr>
                <w:rFonts w:eastAsia="SimSun" w:cs="Times New Roman"/>
                <w:szCs w:val="20"/>
                <w:lang w:val="en-GB" w:eastAsia="zh-CN"/>
              </w:rPr>
              <w:t>r.:</w:t>
            </w:r>
            <w:r w:rsidRPr="007F0FC8">
              <w:rPr>
                <w:rFonts w:eastAsia="SimSun" w:cs="Times New Roman"/>
                <w:szCs w:val="20"/>
                <w:lang w:val="en-GB" w:eastAsia="zh-CN"/>
              </w:rPr>
              <w:t xml:space="preserve"> General</w:t>
            </w:r>
          </w:p>
          <w:p w14:paraId="73E1DCE7" w14:textId="77777777" w:rsidR="007F0FC8" w:rsidRPr="007F0FC8" w:rsidRDefault="007F0FC8" w:rsidP="007F0FC8">
            <w:pPr>
              <w:bidi w:val="0"/>
              <w:spacing w:line="240" w:lineRule="auto"/>
              <w:jc w:val="left"/>
              <w:rPr>
                <w:rFonts w:eastAsia="SimSun" w:cs="Times New Roman"/>
                <w:szCs w:val="20"/>
                <w:lang w:val="en-GB" w:eastAsia="zh-CN"/>
              </w:rPr>
            </w:pPr>
            <w:r w:rsidRPr="007F0FC8">
              <w:rPr>
                <w:rFonts w:eastAsia="SimSun" w:cs="Times New Roman"/>
                <w:szCs w:val="20"/>
                <w:lang w:val="en-GB" w:eastAsia="zh-CN"/>
              </w:rPr>
              <w:t>8 June 2023</w:t>
            </w:r>
          </w:p>
          <w:p w14:paraId="3AE48B78" w14:textId="49C2E40C" w:rsidR="007F0FC8" w:rsidRPr="007F0FC8" w:rsidRDefault="007F0FC8" w:rsidP="007F0FC8">
            <w:pPr>
              <w:bidi w:val="0"/>
              <w:spacing w:line="240" w:lineRule="auto"/>
              <w:jc w:val="left"/>
              <w:rPr>
                <w:rFonts w:eastAsia="SimSun" w:cs="Times New Roman"/>
                <w:szCs w:val="20"/>
                <w:lang w:val="en-GB" w:eastAsia="zh-CN"/>
              </w:rPr>
            </w:pPr>
            <w:r>
              <w:rPr>
                <w:rFonts w:eastAsia="SimSun" w:cs="Times New Roman"/>
                <w:szCs w:val="20"/>
                <w:lang w:val="en-GB" w:eastAsia="zh-CN"/>
              </w:rPr>
              <w:t>Arabic</w:t>
            </w:r>
          </w:p>
          <w:p w14:paraId="5E765DD7" w14:textId="53F309F7" w:rsidR="005B7576" w:rsidRPr="005B7576" w:rsidRDefault="007F0FC8" w:rsidP="007F0FC8">
            <w:pPr>
              <w:bidi w:val="0"/>
              <w:spacing w:line="240" w:lineRule="exact"/>
              <w:jc w:val="left"/>
              <w:rPr>
                <w:szCs w:val="20"/>
              </w:rPr>
            </w:pPr>
            <w:r w:rsidRPr="007F0FC8">
              <w:rPr>
                <w:rFonts w:eastAsia="SimSun" w:cs="Times New Roman"/>
                <w:szCs w:val="20"/>
                <w:lang w:val="en-GB" w:eastAsia="zh-CN"/>
              </w:rPr>
              <w:t>Origina</w:t>
            </w:r>
            <w:r w:rsidR="006853C9" w:rsidRPr="006853C9">
              <w:rPr>
                <w:rFonts w:eastAsia="SimSun" w:cs="Times New Roman"/>
                <w:szCs w:val="20"/>
                <w:lang w:val="en-GB" w:eastAsia="zh-CN"/>
              </w:rPr>
              <w:t xml:space="preserve">l: </w:t>
            </w:r>
            <w:r w:rsidRPr="007F0FC8">
              <w:rPr>
                <w:rFonts w:eastAsia="SimSun" w:cs="Times New Roman"/>
                <w:szCs w:val="20"/>
                <w:lang w:val="en-GB" w:eastAsia="zh-CN"/>
              </w:rPr>
              <w:t>English</w:t>
            </w:r>
          </w:p>
        </w:tc>
      </w:tr>
    </w:tbl>
    <w:p w14:paraId="18C4593C" w14:textId="77777777" w:rsidR="00EE2812" w:rsidRPr="00E223F5" w:rsidRDefault="00EE2812" w:rsidP="00EE2812">
      <w:pPr>
        <w:pStyle w:val="SingleTxtGA"/>
        <w:spacing w:before="120"/>
        <w:ind w:left="0"/>
        <w:rPr>
          <w:b/>
          <w:bCs/>
          <w:sz w:val="26"/>
          <w:szCs w:val="26"/>
          <w:lang w:val="en-US"/>
        </w:rPr>
      </w:pPr>
      <w:r w:rsidRPr="00E223F5">
        <w:rPr>
          <w:b/>
          <w:bCs/>
          <w:sz w:val="26"/>
          <w:szCs w:val="26"/>
          <w:rtl/>
          <w:lang w:val="en-US"/>
        </w:rPr>
        <w:t>لجنة مناهضة التعذيب</w:t>
      </w:r>
    </w:p>
    <w:p w14:paraId="3FA01F86" w14:textId="77C9F16C" w:rsidR="00EE2812" w:rsidRPr="00E223F5" w:rsidRDefault="00EE2812" w:rsidP="00EE2812">
      <w:pPr>
        <w:pStyle w:val="HChGA"/>
        <w:rPr>
          <w:rFonts w:hint="cs"/>
          <w:rtl/>
        </w:rPr>
      </w:pPr>
      <w:r w:rsidRPr="00E223F5">
        <w:rPr>
          <w:rtl/>
        </w:rPr>
        <w:tab/>
      </w:r>
      <w:r w:rsidRPr="00E223F5">
        <w:rPr>
          <w:rtl/>
        </w:rPr>
        <w:tab/>
        <w:t>ملاحظات ختامية بشأن التقرير الدوري الرابع لكازاخستان</w:t>
      </w:r>
      <w:r w:rsidRPr="00E223F5">
        <w:rPr>
          <w:rStyle w:val="FootnoteReference"/>
          <w:sz w:val="26"/>
          <w:szCs w:val="26"/>
          <w:vertAlign w:val="baseline"/>
          <w:rtl/>
        </w:rPr>
        <w:footnoteReference w:customMarkFollows="1" w:id="1"/>
        <w:t>*</w:t>
      </w:r>
    </w:p>
    <w:p w14:paraId="1003A192" w14:textId="6C7662B5" w:rsidR="006853C9" w:rsidRPr="006853C9" w:rsidRDefault="00EE2812" w:rsidP="00EE2812">
      <w:pPr>
        <w:pStyle w:val="SingleTxtGA"/>
        <w:rPr>
          <w:lang w:val="en-US"/>
        </w:rPr>
      </w:pPr>
      <w:r w:rsidRPr="00E223F5">
        <w:rPr>
          <w:rtl/>
          <w:lang w:val="en-US"/>
        </w:rPr>
        <w:t>1</w:t>
      </w:r>
      <w:r w:rsidRPr="007F0FC8">
        <w:rPr>
          <w:rtl/>
          <w:lang w:val="en-US"/>
        </w:rPr>
        <w:t>-</w:t>
      </w:r>
      <w:r w:rsidRPr="007F0FC8">
        <w:rPr>
          <w:rtl/>
          <w:lang w:val="en-US"/>
        </w:rPr>
        <w:tab/>
      </w:r>
      <w:r w:rsidRPr="00EE2812">
        <w:rPr>
          <w:rtl/>
          <w:lang w:val="en-US"/>
        </w:rPr>
        <w:t>نظرت اللجنة</w:t>
      </w:r>
      <w:r>
        <w:rPr>
          <w:rFonts w:hint="cs"/>
          <w:rtl/>
          <w:lang w:val="en-US"/>
        </w:rPr>
        <w:t xml:space="preserve"> </w:t>
      </w:r>
      <w:r w:rsidRPr="00EE2812">
        <w:rPr>
          <w:rtl/>
          <w:lang w:val="en-US"/>
        </w:rPr>
        <w:t xml:space="preserve">في التقرير الدوري الرابع </w:t>
      </w:r>
      <w:proofErr w:type="gramStart"/>
      <w:r w:rsidRPr="00EE2812">
        <w:rPr>
          <w:rtl/>
          <w:lang w:val="en-US"/>
        </w:rPr>
        <w:t>لكازاخستان</w:t>
      </w:r>
      <w:r w:rsidR="006853C9" w:rsidRPr="00E223F5">
        <w:rPr>
          <w:vertAlign w:val="superscript"/>
          <w:rtl/>
        </w:rPr>
        <w:t>(</w:t>
      </w:r>
      <w:proofErr w:type="gramEnd"/>
      <w:r w:rsidR="006853C9" w:rsidRPr="00E223F5">
        <w:rPr>
          <w:vertAlign w:val="superscript"/>
          <w:lang w:val="en-AU"/>
        </w:rPr>
        <w:footnoteReference w:id="2"/>
      </w:r>
      <w:r w:rsidRPr="00EE2812">
        <w:rPr>
          <w:vertAlign w:val="superscript"/>
          <w:rtl/>
          <w:lang w:val="en-US"/>
        </w:rPr>
        <w:t>)</w:t>
      </w:r>
      <w:r w:rsidRPr="00EE2812">
        <w:rPr>
          <w:rtl/>
          <w:lang w:val="en-US"/>
        </w:rPr>
        <w:t xml:space="preserve"> في جلستيها </w:t>
      </w:r>
      <w:r w:rsidRPr="00E223F5">
        <w:rPr>
          <w:rtl/>
          <w:lang w:val="en-US"/>
        </w:rPr>
        <w:t>1995</w:t>
      </w:r>
      <w:r w:rsidRPr="00EE2812">
        <w:rPr>
          <w:rtl/>
          <w:lang w:val="en-US"/>
        </w:rPr>
        <w:t xml:space="preserve"> و</w:t>
      </w:r>
      <w:r w:rsidRPr="00E223F5">
        <w:rPr>
          <w:rtl/>
          <w:lang w:val="en-US"/>
        </w:rPr>
        <w:t>1998</w:t>
      </w:r>
      <w:r w:rsidR="006853C9" w:rsidRPr="00E223F5">
        <w:rPr>
          <w:vertAlign w:val="superscript"/>
          <w:rtl/>
        </w:rPr>
        <w:t>(</w:t>
      </w:r>
      <w:r w:rsidR="006853C9" w:rsidRPr="00E223F5">
        <w:rPr>
          <w:vertAlign w:val="superscript"/>
          <w:lang w:val="en-AU"/>
        </w:rPr>
        <w:footnoteReference w:id="3"/>
      </w:r>
      <w:r w:rsidRPr="00EE2812">
        <w:rPr>
          <w:vertAlign w:val="superscript"/>
          <w:rtl/>
          <w:lang w:val="en-US"/>
        </w:rPr>
        <w:t>)</w:t>
      </w:r>
      <w:r w:rsidR="00891325">
        <w:rPr>
          <w:rFonts w:hint="cs"/>
          <w:rtl/>
          <w:lang w:val="en-US"/>
        </w:rPr>
        <w:t xml:space="preserve"> </w:t>
      </w:r>
      <w:r w:rsidRPr="00EE2812">
        <w:rPr>
          <w:rtl/>
          <w:lang w:val="en-US"/>
        </w:rPr>
        <w:t xml:space="preserve">المعقودتين يومي </w:t>
      </w:r>
      <w:r w:rsidRPr="00E223F5">
        <w:rPr>
          <w:rtl/>
          <w:lang w:val="en-US"/>
        </w:rPr>
        <w:t>2</w:t>
      </w:r>
      <w:r w:rsidRPr="00EE2812">
        <w:rPr>
          <w:rtl/>
          <w:lang w:val="en-US"/>
        </w:rPr>
        <w:t xml:space="preserve"> و</w:t>
      </w:r>
      <w:r w:rsidRPr="00E223F5">
        <w:rPr>
          <w:rtl/>
          <w:lang w:val="en-US"/>
        </w:rPr>
        <w:t>3</w:t>
      </w:r>
      <w:r w:rsidRPr="00EE2812">
        <w:rPr>
          <w:rtl/>
          <w:lang w:val="en-US"/>
        </w:rPr>
        <w:t xml:space="preserve"> أيار/مايو </w:t>
      </w:r>
      <w:r w:rsidRPr="00E223F5">
        <w:rPr>
          <w:rtl/>
          <w:lang w:val="en-US"/>
        </w:rPr>
        <w:t>2023</w:t>
      </w:r>
      <w:r w:rsidRPr="00EE2812">
        <w:rPr>
          <w:rtl/>
          <w:lang w:val="en-US"/>
        </w:rPr>
        <w:t xml:space="preserve">، واعتمدت هذه الملاحظات الختامية في جلستها </w:t>
      </w:r>
      <w:r w:rsidRPr="00E223F5">
        <w:rPr>
          <w:rtl/>
          <w:lang w:val="en-US"/>
        </w:rPr>
        <w:t>2007</w:t>
      </w:r>
      <w:r w:rsidRPr="00EE2812">
        <w:rPr>
          <w:rtl/>
          <w:lang w:val="en-US"/>
        </w:rPr>
        <w:t xml:space="preserve"> المعقودة في </w:t>
      </w:r>
      <w:r w:rsidRPr="00E223F5">
        <w:rPr>
          <w:rtl/>
          <w:lang w:val="en-US"/>
        </w:rPr>
        <w:t>10</w:t>
      </w:r>
      <w:r w:rsidRPr="00EE2812">
        <w:rPr>
          <w:rtl/>
          <w:lang w:val="en-US"/>
        </w:rPr>
        <w:t xml:space="preserve"> أيار/مايو </w:t>
      </w:r>
      <w:r w:rsidRPr="00E223F5">
        <w:rPr>
          <w:rtl/>
          <w:lang w:val="en-US"/>
        </w:rPr>
        <w:t>202</w:t>
      </w:r>
      <w:r w:rsidR="006853C9" w:rsidRPr="00E223F5">
        <w:rPr>
          <w:rtl/>
          <w:lang w:val="en-US"/>
        </w:rPr>
        <w:t>3</w:t>
      </w:r>
      <w:r w:rsidR="006853C9" w:rsidRPr="006853C9">
        <w:rPr>
          <w:rtl/>
          <w:lang w:val="en-US"/>
        </w:rPr>
        <w:t>.</w:t>
      </w:r>
      <w:r w:rsidR="00DA57C9">
        <w:rPr>
          <w:rFonts w:hint="cs"/>
          <w:rtl/>
          <w:lang w:val="en-US"/>
        </w:rPr>
        <w:t xml:space="preserve"> </w:t>
      </w:r>
    </w:p>
    <w:p w14:paraId="26068CFD" w14:textId="765A27C4" w:rsidR="00EE2812" w:rsidRPr="00E223F5" w:rsidRDefault="00EE2812" w:rsidP="00EE2812">
      <w:pPr>
        <w:pStyle w:val="H1GA"/>
      </w:pPr>
      <w:r w:rsidRPr="00E223F5">
        <w:rPr>
          <w:rtl/>
        </w:rPr>
        <w:tab/>
      </w:r>
      <w:r w:rsidRPr="00E223F5">
        <w:rPr>
          <w:rtl/>
        </w:rPr>
        <w:t>ألف-</w:t>
      </w:r>
      <w:r w:rsidRPr="00E223F5">
        <w:rPr>
          <w:rtl/>
        </w:rPr>
        <w:tab/>
        <w:t>مقدمة</w:t>
      </w:r>
    </w:p>
    <w:p w14:paraId="645B9F73" w14:textId="12DCF5AA" w:rsidR="00EE2812" w:rsidRPr="00EE2812" w:rsidRDefault="00EE2812" w:rsidP="00EE2812">
      <w:pPr>
        <w:pStyle w:val="SingleTxtGA"/>
        <w:rPr>
          <w:lang w:val="en-US"/>
        </w:rPr>
      </w:pPr>
      <w:r w:rsidRPr="00E223F5">
        <w:rPr>
          <w:rtl/>
          <w:lang w:val="en-US"/>
        </w:rPr>
        <w:t>2</w:t>
      </w:r>
      <w:r w:rsidRPr="007F0FC8">
        <w:rPr>
          <w:rtl/>
          <w:lang w:val="en-US"/>
        </w:rPr>
        <w:t>-</w:t>
      </w:r>
      <w:r w:rsidRPr="007F0FC8">
        <w:rPr>
          <w:rtl/>
          <w:lang w:val="en-US"/>
        </w:rPr>
        <w:tab/>
      </w:r>
      <w:r w:rsidRPr="00EE2812">
        <w:rPr>
          <w:rtl/>
          <w:lang w:val="en-US"/>
        </w:rPr>
        <w:t>ترحب اللجنة بتقديم الدولة الطرف تقريرها الدوري الرابع في الوقت المناسب. وتعرب اللجنة عن</w:t>
      </w:r>
      <w:r w:rsidR="00891325">
        <w:rPr>
          <w:rFonts w:hint="cs"/>
          <w:rtl/>
          <w:lang w:val="en-US"/>
        </w:rPr>
        <w:t> </w:t>
      </w:r>
      <w:r w:rsidRPr="00EE2812">
        <w:rPr>
          <w:rtl/>
          <w:lang w:val="en-US"/>
        </w:rPr>
        <w:t xml:space="preserve">تقديرها للردود </w:t>
      </w:r>
      <w:proofErr w:type="gramStart"/>
      <w:r w:rsidRPr="00EE2812">
        <w:rPr>
          <w:rtl/>
          <w:lang w:val="en-US"/>
        </w:rPr>
        <w:t>الكتابية</w:t>
      </w:r>
      <w:r w:rsidR="006853C9" w:rsidRPr="00E223F5">
        <w:rPr>
          <w:vertAlign w:val="superscript"/>
          <w:rtl/>
        </w:rPr>
        <w:t>(</w:t>
      </w:r>
      <w:proofErr w:type="gramEnd"/>
      <w:r w:rsidR="006853C9" w:rsidRPr="00E223F5">
        <w:rPr>
          <w:vertAlign w:val="superscript"/>
          <w:lang w:val="en-AU"/>
        </w:rPr>
        <w:footnoteReference w:id="4"/>
      </w:r>
      <w:r w:rsidRPr="00EE2812">
        <w:rPr>
          <w:vertAlign w:val="superscript"/>
          <w:rtl/>
          <w:lang w:val="en-US"/>
        </w:rPr>
        <w:t>)</w:t>
      </w:r>
      <w:r w:rsidRPr="00EE2812">
        <w:rPr>
          <w:rtl/>
          <w:lang w:val="en-US"/>
        </w:rPr>
        <w:t xml:space="preserve"> التي قدمتها الدولة الطرف على قائمة المسائل</w:t>
      </w:r>
      <w:r w:rsidR="006853C9" w:rsidRPr="00E223F5">
        <w:rPr>
          <w:vertAlign w:val="superscript"/>
          <w:rtl/>
        </w:rPr>
        <w:t>(</w:t>
      </w:r>
      <w:r w:rsidR="006853C9" w:rsidRPr="00E223F5">
        <w:rPr>
          <w:vertAlign w:val="superscript"/>
          <w:lang w:val="en-AU"/>
        </w:rPr>
        <w:footnoteReference w:id="5"/>
      </w:r>
      <w:r w:rsidR="006853C9" w:rsidRPr="006853C9">
        <w:rPr>
          <w:vertAlign w:val="superscript"/>
          <w:rtl/>
          <w:lang w:val="en-US"/>
        </w:rPr>
        <w:t>)</w:t>
      </w:r>
      <w:r w:rsidR="006853C9" w:rsidRPr="006853C9">
        <w:rPr>
          <w:rtl/>
          <w:lang w:val="en-US"/>
        </w:rPr>
        <w:t xml:space="preserve">، </w:t>
      </w:r>
      <w:r w:rsidRPr="00EE2812">
        <w:rPr>
          <w:rtl/>
          <w:lang w:val="en-US"/>
        </w:rPr>
        <w:t>وللمعلومات التكميلية التي أتاحتها أثناء النظر في التقرير الدوري.</w:t>
      </w:r>
    </w:p>
    <w:p w14:paraId="2A00DAF1" w14:textId="77777777" w:rsidR="00EE2812" w:rsidRPr="00EE2812" w:rsidRDefault="00EE2812" w:rsidP="00EE2812">
      <w:pPr>
        <w:pStyle w:val="SingleTxtGA"/>
        <w:rPr>
          <w:lang w:val="en-US"/>
        </w:rPr>
      </w:pPr>
      <w:r w:rsidRPr="00E223F5">
        <w:rPr>
          <w:rtl/>
          <w:lang w:val="en-US"/>
        </w:rPr>
        <w:t>3</w:t>
      </w:r>
      <w:r w:rsidRPr="007F0FC8">
        <w:rPr>
          <w:rtl/>
          <w:lang w:val="en-US"/>
        </w:rPr>
        <w:t>-</w:t>
      </w:r>
      <w:r w:rsidRPr="007F0FC8">
        <w:rPr>
          <w:rtl/>
          <w:lang w:val="en-US"/>
        </w:rPr>
        <w:tab/>
      </w:r>
      <w:r w:rsidRPr="00EE2812">
        <w:rPr>
          <w:rtl/>
          <w:lang w:val="en-US"/>
        </w:rPr>
        <w:t>وتعرب اللجنة عن تقديرها للحوار الذي أجرته مع وفد الدولة الطرف وللمعلومات والتوضيحات الإضافية المقدمة.</w:t>
      </w:r>
    </w:p>
    <w:p w14:paraId="7DDC130F" w14:textId="0E80066E" w:rsidR="00EE2812" w:rsidRPr="00E223F5" w:rsidRDefault="00EE2812" w:rsidP="00EE2812">
      <w:pPr>
        <w:pStyle w:val="H1GA"/>
      </w:pPr>
      <w:r w:rsidRPr="00E223F5">
        <w:rPr>
          <w:rtl/>
        </w:rPr>
        <w:tab/>
      </w:r>
      <w:r w:rsidRPr="00E223F5">
        <w:rPr>
          <w:rtl/>
        </w:rPr>
        <w:t>باء-</w:t>
      </w:r>
      <w:r w:rsidRPr="00E223F5">
        <w:rPr>
          <w:rtl/>
        </w:rPr>
        <w:tab/>
        <w:t>الجوانب الإيجابية</w:t>
      </w:r>
    </w:p>
    <w:p w14:paraId="5C8CD8F7" w14:textId="77777777" w:rsidR="00EE2812" w:rsidRDefault="00EE2812" w:rsidP="00EE2812">
      <w:pPr>
        <w:pStyle w:val="SingleTxtGA"/>
        <w:rPr>
          <w:lang w:val="en-US"/>
        </w:rPr>
      </w:pPr>
      <w:r w:rsidRPr="00E223F5">
        <w:rPr>
          <w:rtl/>
          <w:lang w:val="en-US"/>
        </w:rPr>
        <w:t>4</w:t>
      </w:r>
      <w:r w:rsidRPr="007F0FC8">
        <w:rPr>
          <w:rtl/>
          <w:lang w:val="en-US"/>
        </w:rPr>
        <w:t>-</w:t>
      </w:r>
      <w:r w:rsidRPr="007F0FC8">
        <w:rPr>
          <w:rtl/>
          <w:lang w:val="en-US"/>
        </w:rPr>
        <w:tab/>
      </w:r>
      <w:r w:rsidRPr="00EE2812">
        <w:rPr>
          <w:rtl/>
          <w:lang w:val="en-US"/>
        </w:rPr>
        <w:t>ترحّب اللجنة بتصديق الدولة الطرف على الصكين الدوليين التاليين أو بانضمامها إليهما:</w:t>
      </w:r>
    </w:p>
    <w:p w14:paraId="5E351B64" w14:textId="62F698C3" w:rsidR="00EE2812" w:rsidRDefault="00EE2812" w:rsidP="00EE2812">
      <w:pPr>
        <w:pStyle w:val="SingleTxtGA"/>
        <w:rPr>
          <w:lang w:val="en-US"/>
        </w:rPr>
      </w:pPr>
      <w:r w:rsidRPr="007F0FC8">
        <w:rPr>
          <w:rtl/>
          <w:lang w:val="en-US"/>
        </w:rPr>
        <w:tab/>
        <w:t>(</w:t>
      </w:r>
      <w:r w:rsidRPr="007F0FC8">
        <w:rPr>
          <w:rtl/>
          <w:lang w:val="en-US"/>
        </w:rPr>
        <w:t>أ)</w:t>
      </w:r>
      <w:r w:rsidRPr="007F0FC8">
        <w:rPr>
          <w:rtl/>
          <w:lang w:val="en-US"/>
        </w:rPr>
        <w:tab/>
      </w:r>
      <w:r w:rsidRPr="00EE2812">
        <w:rPr>
          <w:rtl/>
          <w:lang w:val="en-US"/>
        </w:rPr>
        <w:t xml:space="preserve">اتفاقية حقوق الأشخاص ذوي الإعاقة، في عام </w:t>
      </w:r>
      <w:r w:rsidRPr="00E223F5">
        <w:rPr>
          <w:rtl/>
          <w:lang w:val="en-US"/>
        </w:rPr>
        <w:t>2015</w:t>
      </w:r>
      <w:r w:rsidRPr="00EE2812">
        <w:rPr>
          <w:rtl/>
          <w:lang w:val="en-US"/>
        </w:rPr>
        <w:t>؛</w:t>
      </w:r>
      <w:r w:rsidR="002717F9">
        <w:rPr>
          <w:rFonts w:hint="cs"/>
          <w:rtl/>
          <w:lang w:val="en-US"/>
        </w:rPr>
        <w:t xml:space="preserve"> </w:t>
      </w:r>
    </w:p>
    <w:p w14:paraId="4266CE34" w14:textId="34D7A041" w:rsidR="00EE2812" w:rsidRPr="00EE2812" w:rsidRDefault="00EE2812" w:rsidP="00EE2812">
      <w:pPr>
        <w:pStyle w:val="SingleTxtGA"/>
        <w:rPr>
          <w:rFonts w:hint="cs"/>
          <w:rtl/>
          <w:lang w:val="en-US"/>
        </w:rPr>
      </w:pPr>
      <w:r w:rsidRPr="00050A63">
        <w:rPr>
          <w:spacing w:val="-2"/>
          <w:rtl/>
          <w:lang w:val="en-US"/>
        </w:rPr>
        <w:tab/>
        <w:t>(</w:t>
      </w:r>
      <w:r w:rsidRPr="00050A63">
        <w:rPr>
          <w:spacing w:val="-2"/>
          <w:rtl/>
          <w:lang w:val="en-US"/>
        </w:rPr>
        <w:t>ب)</w:t>
      </w:r>
      <w:r w:rsidRPr="00050A63">
        <w:rPr>
          <w:spacing w:val="-2"/>
          <w:rtl/>
          <w:lang w:val="en-US"/>
        </w:rPr>
        <w:tab/>
        <w:t>البروتوكول الاختياري الثاني الملحق بالعهد الدولي الخاص بالحقوق المدنية والسياسية،</w:t>
      </w:r>
      <w:r w:rsidRPr="00EE2812">
        <w:rPr>
          <w:rtl/>
          <w:lang w:val="en-US"/>
        </w:rPr>
        <w:t xml:space="preserve"> الهادف إلى إلغاء عقوبة الإعدام، في عام </w:t>
      </w:r>
      <w:r w:rsidRPr="00E223F5">
        <w:rPr>
          <w:rtl/>
          <w:lang w:val="en-US"/>
        </w:rPr>
        <w:t>202</w:t>
      </w:r>
      <w:r w:rsidR="006853C9" w:rsidRPr="00E223F5">
        <w:rPr>
          <w:rtl/>
          <w:lang w:val="en-US"/>
        </w:rPr>
        <w:t>2</w:t>
      </w:r>
      <w:r w:rsidR="006853C9" w:rsidRPr="006853C9">
        <w:rPr>
          <w:rtl/>
          <w:lang w:val="en-US"/>
        </w:rPr>
        <w:t xml:space="preserve">. </w:t>
      </w:r>
    </w:p>
    <w:p w14:paraId="7D01813F" w14:textId="620A06D8" w:rsidR="00EE2812" w:rsidRPr="00EE2812" w:rsidRDefault="00EE2812" w:rsidP="00EE2812">
      <w:pPr>
        <w:pStyle w:val="SingleTxtGA"/>
        <w:rPr>
          <w:lang w:val="en-US"/>
        </w:rPr>
      </w:pPr>
      <w:r w:rsidRPr="00E223F5">
        <w:rPr>
          <w:rtl/>
          <w:lang w:val="en-US"/>
        </w:rPr>
        <w:t>5</w:t>
      </w:r>
      <w:r w:rsidRPr="007F0FC8">
        <w:rPr>
          <w:rtl/>
          <w:lang w:val="en-US"/>
        </w:rPr>
        <w:t>-</w:t>
      </w:r>
      <w:r w:rsidRPr="007F0FC8">
        <w:rPr>
          <w:rtl/>
          <w:lang w:val="en-US"/>
        </w:rPr>
        <w:tab/>
      </w:r>
      <w:r w:rsidRPr="00050A63">
        <w:rPr>
          <w:spacing w:val="-4"/>
          <w:rtl/>
          <w:lang w:val="en-US"/>
        </w:rPr>
        <w:t>وتلاحظ اللجنة باهتمام أيضا</w:t>
      </w:r>
      <w:r w:rsidR="006853C9" w:rsidRPr="00050A63">
        <w:rPr>
          <w:rFonts w:hint="cs"/>
          <w:spacing w:val="-4"/>
          <w:rtl/>
          <w:lang w:val="en-US"/>
        </w:rPr>
        <w:t>ً</w:t>
      </w:r>
      <w:r w:rsidRPr="00050A63">
        <w:rPr>
          <w:spacing w:val="-4"/>
          <w:rtl/>
          <w:lang w:val="en-US"/>
        </w:rPr>
        <w:t xml:space="preserve"> التوقيع في عام </w:t>
      </w:r>
      <w:r w:rsidRPr="00E223F5">
        <w:rPr>
          <w:spacing w:val="-4"/>
          <w:rtl/>
          <w:lang w:val="en-US"/>
        </w:rPr>
        <w:t>2023</w:t>
      </w:r>
      <w:r w:rsidRPr="00050A63">
        <w:rPr>
          <w:spacing w:val="-4"/>
          <w:rtl/>
          <w:lang w:val="en-US"/>
        </w:rPr>
        <w:t xml:space="preserve"> على البروتوكول الاختياري لاتفاقية حقوق الطفل</w:t>
      </w:r>
      <w:r w:rsidRPr="00EE2812">
        <w:rPr>
          <w:rtl/>
          <w:lang w:val="en-US"/>
        </w:rPr>
        <w:t xml:space="preserve"> المتعلق بإجراء تقديم البلاغات.</w:t>
      </w:r>
      <w:r w:rsidR="00BB3C3B">
        <w:rPr>
          <w:rFonts w:hint="cs"/>
          <w:rtl/>
          <w:lang w:val="en-US"/>
        </w:rPr>
        <w:t xml:space="preserve"> </w:t>
      </w:r>
    </w:p>
    <w:p w14:paraId="28CB35F8" w14:textId="77777777" w:rsidR="00EE2812" w:rsidRDefault="00EE2812" w:rsidP="00EE2812">
      <w:pPr>
        <w:pStyle w:val="SingleTxtGA"/>
        <w:rPr>
          <w:lang w:val="en-US"/>
        </w:rPr>
      </w:pPr>
      <w:r w:rsidRPr="00E223F5">
        <w:rPr>
          <w:rtl/>
          <w:lang w:val="en-US"/>
        </w:rPr>
        <w:lastRenderedPageBreak/>
        <w:t>6</w:t>
      </w:r>
      <w:r w:rsidRPr="007F0FC8">
        <w:rPr>
          <w:rtl/>
          <w:lang w:val="en-US"/>
        </w:rPr>
        <w:t>-</w:t>
      </w:r>
      <w:r w:rsidRPr="007F0FC8">
        <w:rPr>
          <w:rtl/>
          <w:lang w:val="en-US"/>
        </w:rPr>
        <w:tab/>
      </w:r>
      <w:r w:rsidRPr="00EE2812">
        <w:rPr>
          <w:rtl/>
          <w:lang w:val="en-US"/>
        </w:rPr>
        <w:t>وترحب اللجنة بالتدابير التشريعية والإدارية والمؤسسية التالية التي اتخذتها الدولة الطرف في المجالات ذات الصلة بالاتفاقية:</w:t>
      </w:r>
    </w:p>
    <w:p w14:paraId="0420631C" w14:textId="4743BB56" w:rsidR="00EE2812" w:rsidRDefault="00EE2812" w:rsidP="00EE2812">
      <w:pPr>
        <w:pStyle w:val="SingleTxtGA"/>
        <w:rPr>
          <w:lang w:val="en-US"/>
        </w:rPr>
      </w:pPr>
      <w:r w:rsidRPr="007F0FC8">
        <w:rPr>
          <w:rtl/>
          <w:lang w:val="en-US"/>
        </w:rPr>
        <w:tab/>
        <w:t>(</w:t>
      </w:r>
      <w:r w:rsidRPr="007F0FC8">
        <w:rPr>
          <w:rtl/>
          <w:lang w:val="en-US"/>
        </w:rPr>
        <w:t>أ)</w:t>
      </w:r>
      <w:r w:rsidRPr="007F0FC8">
        <w:rPr>
          <w:rtl/>
          <w:lang w:val="en-US"/>
        </w:rPr>
        <w:tab/>
      </w:r>
      <w:r w:rsidRPr="00891325">
        <w:rPr>
          <w:spacing w:val="-2"/>
          <w:rtl/>
          <w:lang w:val="en-US"/>
        </w:rPr>
        <w:t xml:space="preserve">تعديل المادة </w:t>
      </w:r>
      <w:r w:rsidRPr="00E223F5">
        <w:rPr>
          <w:spacing w:val="-2"/>
          <w:rtl/>
          <w:lang w:val="en-US"/>
        </w:rPr>
        <w:t>63</w:t>
      </w:r>
      <w:r w:rsidRPr="00891325">
        <w:rPr>
          <w:spacing w:val="-2"/>
          <w:rtl/>
          <w:lang w:val="en-US"/>
        </w:rPr>
        <w:t>(</w:t>
      </w:r>
      <w:r w:rsidR="006853C9" w:rsidRPr="00E223F5">
        <w:rPr>
          <w:spacing w:val="-2"/>
          <w:rtl/>
          <w:lang w:val="en-US"/>
        </w:rPr>
        <w:t>6</w:t>
      </w:r>
      <w:r w:rsidR="006853C9" w:rsidRPr="00891325">
        <w:rPr>
          <w:spacing w:val="-2"/>
          <w:rtl/>
          <w:lang w:val="en-US"/>
        </w:rPr>
        <w:t xml:space="preserve">) </w:t>
      </w:r>
      <w:r w:rsidRPr="00891325">
        <w:rPr>
          <w:spacing w:val="-2"/>
          <w:rtl/>
          <w:lang w:val="en-US"/>
        </w:rPr>
        <w:t>من القانون الجنائي التي تقتضي عدم تطبيق أحكام مع وقف التنفيذ</w:t>
      </w:r>
      <w:r w:rsidRPr="00EE2812">
        <w:rPr>
          <w:rtl/>
          <w:lang w:val="en-US"/>
        </w:rPr>
        <w:t xml:space="preserve"> في قضايا التعذيب، في عام </w:t>
      </w:r>
      <w:r w:rsidRPr="00E223F5">
        <w:rPr>
          <w:rtl/>
          <w:lang w:val="en-US"/>
        </w:rPr>
        <w:t>2023</w:t>
      </w:r>
      <w:r w:rsidRPr="00EE2812">
        <w:rPr>
          <w:rtl/>
          <w:lang w:val="en-US"/>
        </w:rPr>
        <w:t>؛</w:t>
      </w:r>
    </w:p>
    <w:p w14:paraId="4E931806" w14:textId="3BF8B239" w:rsidR="00EE2812" w:rsidRPr="00891325" w:rsidRDefault="00EE2812" w:rsidP="00EE2812">
      <w:pPr>
        <w:pStyle w:val="SingleTxtGA"/>
        <w:rPr>
          <w:spacing w:val="-2"/>
          <w:lang w:val="en-US"/>
        </w:rPr>
      </w:pPr>
      <w:r w:rsidRPr="00891325">
        <w:rPr>
          <w:spacing w:val="-2"/>
          <w:rtl/>
          <w:lang w:val="en-US"/>
        </w:rPr>
        <w:tab/>
        <w:t>(</w:t>
      </w:r>
      <w:r w:rsidRPr="00891325">
        <w:rPr>
          <w:spacing w:val="-2"/>
          <w:rtl/>
          <w:lang w:val="en-US"/>
        </w:rPr>
        <w:t>ب)</w:t>
      </w:r>
      <w:r w:rsidRPr="00891325">
        <w:rPr>
          <w:spacing w:val="-2"/>
          <w:rtl/>
          <w:lang w:val="en-US"/>
        </w:rPr>
        <w:tab/>
        <w:t>اعتماد القانون الدستوري المتعلق بمفوض(ة) حقوق الإنسان (أمانة المظالم</w:t>
      </w:r>
      <w:r w:rsidR="006853C9" w:rsidRPr="00891325">
        <w:rPr>
          <w:spacing w:val="-2"/>
          <w:rtl/>
          <w:lang w:val="en-US"/>
        </w:rPr>
        <w:t xml:space="preserve">)، </w:t>
      </w:r>
      <w:r w:rsidRPr="00891325">
        <w:rPr>
          <w:spacing w:val="-2"/>
          <w:rtl/>
          <w:lang w:val="en-US"/>
        </w:rPr>
        <w:t xml:space="preserve">الذي مدد ولاية وأنشطة مكتب مفوض(ة) حقوق الإنسان بوصفه المؤسسة الوطنية لحقوق الإنسان، في عام </w:t>
      </w:r>
      <w:r w:rsidRPr="00E223F5">
        <w:rPr>
          <w:spacing w:val="-2"/>
          <w:rtl/>
          <w:lang w:val="en-US"/>
        </w:rPr>
        <w:t>2022</w:t>
      </w:r>
      <w:r w:rsidRPr="00891325">
        <w:rPr>
          <w:spacing w:val="-2"/>
          <w:rtl/>
          <w:lang w:val="en-US"/>
        </w:rPr>
        <w:t>؛</w:t>
      </w:r>
    </w:p>
    <w:p w14:paraId="67E880B7" w14:textId="77777777" w:rsidR="00EE2812" w:rsidRDefault="00EE2812" w:rsidP="00EE2812">
      <w:pPr>
        <w:pStyle w:val="SingleTxtGA"/>
        <w:rPr>
          <w:lang w:val="en-US"/>
        </w:rPr>
      </w:pPr>
      <w:r w:rsidRPr="007F0FC8">
        <w:rPr>
          <w:rtl/>
          <w:lang w:val="en-US"/>
        </w:rPr>
        <w:tab/>
        <w:t>(</w:t>
      </w:r>
      <w:r w:rsidRPr="007F0FC8">
        <w:rPr>
          <w:rtl/>
          <w:lang w:val="en-US"/>
        </w:rPr>
        <w:t>ج)</w:t>
      </w:r>
      <w:r w:rsidRPr="007F0FC8">
        <w:rPr>
          <w:rtl/>
          <w:lang w:val="en-US"/>
        </w:rPr>
        <w:tab/>
      </w:r>
      <w:r w:rsidRPr="00EE2812">
        <w:rPr>
          <w:rtl/>
          <w:lang w:val="en-US"/>
        </w:rPr>
        <w:t xml:space="preserve">اعتماد القانون رقم </w:t>
      </w:r>
      <w:r w:rsidRPr="00E223F5">
        <w:rPr>
          <w:rtl/>
          <w:lang w:val="en-US"/>
        </w:rPr>
        <w:t>153</w:t>
      </w:r>
      <w:r w:rsidRPr="00EE2812">
        <w:rPr>
          <w:rtl/>
          <w:lang w:val="en-US"/>
        </w:rPr>
        <w:t>-</w:t>
      </w:r>
      <w:r w:rsidRPr="00EE2812">
        <w:rPr>
          <w:lang w:val="en-US"/>
        </w:rPr>
        <w:t>VII ZRK</w:t>
      </w:r>
      <w:r w:rsidRPr="00EE2812">
        <w:rPr>
          <w:rtl/>
          <w:lang w:val="en-US"/>
        </w:rPr>
        <w:t xml:space="preserve"> المتعلق بالمحكمة الدستورية، في عام </w:t>
      </w:r>
      <w:r w:rsidRPr="00E223F5">
        <w:rPr>
          <w:rtl/>
          <w:lang w:val="en-US"/>
        </w:rPr>
        <w:t>2022</w:t>
      </w:r>
      <w:r w:rsidRPr="00EE2812">
        <w:rPr>
          <w:rtl/>
          <w:lang w:val="en-US"/>
        </w:rPr>
        <w:t>؛</w:t>
      </w:r>
    </w:p>
    <w:p w14:paraId="2C9F42C0" w14:textId="77777777" w:rsidR="00EE2812" w:rsidRDefault="00EE2812" w:rsidP="00EE2812">
      <w:pPr>
        <w:pStyle w:val="SingleTxtGA"/>
        <w:rPr>
          <w:lang w:val="en-US"/>
        </w:rPr>
      </w:pPr>
      <w:r w:rsidRPr="007F0FC8">
        <w:rPr>
          <w:rtl/>
          <w:lang w:val="en-US"/>
        </w:rPr>
        <w:tab/>
        <w:t>(</w:t>
      </w:r>
      <w:r w:rsidRPr="007F0FC8">
        <w:rPr>
          <w:rtl/>
          <w:lang w:val="en-US"/>
        </w:rPr>
        <w:t>د)</w:t>
      </w:r>
      <w:r w:rsidRPr="007F0FC8">
        <w:rPr>
          <w:rtl/>
          <w:lang w:val="en-US"/>
        </w:rPr>
        <w:tab/>
      </w:r>
      <w:r w:rsidRPr="00EE2812">
        <w:rPr>
          <w:rtl/>
          <w:lang w:val="en-US"/>
        </w:rPr>
        <w:t xml:space="preserve">اعتماد القانون رقم </w:t>
      </w:r>
      <w:r w:rsidRPr="00E223F5">
        <w:rPr>
          <w:rtl/>
          <w:lang w:val="en-US"/>
        </w:rPr>
        <w:t>155</w:t>
      </w:r>
      <w:r w:rsidRPr="00EE2812">
        <w:rPr>
          <w:rtl/>
          <w:lang w:val="en-US"/>
        </w:rPr>
        <w:t>-</w:t>
      </w:r>
      <w:r w:rsidRPr="00EE2812">
        <w:rPr>
          <w:lang w:val="en-US"/>
        </w:rPr>
        <w:t>VII ZRK</w:t>
      </w:r>
      <w:r w:rsidRPr="00EE2812">
        <w:rPr>
          <w:rtl/>
          <w:lang w:val="en-US"/>
        </w:rPr>
        <w:t xml:space="preserve"> المتعلق بمكتب الادعاء العام، في عام </w:t>
      </w:r>
      <w:r w:rsidRPr="00E223F5">
        <w:rPr>
          <w:rtl/>
          <w:lang w:val="en-US"/>
        </w:rPr>
        <w:t>2022</w:t>
      </w:r>
      <w:r w:rsidRPr="00EE2812">
        <w:rPr>
          <w:rtl/>
          <w:lang w:val="en-US"/>
        </w:rPr>
        <w:t>؛</w:t>
      </w:r>
    </w:p>
    <w:p w14:paraId="4B650DDA" w14:textId="761CD75B" w:rsidR="006853C9" w:rsidRPr="006853C9" w:rsidRDefault="00EE2812" w:rsidP="00EE2812">
      <w:pPr>
        <w:pStyle w:val="SingleTxtGA"/>
        <w:rPr>
          <w:spacing w:val="-4"/>
          <w:lang w:val="en-US"/>
        </w:rPr>
      </w:pPr>
      <w:r w:rsidRPr="007F0FC8">
        <w:rPr>
          <w:spacing w:val="-4"/>
          <w:rtl/>
          <w:lang w:val="en-US"/>
        </w:rPr>
        <w:tab/>
        <w:t>(</w:t>
      </w:r>
      <w:r w:rsidRPr="007F0FC8">
        <w:rPr>
          <w:spacing w:val="-4"/>
          <w:rtl/>
          <w:lang w:val="en-US"/>
        </w:rPr>
        <w:t>هـ)</w:t>
      </w:r>
      <w:r w:rsidRPr="007F0FC8">
        <w:rPr>
          <w:spacing w:val="-4"/>
          <w:rtl/>
          <w:lang w:val="en-US"/>
        </w:rPr>
        <w:tab/>
        <w:t xml:space="preserve">اعتماد القانون رقم </w:t>
      </w:r>
      <w:r w:rsidRPr="00E223F5">
        <w:rPr>
          <w:spacing w:val="-4"/>
          <w:rtl/>
          <w:lang w:val="en-US"/>
        </w:rPr>
        <w:t>131</w:t>
      </w:r>
      <w:r w:rsidRPr="007F0FC8">
        <w:rPr>
          <w:spacing w:val="-4"/>
          <w:rtl/>
          <w:lang w:val="en-US"/>
        </w:rPr>
        <w:t>-</w:t>
      </w:r>
      <w:r w:rsidRPr="007F0FC8">
        <w:rPr>
          <w:spacing w:val="-4"/>
          <w:lang w:val="en-US"/>
        </w:rPr>
        <w:t>VІ ZRK</w:t>
      </w:r>
      <w:r w:rsidRPr="007F0FC8">
        <w:rPr>
          <w:spacing w:val="-4"/>
          <w:rtl/>
          <w:lang w:val="en-US"/>
        </w:rPr>
        <w:t xml:space="preserve"> المتعلق بصندوق تعويض الضحايا، في عام </w:t>
      </w:r>
      <w:r w:rsidRPr="00E223F5">
        <w:rPr>
          <w:spacing w:val="-4"/>
          <w:rtl/>
          <w:lang w:val="en-US"/>
        </w:rPr>
        <w:t>201</w:t>
      </w:r>
      <w:r w:rsidR="006853C9" w:rsidRPr="00E223F5">
        <w:rPr>
          <w:spacing w:val="-4"/>
          <w:rtl/>
          <w:lang w:val="en-US"/>
        </w:rPr>
        <w:t>8</w:t>
      </w:r>
      <w:r w:rsidR="006853C9" w:rsidRPr="006853C9">
        <w:rPr>
          <w:spacing w:val="-4"/>
          <w:rtl/>
          <w:lang w:val="en-US"/>
        </w:rPr>
        <w:t>.</w:t>
      </w:r>
    </w:p>
    <w:p w14:paraId="750B3DF0" w14:textId="7ED1466C" w:rsidR="00EE2812" w:rsidRDefault="00EE2812" w:rsidP="00EE2812">
      <w:pPr>
        <w:pStyle w:val="SingleTxtGA"/>
        <w:rPr>
          <w:lang w:val="en-US"/>
        </w:rPr>
      </w:pPr>
      <w:r w:rsidRPr="00E223F5">
        <w:rPr>
          <w:rtl/>
          <w:lang w:val="en-US"/>
        </w:rPr>
        <w:t>7</w:t>
      </w:r>
      <w:r w:rsidRPr="007F0FC8">
        <w:rPr>
          <w:rtl/>
          <w:lang w:val="en-US"/>
        </w:rPr>
        <w:t>-</w:t>
      </w:r>
      <w:r w:rsidRPr="007F0FC8">
        <w:rPr>
          <w:rtl/>
          <w:lang w:val="en-US"/>
        </w:rPr>
        <w:tab/>
      </w:r>
      <w:r w:rsidRPr="00EE2812">
        <w:rPr>
          <w:rtl/>
          <w:lang w:val="en-US"/>
        </w:rPr>
        <w:t>وتشيد اللجنة بمبادرات الدولة الطرف الرامية إلى تعديل سياساتها وإجراءاتها من أجل إتاحة قدر أكبر من الحماية لحقوق الإنسان وتطبيق الاتفاقية على نطاق أوسع، ولا سيما ما يلي:</w:t>
      </w:r>
    </w:p>
    <w:p w14:paraId="7A6A23A1" w14:textId="77777777" w:rsidR="00EE2812" w:rsidRDefault="00EE2812" w:rsidP="00EE2812">
      <w:pPr>
        <w:pStyle w:val="SingleTxtGA"/>
        <w:rPr>
          <w:lang w:val="en-US"/>
        </w:rPr>
      </w:pPr>
      <w:r w:rsidRPr="007F0FC8">
        <w:rPr>
          <w:rtl/>
          <w:lang w:val="en-US"/>
        </w:rPr>
        <w:tab/>
        <w:t>(</w:t>
      </w:r>
      <w:r w:rsidRPr="007F0FC8">
        <w:rPr>
          <w:rtl/>
          <w:lang w:val="en-US"/>
        </w:rPr>
        <w:t>أ)</w:t>
      </w:r>
      <w:r w:rsidRPr="007F0FC8">
        <w:rPr>
          <w:rtl/>
          <w:lang w:val="en-US"/>
        </w:rPr>
        <w:tab/>
      </w:r>
      <w:r w:rsidRPr="00EE2812">
        <w:rPr>
          <w:rtl/>
          <w:lang w:val="en-US"/>
        </w:rPr>
        <w:t xml:space="preserve">افتتاح مكاتب تمثيلية لمفوض(ة) حقوق الإنسان في جميع المناطق، في عام </w:t>
      </w:r>
      <w:r w:rsidRPr="00E223F5">
        <w:rPr>
          <w:rtl/>
          <w:lang w:val="en-US"/>
        </w:rPr>
        <w:t>2022</w:t>
      </w:r>
      <w:r w:rsidRPr="00EE2812">
        <w:rPr>
          <w:rtl/>
          <w:lang w:val="en-US"/>
        </w:rPr>
        <w:t>؛</w:t>
      </w:r>
    </w:p>
    <w:p w14:paraId="5D357858" w14:textId="009DDCD2" w:rsidR="00EE2812" w:rsidRDefault="00EE2812" w:rsidP="00EE2812">
      <w:pPr>
        <w:pStyle w:val="SingleTxtGA"/>
        <w:rPr>
          <w:lang w:val="en-US"/>
        </w:rPr>
      </w:pPr>
      <w:r w:rsidRPr="007F0FC8">
        <w:rPr>
          <w:rtl/>
          <w:lang w:val="en-US"/>
        </w:rPr>
        <w:tab/>
        <w:t>(</w:t>
      </w:r>
      <w:r w:rsidRPr="007F0FC8">
        <w:rPr>
          <w:rtl/>
          <w:lang w:val="en-US"/>
        </w:rPr>
        <w:t>ب)</w:t>
      </w:r>
      <w:r w:rsidRPr="007F0FC8">
        <w:rPr>
          <w:rtl/>
          <w:lang w:val="en-US"/>
        </w:rPr>
        <w:tab/>
      </w:r>
      <w:r w:rsidRPr="00EE2812">
        <w:rPr>
          <w:rtl/>
          <w:lang w:val="en-US"/>
        </w:rPr>
        <w:t xml:space="preserve">اعتماد خطة العمل للفترة </w:t>
      </w:r>
      <w:r w:rsidRPr="00E223F5">
        <w:rPr>
          <w:rtl/>
          <w:lang w:val="en-US"/>
        </w:rPr>
        <w:t>2021</w:t>
      </w:r>
      <w:r w:rsidRPr="00EE2812">
        <w:rPr>
          <w:rtl/>
          <w:lang w:val="en-US"/>
        </w:rPr>
        <w:t>-</w:t>
      </w:r>
      <w:r w:rsidRPr="00E223F5">
        <w:rPr>
          <w:rtl/>
          <w:lang w:val="en-US"/>
        </w:rPr>
        <w:t>2023</w:t>
      </w:r>
      <w:r w:rsidRPr="00EE2812">
        <w:rPr>
          <w:rtl/>
          <w:lang w:val="en-US"/>
        </w:rPr>
        <w:t xml:space="preserve"> من أجل منع الجرائم المتعلقة بالاتجار بالأشخاص وقمعها ومكافحتها؛</w:t>
      </w:r>
    </w:p>
    <w:p w14:paraId="3C04A582" w14:textId="77777777" w:rsidR="00EE2812" w:rsidRDefault="00EE2812" w:rsidP="00EE2812">
      <w:pPr>
        <w:pStyle w:val="SingleTxtGA"/>
        <w:rPr>
          <w:lang w:val="en-US"/>
        </w:rPr>
      </w:pPr>
      <w:r w:rsidRPr="007F0FC8">
        <w:rPr>
          <w:rtl/>
          <w:lang w:val="en-US"/>
        </w:rPr>
        <w:tab/>
        <w:t>(</w:t>
      </w:r>
      <w:r w:rsidRPr="007F0FC8">
        <w:rPr>
          <w:rtl/>
          <w:lang w:val="en-US"/>
        </w:rPr>
        <w:t>ج)</w:t>
      </w:r>
      <w:r w:rsidRPr="007F0FC8">
        <w:rPr>
          <w:rtl/>
          <w:lang w:val="en-US"/>
        </w:rPr>
        <w:tab/>
      </w:r>
      <w:r w:rsidRPr="00EE2812">
        <w:rPr>
          <w:rtl/>
          <w:lang w:val="en-US"/>
        </w:rPr>
        <w:t xml:space="preserve">اعتماد خطة للعمل ذي الأولوية في مجال حقوق الإنسان، في عام </w:t>
      </w:r>
      <w:r w:rsidRPr="00E223F5">
        <w:rPr>
          <w:rtl/>
          <w:lang w:val="en-US"/>
        </w:rPr>
        <w:t>2022</w:t>
      </w:r>
      <w:r w:rsidRPr="00EE2812">
        <w:rPr>
          <w:rtl/>
          <w:lang w:val="en-US"/>
        </w:rPr>
        <w:t>؛</w:t>
      </w:r>
    </w:p>
    <w:p w14:paraId="5CEACAA3" w14:textId="6FE35E19" w:rsidR="00EE2812" w:rsidRDefault="00EE2812" w:rsidP="00EE2812">
      <w:pPr>
        <w:pStyle w:val="SingleTxtGA"/>
        <w:rPr>
          <w:lang w:val="en-US"/>
        </w:rPr>
      </w:pPr>
      <w:r w:rsidRPr="00891325">
        <w:rPr>
          <w:spacing w:val="-2"/>
          <w:rtl/>
          <w:lang w:val="en-US"/>
        </w:rPr>
        <w:tab/>
        <w:t>(</w:t>
      </w:r>
      <w:r w:rsidRPr="00891325">
        <w:rPr>
          <w:spacing w:val="-2"/>
          <w:rtl/>
          <w:lang w:val="en-US"/>
        </w:rPr>
        <w:t>د)</w:t>
      </w:r>
      <w:r w:rsidRPr="00891325">
        <w:rPr>
          <w:spacing w:val="-2"/>
          <w:rtl/>
          <w:lang w:val="en-US"/>
        </w:rPr>
        <w:tab/>
        <w:t>إنشاء مركز البحث والتعليم لتنفيذ قواعد نيلسون مانديلا (بالإشارة إلى قواعد الأمم المتحدة</w:t>
      </w:r>
      <w:r w:rsidRPr="00EE2812">
        <w:rPr>
          <w:rtl/>
          <w:lang w:val="en-US"/>
        </w:rPr>
        <w:t xml:space="preserve"> النموذجية الدنيا لمعاملة السجناء (قواعد نيلسون مانديلا)</w:t>
      </w:r>
      <w:r w:rsidR="006853C9" w:rsidRPr="006853C9">
        <w:rPr>
          <w:rtl/>
          <w:lang w:val="en-US"/>
        </w:rPr>
        <w:t xml:space="preserve">)، </w:t>
      </w:r>
      <w:r w:rsidRPr="00EE2812">
        <w:rPr>
          <w:rtl/>
          <w:lang w:val="en-US"/>
        </w:rPr>
        <w:t xml:space="preserve">في عام </w:t>
      </w:r>
      <w:r w:rsidRPr="00E223F5">
        <w:rPr>
          <w:rtl/>
          <w:lang w:val="en-US"/>
        </w:rPr>
        <w:t>2021</w:t>
      </w:r>
      <w:r w:rsidRPr="00EE2812">
        <w:rPr>
          <w:rtl/>
          <w:lang w:val="en-US"/>
        </w:rPr>
        <w:t>؛</w:t>
      </w:r>
    </w:p>
    <w:p w14:paraId="568274EF" w14:textId="4CB5A763" w:rsidR="00EE2812" w:rsidRDefault="00EE2812" w:rsidP="00EE2812">
      <w:pPr>
        <w:pStyle w:val="SingleTxtGA"/>
        <w:rPr>
          <w:lang w:val="en-US"/>
        </w:rPr>
      </w:pPr>
      <w:r>
        <w:rPr>
          <w:rtl/>
          <w:lang w:val="en-US"/>
        </w:rPr>
        <w:tab/>
        <w:t>(</w:t>
      </w:r>
      <w:r w:rsidRPr="00EE2812">
        <w:rPr>
          <w:rtl/>
          <w:lang w:val="en-US"/>
        </w:rPr>
        <w:t>هـ)</w:t>
      </w:r>
      <w:r w:rsidRPr="00EE2812">
        <w:rPr>
          <w:rtl/>
          <w:lang w:val="en-US"/>
        </w:rPr>
        <w:tab/>
        <w:t xml:space="preserve">إدراج نموذج ثلاثي للإجراءات الجنائية، ليحل محل النموذج الخماسي السابق، في عام </w:t>
      </w:r>
      <w:r w:rsidRPr="00E223F5">
        <w:rPr>
          <w:rtl/>
          <w:lang w:val="en-US"/>
        </w:rPr>
        <w:t>2020</w:t>
      </w:r>
      <w:r w:rsidRPr="00EE2812">
        <w:rPr>
          <w:rtl/>
          <w:lang w:val="en-US"/>
        </w:rPr>
        <w:t>؛</w:t>
      </w:r>
    </w:p>
    <w:p w14:paraId="63219B9F" w14:textId="77777777" w:rsidR="00EE2812" w:rsidRDefault="00EE2812" w:rsidP="00EE2812">
      <w:pPr>
        <w:pStyle w:val="SingleTxtGA"/>
        <w:rPr>
          <w:lang w:val="en-US"/>
        </w:rPr>
      </w:pPr>
      <w:r w:rsidRPr="007F0FC8">
        <w:rPr>
          <w:rtl/>
          <w:lang w:val="en-US"/>
        </w:rPr>
        <w:tab/>
        <w:t>(</w:t>
      </w:r>
      <w:r w:rsidRPr="007F0FC8">
        <w:rPr>
          <w:rtl/>
          <w:lang w:val="en-US"/>
        </w:rPr>
        <w:t>و)</w:t>
      </w:r>
      <w:r w:rsidRPr="007F0FC8">
        <w:rPr>
          <w:rtl/>
          <w:lang w:val="en-US"/>
        </w:rPr>
        <w:tab/>
      </w:r>
      <w:r w:rsidRPr="00EE2812">
        <w:rPr>
          <w:rtl/>
          <w:lang w:val="en-US"/>
        </w:rPr>
        <w:t xml:space="preserve">إنشاء محاكم تحقيق متخصصة، في عام </w:t>
      </w:r>
      <w:r w:rsidRPr="00E223F5">
        <w:rPr>
          <w:rtl/>
          <w:lang w:val="en-US"/>
        </w:rPr>
        <w:t>2018</w:t>
      </w:r>
      <w:r w:rsidRPr="00EE2812">
        <w:rPr>
          <w:rtl/>
          <w:lang w:val="en-US"/>
        </w:rPr>
        <w:t>؛</w:t>
      </w:r>
    </w:p>
    <w:p w14:paraId="46F2F0DB" w14:textId="77777777" w:rsidR="00EE2812" w:rsidRDefault="00EE2812" w:rsidP="00EE2812">
      <w:pPr>
        <w:pStyle w:val="SingleTxtGA"/>
        <w:rPr>
          <w:lang w:val="en-US"/>
        </w:rPr>
      </w:pPr>
      <w:r w:rsidRPr="007F0FC8">
        <w:rPr>
          <w:rtl/>
          <w:lang w:val="en-US"/>
        </w:rPr>
        <w:tab/>
        <w:t>(</w:t>
      </w:r>
      <w:r w:rsidRPr="007F0FC8">
        <w:rPr>
          <w:rtl/>
          <w:lang w:val="en-US"/>
        </w:rPr>
        <w:t>ز)</w:t>
      </w:r>
      <w:r w:rsidRPr="007F0FC8">
        <w:rPr>
          <w:rtl/>
          <w:lang w:val="en-US"/>
        </w:rPr>
        <w:tab/>
      </w:r>
      <w:r w:rsidRPr="00EE2812">
        <w:rPr>
          <w:rtl/>
          <w:lang w:val="en-US"/>
        </w:rPr>
        <w:t xml:space="preserve">اعتماد صيغة إلكترونية للإجراءات الجنائية تهدف إلى ضمان شفافية الإجراءات من جانب سلطات التحقيق واستبعاد إمكانية تزوير مواد القضايا الجنائية، في عام </w:t>
      </w:r>
      <w:r w:rsidRPr="00E223F5">
        <w:rPr>
          <w:rtl/>
          <w:lang w:val="en-US"/>
        </w:rPr>
        <w:t>2017</w:t>
      </w:r>
      <w:r w:rsidRPr="00EE2812">
        <w:rPr>
          <w:rtl/>
          <w:lang w:val="en-US"/>
        </w:rPr>
        <w:t>؛</w:t>
      </w:r>
    </w:p>
    <w:p w14:paraId="5DAC2729" w14:textId="1C35DD62" w:rsidR="006853C9" w:rsidRPr="006853C9" w:rsidRDefault="00EE2812" w:rsidP="00EE2812">
      <w:pPr>
        <w:pStyle w:val="SingleTxtGA"/>
        <w:rPr>
          <w:lang w:val="en-US"/>
        </w:rPr>
      </w:pPr>
      <w:r w:rsidRPr="007F0FC8">
        <w:rPr>
          <w:rtl/>
          <w:lang w:val="en-US"/>
        </w:rPr>
        <w:tab/>
        <w:t>(</w:t>
      </w:r>
      <w:r w:rsidRPr="007F0FC8">
        <w:rPr>
          <w:rtl/>
          <w:lang w:val="en-US"/>
        </w:rPr>
        <w:t>ح)</w:t>
      </w:r>
      <w:r w:rsidRPr="007F0FC8">
        <w:rPr>
          <w:rtl/>
          <w:lang w:val="en-US"/>
        </w:rPr>
        <w:tab/>
      </w:r>
      <w:r w:rsidRPr="00EE2812">
        <w:rPr>
          <w:rtl/>
          <w:lang w:val="en-US"/>
        </w:rPr>
        <w:t xml:space="preserve">إنشاء منصب المفوض(ة) المعني(ة) بحماية حقوق الطفل، في عام </w:t>
      </w:r>
      <w:r w:rsidRPr="00E223F5">
        <w:rPr>
          <w:rtl/>
          <w:lang w:val="en-US"/>
        </w:rPr>
        <w:t>201</w:t>
      </w:r>
      <w:r w:rsidR="006853C9" w:rsidRPr="00E223F5">
        <w:rPr>
          <w:rtl/>
          <w:lang w:val="en-US"/>
        </w:rPr>
        <w:t>6</w:t>
      </w:r>
      <w:r w:rsidR="006853C9" w:rsidRPr="006853C9">
        <w:rPr>
          <w:rtl/>
          <w:lang w:val="en-US"/>
        </w:rPr>
        <w:t>.</w:t>
      </w:r>
    </w:p>
    <w:p w14:paraId="1281EE80" w14:textId="30673859" w:rsidR="00EE2812" w:rsidRPr="00E223F5" w:rsidRDefault="00EE2812" w:rsidP="00EE2812">
      <w:pPr>
        <w:pStyle w:val="H1GA"/>
      </w:pPr>
      <w:r w:rsidRPr="00E223F5">
        <w:rPr>
          <w:rtl/>
        </w:rPr>
        <w:tab/>
      </w:r>
      <w:r w:rsidRPr="00E223F5">
        <w:rPr>
          <w:rtl/>
        </w:rPr>
        <w:t>جيم-</w:t>
      </w:r>
      <w:r w:rsidRPr="00E223F5">
        <w:rPr>
          <w:rtl/>
        </w:rPr>
        <w:tab/>
        <w:t>دواعي القلق الرئيسية والتوصيات</w:t>
      </w:r>
    </w:p>
    <w:p w14:paraId="1DA76E9B" w14:textId="77777777" w:rsidR="00EE2812" w:rsidRPr="00E223F5" w:rsidRDefault="00EE2812" w:rsidP="00EE2812">
      <w:pPr>
        <w:pStyle w:val="H23GA"/>
      </w:pPr>
      <w:r w:rsidRPr="00E223F5">
        <w:rPr>
          <w:rtl/>
        </w:rPr>
        <w:tab/>
      </w:r>
      <w:r w:rsidRPr="00E223F5">
        <w:rPr>
          <w:rtl/>
        </w:rPr>
        <w:tab/>
        <w:t>مسائل المتابعة المعلَّقة منذ الجولة السابقة لتقديم التقارير</w:t>
      </w:r>
    </w:p>
    <w:p w14:paraId="3B4AFC70" w14:textId="293BF3CC" w:rsidR="00EE2812" w:rsidRPr="00EE2812" w:rsidRDefault="00EE2812" w:rsidP="00FB1610">
      <w:pPr>
        <w:pStyle w:val="SingleTxtGA"/>
        <w:spacing w:line="342" w:lineRule="exact"/>
        <w:rPr>
          <w:lang w:val="en-US"/>
        </w:rPr>
      </w:pPr>
      <w:r w:rsidRPr="00E223F5">
        <w:rPr>
          <w:rtl/>
          <w:lang w:val="en-US"/>
        </w:rPr>
        <w:t>8</w:t>
      </w:r>
      <w:r w:rsidRPr="007F0FC8">
        <w:rPr>
          <w:rtl/>
          <w:lang w:val="en-US"/>
        </w:rPr>
        <w:t>-</w:t>
      </w:r>
      <w:r w:rsidRPr="007F0FC8">
        <w:rPr>
          <w:rtl/>
          <w:lang w:val="en-US"/>
        </w:rPr>
        <w:tab/>
      </w:r>
      <w:r w:rsidRPr="00891325">
        <w:rPr>
          <w:spacing w:val="-4"/>
          <w:rtl/>
          <w:lang w:val="en-US"/>
        </w:rPr>
        <w:t xml:space="preserve">طلبت اللجنة إلى الدولة الطرف، في ملاحظاتها الختامية </w:t>
      </w:r>
      <w:proofErr w:type="gramStart"/>
      <w:r w:rsidRPr="00891325">
        <w:rPr>
          <w:spacing w:val="-4"/>
          <w:rtl/>
          <w:lang w:val="en-US"/>
        </w:rPr>
        <w:t>السابقة</w:t>
      </w:r>
      <w:r w:rsidR="006853C9" w:rsidRPr="00E223F5">
        <w:rPr>
          <w:spacing w:val="-4"/>
          <w:vertAlign w:val="superscript"/>
          <w:rtl/>
        </w:rPr>
        <w:t>(</w:t>
      </w:r>
      <w:proofErr w:type="gramEnd"/>
      <w:r w:rsidR="006853C9" w:rsidRPr="00E223F5">
        <w:rPr>
          <w:spacing w:val="-4"/>
          <w:vertAlign w:val="superscript"/>
          <w:lang w:val="en-AU"/>
        </w:rPr>
        <w:footnoteReference w:id="6"/>
      </w:r>
      <w:r w:rsidR="006853C9" w:rsidRPr="00891325">
        <w:rPr>
          <w:spacing w:val="-4"/>
          <w:vertAlign w:val="superscript"/>
          <w:rtl/>
          <w:lang w:val="en-US"/>
        </w:rPr>
        <w:t>)</w:t>
      </w:r>
      <w:r w:rsidR="006853C9" w:rsidRPr="00891325">
        <w:rPr>
          <w:spacing w:val="-4"/>
          <w:rtl/>
          <w:lang w:val="en-US"/>
        </w:rPr>
        <w:t xml:space="preserve">، </w:t>
      </w:r>
      <w:r w:rsidRPr="00891325">
        <w:rPr>
          <w:spacing w:val="-4"/>
          <w:rtl/>
          <w:lang w:val="en-US"/>
        </w:rPr>
        <w:t>أن تقدم معلومات عن التدابير</w:t>
      </w:r>
      <w:r w:rsidRPr="00EE2812">
        <w:rPr>
          <w:rtl/>
          <w:lang w:val="en-US"/>
        </w:rPr>
        <w:t xml:space="preserve"> التي اتخذتها من أجل متابعة التوصيات المتعلقة بالمسائل التالية: التحقيق الفعال في ادعاءات التعذيب</w:t>
      </w:r>
      <w:r w:rsidR="006853C9" w:rsidRPr="00E223F5">
        <w:rPr>
          <w:vertAlign w:val="superscript"/>
          <w:rtl/>
        </w:rPr>
        <w:t>(</w:t>
      </w:r>
      <w:r w:rsidR="006853C9" w:rsidRPr="00E223F5">
        <w:rPr>
          <w:vertAlign w:val="superscript"/>
          <w:lang w:val="en-AU"/>
        </w:rPr>
        <w:footnoteReference w:id="7"/>
      </w:r>
      <w:r w:rsidR="006853C9" w:rsidRPr="006853C9">
        <w:rPr>
          <w:vertAlign w:val="superscript"/>
          <w:rtl/>
          <w:lang w:val="en-US"/>
        </w:rPr>
        <w:t>)</w:t>
      </w:r>
      <w:r w:rsidR="006853C9" w:rsidRPr="006853C9">
        <w:rPr>
          <w:rtl/>
          <w:lang w:val="en-US"/>
        </w:rPr>
        <w:t xml:space="preserve">؛ </w:t>
      </w:r>
      <w:r w:rsidRPr="00891325">
        <w:rPr>
          <w:spacing w:val="-4"/>
          <w:rtl/>
          <w:lang w:val="en-US"/>
        </w:rPr>
        <w:t>ونقل سلطة الاحتجاز إلى وزارة العدل</w:t>
      </w:r>
      <w:r w:rsidR="006853C9" w:rsidRPr="00E223F5">
        <w:rPr>
          <w:spacing w:val="-4"/>
          <w:vertAlign w:val="superscript"/>
          <w:rtl/>
        </w:rPr>
        <w:t>(</w:t>
      </w:r>
      <w:r w:rsidR="006853C9" w:rsidRPr="00E223F5">
        <w:rPr>
          <w:spacing w:val="-4"/>
          <w:vertAlign w:val="superscript"/>
          <w:lang w:val="en-AU"/>
        </w:rPr>
        <w:footnoteReference w:id="8"/>
      </w:r>
      <w:r w:rsidR="006853C9" w:rsidRPr="00891325">
        <w:rPr>
          <w:spacing w:val="-4"/>
          <w:vertAlign w:val="superscript"/>
          <w:rtl/>
          <w:lang w:val="en-US"/>
        </w:rPr>
        <w:t>)</w:t>
      </w:r>
      <w:r w:rsidR="006853C9" w:rsidRPr="00891325">
        <w:rPr>
          <w:spacing w:val="-4"/>
          <w:rtl/>
          <w:lang w:val="en-US"/>
        </w:rPr>
        <w:t xml:space="preserve">؛ </w:t>
      </w:r>
      <w:r w:rsidRPr="00891325">
        <w:rPr>
          <w:spacing w:val="-4"/>
          <w:rtl/>
          <w:lang w:val="en-US"/>
        </w:rPr>
        <w:t>ومفوض(ة) حقق الإنسان (أمانة المظالم) والآلية الوقائية</w:t>
      </w:r>
      <w:r w:rsidRPr="00EE2812">
        <w:rPr>
          <w:rtl/>
          <w:lang w:val="en-US"/>
        </w:rPr>
        <w:t xml:space="preserve"> الوطنية</w:t>
      </w:r>
      <w:r w:rsidR="006853C9" w:rsidRPr="00E223F5">
        <w:rPr>
          <w:vertAlign w:val="superscript"/>
          <w:rtl/>
        </w:rPr>
        <w:t>(</w:t>
      </w:r>
      <w:r w:rsidR="006853C9" w:rsidRPr="00E223F5">
        <w:rPr>
          <w:vertAlign w:val="superscript"/>
          <w:lang w:val="en-AU"/>
        </w:rPr>
        <w:footnoteReference w:id="9"/>
      </w:r>
      <w:r w:rsidR="006853C9" w:rsidRPr="006853C9">
        <w:rPr>
          <w:vertAlign w:val="superscript"/>
          <w:rtl/>
          <w:lang w:val="en-US"/>
        </w:rPr>
        <w:t>)</w:t>
      </w:r>
      <w:r w:rsidR="006853C9" w:rsidRPr="006853C9">
        <w:rPr>
          <w:rtl/>
          <w:lang w:val="en-US"/>
        </w:rPr>
        <w:t xml:space="preserve">؛ </w:t>
      </w:r>
      <w:r w:rsidRPr="00EE2812">
        <w:rPr>
          <w:rtl/>
          <w:lang w:val="en-US"/>
        </w:rPr>
        <w:lastRenderedPageBreak/>
        <w:t>وإقامة العدل</w:t>
      </w:r>
      <w:r w:rsidR="006853C9" w:rsidRPr="00E223F5">
        <w:rPr>
          <w:vertAlign w:val="superscript"/>
          <w:rtl/>
        </w:rPr>
        <w:t>(</w:t>
      </w:r>
      <w:r w:rsidR="006853C9" w:rsidRPr="00E223F5">
        <w:rPr>
          <w:vertAlign w:val="superscript"/>
          <w:lang w:val="en-AU"/>
        </w:rPr>
        <w:footnoteReference w:id="10"/>
      </w:r>
      <w:r w:rsidR="006853C9" w:rsidRPr="006853C9">
        <w:rPr>
          <w:vertAlign w:val="superscript"/>
          <w:rtl/>
          <w:lang w:val="en-US"/>
        </w:rPr>
        <w:t>)</w:t>
      </w:r>
      <w:r w:rsidR="006853C9" w:rsidRPr="006853C9">
        <w:rPr>
          <w:rtl/>
          <w:lang w:val="en-US"/>
        </w:rPr>
        <w:t xml:space="preserve">. </w:t>
      </w:r>
      <w:r w:rsidRPr="00EE2812">
        <w:rPr>
          <w:rtl/>
          <w:lang w:val="en-US"/>
        </w:rPr>
        <w:t xml:space="preserve">وإذ تلاحظ اللجنة الرد الذي قُدِّم في </w:t>
      </w:r>
      <w:r w:rsidRPr="00E223F5">
        <w:rPr>
          <w:rtl/>
          <w:lang w:val="en-US"/>
        </w:rPr>
        <w:t>20</w:t>
      </w:r>
      <w:r w:rsidRPr="00EE2812">
        <w:rPr>
          <w:rtl/>
          <w:lang w:val="en-US"/>
        </w:rPr>
        <w:t xml:space="preserve"> تشرين الثاني/نوفمبر </w:t>
      </w:r>
      <w:r w:rsidRPr="00E223F5">
        <w:rPr>
          <w:rtl/>
          <w:lang w:val="en-US"/>
        </w:rPr>
        <w:t>2015</w:t>
      </w:r>
      <w:r w:rsidR="006853C9" w:rsidRPr="00E223F5">
        <w:rPr>
          <w:vertAlign w:val="superscript"/>
          <w:rtl/>
        </w:rPr>
        <w:t>(</w:t>
      </w:r>
      <w:r w:rsidR="006853C9" w:rsidRPr="00E223F5">
        <w:rPr>
          <w:vertAlign w:val="superscript"/>
          <w:lang w:val="en-AU"/>
        </w:rPr>
        <w:footnoteReference w:id="11"/>
      </w:r>
      <w:r w:rsidRPr="00EE2812">
        <w:rPr>
          <w:vertAlign w:val="superscript"/>
          <w:rtl/>
          <w:lang w:val="en-US"/>
        </w:rPr>
        <w:t>)</w:t>
      </w:r>
      <w:r w:rsidR="00891325">
        <w:rPr>
          <w:rFonts w:hint="cs"/>
          <w:rtl/>
          <w:lang w:val="en-US"/>
        </w:rPr>
        <w:t xml:space="preserve"> </w:t>
      </w:r>
      <w:r w:rsidRPr="00EE2812">
        <w:rPr>
          <w:rtl/>
          <w:lang w:val="en-US"/>
        </w:rPr>
        <w:t xml:space="preserve">بشأن المعلومات التي طلبتها اللجنة، وبالإشارة إلى الرسالة المؤرخة </w:t>
      </w:r>
      <w:r w:rsidRPr="00E223F5">
        <w:rPr>
          <w:rtl/>
          <w:lang w:val="en-US"/>
        </w:rPr>
        <w:t>29</w:t>
      </w:r>
      <w:r w:rsidRPr="00EE2812">
        <w:rPr>
          <w:rtl/>
          <w:lang w:val="en-US"/>
        </w:rPr>
        <w:t xml:space="preserve"> آب/أغسطس </w:t>
      </w:r>
      <w:r w:rsidRPr="00E223F5">
        <w:rPr>
          <w:rtl/>
          <w:lang w:val="en-US"/>
        </w:rPr>
        <w:t>2016</w:t>
      </w:r>
      <w:r w:rsidRPr="00EE2812">
        <w:rPr>
          <w:rtl/>
          <w:lang w:val="en-US"/>
        </w:rPr>
        <w:t xml:space="preserve"> والموجهة من مقرر اللجنة </w:t>
      </w:r>
      <w:r w:rsidRPr="00050A63">
        <w:rPr>
          <w:spacing w:val="-2"/>
          <w:rtl/>
          <w:lang w:val="en-US"/>
        </w:rPr>
        <w:t xml:space="preserve">المعني بمتابعة الملاحظات </w:t>
      </w:r>
      <w:proofErr w:type="gramStart"/>
      <w:r w:rsidRPr="00050A63">
        <w:rPr>
          <w:spacing w:val="-2"/>
          <w:rtl/>
          <w:lang w:val="en-US"/>
        </w:rPr>
        <w:t>الختامية</w:t>
      </w:r>
      <w:r w:rsidR="006853C9" w:rsidRPr="00E223F5">
        <w:rPr>
          <w:spacing w:val="-2"/>
          <w:vertAlign w:val="superscript"/>
          <w:rtl/>
        </w:rPr>
        <w:t>(</w:t>
      </w:r>
      <w:proofErr w:type="gramEnd"/>
      <w:r w:rsidR="006853C9" w:rsidRPr="00E223F5">
        <w:rPr>
          <w:spacing w:val="-2"/>
          <w:vertAlign w:val="superscript"/>
          <w:lang w:val="en-AU"/>
        </w:rPr>
        <w:footnoteReference w:id="12"/>
      </w:r>
      <w:r w:rsidR="006853C9" w:rsidRPr="00050A63">
        <w:rPr>
          <w:spacing w:val="-2"/>
          <w:vertAlign w:val="superscript"/>
          <w:rtl/>
          <w:lang w:val="en-US"/>
        </w:rPr>
        <w:t>)</w:t>
      </w:r>
      <w:r w:rsidR="006853C9" w:rsidRPr="00050A63">
        <w:rPr>
          <w:spacing w:val="-2"/>
          <w:rtl/>
          <w:lang w:val="en-US"/>
        </w:rPr>
        <w:t xml:space="preserve">، </w:t>
      </w:r>
      <w:r w:rsidRPr="00050A63">
        <w:rPr>
          <w:spacing w:val="-2"/>
          <w:rtl/>
          <w:lang w:val="en-US"/>
        </w:rPr>
        <w:t>فإنها ترى أن الدولة الطرف اتخذت تدابير ملموسة في سبيل تنفيذ</w:t>
      </w:r>
      <w:r w:rsidRPr="00EE2812">
        <w:rPr>
          <w:rtl/>
          <w:lang w:val="en-US"/>
        </w:rPr>
        <w:t xml:space="preserve"> التوصيات الواردة في الفقرتين </w:t>
      </w:r>
      <w:r w:rsidRPr="00E223F5">
        <w:rPr>
          <w:rtl/>
          <w:lang w:val="en-US"/>
        </w:rPr>
        <w:t>13</w:t>
      </w:r>
      <w:r w:rsidRPr="00EE2812">
        <w:rPr>
          <w:rtl/>
          <w:lang w:val="en-US"/>
        </w:rPr>
        <w:t xml:space="preserve"> و</w:t>
      </w:r>
      <w:r w:rsidRPr="00E223F5">
        <w:rPr>
          <w:rtl/>
          <w:lang w:val="en-US"/>
        </w:rPr>
        <w:t>15</w:t>
      </w:r>
      <w:r w:rsidRPr="00EE2812">
        <w:rPr>
          <w:rtl/>
          <w:lang w:val="en-US"/>
        </w:rPr>
        <w:t xml:space="preserve">، وأن التوصيات الواردة في الفقرة </w:t>
      </w:r>
      <w:r w:rsidRPr="00E223F5">
        <w:rPr>
          <w:rtl/>
          <w:lang w:val="en-US"/>
        </w:rPr>
        <w:t>8</w:t>
      </w:r>
      <w:r w:rsidRPr="00EE2812">
        <w:rPr>
          <w:rtl/>
          <w:lang w:val="en-US"/>
        </w:rPr>
        <w:t xml:space="preserve"> لم تُنفَّذ إلا في جزء منها وأن</w:t>
      </w:r>
      <w:r w:rsidR="00050A63">
        <w:rPr>
          <w:rFonts w:hint="cs"/>
          <w:rtl/>
          <w:lang w:val="en-US"/>
        </w:rPr>
        <w:t> </w:t>
      </w:r>
      <w:r w:rsidRPr="00EE2812">
        <w:rPr>
          <w:rtl/>
          <w:lang w:val="en-US"/>
        </w:rPr>
        <w:t xml:space="preserve">التوصيات الواردة في الفقرة </w:t>
      </w:r>
      <w:r w:rsidRPr="00E223F5">
        <w:rPr>
          <w:rtl/>
          <w:lang w:val="en-US"/>
        </w:rPr>
        <w:t>10</w:t>
      </w:r>
      <w:r w:rsidRPr="00EE2812">
        <w:rPr>
          <w:rtl/>
          <w:lang w:val="en-US"/>
        </w:rPr>
        <w:t xml:space="preserve"> لم تُنفَّذ. وتحيط اللجنة علم</w:t>
      </w:r>
      <w:r w:rsidR="00891325">
        <w:rPr>
          <w:rtl/>
          <w:lang w:val="en-US"/>
        </w:rPr>
        <w:t xml:space="preserve">اً </w:t>
      </w:r>
      <w:r w:rsidRPr="00EE2812">
        <w:rPr>
          <w:rtl/>
          <w:lang w:val="en-US"/>
        </w:rPr>
        <w:t>أيض</w:t>
      </w:r>
      <w:r w:rsidR="00891325">
        <w:rPr>
          <w:rtl/>
          <w:lang w:val="en-US"/>
        </w:rPr>
        <w:t xml:space="preserve">اً </w:t>
      </w:r>
      <w:r w:rsidRPr="00EE2812">
        <w:rPr>
          <w:rtl/>
          <w:lang w:val="en-US"/>
        </w:rPr>
        <w:t xml:space="preserve">بالمعلومات الإضافية التي أرسلتها الدولة الطرف في </w:t>
      </w:r>
      <w:r w:rsidRPr="00E223F5">
        <w:rPr>
          <w:rtl/>
          <w:lang w:val="en-US"/>
        </w:rPr>
        <w:t>21</w:t>
      </w:r>
      <w:r w:rsidRPr="00EE2812">
        <w:rPr>
          <w:rtl/>
          <w:lang w:val="en-US"/>
        </w:rPr>
        <w:t xml:space="preserve"> كانون الأول/ديسمبر </w:t>
      </w:r>
      <w:r w:rsidRPr="00E223F5">
        <w:rPr>
          <w:rtl/>
          <w:lang w:val="en-US"/>
        </w:rPr>
        <w:t>2016</w:t>
      </w:r>
      <w:r w:rsidR="006853C9" w:rsidRPr="00E223F5">
        <w:rPr>
          <w:vertAlign w:val="superscript"/>
          <w:rtl/>
        </w:rPr>
        <w:t>(</w:t>
      </w:r>
      <w:r w:rsidR="006853C9" w:rsidRPr="00E223F5">
        <w:rPr>
          <w:vertAlign w:val="superscript"/>
          <w:lang w:val="en-AU"/>
        </w:rPr>
        <w:footnoteReference w:id="13"/>
      </w:r>
      <w:r w:rsidR="006853C9" w:rsidRPr="006853C9">
        <w:rPr>
          <w:vertAlign w:val="superscript"/>
          <w:rtl/>
          <w:lang w:val="en-US"/>
        </w:rPr>
        <w:t>)</w:t>
      </w:r>
      <w:r w:rsidR="006853C9" w:rsidRPr="006853C9">
        <w:rPr>
          <w:rtl/>
          <w:lang w:val="en-US"/>
        </w:rPr>
        <w:t xml:space="preserve">. </w:t>
      </w:r>
      <w:r w:rsidRPr="00EE2812">
        <w:rPr>
          <w:rtl/>
          <w:lang w:val="en-US"/>
        </w:rPr>
        <w:t xml:space="preserve">وترد المسائل المعلقة التي تناولتها الملاحظات الختامية السابقة في الفقرات من </w:t>
      </w:r>
      <w:r w:rsidRPr="00E223F5">
        <w:rPr>
          <w:rtl/>
          <w:lang w:val="en-US"/>
        </w:rPr>
        <w:t>15</w:t>
      </w:r>
      <w:r w:rsidRPr="00EE2812">
        <w:rPr>
          <w:rtl/>
          <w:lang w:val="en-US"/>
        </w:rPr>
        <w:t xml:space="preserve"> إلى </w:t>
      </w:r>
      <w:r w:rsidRPr="00E223F5">
        <w:rPr>
          <w:rtl/>
          <w:lang w:val="en-US"/>
        </w:rPr>
        <w:t>20</w:t>
      </w:r>
      <w:r w:rsidRPr="00EE2812">
        <w:rPr>
          <w:rtl/>
          <w:lang w:val="en-US"/>
        </w:rPr>
        <w:t xml:space="preserve"> من هذه الملاحظات الختامية. </w:t>
      </w:r>
    </w:p>
    <w:p w14:paraId="46C31D25" w14:textId="77777777" w:rsidR="00EE2812" w:rsidRPr="00E223F5" w:rsidRDefault="00EE2812" w:rsidP="00EE2812">
      <w:pPr>
        <w:pStyle w:val="H23GA"/>
      </w:pPr>
      <w:r w:rsidRPr="00E223F5">
        <w:rPr>
          <w:rtl/>
        </w:rPr>
        <w:tab/>
      </w:r>
      <w:r w:rsidRPr="00E223F5">
        <w:rPr>
          <w:rtl/>
        </w:rPr>
        <w:tab/>
        <w:t>تعريف التعذيب</w:t>
      </w:r>
    </w:p>
    <w:p w14:paraId="5F7F9036" w14:textId="71F6176F" w:rsidR="006853C9" w:rsidRPr="006853C9" w:rsidRDefault="00EE2812" w:rsidP="0086501A">
      <w:pPr>
        <w:pStyle w:val="SingleTxtGA"/>
        <w:rPr>
          <w:lang w:val="en-US"/>
        </w:rPr>
      </w:pPr>
      <w:r w:rsidRPr="00E223F5">
        <w:rPr>
          <w:rtl/>
          <w:lang w:val="en-US"/>
        </w:rPr>
        <w:t>9</w:t>
      </w:r>
      <w:r w:rsidRPr="007F0FC8">
        <w:rPr>
          <w:rtl/>
          <w:lang w:val="en-US"/>
        </w:rPr>
        <w:t>-</w:t>
      </w:r>
      <w:r w:rsidRPr="007F0FC8">
        <w:rPr>
          <w:rtl/>
          <w:lang w:val="en-US"/>
        </w:rPr>
        <w:tab/>
      </w:r>
      <w:r w:rsidRPr="00EE2812">
        <w:rPr>
          <w:rtl/>
          <w:lang w:val="en-US"/>
        </w:rPr>
        <w:t xml:space="preserve">تلاحظ اللجنة باهتمام مشروع القانون المعتمد في </w:t>
      </w:r>
      <w:r w:rsidRPr="00E223F5">
        <w:rPr>
          <w:rtl/>
          <w:lang w:val="en-US"/>
        </w:rPr>
        <w:t>17</w:t>
      </w:r>
      <w:r w:rsidRPr="00EE2812">
        <w:rPr>
          <w:rtl/>
          <w:lang w:val="en-US"/>
        </w:rPr>
        <w:t xml:space="preserve"> آذار/مارس </w:t>
      </w:r>
      <w:r w:rsidRPr="00E223F5">
        <w:rPr>
          <w:rtl/>
          <w:lang w:val="en-US"/>
        </w:rPr>
        <w:t>2023</w:t>
      </w:r>
      <w:r w:rsidRPr="00EE2812">
        <w:rPr>
          <w:rtl/>
          <w:lang w:val="en-US"/>
        </w:rPr>
        <w:t xml:space="preserve"> (القانون</w:t>
      </w:r>
      <w:r w:rsidR="0086501A">
        <w:rPr>
          <w:rFonts w:hint="cs"/>
          <w:rtl/>
          <w:lang w:val="en-US"/>
        </w:rPr>
        <w:t xml:space="preserve">             </w:t>
      </w:r>
      <w:r w:rsidRPr="00EE2812">
        <w:rPr>
          <w:rtl/>
          <w:lang w:val="en-US"/>
        </w:rPr>
        <w:t xml:space="preserve"> رقم </w:t>
      </w:r>
      <w:r w:rsidRPr="00E223F5">
        <w:rPr>
          <w:rtl/>
          <w:lang w:val="en-US"/>
        </w:rPr>
        <w:t>212</w:t>
      </w:r>
      <w:r w:rsidRPr="00EE2812">
        <w:rPr>
          <w:rtl/>
          <w:lang w:val="en-US"/>
        </w:rPr>
        <w:t>-</w:t>
      </w:r>
      <w:r w:rsidRPr="00EE2812">
        <w:rPr>
          <w:lang w:val="en-US"/>
        </w:rPr>
        <w:t>VII ZR</w:t>
      </w:r>
      <w:r w:rsidR="006853C9" w:rsidRPr="006853C9">
        <w:rPr>
          <w:lang w:val="en-US"/>
        </w:rPr>
        <w:t>K</w:t>
      </w:r>
      <w:r w:rsidR="006853C9" w:rsidRPr="006853C9">
        <w:rPr>
          <w:rtl/>
          <w:lang w:val="en-US"/>
        </w:rPr>
        <w:t xml:space="preserve">) </w:t>
      </w:r>
      <w:r w:rsidRPr="00EE2812">
        <w:rPr>
          <w:rtl/>
          <w:lang w:val="en-US"/>
        </w:rPr>
        <w:t xml:space="preserve">والتعديلات التي أُدخلت من ثمّ على المادة </w:t>
      </w:r>
      <w:r w:rsidRPr="00E223F5">
        <w:rPr>
          <w:rtl/>
          <w:lang w:val="en-US"/>
        </w:rPr>
        <w:t>146</w:t>
      </w:r>
      <w:r w:rsidRPr="00EE2812">
        <w:rPr>
          <w:rtl/>
          <w:lang w:val="en-US"/>
        </w:rPr>
        <w:t xml:space="preserve"> من القانون الجنائي، والتي تميّز جريمة التعذيب عن غيرها من أشكال المعاملة القاسية أو المهينة أو اللاإنسانية. غير أنها لا تزال تشعر</w:t>
      </w:r>
      <w:r w:rsidR="0086501A">
        <w:rPr>
          <w:rFonts w:hint="cs"/>
          <w:rtl/>
          <w:lang w:val="en-US"/>
        </w:rPr>
        <w:t> </w:t>
      </w:r>
      <w:r w:rsidRPr="00EE2812">
        <w:rPr>
          <w:rtl/>
          <w:lang w:val="en-US"/>
        </w:rPr>
        <w:t>بالقلق إزاء أوجه القصور التالية في هذه الأحكام. فأول</w:t>
      </w:r>
      <w:r w:rsidR="00F25086">
        <w:rPr>
          <w:rtl/>
          <w:lang w:val="en-US"/>
        </w:rPr>
        <w:t>اً،</w:t>
      </w:r>
      <w:r w:rsidRPr="00EE2812">
        <w:rPr>
          <w:rtl/>
          <w:lang w:val="en-US"/>
        </w:rPr>
        <w:t xml:space="preserve"> لا تشير المادة </w:t>
      </w:r>
      <w:r w:rsidRPr="00E223F5">
        <w:rPr>
          <w:rtl/>
          <w:lang w:val="en-US"/>
        </w:rPr>
        <w:t>146</w:t>
      </w:r>
      <w:r w:rsidRPr="00EE2812">
        <w:rPr>
          <w:rtl/>
          <w:lang w:val="en-US"/>
        </w:rPr>
        <w:t>(</w:t>
      </w:r>
      <w:r w:rsidR="006853C9" w:rsidRPr="00E223F5">
        <w:rPr>
          <w:rtl/>
          <w:lang w:val="en-US"/>
        </w:rPr>
        <w:t>2</w:t>
      </w:r>
      <w:r w:rsidR="006853C9" w:rsidRPr="006853C9">
        <w:rPr>
          <w:rtl/>
          <w:lang w:val="en-US"/>
        </w:rPr>
        <w:t xml:space="preserve">) </w:t>
      </w:r>
      <w:r w:rsidRPr="00EE2812">
        <w:rPr>
          <w:rtl/>
          <w:lang w:val="en-US"/>
        </w:rPr>
        <w:t>من القانون الجنائي إلى المعاناة البدنية و/أو العقلية "الشديدة"، وهي أحد العناصر التي تميّز التعذيب عن إساءة المعاملة. وثاني</w:t>
      </w:r>
      <w:r w:rsidR="00F25086">
        <w:rPr>
          <w:rtl/>
          <w:lang w:val="en-US"/>
        </w:rPr>
        <w:t>اً،</w:t>
      </w:r>
      <w:r w:rsidR="0086501A">
        <w:rPr>
          <w:rFonts w:hint="cs"/>
          <w:rtl/>
          <w:lang w:val="en-US"/>
        </w:rPr>
        <w:t> </w:t>
      </w:r>
      <w:r w:rsidRPr="00EE2812">
        <w:rPr>
          <w:rtl/>
          <w:lang w:val="en-US"/>
        </w:rPr>
        <w:t>قد يتلقى الشخص المدان بارتكاب أعمال تعذيب أو إساءة معاملة عقوبةً في شكل غرامة أو خدمة مجتمعية</w:t>
      </w:r>
      <w:r w:rsidR="006853C9" w:rsidRPr="006853C9">
        <w:rPr>
          <w:rtl/>
          <w:lang w:val="en-US"/>
        </w:rPr>
        <w:t>،</w:t>
      </w:r>
      <w:r w:rsidRPr="00EE2812">
        <w:rPr>
          <w:rtl/>
          <w:lang w:val="en-US"/>
        </w:rPr>
        <w:t xml:space="preserve"> وهي عقوبة لا تتناسب مع خطورة هذه الجرائم. وثالث</w:t>
      </w:r>
      <w:r w:rsidR="00F25086">
        <w:rPr>
          <w:rtl/>
          <w:lang w:val="en-US"/>
        </w:rPr>
        <w:t>اً،</w:t>
      </w:r>
      <w:r w:rsidRPr="00EE2812">
        <w:rPr>
          <w:rtl/>
          <w:lang w:val="en-US"/>
        </w:rPr>
        <w:t xml:space="preserve"> من شأن الصياغة الحالية المتعلقة بحكم</w:t>
      </w:r>
      <w:r w:rsidR="0086501A">
        <w:rPr>
          <w:rFonts w:hint="cs"/>
          <w:rtl/>
          <w:lang w:val="en-US"/>
        </w:rPr>
        <w:t> </w:t>
      </w:r>
      <w:r w:rsidRPr="00EE2812">
        <w:rPr>
          <w:rtl/>
          <w:lang w:val="en-US"/>
        </w:rPr>
        <w:t xml:space="preserve">الاستثناء في تعريف التعذيب، أي أن "المعاناة البدنية والعقلية الناجمة عن أفعال مشروعة يمارسها الموظفون لا تعدُّ تعذيبا"، أن تتيح المجال لتفسير أوسع مما هو مقصود بحكم "العقوبات المشروعة" المحدود والوارد في المادة </w:t>
      </w:r>
      <w:r w:rsidRPr="00E223F5">
        <w:rPr>
          <w:rtl/>
          <w:lang w:val="en-US"/>
        </w:rPr>
        <w:t>1</w:t>
      </w:r>
      <w:r w:rsidRPr="00EE2812">
        <w:rPr>
          <w:rtl/>
          <w:lang w:val="en-US"/>
        </w:rPr>
        <w:t xml:space="preserve"> من الاتفاقية. ورابع</w:t>
      </w:r>
      <w:r w:rsidR="00F25086">
        <w:rPr>
          <w:rtl/>
          <w:lang w:val="en-US"/>
        </w:rPr>
        <w:t>اً،</w:t>
      </w:r>
      <w:r w:rsidRPr="00EE2812">
        <w:rPr>
          <w:rtl/>
          <w:lang w:val="en-US"/>
        </w:rPr>
        <w:t xml:space="preserve"> لا تستبعد المادة </w:t>
      </w:r>
      <w:r w:rsidRPr="00E223F5">
        <w:rPr>
          <w:rtl/>
          <w:lang w:val="en-US"/>
        </w:rPr>
        <w:t>612</w:t>
      </w:r>
      <w:r w:rsidRPr="00EE2812">
        <w:rPr>
          <w:rtl/>
          <w:lang w:val="en-US"/>
        </w:rPr>
        <w:t xml:space="preserve"> من قانون الإجراءات الجنائية، مقروءة بالاقتران مع المادة </w:t>
      </w:r>
      <w:r w:rsidRPr="00E223F5">
        <w:rPr>
          <w:rtl/>
          <w:lang w:val="en-US"/>
        </w:rPr>
        <w:t>67</w:t>
      </w:r>
      <w:r w:rsidRPr="00EE2812">
        <w:rPr>
          <w:rtl/>
          <w:lang w:val="en-US"/>
        </w:rPr>
        <w:t xml:space="preserve"> من القانون الجنائي، إمكانية التفاوض لتخفيف العقوبة على جرائم التعذيب وإساءة المعاملة، وتنص المادة </w:t>
      </w:r>
      <w:r w:rsidRPr="00E223F5">
        <w:rPr>
          <w:rtl/>
          <w:lang w:val="en-US"/>
        </w:rPr>
        <w:t>72</w:t>
      </w:r>
      <w:r w:rsidRPr="00EE2812">
        <w:rPr>
          <w:rtl/>
          <w:lang w:val="en-US"/>
        </w:rPr>
        <w:t xml:space="preserve"> من القانون الجنائي على إمكانية الإفراج المشروط عن مرتكبي هذه الجرائم، وهو ما قد يسهم في الإفلات من العقاب (المادتان </w:t>
      </w:r>
      <w:r w:rsidRPr="00E223F5">
        <w:rPr>
          <w:rtl/>
          <w:lang w:val="en-US"/>
        </w:rPr>
        <w:t>1</w:t>
      </w:r>
      <w:r w:rsidRPr="00EE2812">
        <w:rPr>
          <w:rtl/>
          <w:lang w:val="en-US"/>
        </w:rPr>
        <w:t xml:space="preserve"> و</w:t>
      </w:r>
      <w:r w:rsidR="006853C9" w:rsidRPr="00E223F5">
        <w:rPr>
          <w:rtl/>
          <w:lang w:val="en-US"/>
        </w:rPr>
        <w:t>4</w:t>
      </w:r>
      <w:r w:rsidR="006853C9" w:rsidRPr="006853C9">
        <w:rPr>
          <w:rtl/>
          <w:lang w:val="en-US"/>
        </w:rPr>
        <w:t>).</w:t>
      </w:r>
    </w:p>
    <w:p w14:paraId="6856C93C" w14:textId="55ACB6B8" w:rsidR="00EE2812" w:rsidRPr="00891325" w:rsidRDefault="00EE2812" w:rsidP="0086501A">
      <w:pPr>
        <w:pStyle w:val="SingleTxtGA"/>
        <w:rPr>
          <w:b/>
          <w:bCs/>
          <w:spacing w:val="-2"/>
          <w:lang w:val="en-US"/>
        </w:rPr>
      </w:pPr>
      <w:r w:rsidRPr="00E223F5">
        <w:rPr>
          <w:spacing w:val="-2"/>
          <w:rtl/>
          <w:lang w:val="en-US"/>
        </w:rPr>
        <w:t>10</w:t>
      </w:r>
      <w:r w:rsidRPr="00891325">
        <w:rPr>
          <w:spacing w:val="-2"/>
          <w:rtl/>
          <w:lang w:val="en-US"/>
        </w:rPr>
        <w:t>-</w:t>
      </w:r>
      <w:r w:rsidRPr="00891325">
        <w:rPr>
          <w:spacing w:val="-2"/>
          <w:rtl/>
          <w:lang w:val="en-US"/>
        </w:rPr>
        <w:tab/>
      </w:r>
      <w:r w:rsidRPr="00891325">
        <w:rPr>
          <w:b/>
          <w:bCs/>
          <w:spacing w:val="-2"/>
          <w:rtl/>
          <w:lang w:val="en-US"/>
        </w:rPr>
        <w:t xml:space="preserve">ينبغي أن تقوم الدولة الطرف، على سبيل الأولوية، بمواءمة التعريف القانوني للتعذيب الوارد في المادة </w:t>
      </w:r>
      <w:r w:rsidRPr="00E223F5">
        <w:rPr>
          <w:b/>
          <w:bCs/>
          <w:spacing w:val="-2"/>
          <w:rtl/>
          <w:lang w:val="en-US"/>
        </w:rPr>
        <w:t>146</w:t>
      </w:r>
      <w:r w:rsidRPr="00891325">
        <w:rPr>
          <w:b/>
          <w:bCs/>
          <w:spacing w:val="-2"/>
          <w:rtl/>
          <w:lang w:val="en-US"/>
        </w:rPr>
        <w:t xml:space="preserve"> من القانون الجنائي وغيره من التشريعات ذات الصلة مع المادة </w:t>
      </w:r>
      <w:r w:rsidRPr="00E223F5">
        <w:rPr>
          <w:b/>
          <w:bCs/>
          <w:spacing w:val="-2"/>
          <w:rtl/>
          <w:lang w:val="en-US"/>
        </w:rPr>
        <w:t>1</w:t>
      </w:r>
      <w:r w:rsidRPr="00891325">
        <w:rPr>
          <w:b/>
          <w:bCs/>
          <w:spacing w:val="-2"/>
          <w:rtl/>
          <w:lang w:val="en-US"/>
        </w:rPr>
        <w:t xml:space="preserve"> من الاتفاقية، وذلك بإدراج العناصر التي تميز جريمة التعذيب عن الأشكال الأخرى لإساءة المعاملة، وبتعديل صياغة حكم الاستثناء المتعلق ب</w:t>
      </w:r>
      <w:r w:rsidR="007F0FC8" w:rsidRPr="00891325">
        <w:rPr>
          <w:rFonts w:hint="cs"/>
          <w:b/>
          <w:bCs/>
          <w:spacing w:val="-2"/>
          <w:rtl/>
          <w:lang w:val="en-US"/>
        </w:rPr>
        <w:t>‍ </w:t>
      </w:r>
      <w:r w:rsidRPr="00891325">
        <w:rPr>
          <w:b/>
          <w:bCs/>
          <w:spacing w:val="-2"/>
          <w:rtl/>
          <w:lang w:val="en-US"/>
        </w:rPr>
        <w:t xml:space="preserve">"العقوبات المشروعة" من أجل التقليص إلى أدنى حد من احتمال إساءة تفسيرها. وينبغي أن تكفل الدولة الطرف تناسب العقوبات المفروضة على التعذيب وإساءة المعاملة مع خطورة الجريمة، على نحو ما تنص عليه المادة </w:t>
      </w:r>
      <w:r w:rsidRPr="00E223F5">
        <w:rPr>
          <w:b/>
          <w:bCs/>
          <w:spacing w:val="-2"/>
          <w:rtl/>
          <w:lang w:val="en-US"/>
        </w:rPr>
        <w:t>4</w:t>
      </w:r>
      <w:r w:rsidRPr="00891325">
        <w:rPr>
          <w:b/>
          <w:bCs/>
          <w:spacing w:val="-2"/>
          <w:rtl/>
          <w:lang w:val="en-US"/>
        </w:rPr>
        <w:t>(</w:t>
      </w:r>
      <w:r w:rsidR="006853C9" w:rsidRPr="00E223F5">
        <w:rPr>
          <w:b/>
          <w:bCs/>
          <w:spacing w:val="-2"/>
          <w:rtl/>
          <w:lang w:val="en-US"/>
        </w:rPr>
        <w:t>2</w:t>
      </w:r>
      <w:r w:rsidR="006853C9" w:rsidRPr="00891325">
        <w:rPr>
          <w:b/>
          <w:bCs/>
          <w:spacing w:val="-2"/>
          <w:rtl/>
          <w:lang w:val="en-US"/>
        </w:rPr>
        <w:t xml:space="preserve">) </w:t>
      </w:r>
      <w:r w:rsidRPr="00891325">
        <w:rPr>
          <w:b/>
          <w:bCs/>
          <w:spacing w:val="-2"/>
          <w:rtl/>
          <w:lang w:val="en-US"/>
        </w:rPr>
        <w:t>من الاتفاقية. وينبغي أيض</w:t>
      </w:r>
      <w:r w:rsidR="00891325" w:rsidRPr="00891325">
        <w:rPr>
          <w:b/>
          <w:bCs/>
          <w:spacing w:val="-2"/>
          <w:rtl/>
          <w:lang w:val="en-US"/>
        </w:rPr>
        <w:t xml:space="preserve">اً </w:t>
      </w:r>
      <w:r w:rsidRPr="00891325">
        <w:rPr>
          <w:b/>
          <w:bCs/>
          <w:spacing w:val="-2"/>
          <w:rtl/>
          <w:lang w:val="en-US"/>
        </w:rPr>
        <w:t xml:space="preserve">أن تتخذ تدابير تشريعية من أجل استبعاد إمكانية التفاوض لتخفيف العقوبة والإفراج المشروط فيما يتعلق بجرائم التعذيب وإساءة المعاملة. </w:t>
      </w:r>
    </w:p>
    <w:p w14:paraId="6472ED31" w14:textId="77777777" w:rsidR="00EE2812" w:rsidRPr="00E223F5" w:rsidRDefault="00EE2812" w:rsidP="00FB1610">
      <w:pPr>
        <w:pStyle w:val="H23GA"/>
        <w:spacing w:before="200" w:line="360" w:lineRule="exact"/>
      </w:pPr>
      <w:r w:rsidRPr="00E223F5">
        <w:rPr>
          <w:rtl/>
        </w:rPr>
        <w:tab/>
      </w:r>
      <w:r w:rsidRPr="00E223F5">
        <w:rPr>
          <w:rtl/>
        </w:rPr>
        <w:tab/>
        <w:t>الضمانات القانونية الأساسية</w:t>
      </w:r>
    </w:p>
    <w:p w14:paraId="61BD4E19" w14:textId="74088C68" w:rsidR="006853C9" w:rsidRPr="006853C9" w:rsidRDefault="00EE2812" w:rsidP="0086501A">
      <w:pPr>
        <w:pStyle w:val="SingleTxtGA"/>
        <w:rPr>
          <w:lang w:val="en-US"/>
        </w:rPr>
      </w:pPr>
      <w:r w:rsidRPr="00E223F5">
        <w:rPr>
          <w:rtl/>
          <w:lang w:val="en-US"/>
        </w:rPr>
        <w:t>11</w:t>
      </w:r>
      <w:r w:rsidRPr="007F0FC8">
        <w:rPr>
          <w:rtl/>
          <w:lang w:val="en-US"/>
        </w:rPr>
        <w:t>-</w:t>
      </w:r>
      <w:r w:rsidRPr="007F0FC8">
        <w:rPr>
          <w:rtl/>
          <w:lang w:val="en-US"/>
        </w:rPr>
        <w:tab/>
      </w:r>
      <w:r w:rsidRPr="00EE2812">
        <w:rPr>
          <w:rtl/>
          <w:lang w:val="en-US"/>
        </w:rPr>
        <w:t xml:space="preserve">ترحب اللجنة بالتعديل الذي أُدخل على قانون الإجراءات الجنائية في عام </w:t>
      </w:r>
      <w:r w:rsidRPr="00E223F5">
        <w:rPr>
          <w:rtl/>
          <w:lang w:val="en-US"/>
        </w:rPr>
        <w:t>2018</w:t>
      </w:r>
      <w:r w:rsidRPr="00EE2812">
        <w:rPr>
          <w:rtl/>
          <w:lang w:val="en-US"/>
        </w:rPr>
        <w:t xml:space="preserve"> والذي خُفِّضت</w:t>
      </w:r>
      <w:r w:rsidR="00050A63">
        <w:rPr>
          <w:rFonts w:hint="cs"/>
          <w:rtl/>
          <w:lang w:val="en-US"/>
        </w:rPr>
        <w:t> </w:t>
      </w:r>
      <w:r w:rsidRPr="00EE2812">
        <w:rPr>
          <w:rtl/>
          <w:lang w:val="en-US"/>
        </w:rPr>
        <w:t xml:space="preserve">بموجبه فترة الاحتجاز الأولي من </w:t>
      </w:r>
      <w:r w:rsidRPr="00E223F5">
        <w:rPr>
          <w:rtl/>
          <w:lang w:val="en-US"/>
        </w:rPr>
        <w:t>72</w:t>
      </w:r>
      <w:r w:rsidRPr="00EE2812">
        <w:rPr>
          <w:rtl/>
          <w:lang w:val="en-US"/>
        </w:rPr>
        <w:t xml:space="preserve"> ساعة إلى </w:t>
      </w:r>
      <w:r w:rsidRPr="00E223F5">
        <w:rPr>
          <w:rtl/>
          <w:lang w:val="en-US"/>
        </w:rPr>
        <w:t>48</w:t>
      </w:r>
      <w:r w:rsidRPr="00EE2812">
        <w:rPr>
          <w:rtl/>
          <w:lang w:val="en-US"/>
        </w:rPr>
        <w:t xml:space="preserve"> ساعة للكبار وإلى </w:t>
      </w:r>
      <w:r w:rsidRPr="00E223F5">
        <w:rPr>
          <w:rtl/>
          <w:lang w:val="en-US"/>
        </w:rPr>
        <w:t>24</w:t>
      </w:r>
      <w:r w:rsidRPr="00EE2812">
        <w:rPr>
          <w:rtl/>
          <w:lang w:val="en-US"/>
        </w:rPr>
        <w:t xml:space="preserve"> ساعة للأحداث. وتلاحظ أيض</w:t>
      </w:r>
      <w:r w:rsidR="00FB1610">
        <w:rPr>
          <w:rtl/>
          <w:lang w:val="en-US"/>
        </w:rPr>
        <w:t xml:space="preserve">اً </w:t>
      </w:r>
      <w:r w:rsidRPr="00EE2812">
        <w:rPr>
          <w:rtl/>
          <w:lang w:val="en-US"/>
        </w:rPr>
        <w:t xml:space="preserve">اتخاذ تدابير إيجابية أخرى، مثل إلزامية تسجيل جميع عمليات الاستجواب بالفيديو ودور </w:t>
      </w:r>
      <w:r w:rsidRPr="00EE2812">
        <w:rPr>
          <w:rtl/>
          <w:lang w:val="en-US"/>
        </w:rPr>
        <w:lastRenderedPageBreak/>
        <w:t>"المدعي</w:t>
      </w:r>
      <w:r w:rsidR="00FB1610">
        <w:rPr>
          <w:rFonts w:hint="cs"/>
          <w:rtl/>
          <w:lang w:val="en-US"/>
        </w:rPr>
        <w:t> </w:t>
      </w:r>
      <w:r w:rsidRPr="00EE2812">
        <w:rPr>
          <w:rtl/>
          <w:lang w:val="en-US"/>
        </w:rPr>
        <w:t xml:space="preserve">العام المناوب"، من بين تدابير </w:t>
      </w:r>
      <w:proofErr w:type="gramStart"/>
      <w:r w:rsidRPr="00EE2812">
        <w:rPr>
          <w:rtl/>
          <w:lang w:val="en-US"/>
        </w:rPr>
        <w:t>أخرى</w:t>
      </w:r>
      <w:r w:rsidR="006853C9" w:rsidRPr="00E223F5">
        <w:rPr>
          <w:vertAlign w:val="superscript"/>
          <w:rtl/>
        </w:rPr>
        <w:t>(</w:t>
      </w:r>
      <w:proofErr w:type="gramEnd"/>
      <w:r w:rsidR="006853C9" w:rsidRPr="00E223F5">
        <w:rPr>
          <w:vertAlign w:val="superscript"/>
          <w:lang w:val="en-AU"/>
        </w:rPr>
        <w:footnoteReference w:id="14"/>
      </w:r>
      <w:r w:rsidR="006853C9" w:rsidRPr="006853C9">
        <w:rPr>
          <w:vertAlign w:val="superscript"/>
          <w:rtl/>
          <w:lang w:val="en-US"/>
        </w:rPr>
        <w:t>)</w:t>
      </w:r>
      <w:r w:rsidR="006853C9" w:rsidRPr="006853C9">
        <w:rPr>
          <w:rtl/>
          <w:lang w:val="en-US"/>
        </w:rPr>
        <w:t xml:space="preserve">. </w:t>
      </w:r>
      <w:r w:rsidRPr="00EE2812">
        <w:rPr>
          <w:rtl/>
          <w:lang w:val="en-US"/>
        </w:rPr>
        <w:t xml:space="preserve">ومع ذلك، لا تزال اللجنة تشعر بالقلق إزاء التقارير التي تفيد بأنّ الضمانات القانونية الأساسية لم تمنح بصورة منهجية في الممارسة العملية منذ لحظة سلب الحرية طوال الفترة المشمولة بالتقرير، بما في ذلك أثناء حالة الطوارئ المعلنة في سياق أحداث كانون الثاني/يناير </w:t>
      </w:r>
      <w:r w:rsidRPr="00E223F5">
        <w:rPr>
          <w:rtl/>
          <w:lang w:val="en-US"/>
        </w:rPr>
        <w:t>202</w:t>
      </w:r>
      <w:r w:rsidR="006853C9" w:rsidRPr="00E223F5">
        <w:rPr>
          <w:rtl/>
          <w:lang w:val="en-US"/>
        </w:rPr>
        <w:t>2</w:t>
      </w:r>
      <w:r w:rsidR="006853C9" w:rsidRPr="006853C9">
        <w:rPr>
          <w:rtl/>
          <w:lang w:val="en-US"/>
        </w:rPr>
        <w:t xml:space="preserve">. </w:t>
      </w:r>
      <w:r w:rsidRPr="00EE2812">
        <w:rPr>
          <w:rtl/>
          <w:lang w:val="en-US"/>
        </w:rPr>
        <w:t xml:space="preserve">وفي هذا الصدد، تشير المعلومات المعروضة على اللجنة إلى أوجه القصور التالية: (أ) التأخر في ضمان حق المحتجزين في الاتصال بمحام، والتدخل المدعى في عملية تقديم المساعدة القانونية أو عرقلتها، والتأخر في إخطار أحد أقارب المحتجز أو أي شخص آخر يقع عليه اختياره؛ </w:t>
      </w:r>
      <w:r w:rsidRPr="00FB1610">
        <w:rPr>
          <w:spacing w:val="-2"/>
          <w:rtl/>
          <w:lang w:val="en-US"/>
        </w:rPr>
        <w:t>و(ب)</w:t>
      </w:r>
      <w:r w:rsidR="00FB1610" w:rsidRPr="00FB1610">
        <w:rPr>
          <w:rFonts w:hint="cs"/>
          <w:spacing w:val="-2"/>
          <w:rtl/>
          <w:lang w:val="en-US"/>
        </w:rPr>
        <w:t> </w:t>
      </w:r>
      <w:r w:rsidRPr="00FB1610">
        <w:rPr>
          <w:spacing w:val="-2"/>
          <w:rtl/>
          <w:lang w:val="en-US"/>
        </w:rPr>
        <w:t xml:space="preserve">عدم الدقة في تسجيل وقت إلقاء القبض على الشخص والاحتجاز في المرافق المؤقتة التابعة للشرطة </w:t>
      </w:r>
      <w:r w:rsidRPr="00EE2812">
        <w:rPr>
          <w:rtl/>
          <w:lang w:val="en-US"/>
        </w:rPr>
        <w:t xml:space="preserve">لفترات تتجاوز الحدود الزمنية القانونية بكثير؛ و(ج) الاحتجاز الأولي في أماكن غير مأذون بها، مثل </w:t>
      </w:r>
      <w:r w:rsidRPr="0086501A">
        <w:rPr>
          <w:spacing w:val="-4"/>
          <w:rtl/>
          <w:lang w:val="en-US"/>
        </w:rPr>
        <w:t xml:space="preserve">القاعات الرياضية التابعة للشرطة أو المرافق العسكرية، خاصة في مدن </w:t>
      </w:r>
      <w:proofErr w:type="spellStart"/>
      <w:r w:rsidRPr="0086501A">
        <w:rPr>
          <w:spacing w:val="-4"/>
          <w:rtl/>
          <w:lang w:val="en-US"/>
        </w:rPr>
        <w:t>أتيراو</w:t>
      </w:r>
      <w:proofErr w:type="spellEnd"/>
      <w:r w:rsidRPr="0086501A">
        <w:rPr>
          <w:spacing w:val="-4"/>
          <w:rtl/>
          <w:lang w:val="en-US"/>
        </w:rPr>
        <w:t xml:space="preserve"> وأوست - </w:t>
      </w:r>
      <w:proofErr w:type="spellStart"/>
      <w:r w:rsidRPr="0086501A">
        <w:rPr>
          <w:spacing w:val="-4"/>
          <w:rtl/>
          <w:lang w:val="en-US"/>
        </w:rPr>
        <w:t>كامينوغورسك</w:t>
      </w:r>
      <w:proofErr w:type="spellEnd"/>
      <w:r w:rsidRPr="0086501A">
        <w:rPr>
          <w:spacing w:val="-4"/>
          <w:rtl/>
          <w:lang w:val="en-US"/>
        </w:rPr>
        <w:t xml:space="preserve"> </w:t>
      </w:r>
      <w:proofErr w:type="spellStart"/>
      <w:r w:rsidRPr="0086501A">
        <w:rPr>
          <w:spacing w:val="-4"/>
          <w:rtl/>
          <w:lang w:val="en-US"/>
        </w:rPr>
        <w:t>وتاراز</w:t>
      </w:r>
      <w:proofErr w:type="spellEnd"/>
      <w:r w:rsidRPr="0086501A">
        <w:rPr>
          <w:spacing w:val="-4"/>
          <w:rtl/>
          <w:lang w:val="en-US"/>
        </w:rPr>
        <w:t>؛</w:t>
      </w:r>
      <w:r w:rsidRPr="00EE2812">
        <w:rPr>
          <w:rtl/>
          <w:lang w:val="en-US"/>
        </w:rPr>
        <w:t xml:space="preserve"> و(د) حذف تسجيلات الفيديو لعمليات الاستجواب في عدة حالات موثقة؛ و(ه) عدم إجراء فحوص طبية</w:t>
      </w:r>
      <w:r w:rsidR="0086501A">
        <w:rPr>
          <w:rFonts w:hint="cs"/>
          <w:rtl/>
          <w:lang w:val="en-US"/>
        </w:rPr>
        <w:t> </w:t>
      </w:r>
      <w:r w:rsidRPr="00EE2812">
        <w:rPr>
          <w:rtl/>
          <w:lang w:val="en-US"/>
        </w:rPr>
        <w:t>مستقلة ومنهجية عند الإيداع في مرافق الاحتجاز السابق للمحاكمة، أو إجراء هذه الفحوص بحضور أحد أفراد الشرطة؛ و(و) عدم إجراء تحقيقات في شكاوى المحتجزين بشأن الإصابات التي لحقتهم؛ و(ز)</w:t>
      </w:r>
      <w:r w:rsidR="0086501A">
        <w:rPr>
          <w:rFonts w:hint="cs"/>
          <w:rtl/>
          <w:lang w:val="en-US"/>
        </w:rPr>
        <w:t> </w:t>
      </w:r>
      <w:r w:rsidRPr="00EE2812">
        <w:rPr>
          <w:rtl/>
          <w:lang w:val="en-US"/>
        </w:rPr>
        <w:t>اللجوء إلى الاحتجاز الإداري على نحو غير متناسب وغير مبرر. وتأسف اللجنة كذلك لعدم توافر معلومات عن التدابير التأديبية المتخذة خلال الفترة المشمولة بالاستعراض في حق موظفي إنفاذ القانون الذين لم يسمحوا للأشخاص مسلوبي الحرية بإمكانية الاستفادة فوراً من الضمانات القانونية الأساسية، بما</w:t>
      </w:r>
      <w:r w:rsidR="00050A63">
        <w:rPr>
          <w:rFonts w:hint="cs"/>
          <w:rtl/>
          <w:lang w:val="en-US"/>
        </w:rPr>
        <w:t> </w:t>
      </w:r>
      <w:r w:rsidRPr="00EE2812">
        <w:rPr>
          <w:rtl/>
          <w:lang w:val="en-US"/>
        </w:rPr>
        <w:t xml:space="preserve">يشمل الفترة التي شهدت أحداث كانون الثاني/يناير </w:t>
      </w:r>
      <w:r w:rsidRPr="00E223F5">
        <w:rPr>
          <w:rtl/>
          <w:lang w:val="en-US"/>
        </w:rPr>
        <w:t>2022</w:t>
      </w:r>
      <w:r w:rsidRPr="00EE2812">
        <w:rPr>
          <w:rtl/>
          <w:lang w:val="en-US"/>
        </w:rPr>
        <w:t xml:space="preserve"> وفي أعقابها (المادة </w:t>
      </w:r>
      <w:r w:rsidR="006853C9" w:rsidRPr="00E223F5">
        <w:rPr>
          <w:rtl/>
          <w:lang w:val="en-US"/>
        </w:rPr>
        <w:t>2</w:t>
      </w:r>
      <w:r w:rsidR="006853C9" w:rsidRPr="006853C9">
        <w:rPr>
          <w:rtl/>
          <w:lang w:val="en-US"/>
        </w:rPr>
        <w:t>).</w:t>
      </w:r>
    </w:p>
    <w:p w14:paraId="51A40A4B" w14:textId="3669F18B" w:rsidR="00EE2812" w:rsidRPr="007F0FC8" w:rsidRDefault="00EE2812" w:rsidP="00EE2812">
      <w:pPr>
        <w:pStyle w:val="SingleTxtGA"/>
        <w:rPr>
          <w:b/>
          <w:bCs/>
          <w:lang w:val="en-US"/>
        </w:rPr>
      </w:pPr>
      <w:r w:rsidRPr="00E223F5">
        <w:rPr>
          <w:rtl/>
          <w:lang w:val="en-US"/>
        </w:rPr>
        <w:t>12</w:t>
      </w:r>
      <w:r w:rsidRPr="007F0FC8">
        <w:rPr>
          <w:rtl/>
          <w:lang w:val="en-US"/>
        </w:rPr>
        <w:t>-</w:t>
      </w:r>
      <w:r w:rsidRPr="007F0FC8">
        <w:rPr>
          <w:rtl/>
          <w:lang w:val="en-US"/>
        </w:rPr>
        <w:tab/>
      </w:r>
      <w:r w:rsidRPr="007F0FC8">
        <w:rPr>
          <w:b/>
          <w:bCs/>
          <w:rtl/>
          <w:lang w:val="en-US"/>
        </w:rPr>
        <w:t xml:space="preserve">تحث اللجنة الدولة الطرف على ما يلي: </w:t>
      </w:r>
    </w:p>
    <w:p w14:paraId="60051F98" w14:textId="1D2BC29A" w:rsidR="00EE2812" w:rsidRPr="007F0FC8" w:rsidRDefault="00EE2812" w:rsidP="00EE2812">
      <w:pPr>
        <w:pStyle w:val="SingleTxtGA"/>
        <w:rPr>
          <w:b/>
          <w:bCs/>
          <w:lang w:val="en-US"/>
        </w:rPr>
      </w:pPr>
      <w:r w:rsidRPr="007F0FC8">
        <w:rPr>
          <w:rtl/>
          <w:lang w:val="en-US"/>
        </w:rPr>
        <w:tab/>
        <w:t>(</w:t>
      </w:r>
      <w:r w:rsidRPr="007F0FC8">
        <w:rPr>
          <w:rtl/>
          <w:lang w:val="en-US"/>
        </w:rPr>
        <w:t>أ)</w:t>
      </w:r>
      <w:r w:rsidRPr="007F0FC8">
        <w:rPr>
          <w:rtl/>
          <w:lang w:val="en-US"/>
        </w:rPr>
        <w:tab/>
      </w:r>
      <w:r w:rsidRPr="007F0FC8">
        <w:rPr>
          <w:b/>
          <w:bCs/>
          <w:rtl/>
          <w:lang w:val="en-US"/>
        </w:rPr>
        <w:t>الحرص على استفادة جميع الأشخاص المسلوبة حريتهم، في الممارسة العملية، من جميع الضمانات القانونية الأساسية منذ لحظة سلبهم حريتهم، بما يشمل فترة حالة الطوارئ، وخاصة ما يلي:</w:t>
      </w:r>
    </w:p>
    <w:p w14:paraId="3F99F152" w14:textId="10B36313" w:rsidR="00EE2812" w:rsidRPr="0086501A" w:rsidRDefault="00EE2812" w:rsidP="0086501A">
      <w:pPr>
        <w:pStyle w:val="Roman1GA"/>
        <w:rPr>
          <w:b/>
          <w:bCs/>
        </w:rPr>
      </w:pPr>
      <w:r w:rsidRPr="0086501A">
        <w:rPr>
          <w:b/>
          <w:bCs/>
          <w:rtl/>
        </w:rPr>
        <w:t>إمكانية الاتصال من دون عوائق بمحام مستقل من اختيارهم، أو، إذا اقتضى الأمر، إمكانية الاستفادة من معونة قضائية مجانية جيدة وفق</w:t>
      </w:r>
      <w:r w:rsidR="00FB1610" w:rsidRPr="0086501A">
        <w:rPr>
          <w:b/>
          <w:bCs/>
          <w:rtl/>
        </w:rPr>
        <w:t xml:space="preserve">اً </w:t>
      </w:r>
      <w:r w:rsidRPr="0086501A">
        <w:rPr>
          <w:b/>
          <w:bCs/>
          <w:rtl/>
        </w:rPr>
        <w:t>للمعايير الوطنية والدولية، بما</w:t>
      </w:r>
      <w:r w:rsidR="00050A63">
        <w:rPr>
          <w:rFonts w:hint="cs"/>
          <w:b/>
          <w:bCs/>
          <w:rtl/>
        </w:rPr>
        <w:t> </w:t>
      </w:r>
      <w:r w:rsidRPr="0086501A">
        <w:rPr>
          <w:b/>
          <w:bCs/>
          <w:rtl/>
        </w:rPr>
        <w:t>في ذلك أثناء الاستجواب الأولي؛</w:t>
      </w:r>
    </w:p>
    <w:p w14:paraId="0FCBBC9F" w14:textId="02349A11" w:rsidR="00EE2812" w:rsidRPr="0086501A" w:rsidRDefault="00EE2812" w:rsidP="0086501A">
      <w:pPr>
        <w:pStyle w:val="Roman1GA"/>
        <w:rPr>
          <w:b/>
          <w:bCs/>
        </w:rPr>
      </w:pPr>
      <w:r w:rsidRPr="0086501A">
        <w:rPr>
          <w:b/>
          <w:bCs/>
          <w:rtl/>
        </w:rPr>
        <w:t xml:space="preserve">إمكانية إخطار أحد الأقرباء أو شخص آخر يختارونه باحتجازهم فور القبض عليهم؛ </w:t>
      </w:r>
    </w:p>
    <w:p w14:paraId="160FCD79" w14:textId="37073805" w:rsidR="00EE2812" w:rsidRPr="0086501A" w:rsidRDefault="00EE2812" w:rsidP="0086501A">
      <w:pPr>
        <w:pStyle w:val="Roman1GA"/>
        <w:rPr>
          <w:b/>
          <w:bCs/>
        </w:rPr>
      </w:pPr>
      <w:r w:rsidRPr="00050A63">
        <w:rPr>
          <w:rFonts w:ascii="Times New Roman Bold" w:hAnsi="Times New Roman Bold"/>
          <w:b/>
          <w:bCs/>
          <w:spacing w:val="-4"/>
          <w:rtl/>
        </w:rPr>
        <w:t>إحضارهم إلى مرافق الاحتجاز الرسمية واحتجازهم فيها فور إلقاء القبض عليهم وعرضهم</w:t>
      </w:r>
      <w:r w:rsidRPr="0086501A">
        <w:rPr>
          <w:b/>
          <w:bCs/>
          <w:rtl/>
        </w:rPr>
        <w:t xml:space="preserve"> على قاض في غضون المهلة الزمنية المنصوص عليها في القانون؛ </w:t>
      </w:r>
    </w:p>
    <w:p w14:paraId="774A46C9" w14:textId="2AFCFA5A" w:rsidR="00EE2812" w:rsidRPr="0086501A" w:rsidRDefault="00EE2812" w:rsidP="0086501A">
      <w:pPr>
        <w:pStyle w:val="Roman1GA"/>
        <w:rPr>
          <w:b/>
          <w:bCs/>
        </w:rPr>
      </w:pPr>
      <w:r w:rsidRPr="0086501A">
        <w:rPr>
          <w:b/>
          <w:bCs/>
          <w:rtl/>
        </w:rPr>
        <w:t>تدوين المعلومات المتعلقة بالقبض عليهم واحتجازهم تدوين</w:t>
      </w:r>
      <w:r w:rsidR="00FB1610" w:rsidRPr="0086501A">
        <w:rPr>
          <w:b/>
          <w:bCs/>
          <w:rtl/>
        </w:rPr>
        <w:t xml:space="preserve">اً </w:t>
      </w:r>
      <w:r w:rsidRPr="0086501A">
        <w:rPr>
          <w:b/>
          <w:bCs/>
          <w:rtl/>
        </w:rPr>
        <w:t>منهجي</w:t>
      </w:r>
      <w:r w:rsidR="00FB1610" w:rsidRPr="0086501A">
        <w:rPr>
          <w:b/>
          <w:bCs/>
          <w:rtl/>
        </w:rPr>
        <w:t xml:space="preserve">اً </w:t>
      </w:r>
      <w:r w:rsidRPr="0086501A">
        <w:rPr>
          <w:b/>
          <w:bCs/>
          <w:rtl/>
        </w:rPr>
        <w:t>في سجل مركزي خاص بمن سُلبت حريتهم، وإتاحة الاطلاع عليه لمحاميهم وأفراد أسرهم أن؛</w:t>
      </w:r>
    </w:p>
    <w:p w14:paraId="778A972F" w14:textId="461D13B4" w:rsidR="00EE2812" w:rsidRPr="0086501A" w:rsidRDefault="00EE2812" w:rsidP="0086501A">
      <w:pPr>
        <w:pStyle w:val="Roman1GA"/>
        <w:rPr>
          <w:b/>
          <w:bCs/>
        </w:rPr>
      </w:pPr>
      <w:r w:rsidRPr="0086501A">
        <w:rPr>
          <w:b/>
          <w:bCs/>
          <w:rtl/>
        </w:rPr>
        <w:t>تسجيل عملية الاستجواب أثناء الاحتجاز وعملية النقل بالفيديو وبصورة منهجية، ووضع تعليمات إلزامية لحفظ هذه التسجيلات؛</w:t>
      </w:r>
    </w:p>
    <w:p w14:paraId="3F26A543" w14:textId="1467A4F8" w:rsidR="00EE2812" w:rsidRPr="0086501A" w:rsidRDefault="00EE2812" w:rsidP="0086501A">
      <w:pPr>
        <w:pStyle w:val="Roman1GA"/>
        <w:rPr>
          <w:b/>
          <w:bCs/>
        </w:rPr>
      </w:pPr>
      <w:r w:rsidRPr="0086501A">
        <w:rPr>
          <w:b/>
          <w:bCs/>
          <w:rtl/>
        </w:rPr>
        <w:t>الحق في طلب فحص طبي يجريه طبيب مستقل مجان</w:t>
      </w:r>
      <w:r w:rsidR="00F25086" w:rsidRPr="0086501A">
        <w:rPr>
          <w:b/>
          <w:bCs/>
          <w:rtl/>
        </w:rPr>
        <w:t>اً،</w:t>
      </w:r>
      <w:r w:rsidRPr="0086501A">
        <w:rPr>
          <w:b/>
          <w:bCs/>
          <w:rtl/>
        </w:rPr>
        <w:t xml:space="preserve"> أو طبيب من اختيارهم، بناء على طلبهم، بعيداً عن مسامع أفراد الشرطة وموظفي السجون ومرآهم، ما لم يطلب الطبيب المعني خلاف ذلك صراحة؛ وحتى في هذه الحالة، ينبغي أن يجري ذلك بعيد</w:t>
      </w:r>
      <w:r w:rsidR="00FB1610" w:rsidRPr="0086501A">
        <w:rPr>
          <w:b/>
          <w:bCs/>
          <w:rtl/>
        </w:rPr>
        <w:t xml:space="preserve">اً </w:t>
      </w:r>
      <w:r w:rsidRPr="0086501A">
        <w:rPr>
          <w:b/>
          <w:bCs/>
          <w:rtl/>
        </w:rPr>
        <w:t>عن مسامع أفراد الشرطة أو موظفي السجن؛</w:t>
      </w:r>
    </w:p>
    <w:p w14:paraId="4871A77D" w14:textId="2D6A636B" w:rsidR="00EE2812" w:rsidRPr="007F0FC8" w:rsidRDefault="00EE2812" w:rsidP="00EE2812">
      <w:pPr>
        <w:pStyle w:val="SingleTxtGA"/>
        <w:rPr>
          <w:b/>
          <w:bCs/>
          <w:lang w:val="en-US"/>
        </w:rPr>
      </w:pPr>
      <w:r w:rsidRPr="007F0FC8">
        <w:rPr>
          <w:rtl/>
          <w:lang w:val="en-US"/>
        </w:rPr>
        <w:lastRenderedPageBreak/>
        <w:tab/>
        <w:t>(</w:t>
      </w:r>
      <w:r w:rsidRPr="007F0FC8">
        <w:rPr>
          <w:rtl/>
          <w:lang w:val="en-US"/>
        </w:rPr>
        <w:t>ب)</w:t>
      </w:r>
      <w:r w:rsidRPr="007F0FC8">
        <w:rPr>
          <w:rtl/>
          <w:lang w:val="en-US"/>
        </w:rPr>
        <w:tab/>
      </w:r>
      <w:r w:rsidRPr="007F0FC8">
        <w:rPr>
          <w:b/>
          <w:bCs/>
          <w:rtl/>
          <w:lang w:val="en-US"/>
        </w:rPr>
        <w:t xml:space="preserve">التحقيق في جميع انتهاكات الضمانات القانونية الأساسية للحماية من التعذيب وإساءة المعاملة الموثقة أثناء الاحتجاز، لا سيما في سياق أحداث كانون الثاني/يناير </w:t>
      </w:r>
      <w:r w:rsidRPr="00E223F5">
        <w:rPr>
          <w:b/>
          <w:bCs/>
          <w:rtl/>
          <w:lang w:val="en-US"/>
        </w:rPr>
        <w:t>2022</w:t>
      </w:r>
      <w:r w:rsidRPr="007F0FC8">
        <w:rPr>
          <w:b/>
          <w:bCs/>
          <w:rtl/>
          <w:lang w:val="en-US"/>
        </w:rPr>
        <w:t xml:space="preserve">؛ </w:t>
      </w:r>
    </w:p>
    <w:p w14:paraId="32DA108E" w14:textId="4B334F02" w:rsidR="00EE2812" w:rsidRPr="007F0FC8" w:rsidRDefault="00EE2812" w:rsidP="00EE2812">
      <w:pPr>
        <w:pStyle w:val="SingleTxtGA"/>
        <w:rPr>
          <w:b/>
          <w:bCs/>
          <w:lang w:val="en-US"/>
        </w:rPr>
      </w:pPr>
      <w:r w:rsidRPr="007F0FC8">
        <w:rPr>
          <w:rtl/>
          <w:lang w:val="en-US"/>
        </w:rPr>
        <w:tab/>
        <w:t>(</w:t>
      </w:r>
      <w:r w:rsidRPr="007F0FC8">
        <w:rPr>
          <w:rtl/>
          <w:lang w:val="en-US"/>
        </w:rPr>
        <w:t>ج)</w:t>
      </w:r>
      <w:r w:rsidRPr="007F0FC8">
        <w:rPr>
          <w:rtl/>
          <w:lang w:val="en-US"/>
        </w:rPr>
        <w:tab/>
      </w:r>
      <w:r w:rsidRPr="007F0FC8">
        <w:rPr>
          <w:b/>
          <w:bCs/>
          <w:rtl/>
          <w:lang w:val="en-US"/>
        </w:rPr>
        <w:t xml:space="preserve">تضمين التقرير الدوري المقبل المقدم إلى اللجنة معلومات عن عدد الشكاوى الواردة بشأن عدم احترام الضمانات القانونية الأساسية، بما فيها الشكاوى المبلغ عنها منذ أحداث كانون الثاني/يناير </w:t>
      </w:r>
      <w:r w:rsidRPr="00E223F5">
        <w:rPr>
          <w:b/>
          <w:bCs/>
          <w:rtl/>
          <w:lang w:val="en-US"/>
        </w:rPr>
        <w:t>2022</w:t>
      </w:r>
      <w:r w:rsidRPr="007F0FC8">
        <w:rPr>
          <w:b/>
          <w:bCs/>
          <w:rtl/>
          <w:lang w:val="en-US"/>
        </w:rPr>
        <w:t xml:space="preserve">، وعن نتائج هذه الشكاوى، بما يشمل التدابير التأديبية المتخذة في حق المسؤولين الذين لم يوفروا الضمانات القانونية الأساسية. </w:t>
      </w:r>
    </w:p>
    <w:p w14:paraId="72B9D733" w14:textId="77777777" w:rsidR="00EE2812" w:rsidRPr="00E223F5" w:rsidRDefault="00EE2812" w:rsidP="00EE2812">
      <w:pPr>
        <w:pStyle w:val="H23GA"/>
      </w:pPr>
      <w:r w:rsidRPr="00E223F5">
        <w:rPr>
          <w:rtl/>
        </w:rPr>
        <w:tab/>
      </w:r>
      <w:r w:rsidRPr="00E223F5">
        <w:rPr>
          <w:rtl/>
        </w:rPr>
        <w:tab/>
        <w:t>أحداث كانون الثاني/يناير 2022</w:t>
      </w:r>
    </w:p>
    <w:p w14:paraId="5E81A188" w14:textId="6DBB23A7" w:rsidR="00EE2812" w:rsidRPr="00EE2812" w:rsidRDefault="00EE2812" w:rsidP="00EE2812">
      <w:pPr>
        <w:pStyle w:val="SingleTxtGA"/>
        <w:rPr>
          <w:lang w:val="en-US"/>
        </w:rPr>
      </w:pPr>
      <w:r w:rsidRPr="00E223F5">
        <w:rPr>
          <w:rtl/>
          <w:lang w:val="en-US"/>
        </w:rPr>
        <w:t>13</w:t>
      </w:r>
      <w:r w:rsidRPr="007F0FC8">
        <w:rPr>
          <w:rtl/>
          <w:lang w:val="en-US"/>
        </w:rPr>
        <w:t>-</w:t>
      </w:r>
      <w:r w:rsidRPr="007F0FC8">
        <w:rPr>
          <w:rtl/>
          <w:lang w:val="en-US"/>
        </w:rPr>
        <w:tab/>
      </w:r>
      <w:r w:rsidRPr="00FB1610">
        <w:rPr>
          <w:spacing w:val="-2"/>
          <w:rtl/>
          <w:lang w:val="en-US"/>
        </w:rPr>
        <w:t xml:space="preserve">تعرب اللجنة عن قلقها البالغ إزاء العديد من التقارير المتسقة التي تشير إلى شتى ضروب التعذيب </w:t>
      </w:r>
      <w:r w:rsidRPr="00EE2812">
        <w:rPr>
          <w:rtl/>
          <w:lang w:val="en-US"/>
        </w:rPr>
        <w:t xml:space="preserve">وإساءة المعاملة، بما يشمل الاستخدام المفرط للقوة، وهو ما تسبب في العديد من الوفيات والإصابات وأعمال الضرب والصعق بالكهرباء والعنف الجنسي أثناء الاحتجاز التي حدثت في سياق احتجاجات كانون الثاني/يناير </w:t>
      </w:r>
      <w:r w:rsidRPr="00E223F5">
        <w:rPr>
          <w:rtl/>
          <w:lang w:val="en-US"/>
        </w:rPr>
        <w:t>2022</w:t>
      </w:r>
      <w:r w:rsidRPr="00EE2812">
        <w:rPr>
          <w:rtl/>
          <w:lang w:val="en-US"/>
        </w:rPr>
        <w:t>، وإلى تعرّض المدافعين عن حقوق الإنسان لأعمال الترهيب والتهديد والاحتجاز التعسفي فيما يتعلق بعملهم في مجال حقوق الإنسان. ويساورها القلق أيض</w:t>
      </w:r>
      <w:r w:rsidR="00FB1610">
        <w:rPr>
          <w:rtl/>
          <w:lang w:val="en-US"/>
        </w:rPr>
        <w:t xml:space="preserve">اً </w:t>
      </w:r>
      <w:r w:rsidRPr="00EE2812">
        <w:rPr>
          <w:rtl/>
          <w:lang w:val="en-US"/>
        </w:rPr>
        <w:t xml:space="preserve">إزاء ارتفاع معدل حفظ ملفات </w:t>
      </w:r>
      <w:r w:rsidRPr="00FB1610">
        <w:rPr>
          <w:spacing w:val="-2"/>
          <w:rtl/>
          <w:lang w:val="en-US"/>
        </w:rPr>
        <w:t>القضايا (</w:t>
      </w:r>
      <w:r w:rsidRPr="00E223F5">
        <w:rPr>
          <w:spacing w:val="-2"/>
          <w:rtl/>
          <w:lang w:val="en-US"/>
        </w:rPr>
        <w:t>236</w:t>
      </w:r>
      <w:r w:rsidRPr="00FB1610">
        <w:rPr>
          <w:spacing w:val="-2"/>
          <w:rtl/>
          <w:lang w:val="en-US"/>
        </w:rPr>
        <w:t xml:space="preserve"> من أصل </w:t>
      </w:r>
      <w:r w:rsidRPr="00E223F5">
        <w:rPr>
          <w:spacing w:val="-2"/>
          <w:rtl/>
          <w:lang w:val="en-US"/>
        </w:rPr>
        <w:t>32</w:t>
      </w:r>
      <w:r w:rsidR="006853C9" w:rsidRPr="00E223F5">
        <w:rPr>
          <w:spacing w:val="-2"/>
          <w:rtl/>
          <w:lang w:val="en-US"/>
        </w:rPr>
        <w:t>9</w:t>
      </w:r>
      <w:r w:rsidR="006853C9" w:rsidRPr="00FB1610">
        <w:rPr>
          <w:spacing w:val="-2"/>
          <w:rtl/>
          <w:lang w:val="en-US"/>
        </w:rPr>
        <w:t xml:space="preserve">) </w:t>
      </w:r>
      <w:r w:rsidRPr="00FB1610">
        <w:rPr>
          <w:spacing w:val="-2"/>
          <w:rtl/>
          <w:lang w:val="en-US"/>
        </w:rPr>
        <w:t>المتعلقة بالتعذيب أو إساءة استعمال</w:t>
      </w:r>
      <w:r w:rsidRPr="00EE2812">
        <w:rPr>
          <w:rtl/>
          <w:lang w:val="en-US"/>
        </w:rPr>
        <w:t xml:space="preserve"> </w:t>
      </w:r>
      <w:proofErr w:type="gramStart"/>
      <w:r w:rsidRPr="00EE2812">
        <w:rPr>
          <w:rtl/>
          <w:lang w:val="en-US"/>
        </w:rPr>
        <w:t>السلطة</w:t>
      </w:r>
      <w:r w:rsidR="006853C9" w:rsidRPr="00E223F5">
        <w:rPr>
          <w:vertAlign w:val="superscript"/>
          <w:rtl/>
        </w:rPr>
        <w:t>(</w:t>
      </w:r>
      <w:proofErr w:type="gramEnd"/>
      <w:r w:rsidR="006853C9" w:rsidRPr="00E223F5">
        <w:rPr>
          <w:vertAlign w:val="superscript"/>
          <w:lang w:val="en-AU"/>
        </w:rPr>
        <w:footnoteReference w:id="15"/>
      </w:r>
      <w:r w:rsidR="006853C9" w:rsidRPr="006853C9">
        <w:rPr>
          <w:vertAlign w:val="superscript"/>
          <w:rtl/>
          <w:lang w:val="en-US"/>
        </w:rPr>
        <w:t>)</w:t>
      </w:r>
      <w:r w:rsidR="006853C9" w:rsidRPr="006853C9">
        <w:rPr>
          <w:rtl/>
          <w:lang w:val="en-US"/>
        </w:rPr>
        <w:t xml:space="preserve">، </w:t>
      </w:r>
      <w:r w:rsidRPr="00EE2812">
        <w:rPr>
          <w:rtl/>
          <w:lang w:val="en-US"/>
        </w:rPr>
        <w:t xml:space="preserve">من جانب مكتب الادعاء العام ووكالة مكافحة الفساد، بوصفها قضايا غير قائمة على أسس وجيهة أو بسبب عدم توافر أدلة على </w:t>
      </w:r>
      <w:r w:rsidRPr="00FB1610">
        <w:rPr>
          <w:spacing w:val="-2"/>
          <w:rtl/>
          <w:lang w:val="en-US"/>
        </w:rPr>
        <w:t>ارتكاب جريمة أو صعوبة تحديد هوية المشتبه فيهم، وإزاء انخفاض عدد القضايا التي بلغت مرحلة الفصل</w:t>
      </w:r>
      <w:r w:rsidRPr="00EE2812">
        <w:rPr>
          <w:rtl/>
          <w:lang w:val="en-US"/>
        </w:rPr>
        <w:t xml:space="preserve">. وتفيد المعلومات المتاحة بأمور منها التحقيق مع </w:t>
      </w:r>
      <w:r w:rsidRPr="00E223F5">
        <w:rPr>
          <w:rtl/>
          <w:lang w:val="en-US"/>
        </w:rPr>
        <w:t>35</w:t>
      </w:r>
      <w:r w:rsidRPr="00EE2812">
        <w:rPr>
          <w:rtl/>
          <w:lang w:val="en-US"/>
        </w:rPr>
        <w:t xml:space="preserve"> فرد</w:t>
      </w:r>
      <w:r w:rsidR="00FB1610">
        <w:rPr>
          <w:rtl/>
          <w:lang w:val="en-US"/>
        </w:rPr>
        <w:t xml:space="preserve">اً </w:t>
      </w:r>
      <w:r w:rsidRPr="00EE2812">
        <w:rPr>
          <w:rtl/>
          <w:lang w:val="en-US"/>
        </w:rPr>
        <w:t xml:space="preserve">من أفراد الشرطة والأمن حتى اليوم وإدانة </w:t>
      </w:r>
      <w:r w:rsidRPr="00E223F5">
        <w:rPr>
          <w:rtl/>
          <w:lang w:val="en-US"/>
        </w:rPr>
        <w:t>5</w:t>
      </w:r>
      <w:r w:rsidRPr="00EE2812">
        <w:rPr>
          <w:rtl/>
          <w:lang w:val="en-US"/>
        </w:rPr>
        <w:t xml:space="preserve"> أفراد من الشرطة بممارسة التعذيب على </w:t>
      </w:r>
      <w:r w:rsidRPr="00E223F5">
        <w:rPr>
          <w:rtl/>
          <w:lang w:val="en-US"/>
        </w:rPr>
        <w:t>23</w:t>
      </w:r>
      <w:r w:rsidRPr="00EE2812">
        <w:rPr>
          <w:rtl/>
          <w:lang w:val="en-US"/>
        </w:rPr>
        <w:t xml:space="preserve"> محتجز</w:t>
      </w:r>
      <w:r w:rsidR="00FB1610">
        <w:rPr>
          <w:rtl/>
          <w:lang w:val="en-US"/>
        </w:rPr>
        <w:t xml:space="preserve">اً </w:t>
      </w:r>
      <w:r w:rsidRPr="00EE2812">
        <w:rPr>
          <w:rtl/>
          <w:lang w:val="en-US"/>
        </w:rPr>
        <w:t xml:space="preserve">في مدينة </w:t>
      </w:r>
      <w:proofErr w:type="spellStart"/>
      <w:r w:rsidRPr="00EE2812">
        <w:rPr>
          <w:rtl/>
          <w:lang w:val="en-US"/>
        </w:rPr>
        <w:t>تالديكورغان</w:t>
      </w:r>
      <w:proofErr w:type="spellEnd"/>
      <w:r w:rsidRPr="00EE2812">
        <w:rPr>
          <w:rtl/>
          <w:lang w:val="en-US"/>
        </w:rPr>
        <w:t>. ومما يثير القلق بوجه خاص الصعوبات المدعاة في جمع الأدلة وإثباتها أثناء التحقيق في حالات التعذيب وإساءة المعاملة، والتعاون بين الموظفين والمهنيين الطبيين المعنيين من أجل التستر على هذه الأفعال، وخوف الضحايا من الانتقام والقصاص. ويساور اللجنة القلق إزاء المعلومات التي تفيد بأن المحققين عمدوا إلى تحويل عبء إثبات ارتكاب أعمال التعذيب أو إساءة المعاملة لكي يقع على عاتق الأشخاص المدعى أنهم ضحايا، في حين تحيط علم</w:t>
      </w:r>
      <w:r w:rsidR="00FB1610">
        <w:rPr>
          <w:rtl/>
          <w:lang w:val="en-US"/>
        </w:rPr>
        <w:t xml:space="preserve">اً </w:t>
      </w:r>
      <w:r w:rsidRPr="00EE2812">
        <w:rPr>
          <w:rtl/>
          <w:lang w:val="en-US"/>
        </w:rPr>
        <w:t>ببيان الوفد الذي يفيد بعكس ذلك. وتلاحظ اللجنة بقلق أيض</w:t>
      </w:r>
      <w:r w:rsidR="00FB1610">
        <w:rPr>
          <w:rtl/>
          <w:lang w:val="en-US"/>
        </w:rPr>
        <w:t xml:space="preserve">اً </w:t>
      </w:r>
      <w:r w:rsidRPr="00EE2812">
        <w:rPr>
          <w:rtl/>
          <w:lang w:val="en-US"/>
        </w:rPr>
        <w:t xml:space="preserve">التحقيقات المعلقة في وفيات أثناء الاحتجاز يُدّعى أنها وقعت نتيجة التعذيب فيما يتعلق بأحداث كانون الثاني/يناير </w:t>
      </w:r>
      <w:r w:rsidRPr="00E223F5">
        <w:rPr>
          <w:rtl/>
          <w:lang w:val="en-US"/>
        </w:rPr>
        <w:t>2022</w:t>
      </w:r>
      <w:r w:rsidRPr="00EE2812">
        <w:rPr>
          <w:rtl/>
          <w:lang w:val="en-US"/>
        </w:rPr>
        <w:t xml:space="preserve">، رغم أنها تأخذ في الحسبان ما أُبلغ عنه من تقدم محرز في عدد من </w:t>
      </w:r>
      <w:proofErr w:type="gramStart"/>
      <w:r w:rsidRPr="00EE2812">
        <w:rPr>
          <w:rtl/>
          <w:lang w:val="en-US"/>
        </w:rPr>
        <w:t>الحالات</w:t>
      </w:r>
      <w:r w:rsidR="006853C9" w:rsidRPr="00E223F5">
        <w:rPr>
          <w:vertAlign w:val="superscript"/>
          <w:rtl/>
        </w:rPr>
        <w:t>(</w:t>
      </w:r>
      <w:proofErr w:type="gramEnd"/>
      <w:r w:rsidR="006853C9" w:rsidRPr="00E223F5">
        <w:rPr>
          <w:vertAlign w:val="superscript"/>
          <w:lang w:val="en-AU"/>
        </w:rPr>
        <w:footnoteReference w:id="16"/>
      </w:r>
      <w:r w:rsidR="006853C9" w:rsidRPr="006853C9">
        <w:rPr>
          <w:vertAlign w:val="superscript"/>
          <w:rtl/>
          <w:lang w:val="en-US"/>
        </w:rPr>
        <w:t>)</w:t>
      </w:r>
      <w:r w:rsidR="006853C9" w:rsidRPr="006853C9">
        <w:rPr>
          <w:rtl/>
          <w:lang w:val="en-US"/>
        </w:rPr>
        <w:t xml:space="preserve">. </w:t>
      </w:r>
      <w:r w:rsidRPr="00EE2812">
        <w:rPr>
          <w:rtl/>
          <w:lang w:val="en-US"/>
        </w:rPr>
        <w:t>وأخير</w:t>
      </w:r>
      <w:r w:rsidR="00F25086">
        <w:rPr>
          <w:rtl/>
          <w:lang w:val="en-US"/>
        </w:rPr>
        <w:t>اً،</w:t>
      </w:r>
      <w:r w:rsidRPr="00EE2812">
        <w:rPr>
          <w:rtl/>
          <w:lang w:val="en-US"/>
        </w:rPr>
        <w:t xml:space="preserve"> علمت اللجنة بادعاءات </w:t>
      </w:r>
      <w:r w:rsidRPr="00467056">
        <w:rPr>
          <w:spacing w:val="-4"/>
          <w:rtl/>
          <w:lang w:val="en-US"/>
        </w:rPr>
        <w:t>عدم تقديم المساعدة الطبية الملائمة للضحايا أو حرمانهم منها أثناء هذه الأحداث، وتأسف لعدم وجود معلومات</w:t>
      </w:r>
      <w:r w:rsidRPr="00EE2812">
        <w:rPr>
          <w:rtl/>
          <w:lang w:val="en-US"/>
        </w:rPr>
        <w:t xml:space="preserve"> عن أي تحقيقات أجريت في هذا الشأن (المواد </w:t>
      </w:r>
      <w:r w:rsidRPr="00E223F5">
        <w:rPr>
          <w:rtl/>
          <w:lang w:val="en-US"/>
        </w:rPr>
        <w:t>2</w:t>
      </w:r>
      <w:r w:rsidRPr="00EE2812">
        <w:rPr>
          <w:rtl/>
          <w:lang w:val="en-US"/>
        </w:rPr>
        <w:t xml:space="preserve"> ومن </w:t>
      </w:r>
      <w:r w:rsidRPr="00E223F5">
        <w:rPr>
          <w:rtl/>
          <w:lang w:val="en-US"/>
        </w:rPr>
        <w:t>14</w:t>
      </w:r>
      <w:r w:rsidRPr="00EE2812">
        <w:rPr>
          <w:rtl/>
          <w:lang w:val="en-US"/>
        </w:rPr>
        <w:t xml:space="preserve"> إلى </w:t>
      </w:r>
      <w:r w:rsidRPr="00E223F5">
        <w:rPr>
          <w:rtl/>
          <w:lang w:val="en-US"/>
        </w:rPr>
        <w:t>12</w:t>
      </w:r>
      <w:r w:rsidRPr="00EE2812">
        <w:rPr>
          <w:rtl/>
          <w:lang w:val="en-US"/>
        </w:rPr>
        <w:t xml:space="preserve"> و</w:t>
      </w:r>
      <w:r w:rsidRPr="00E223F5">
        <w:rPr>
          <w:rtl/>
          <w:lang w:val="en-US"/>
        </w:rPr>
        <w:t>1</w:t>
      </w:r>
      <w:r w:rsidR="006853C9" w:rsidRPr="00E223F5">
        <w:rPr>
          <w:rtl/>
          <w:lang w:val="en-US"/>
        </w:rPr>
        <w:t>6</w:t>
      </w:r>
      <w:r w:rsidR="006853C9" w:rsidRPr="006853C9">
        <w:rPr>
          <w:rtl/>
          <w:lang w:val="en-US"/>
        </w:rPr>
        <w:t xml:space="preserve">). </w:t>
      </w:r>
    </w:p>
    <w:p w14:paraId="4370BB96" w14:textId="77777777" w:rsidR="00EE2812" w:rsidRPr="007F0FC8" w:rsidRDefault="00EE2812" w:rsidP="00EE2812">
      <w:pPr>
        <w:pStyle w:val="SingleTxtGA"/>
        <w:rPr>
          <w:b/>
          <w:bCs/>
          <w:lang w:val="en-US"/>
        </w:rPr>
      </w:pPr>
      <w:r w:rsidRPr="00E223F5">
        <w:rPr>
          <w:rtl/>
          <w:lang w:val="en-US"/>
        </w:rPr>
        <w:t>14</w:t>
      </w:r>
      <w:r w:rsidRPr="007F0FC8">
        <w:rPr>
          <w:rtl/>
          <w:lang w:val="en-US"/>
        </w:rPr>
        <w:t>-</w:t>
      </w:r>
      <w:r w:rsidRPr="007F0FC8">
        <w:rPr>
          <w:rtl/>
          <w:lang w:val="en-US"/>
        </w:rPr>
        <w:tab/>
      </w:r>
      <w:r w:rsidRPr="007F0FC8">
        <w:rPr>
          <w:b/>
          <w:bCs/>
          <w:rtl/>
          <w:lang w:val="en-US"/>
        </w:rPr>
        <w:t xml:space="preserve">تحث اللجنة الدولة الطرف على ما يلي: </w:t>
      </w:r>
    </w:p>
    <w:p w14:paraId="412EECD3" w14:textId="5A0EBF04" w:rsidR="00EE2812" w:rsidRPr="007F0FC8" w:rsidRDefault="00EE2812" w:rsidP="00EE2812">
      <w:pPr>
        <w:pStyle w:val="SingleTxtGA"/>
        <w:rPr>
          <w:b/>
          <w:bCs/>
          <w:lang w:val="en-US"/>
        </w:rPr>
      </w:pPr>
      <w:r w:rsidRPr="007F0FC8">
        <w:rPr>
          <w:rtl/>
          <w:lang w:val="en-US"/>
        </w:rPr>
        <w:tab/>
        <w:t>(</w:t>
      </w:r>
      <w:r w:rsidRPr="007F0FC8">
        <w:rPr>
          <w:rtl/>
          <w:lang w:val="en-US"/>
        </w:rPr>
        <w:t>أ)</w:t>
      </w:r>
      <w:r w:rsidRPr="007F0FC8">
        <w:rPr>
          <w:rtl/>
          <w:lang w:val="en-US"/>
        </w:rPr>
        <w:tab/>
      </w:r>
      <w:r w:rsidRPr="007F0FC8">
        <w:rPr>
          <w:b/>
          <w:bCs/>
          <w:rtl/>
          <w:lang w:val="en-US"/>
        </w:rPr>
        <w:t xml:space="preserve">ضمان التحقيق الفوري والمستقل والنزيه في جميع أعمال التعذيب وإساءة المعاملة، بما يشمل الإفراط في استعمال القوة أثناء أحداث كانون الثاني/يناير </w:t>
      </w:r>
      <w:r w:rsidRPr="00E223F5">
        <w:rPr>
          <w:b/>
          <w:bCs/>
          <w:rtl/>
          <w:lang w:val="en-US"/>
        </w:rPr>
        <w:t>2022</w:t>
      </w:r>
      <w:r w:rsidRPr="007F0FC8">
        <w:rPr>
          <w:b/>
          <w:bCs/>
          <w:rtl/>
          <w:lang w:val="en-US"/>
        </w:rPr>
        <w:t>، ومحاكمة الجناة المشتبه فيهم على النحو الواجب، ومعاقبتهم، إذا ثبتت إدانتهم، بعقوبات تتناسب وخطورة أفعالهم؛ والحرص على أن يقع عبء إثبات ارتكاب أعمال التعذيب أو إساءة المعاملة على عاتق السلطات العامة وليس على الضحايا، وذلك في جميع الظروف وفي جميع التحقيقات في أعمال التعذيب وإساءة المعاملة؛ والنظر في تلقّي مساعدة من الخبراء الدوليين للتحقيق في حالات التعذيب وإساءة المعاملة وفق</w:t>
      </w:r>
      <w:r w:rsidR="00FB1610">
        <w:rPr>
          <w:b/>
          <w:bCs/>
          <w:rtl/>
          <w:lang w:val="en-US"/>
        </w:rPr>
        <w:t xml:space="preserve">اً </w:t>
      </w:r>
      <w:r w:rsidRPr="007F0FC8">
        <w:rPr>
          <w:b/>
          <w:bCs/>
          <w:rtl/>
          <w:lang w:val="en-US"/>
        </w:rPr>
        <w:t>للمعايير الدولية؛</w:t>
      </w:r>
    </w:p>
    <w:p w14:paraId="4D3902D9" w14:textId="77777777" w:rsidR="00EE2812" w:rsidRPr="007F0FC8" w:rsidRDefault="00EE2812" w:rsidP="00EE2812">
      <w:pPr>
        <w:pStyle w:val="SingleTxtGA"/>
        <w:rPr>
          <w:b/>
          <w:bCs/>
          <w:lang w:val="en-US"/>
        </w:rPr>
      </w:pPr>
      <w:r w:rsidRPr="007F0FC8">
        <w:rPr>
          <w:rtl/>
          <w:lang w:val="en-US"/>
        </w:rPr>
        <w:lastRenderedPageBreak/>
        <w:tab/>
        <w:t>(</w:t>
      </w:r>
      <w:r w:rsidRPr="007F0FC8">
        <w:rPr>
          <w:rtl/>
          <w:lang w:val="en-US"/>
        </w:rPr>
        <w:t>ب)</w:t>
      </w:r>
      <w:r w:rsidRPr="007F0FC8">
        <w:rPr>
          <w:rtl/>
          <w:lang w:val="en-US"/>
        </w:rPr>
        <w:tab/>
      </w:r>
      <w:r w:rsidRPr="007F0FC8">
        <w:rPr>
          <w:b/>
          <w:bCs/>
          <w:rtl/>
          <w:lang w:val="en-US"/>
        </w:rPr>
        <w:t xml:space="preserve">مواصلة الحرص على اضطلاع هيئة مستقلة بتحقيقات فورية ونزيهة في جميع </w:t>
      </w:r>
      <w:r w:rsidRPr="0086501A">
        <w:rPr>
          <w:rFonts w:ascii="Times New Roman Bold" w:hAnsi="Times New Roman Bold"/>
          <w:b/>
          <w:bCs/>
          <w:spacing w:val="-2"/>
          <w:rtl/>
          <w:lang w:val="en-US"/>
        </w:rPr>
        <w:t>حالات الوفاة أثناء الاحتجاز، مع إيلاء الاعتبار الواجب لبروتوكول مينيسوتا المتعلق بالتحقيق في حالات</w:t>
      </w:r>
      <w:r w:rsidRPr="007F0FC8">
        <w:rPr>
          <w:b/>
          <w:bCs/>
          <w:rtl/>
          <w:lang w:val="en-US"/>
        </w:rPr>
        <w:t xml:space="preserve"> الوفاة التي يُحتمل أن تكون غير مشروعة؛</w:t>
      </w:r>
    </w:p>
    <w:p w14:paraId="6A1309BC" w14:textId="1F2F0D96" w:rsidR="00EE2812" w:rsidRPr="007F0FC8" w:rsidRDefault="00EE2812" w:rsidP="00EE2812">
      <w:pPr>
        <w:pStyle w:val="SingleTxtGA"/>
        <w:rPr>
          <w:b/>
          <w:bCs/>
          <w:lang w:val="en-US"/>
        </w:rPr>
      </w:pPr>
      <w:r w:rsidRPr="007F0FC8">
        <w:rPr>
          <w:rtl/>
          <w:lang w:val="en-US"/>
        </w:rPr>
        <w:tab/>
        <w:t>(</w:t>
      </w:r>
      <w:r w:rsidRPr="007F0FC8">
        <w:rPr>
          <w:rtl/>
          <w:lang w:val="en-US"/>
        </w:rPr>
        <w:t>ج)</w:t>
      </w:r>
      <w:r w:rsidRPr="007F0FC8">
        <w:rPr>
          <w:rtl/>
          <w:lang w:val="en-US"/>
        </w:rPr>
        <w:tab/>
      </w:r>
      <w:r w:rsidRPr="0086501A">
        <w:rPr>
          <w:rFonts w:ascii="Times New Roman Bold" w:hAnsi="Times New Roman Bold"/>
          <w:b/>
          <w:bCs/>
          <w:spacing w:val="-2"/>
          <w:rtl/>
          <w:lang w:val="en-US"/>
        </w:rPr>
        <w:t>مواصلة تدعيم البروتوكولات التي تنظّم سلوك موظفي إنفاذ القوانين أثناء الاحتجاجات</w:t>
      </w:r>
      <w:r w:rsidRPr="007F0FC8">
        <w:rPr>
          <w:b/>
          <w:bCs/>
          <w:rtl/>
          <w:lang w:val="en-US"/>
        </w:rPr>
        <w:t xml:space="preserve"> الاجتماعية، بما يتفق مع المعايير الدولية لحماية حقوق الإنسان. </w:t>
      </w:r>
    </w:p>
    <w:p w14:paraId="776955B3" w14:textId="6574C4CE" w:rsidR="00EE2812" w:rsidRPr="00E223F5" w:rsidRDefault="00EE2812" w:rsidP="00EE2812">
      <w:pPr>
        <w:pStyle w:val="H23GA"/>
      </w:pPr>
      <w:r w:rsidRPr="00E223F5">
        <w:rPr>
          <w:rtl/>
        </w:rPr>
        <w:tab/>
      </w:r>
      <w:r w:rsidRPr="00E223F5">
        <w:rPr>
          <w:rtl/>
        </w:rPr>
        <w:tab/>
        <w:t>مكتب مفوض(ة) حقوق الإنسان والآلية الوقائية الوطنية</w:t>
      </w:r>
    </w:p>
    <w:p w14:paraId="595FA47B" w14:textId="17492753" w:rsidR="006853C9" w:rsidRPr="006853C9" w:rsidRDefault="00EE2812" w:rsidP="00EE2812">
      <w:pPr>
        <w:pStyle w:val="SingleTxtGA"/>
        <w:rPr>
          <w:lang w:val="en-US"/>
        </w:rPr>
      </w:pPr>
      <w:r w:rsidRPr="00E223F5">
        <w:rPr>
          <w:rtl/>
          <w:lang w:val="en-US"/>
        </w:rPr>
        <w:t>15</w:t>
      </w:r>
      <w:r w:rsidRPr="007F0FC8">
        <w:rPr>
          <w:rtl/>
          <w:lang w:val="en-US"/>
        </w:rPr>
        <w:t>-</w:t>
      </w:r>
      <w:r w:rsidRPr="007F0FC8">
        <w:rPr>
          <w:rtl/>
          <w:lang w:val="en-US"/>
        </w:rPr>
        <w:tab/>
      </w:r>
      <w:r w:rsidRPr="00EE2812">
        <w:rPr>
          <w:rtl/>
          <w:lang w:val="en-US"/>
        </w:rPr>
        <w:t>تلاحظ اللجنة مع التقدير تضمين الميزانية العامة لمفوضية حقوق الإنسان بند منفصل</w:t>
      </w:r>
      <w:r w:rsidR="00FB1610">
        <w:rPr>
          <w:rtl/>
          <w:lang w:val="en-US"/>
        </w:rPr>
        <w:t xml:space="preserve">اً </w:t>
      </w:r>
      <w:r w:rsidRPr="00EE2812">
        <w:rPr>
          <w:rtl/>
          <w:lang w:val="en-US"/>
        </w:rPr>
        <w:t xml:space="preserve">للآلية الوقائية الوطنية وتوسيع نطاق الولاية المتعلقة بالرصد التي تضطلع بها الآلية لتشمل </w:t>
      </w:r>
      <w:r w:rsidRPr="00E223F5">
        <w:rPr>
          <w:rtl/>
          <w:lang w:val="en-US"/>
        </w:rPr>
        <w:t>434</w:t>
      </w:r>
      <w:r w:rsidRPr="00EE2812">
        <w:rPr>
          <w:rtl/>
          <w:lang w:val="en-US"/>
        </w:rPr>
        <w:t xml:space="preserve"> </w:t>
      </w:r>
      <w:r w:rsidR="00FB1610" w:rsidRPr="00E223F5">
        <w:rPr>
          <w:rtl/>
          <w:lang w:val="en-US"/>
        </w:rPr>
        <w:t>3</w:t>
      </w:r>
      <w:r w:rsidR="00FB1610">
        <w:rPr>
          <w:rFonts w:hint="cs"/>
          <w:rtl/>
          <w:lang w:val="en-US"/>
        </w:rPr>
        <w:t xml:space="preserve"> </w:t>
      </w:r>
      <w:r w:rsidRPr="00EE2812">
        <w:rPr>
          <w:rtl/>
          <w:lang w:val="en-US"/>
        </w:rPr>
        <w:t>مكان</w:t>
      </w:r>
      <w:r w:rsidR="00FB1610">
        <w:rPr>
          <w:rtl/>
          <w:lang w:val="en-US"/>
        </w:rPr>
        <w:t xml:space="preserve">اً </w:t>
      </w:r>
      <w:r w:rsidRPr="00EE2812">
        <w:rPr>
          <w:rtl/>
          <w:lang w:val="en-US"/>
        </w:rPr>
        <w:t>من أماكن سلب الحرية، بما فيها المؤسسات الطبية للعلاج الإلزامي والمؤسسات التي تقدم خدمات اجتماعية خاصة، بما يشمل الخدمات المقدمة للأطفال. ورغم هذه التدابير الإيجابية المتخذة، تشير اللجنة إلى الشواغل التالية وتتوقع معالجتها على النحو السليم في إطار العمل الرامي إلى تحسين التشريعات المتعلقة بأنشطة الآلية الوقائية الوطنية التي أعلن عنها الوفد: أول</w:t>
      </w:r>
      <w:r w:rsidR="00F25086">
        <w:rPr>
          <w:rtl/>
          <w:lang w:val="en-US"/>
        </w:rPr>
        <w:t>اً،</w:t>
      </w:r>
      <w:r w:rsidRPr="00EE2812">
        <w:rPr>
          <w:rtl/>
          <w:lang w:val="en-US"/>
        </w:rPr>
        <w:t xml:space="preserve"> تخضع ولاية إجراء الزيارات المسندة إلى الآلية الوقائية الوطنية لتشريعات متفرقة وتتطلب تحديث</w:t>
      </w:r>
      <w:r w:rsidR="00FB1610">
        <w:rPr>
          <w:rtl/>
          <w:lang w:val="en-US"/>
        </w:rPr>
        <w:t xml:space="preserve">اً </w:t>
      </w:r>
      <w:r w:rsidRPr="00EE2812">
        <w:rPr>
          <w:rtl/>
          <w:lang w:val="en-US"/>
        </w:rPr>
        <w:t>مستمر</w:t>
      </w:r>
      <w:r w:rsidR="00DA57C9">
        <w:rPr>
          <w:rtl/>
          <w:lang w:val="en-US"/>
        </w:rPr>
        <w:t>اً؛</w:t>
      </w:r>
      <w:r w:rsidRPr="00EE2812">
        <w:rPr>
          <w:rtl/>
          <w:lang w:val="en-US"/>
        </w:rPr>
        <w:t xml:space="preserve"> ولا تزال الثكنات والمدارس العسكرية مستثناة من هذه الولاية؛ وثاني</w:t>
      </w:r>
      <w:r w:rsidR="00F25086">
        <w:rPr>
          <w:rtl/>
          <w:lang w:val="en-US"/>
        </w:rPr>
        <w:t>اً،</w:t>
      </w:r>
      <w:r w:rsidRPr="00EE2812">
        <w:rPr>
          <w:rtl/>
          <w:lang w:val="en-US"/>
        </w:rPr>
        <w:t xml:space="preserve"> لا تتمتع الآلية الوقائية الوطنية بالاستقلال العملي الكامل عن المفوضية، التي</w:t>
      </w:r>
      <w:r w:rsidR="00891325">
        <w:rPr>
          <w:rtl/>
          <w:lang w:val="en-US"/>
        </w:rPr>
        <w:t xml:space="preserve"> </w:t>
      </w:r>
      <w:r w:rsidRPr="00EE2812">
        <w:rPr>
          <w:rtl/>
          <w:lang w:val="en-US"/>
        </w:rPr>
        <w:t>تواصل تنسيق أنشطة الآلية، ولا تزال الزيارات الخاصة التي تقوم بها الآلية الوقائية الوطنية إلى أماكن سلب الحرية تتطلب موافقة المفوض(ة)</w:t>
      </w:r>
      <w:r w:rsidR="006853C9" w:rsidRPr="00E223F5">
        <w:rPr>
          <w:vertAlign w:val="superscript"/>
          <w:rtl/>
        </w:rPr>
        <w:t>(</w:t>
      </w:r>
      <w:r w:rsidR="006853C9" w:rsidRPr="00E223F5">
        <w:rPr>
          <w:vertAlign w:val="superscript"/>
          <w:lang w:val="en-AU"/>
        </w:rPr>
        <w:footnoteReference w:id="17"/>
      </w:r>
      <w:r w:rsidR="006853C9" w:rsidRPr="006853C9">
        <w:rPr>
          <w:vertAlign w:val="superscript"/>
          <w:rtl/>
          <w:lang w:val="en-US"/>
        </w:rPr>
        <w:t>)</w:t>
      </w:r>
      <w:r w:rsidR="006853C9" w:rsidRPr="006853C9">
        <w:rPr>
          <w:rtl/>
          <w:lang w:val="en-US"/>
        </w:rPr>
        <w:t xml:space="preserve">؛ </w:t>
      </w:r>
      <w:r w:rsidRPr="00EE2812">
        <w:rPr>
          <w:rtl/>
          <w:lang w:val="en-US"/>
        </w:rPr>
        <w:t>وثالث</w:t>
      </w:r>
      <w:r w:rsidR="00F25086">
        <w:rPr>
          <w:rtl/>
          <w:lang w:val="en-US"/>
        </w:rPr>
        <w:t>اً،</w:t>
      </w:r>
      <w:r w:rsidRPr="00EE2812">
        <w:rPr>
          <w:rtl/>
          <w:lang w:val="en-US"/>
        </w:rPr>
        <w:t xml:space="preserve"> يوعز إلى الممثلين الإقليميين لمكتب المفوض(ة</w:t>
      </w:r>
      <w:r w:rsidR="006853C9" w:rsidRPr="006853C9">
        <w:rPr>
          <w:rtl/>
          <w:lang w:val="en-US"/>
        </w:rPr>
        <w:t xml:space="preserve">)، </w:t>
      </w:r>
      <w:r w:rsidRPr="00EE2812">
        <w:rPr>
          <w:rtl/>
          <w:lang w:val="en-US"/>
        </w:rPr>
        <w:t xml:space="preserve">وهم ليسوا بأعضاء في الآلية، أن يشاركوا في زياراتها الوقائية. وإلى جانب ذلك، تأسف اللجنة لعدم وجود معلومات </w:t>
      </w:r>
      <w:r w:rsidRPr="00FB1610">
        <w:rPr>
          <w:spacing w:val="-2"/>
          <w:rtl/>
          <w:lang w:val="en-US"/>
        </w:rPr>
        <w:t>عن التدابير المحددة المتخذة استجابةً إلى توصيات الآلية، رغم إفادة الدولة الطرف بارتفاع معدل تنفيذ هذه</w:t>
      </w:r>
      <w:r w:rsidRPr="00EE2812">
        <w:rPr>
          <w:rtl/>
          <w:lang w:val="en-US"/>
        </w:rPr>
        <w:t xml:space="preserve"> التوصيات. وأخير</w:t>
      </w:r>
      <w:r w:rsidR="00F25086">
        <w:rPr>
          <w:rtl/>
          <w:lang w:val="en-US"/>
        </w:rPr>
        <w:t>اً،</w:t>
      </w:r>
      <w:r w:rsidRPr="00EE2812">
        <w:rPr>
          <w:rtl/>
          <w:lang w:val="en-US"/>
        </w:rPr>
        <w:t xml:space="preserve"> تحيط اللجنة علم</w:t>
      </w:r>
      <w:r w:rsidR="00FB1610">
        <w:rPr>
          <w:rtl/>
          <w:lang w:val="en-US"/>
        </w:rPr>
        <w:t xml:space="preserve">اً </w:t>
      </w:r>
      <w:r w:rsidRPr="00EE2812">
        <w:rPr>
          <w:rtl/>
          <w:lang w:val="en-US"/>
        </w:rPr>
        <w:t xml:space="preserve">بالمذكرة الموقعة بين مكتب مفوض(ة) حقوق الإنسان والمفوض(ة) المعني(ة) بحقوق الطفل في عام </w:t>
      </w:r>
      <w:r w:rsidRPr="00E223F5">
        <w:rPr>
          <w:rtl/>
          <w:lang w:val="en-US"/>
        </w:rPr>
        <w:t>2023</w:t>
      </w:r>
      <w:r w:rsidRPr="00EE2812">
        <w:rPr>
          <w:rtl/>
          <w:lang w:val="en-US"/>
        </w:rPr>
        <w:t xml:space="preserve"> بشأن رصد المؤسسات المغلقة المخصصة للأطفال، وتتطلع إلى تلقي مزيد من المعلومات عن وضع بروتوكولات مناسبة، من دون تأخير لا مبرر له، من أجل التعاون مع الآلية الوقائية الوطنية، بما يشمل معلومات عن تخصيص الموارد البشرية والمالية المناسبة لهذه الولاية المشتركة في مجال الرصد (المادة </w:t>
      </w:r>
      <w:r w:rsidR="006853C9" w:rsidRPr="00E223F5">
        <w:rPr>
          <w:rtl/>
          <w:lang w:val="en-US"/>
        </w:rPr>
        <w:t>2</w:t>
      </w:r>
      <w:r w:rsidR="006853C9" w:rsidRPr="006853C9">
        <w:rPr>
          <w:rtl/>
          <w:lang w:val="en-US"/>
        </w:rPr>
        <w:t>).</w:t>
      </w:r>
    </w:p>
    <w:p w14:paraId="4EDEB503" w14:textId="4E230918" w:rsidR="00EE2812" w:rsidRPr="007F0FC8" w:rsidRDefault="00EE2812" w:rsidP="00EE2812">
      <w:pPr>
        <w:pStyle w:val="SingleTxtGA"/>
        <w:rPr>
          <w:b/>
          <w:bCs/>
          <w:lang w:val="en-US"/>
        </w:rPr>
      </w:pPr>
      <w:r w:rsidRPr="00E223F5">
        <w:rPr>
          <w:rtl/>
          <w:lang w:val="en-US"/>
        </w:rPr>
        <w:t>16</w:t>
      </w:r>
      <w:r w:rsidRPr="007F0FC8">
        <w:rPr>
          <w:rtl/>
          <w:lang w:val="en-US"/>
        </w:rPr>
        <w:t>-</w:t>
      </w:r>
      <w:r w:rsidRPr="007F0FC8">
        <w:rPr>
          <w:rtl/>
          <w:lang w:val="en-US"/>
        </w:rPr>
        <w:tab/>
      </w:r>
      <w:r w:rsidRPr="007F0FC8">
        <w:rPr>
          <w:b/>
          <w:bCs/>
          <w:rtl/>
          <w:lang w:val="en-US"/>
        </w:rPr>
        <w:t>ينبغي أن تواصل الدولة الطرف تعزيز قدرة الآلية الوقائية الوطنية بسبل تشمل ما يلي: (أ)</w:t>
      </w:r>
      <w:r w:rsidR="00FB1610">
        <w:rPr>
          <w:rFonts w:hint="cs"/>
          <w:b/>
          <w:bCs/>
          <w:rtl/>
          <w:lang w:val="en-US"/>
        </w:rPr>
        <w:t> </w:t>
      </w:r>
      <w:r w:rsidRPr="007F0FC8">
        <w:rPr>
          <w:b/>
          <w:bCs/>
          <w:rtl/>
          <w:lang w:val="en-US"/>
        </w:rPr>
        <w:t>إدراج قائمة شاملة بأماكن سلب الحرية في التشريعات التي تنظم الآلية الوقائية الوطنية، وفق</w:t>
      </w:r>
      <w:r w:rsidR="00FB1610">
        <w:rPr>
          <w:b/>
          <w:bCs/>
          <w:rtl/>
          <w:lang w:val="en-US"/>
        </w:rPr>
        <w:t xml:space="preserve">اً </w:t>
      </w:r>
      <w:r w:rsidRPr="007F0FC8">
        <w:rPr>
          <w:b/>
          <w:bCs/>
          <w:rtl/>
          <w:lang w:val="en-US"/>
        </w:rPr>
        <w:t xml:space="preserve">للمادة </w:t>
      </w:r>
      <w:r w:rsidRPr="00E223F5">
        <w:rPr>
          <w:b/>
          <w:bCs/>
          <w:rtl/>
          <w:lang w:val="en-US"/>
        </w:rPr>
        <w:t>4</w:t>
      </w:r>
      <w:r w:rsidRPr="007F0FC8">
        <w:rPr>
          <w:b/>
          <w:bCs/>
          <w:rtl/>
          <w:lang w:val="en-US"/>
        </w:rPr>
        <w:t xml:space="preserve"> من البروتوكول الاختياري للاتفاقية، والحرص على أن تخضع الثكنات والمدارس العسكرية لولايتها المتعلقة بالرصد؛ و(ب) ضمان استقلالها العملي التام عن مفوضية حقوق الإنسان، وعن الممثلين الإقليميين للمفوضية، وإنهاء الحاجة إلى موافقة المفوض(ة) على الزيارات الخاصة التي تقوم بها الآلية؛ و(ج) النهوض بمتابعة تنفيذ توصيات الآلية الوقائية الوطنية وضمان تنفيذ توصياتها بكفاءة؛ و(د) مواصلة إتاحة التدريب الملائم والمنتظم لموظفيها وأعضائها. وينبغي أن تعتمد مزيد</w:t>
      </w:r>
      <w:r w:rsidR="00FB1610">
        <w:rPr>
          <w:b/>
          <w:bCs/>
          <w:rtl/>
          <w:lang w:val="en-US"/>
        </w:rPr>
        <w:t xml:space="preserve">اً </w:t>
      </w:r>
      <w:r w:rsidRPr="007F0FC8">
        <w:rPr>
          <w:b/>
          <w:bCs/>
          <w:rtl/>
          <w:lang w:val="en-US"/>
        </w:rPr>
        <w:t xml:space="preserve">من التدابير من أجل تفعيل التنسيق بين الآلية الوقائية الوطنية والمفوض(ة) المعني(ة) بحقوق الطفل في رصد المؤسسات المغلقة المخصصة للأطفال في جميع المناطق، وأن توفّر ما يلزم من موارد مالية وبشرية من أجل الوفاء على نحو فعال بهذه الولاية المشتركة في مجال الرصد. </w:t>
      </w:r>
    </w:p>
    <w:p w14:paraId="50D317BE" w14:textId="4CEC7C42" w:rsidR="00EE2812" w:rsidRPr="00E223F5" w:rsidRDefault="00EE2812" w:rsidP="00EE2812">
      <w:pPr>
        <w:pStyle w:val="H23GA"/>
      </w:pPr>
      <w:r w:rsidRPr="00E223F5">
        <w:rPr>
          <w:rtl/>
        </w:rPr>
        <w:lastRenderedPageBreak/>
        <w:tab/>
      </w:r>
      <w:r w:rsidRPr="00E223F5">
        <w:rPr>
          <w:rtl/>
        </w:rPr>
        <w:tab/>
        <w:t>نقل سلطة الاحتجاز إلى وزارة العدل</w:t>
      </w:r>
    </w:p>
    <w:p w14:paraId="5AAA76E4" w14:textId="3BC67FA9" w:rsidR="006853C9" w:rsidRPr="006853C9" w:rsidRDefault="00EE2812" w:rsidP="00EE2812">
      <w:pPr>
        <w:pStyle w:val="SingleTxtGA"/>
        <w:rPr>
          <w:lang w:val="en-US"/>
        </w:rPr>
      </w:pPr>
      <w:r w:rsidRPr="00E223F5">
        <w:rPr>
          <w:rtl/>
          <w:lang w:val="en-US"/>
        </w:rPr>
        <w:t>17</w:t>
      </w:r>
      <w:r w:rsidRPr="007F0FC8">
        <w:rPr>
          <w:rtl/>
          <w:lang w:val="en-US"/>
        </w:rPr>
        <w:t>-</w:t>
      </w:r>
      <w:r w:rsidRPr="007F0FC8">
        <w:rPr>
          <w:rtl/>
          <w:lang w:val="en-US"/>
        </w:rPr>
        <w:tab/>
      </w:r>
      <w:r w:rsidRPr="00EE2812">
        <w:rPr>
          <w:rtl/>
          <w:lang w:val="en-US"/>
        </w:rPr>
        <w:t>تحيط اللجنة علم</w:t>
      </w:r>
      <w:r w:rsidR="00FB1610">
        <w:rPr>
          <w:rtl/>
          <w:lang w:val="en-US"/>
        </w:rPr>
        <w:t xml:space="preserve">اً </w:t>
      </w:r>
      <w:r w:rsidRPr="00EE2812">
        <w:rPr>
          <w:rtl/>
          <w:lang w:val="en-US"/>
        </w:rPr>
        <w:t>بالبيان الذي أدلى به الوفد أثناء الحوار بشأن إمكانية إعادة النظر في مسألة نقل سلطة الاحتجاز السابق للمحاكمة والمرافق الإصلاحية من وزارة الداخلية إلى وزارة العدل، غير أنها لا</w:t>
      </w:r>
      <w:r w:rsidR="00FB1610">
        <w:rPr>
          <w:rFonts w:hint="cs"/>
          <w:rtl/>
          <w:lang w:val="en-US"/>
        </w:rPr>
        <w:t> </w:t>
      </w:r>
      <w:r w:rsidRPr="00EE2812">
        <w:rPr>
          <w:rtl/>
          <w:lang w:val="en-US"/>
        </w:rPr>
        <w:t xml:space="preserve">تزال تشعر بالقلق إزاء عدم اتخاذ أي تدابير أثناء الفترة المشمولة بالتقرير في سبيل تحقيق هذه الغاية (المادتان </w:t>
      </w:r>
      <w:r w:rsidRPr="00E223F5">
        <w:rPr>
          <w:rtl/>
          <w:lang w:val="en-US"/>
        </w:rPr>
        <w:t>2</w:t>
      </w:r>
      <w:r w:rsidRPr="00EE2812">
        <w:rPr>
          <w:rtl/>
          <w:lang w:val="en-US"/>
        </w:rPr>
        <w:t xml:space="preserve"> و</w:t>
      </w:r>
      <w:r w:rsidRPr="00E223F5">
        <w:rPr>
          <w:rtl/>
          <w:lang w:val="en-US"/>
        </w:rPr>
        <w:t>1</w:t>
      </w:r>
      <w:r w:rsidR="006853C9" w:rsidRPr="00E223F5">
        <w:rPr>
          <w:rtl/>
          <w:lang w:val="en-US"/>
        </w:rPr>
        <w:t>1</w:t>
      </w:r>
      <w:r w:rsidR="006853C9" w:rsidRPr="006853C9">
        <w:rPr>
          <w:rtl/>
          <w:lang w:val="en-US"/>
        </w:rPr>
        <w:t>).</w:t>
      </w:r>
    </w:p>
    <w:p w14:paraId="156D626C" w14:textId="5ECA9E5E" w:rsidR="00EE2812" w:rsidRPr="007F0FC8" w:rsidRDefault="00EE2812" w:rsidP="00EE2812">
      <w:pPr>
        <w:pStyle w:val="SingleTxtGA"/>
        <w:rPr>
          <w:b/>
          <w:bCs/>
          <w:lang w:val="en-US"/>
        </w:rPr>
      </w:pPr>
      <w:r w:rsidRPr="00E223F5">
        <w:rPr>
          <w:rtl/>
          <w:lang w:val="en-US"/>
        </w:rPr>
        <w:t>18</w:t>
      </w:r>
      <w:r w:rsidRPr="007F0FC8">
        <w:rPr>
          <w:rtl/>
          <w:lang w:val="en-US"/>
        </w:rPr>
        <w:t>-</w:t>
      </w:r>
      <w:r w:rsidRPr="007F0FC8">
        <w:rPr>
          <w:rtl/>
          <w:lang w:val="en-US"/>
        </w:rPr>
        <w:tab/>
      </w:r>
      <w:r w:rsidRPr="007F0FC8">
        <w:rPr>
          <w:b/>
          <w:bCs/>
          <w:rtl/>
          <w:lang w:val="en-US"/>
        </w:rPr>
        <w:t>تكرر اللجنة توصياتها السابقة المتعلقة بنقل سلطة الاحتجاز السابق للمحاكمة والمرافق الإصلاحية من وزارة الداخلية إلى وزارة العدل، وتدعو الدولة الطرف إلى اتخاذ تدابير من أجل تنفيذ هذه</w:t>
      </w:r>
      <w:r w:rsidR="00467056">
        <w:rPr>
          <w:rFonts w:hint="cs"/>
          <w:b/>
          <w:bCs/>
          <w:rtl/>
          <w:lang w:val="en-US"/>
        </w:rPr>
        <w:t> </w:t>
      </w:r>
      <w:proofErr w:type="gramStart"/>
      <w:r w:rsidRPr="007F0FC8">
        <w:rPr>
          <w:b/>
          <w:bCs/>
          <w:rtl/>
          <w:lang w:val="en-US"/>
        </w:rPr>
        <w:t>التوصيات</w:t>
      </w:r>
      <w:r w:rsidR="006853C9" w:rsidRPr="00E223F5">
        <w:rPr>
          <w:b/>
          <w:bCs/>
          <w:vertAlign w:val="superscript"/>
          <w:rtl/>
        </w:rPr>
        <w:t>(</w:t>
      </w:r>
      <w:proofErr w:type="gramEnd"/>
      <w:r w:rsidR="006853C9" w:rsidRPr="00E223F5">
        <w:rPr>
          <w:b/>
          <w:bCs/>
          <w:vertAlign w:val="superscript"/>
          <w:lang w:val="en-AU"/>
        </w:rPr>
        <w:footnoteReference w:id="18"/>
      </w:r>
      <w:r w:rsidR="006853C9" w:rsidRPr="006853C9">
        <w:rPr>
          <w:b/>
          <w:bCs/>
          <w:vertAlign w:val="superscript"/>
          <w:rtl/>
          <w:lang w:val="en-US"/>
        </w:rPr>
        <w:t>)</w:t>
      </w:r>
      <w:r w:rsidR="006853C9" w:rsidRPr="006853C9">
        <w:rPr>
          <w:b/>
          <w:bCs/>
          <w:rtl/>
          <w:lang w:val="en-US"/>
        </w:rPr>
        <w:t xml:space="preserve">. </w:t>
      </w:r>
    </w:p>
    <w:p w14:paraId="20657BD0" w14:textId="77777777" w:rsidR="00EE2812" w:rsidRPr="00E223F5" w:rsidRDefault="00EE2812" w:rsidP="00EE2812">
      <w:pPr>
        <w:pStyle w:val="H23GA"/>
      </w:pPr>
      <w:r w:rsidRPr="00E223F5">
        <w:rPr>
          <w:rtl/>
        </w:rPr>
        <w:tab/>
      </w:r>
      <w:r w:rsidRPr="00E223F5">
        <w:rPr>
          <w:rtl/>
        </w:rPr>
        <w:tab/>
        <w:t>التحقيق غير الفعال في أعمال التعذيب وإساءة المعاملة</w:t>
      </w:r>
    </w:p>
    <w:p w14:paraId="1AA4B01B" w14:textId="2767DE33" w:rsidR="00EE2812" w:rsidRDefault="00EE2812" w:rsidP="00EE2812">
      <w:pPr>
        <w:pStyle w:val="SingleTxtGA"/>
        <w:rPr>
          <w:lang w:val="en-US"/>
        </w:rPr>
      </w:pPr>
      <w:r w:rsidRPr="00E223F5">
        <w:rPr>
          <w:rtl/>
          <w:lang w:val="en-US"/>
        </w:rPr>
        <w:t>19</w:t>
      </w:r>
      <w:r w:rsidRPr="007F0FC8">
        <w:rPr>
          <w:rtl/>
          <w:lang w:val="en-US"/>
        </w:rPr>
        <w:t>-</w:t>
      </w:r>
      <w:r w:rsidRPr="007F0FC8">
        <w:rPr>
          <w:rtl/>
          <w:lang w:val="en-US"/>
        </w:rPr>
        <w:tab/>
      </w:r>
      <w:r w:rsidRPr="00EE2812">
        <w:rPr>
          <w:rtl/>
          <w:lang w:val="en-US"/>
        </w:rPr>
        <w:t>تلاحظ اللجنة التدابير التي اتخذتها الدولة الطرف في سبيل الإصلاح القضائي، وإعلانها اعتماد سياسة عدم التسامح إطلاق</w:t>
      </w:r>
      <w:r w:rsidR="00FB1610">
        <w:rPr>
          <w:rtl/>
          <w:lang w:val="en-US"/>
        </w:rPr>
        <w:t xml:space="preserve">اً </w:t>
      </w:r>
      <w:r w:rsidRPr="00EE2812">
        <w:rPr>
          <w:rtl/>
          <w:lang w:val="en-US"/>
        </w:rPr>
        <w:t>مع التعذيب، غير أنها لا تزال تشعر بالقلق إزاء ما يلي:</w:t>
      </w:r>
    </w:p>
    <w:p w14:paraId="5623D7FA" w14:textId="444386AE" w:rsidR="00EE2812" w:rsidRDefault="00EE2812" w:rsidP="00EE2812">
      <w:pPr>
        <w:pStyle w:val="SingleTxtGA"/>
        <w:rPr>
          <w:lang w:val="en-US"/>
        </w:rPr>
      </w:pPr>
      <w:r w:rsidRPr="007F0FC8">
        <w:rPr>
          <w:rtl/>
          <w:lang w:val="en-US"/>
        </w:rPr>
        <w:tab/>
        <w:t>(</w:t>
      </w:r>
      <w:r w:rsidRPr="007F0FC8">
        <w:rPr>
          <w:rtl/>
          <w:lang w:val="en-US"/>
        </w:rPr>
        <w:t>أ)</w:t>
      </w:r>
      <w:r w:rsidRPr="007F0FC8">
        <w:rPr>
          <w:rtl/>
          <w:lang w:val="en-US"/>
        </w:rPr>
        <w:tab/>
      </w:r>
      <w:r w:rsidRPr="00EE2812">
        <w:rPr>
          <w:rtl/>
          <w:lang w:val="en-US"/>
        </w:rPr>
        <w:t>التقارير التي تفيد بأن بعض الشكاوى المقدمة بشأن التعذيب قد لا تُدرَج في السجل الموحد للتحقيقات السابقة للمحاكمة، إذ يمكن إحالتها إلى "الهيئات المخولة"، ومنها الشرطة، لأغراض إجراءات التحقق الأولي، استناد</w:t>
      </w:r>
      <w:r w:rsidR="00FB1610">
        <w:rPr>
          <w:rtl/>
          <w:lang w:val="en-US"/>
        </w:rPr>
        <w:t xml:space="preserve">اً </w:t>
      </w:r>
      <w:r w:rsidRPr="00EE2812">
        <w:rPr>
          <w:rtl/>
          <w:lang w:val="en-US"/>
        </w:rPr>
        <w:t xml:space="preserve">إلى المادة </w:t>
      </w:r>
      <w:r w:rsidRPr="00E223F5">
        <w:rPr>
          <w:rtl/>
          <w:lang w:val="en-US"/>
        </w:rPr>
        <w:t>181</w:t>
      </w:r>
      <w:r w:rsidRPr="00EE2812">
        <w:rPr>
          <w:rtl/>
          <w:lang w:val="en-US"/>
        </w:rPr>
        <w:t>(</w:t>
      </w:r>
      <w:r w:rsidR="006853C9" w:rsidRPr="00E223F5">
        <w:rPr>
          <w:rtl/>
          <w:lang w:val="en-US"/>
        </w:rPr>
        <w:t>5</w:t>
      </w:r>
      <w:r w:rsidR="006853C9" w:rsidRPr="006853C9">
        <w:rPr>
          <w:rtl/>
          <w:lang w:val="en-US"/>
        </w:rPr>
        <w:t xml:space="preserve">) </w:t>
      </w:r>
      <w:r w:rsidRPr="00EE2812">
        <w:rPr>
          <w:rtl/>
          <w:lang w:val="en-US"/>
        </w:rPr>
        <w:t>من قانون الإجراءات الجنائية، وعقب ذلك، تُحفظ ملفات هذه الشكاوى في أغلب الأحيان من دون إقامة دعوى جنائية بسبب نقص الأدلة. وفي هذا الصدد، تحيط اللجنة علم</w:t>
      </w:r>
      <w:r w:rsidR="00FB1610">
        <w:rPr>
          <w:rtl/>
          <w:lang w:val="en-US"/>
        </w:rPr>
        <w:t xml:space="preserve">اً </w:t>
      </w:r>
      <w:r w:rsidRPr="00EE2812">
        <w:rPr>
          <w:rtl/>
          <w:lang w:val="en-US"/>
        </w:rPr>
        <w:t xml:space="preserve">بالتوضيح الذي قدمه الوفد ومفاده أن هذه المادة لا تنطبق إلا على الجرائم الاقتصادية وجرائم الملكية وأن جميع ادعاءات التعذيب تُسجَّل في السجل الموحد؛ </w:t>
      </w:r>
    </w:p>
    <w:p w14:paraId="61F7D16C" w14:textId="3910D13C" w:rsidR="00EE2812" w:rsidRDefault="00EE2812" w:rsidP="00EE2812">
      <w:pPr>
        <w:pStyle w:val="SingleTxtGA"/>
        <w:rPr>
          <w:lang w:val="en-US"/>
        </w:rPr>
      </w:pPr>
      <w:r w:rsidRPr="007F0FC8">
        <w:rPr>
          <w:rtl/>
          <w:lang w:val="en-US"/>
        </w:rPr>
        <w:tab/>
        <w:t>(</w:t>
      </w:r>
      <w:r w:rsidRPr="007F0FC8">
        <w:rPr>
          <w:rtl/>
          <w:lang w:val="en-US"/>
        </w:rPr>
        <w:t>ب)</w:t>
      </w:r>
      <w:r w:rsidRPr="007F0FC8">
        <w:rPr>
          <w:rtl/>
          <w:lang w:val="en-US"/>
        </w:rPr>
        <w:tab/>
      </w:r>
      <w:r w:rsidRPr="00EE2812">
        <w:rPr>
          <w:rtl/>
          <w:lang w:val="en-US"/>
        </w:rPr>
        <w:t>مواصلة وكالات إنفاذ القانون التحقيق في حالات إساءة المعاملة، ومنها الحالات التي تنطوي على شكاوى إساءة المعاملة التي تُقدَّم في حق موظفيها، رغم ترحيبها بالتعديل الذي أُدخل على</w:t>
      </w:r>
      <w:r w:rsidR="00050A63">
        <w:rPr>
          <w:rFonts w:hint="cs"/>
          <w:rtl/>
          <w:lang w:val="en-US"/>
        </w:rPr>
        <w:t> </w:t>
      </w:r>
      <w:r w:rsidRPr="00EE2812">
        <w:rPr>
          <w:rtl/>
          <w:lang w:val="en-US"/>
        </w:rPr>
        <w:t xml:space="preserve">المادة </w:t>
      </w:r>
      <w:r w:rsidRPr="00E223F5">
        <w:rPr>
          <w:rtl/>
          <w:lang w:val="en-US"/>
        </w:rPr>
        <w:t>193</w:t>
      </w:r>
      <w:r w:rsidRPr="00EE2812">
        <w:rPr>
          <w:rtl/>
          <w:lang w:val="en-US"/>
        </w:rPr>
        <w:t xml:space="preserve"> من قانون الإجراءات الجنائية في عام </w:t>
      </w:r>
      <w:r w:rsidRPr="00E223F5">
        <w:rPr>
          <w:rtl/>
          <w:lang w:val="en-US"/>
        </w:rPr>
        <w:t>2022</w:t>
      </w:r>
      <w:r w:rsidRPr="00EE2812">
        <w:rPr>
          <w:rtl/>
          <w:lang w:val="en-US"/>
        </w:rPr>
        <w:t xml:space="preserve"> والذي يمنح مكتب المدعي العام الاختصاص الحصري للتحقيق في قضايا التعذيب؛</w:t>
      </w:r>
    </w:p>
    <w:p w14:paraId="26704B34" w14:textId="27A37D43" w:rsidR="00EE2812" w:rsidRDefault="00EE2812" w:rsidP="00EE2812">
      <w:pPr>
        <w:pStyle w:val="SingleTxtGA"/>
        <w:rPr>
          <w:lang w:val="en-US"/>
        </w:rPr>
      </w:pPr>
      <w:r w:rsidRPr="007F0FC8">
        <w:rPr>
          <w:rtl/>
          <w:lang w:val="en-US"/>
        </w:rPr>
        <w:tab/>
        <w:t>(</w:t>
      </w:r>
      <w:r w:rsidRPr="007F0FC8">
        <w:rPr>
          <w:rtl/>
          <w:lang w:val="en-US"/>
        </w:rPr>
        <w:t>ج)</w:t>
      </w:r>
      <w:r w:rsidRPr="007F0FC8">
        <w:rPr>
          <w:rtl/>
          <w:lang w:val="en-US"/>
        </w:rPr>
        <w:tab/>
      </w:r>
      <w:r w:rsidRPr="00EE2812">
        <w:rPr>
          <w:rtl/>
          <w:lang w:val="en-US"/>
        </w:rPr>
        <w:t xml:space="preserve">المعلومات التي قدمتها الدولة الطرف والتي تفيد بحفظ </w:t>
      </w:r>
      <w:r w:rsidRPr="00E223F5">
        <w:rPr>
          <w:rtl/>
          <w:lang w:val="en-US"/>
        </w:rPr>
        <w:t>90</w:t>
      </w:r>
      <w:r w:rsidRPr="00EE2812">
        <w:rPr>
          <w:rtl/>
          <w:lang w:val="en-US"/>
        </w:rPr>
        <w:t xml:space="preserve"> في المائة من أصل نحو</w:t>
      </w:r>
      <w:r w:rsidR="00F25086">
        <w:rPr>
          <w:rFonts w:hint="cs"/>
          <w:rtl/>
          <w:lang w:val="en-US"/>
        </w:rPr>
        <w:t> </w:t>
      </w:r>
      <w:r w:rsidRPr="00E223F5">
        <w:rPr>
          <w:rtl/>
          <w:lang w:val="en-US"/>
        </w:rPr>
        <w:t>880</w:t>
      </w:r>
      <w:r w:rsidRPr="00EE2812">
        <w:rPr>
          <w:rtl/>
          <w:lang w:val="en-US"/>
        </w:rPr>
        <w:t xml:space="preserve"> </w:t>
      </w:r>
      <w:r w:rsidRPr="00E223F5">
        <w:rPr>
          <w:rtl/>
          <w:lang w:val="en-US"/>
        </w:rPr>
        <w:t>3</w:t>
      </w:r>
      <w:r w:rsidRPr="00EE2812">
        <w:rPr>
          <w:rtl/>
          <w:lang w:val="en-US"/>
        </w:rPr>
        <w:t xml:space="preserve"> قضية تعذيب مسجلة في الفترة ما بين عامي </w:t>
      </w:r>
      <w:r w:rsidRPr="00E223F5">
        <w:rPr>
          <w:rtl/>
          <w:lang w:val="en-US"/>
        </w:rPr>
        <w:t>2018</w:t>
      </w:r>
      <w:r w:rsidRPr="00EE2812">
        <w:rPr>
          <w:rtl/>
          <w:lang w:val="en-US"/>
        </w:rPr>
        <w:t xml:space="preserve"> و</w:t>
      </w:r>
      <w:r w:rsidRPr="00E223F5">
        <w:rPr>
          <w:rtl/>
          <w:lang w:val="en-US"/>
        </w:rPr>
        <w:t>2022</w:t>
      </w:r>
      <w:r w:rsidRPr="00EE2812">
        <w:rPr>
          <w:rtl/>
          <w:lang w:val="en-US"/>
        </w:rPr>
        <w:t>، لأسباب تعود أساس</w:t>
      </w:r>
      <w:r w:rsidR="00FB1610">
        <w:rPr>
          <w:rtl/>
          <w:lang w:val="en-US"/>
        </w:rPr>
        <w:t xml:space="preserve">اً </w:t>
      </w:r>
      <w:r w:rsidRPr="00EE2812">
        <w:rPr>
          <w:rtl/>
          <w:lang w:val="en-US"/>
        </w:rPr>
        <w:t xml:space="preserve">إلى نقص الأدلة، وبإحالة </w:t>
      </w:r>
      <w:r w:rsidRPr="00E223F5">
        <w:rPr>
          <w:rtl/>
          <w:lang w:val="en-US"/>
        </w:rPr>
        <w:t>53</w:t>
      </w:r>
      <w:r w:rsidRPr="00EE2812">
        <w:rPr>
          <w:rtl/>
          <w:lang w:val="en-US"/>
        </w:rPr>
        <w:t xml:space="preserve"> قضية فحسب إلى المحكمة، وهو ما أسفر عن إدانة </w:t>
      </w:r>
      <w:r w:rsidRPr="00E223F5">
        <w:rPr>
          <w:rtl/>
          <w:lang w:val="en-US"/>
        </w:rPr>
        <w:t>68</w:t>
      </w:r>
      <w:r w:rsidRPr="00EE2812">
        <w:rPr>
          <w:rtl/>
          <w:lang w:val="en-US"/>
        </w:rPr>
        <w:t xml:space="preserve"> </w:t>
      </w:r>
      <w:proofErr w:type="gramStart"/>
      <w:r w:rsidRPr="00EE2812">
        <w:rPr>
          <w:rtl/>
          <w:lang w:val="en-US"/>
        </w:rPr>
        <w:t>مسؤولا</w:t>
      </w:r>
      <w:r w:rsidR="00F25086">
        <w:rPr>
          <w:rFonts w:hint="cs"/>
          <w:rtl/>
          <w:lang w:val="en-US"/>
        </w:rPr>
        <w:t>ً</w:t>
      </w:r>
      <w:r w:rsidR="006853C9" w:rsidRPr="00E223F5">
        <w:rPr>
          <w:vertAlign w:val="superscript"/>
          <w:rtl/>
        </w:rPr>
        <w:t>(</w:t>
      </w:r>
      <w:proofErr w:type="gramEnd"/>
      <w:r w:rsidR="006853C9" w:rsidRPr="00E223F5">
        <w:rPr>
          <w:vertAlign w:val="superscript"/>
          <w:lang w:val="en-AU"/>
        </w:rPr>
        <w:footnoteReference w:id="19"/>
      </w:r>
      <w:r w:rsidR="006853C9" w:rsidRPr="006853C9">
        <w:rPr>
          <w:vertAlign w:val="superscript"/>
          <w:rtl/>
          <w:lang w:val="en-US"/>
        </w:rPr>
        <w:t>)</w:t>
      </w:r>
      <w:r w:rsidR="006853C9" w:rsidRPr="006853C9">
        <w:rPr>
          <w:rtl/>
          <w:lang w:val="en-US"/>
        </w:rPr>
        <w:t xml:space="preserve">؛ </w:t>
      </w:r>
      <w:r w:rsidRPr="00EE2812">
        <w:rPr>
          <w:rtl/>
          <w:lang w:val="en-US"/>
        </w:rPr>
        <w:t xml:space="preserve">والمعلومات التي قدمها الوفد ومفادها أن مدانين بارتكاب أعمال التعذيب حُكم عليهم في بعض القضايا بعقوبات بديلة تشمل السراح المراقب؛ </w:t>
      </w:r>
    </w:p>
    <w:p w14:paraId="07D8D2C9" w14:textId="7847FFB1" w:rsidR="006853C9" w:rsidRPr="006853C9" w:rsidRDefault="00EE2812" w:rsidP="00EE2812">
      <w:pPr>
        <w:pStyle w:val="SingleTxtGA"/>
        <w:rPr>
          <w:lang w:val="en-US"/>
        </w:rPr>
      </w:pPr>
      <w:r w:rsidRPr="007F0FC8">
        <w:rPr>
          <w:rtl/>
          <w:lang w:val="en-US"/>
        </w:rPr>
        <w:tab/>
        <w:t>(</w:t>
      </w:r>
      <w:r w:rsidRPr="007F0FC8">
        <w:rPr>
          <w:rtl/>
          <w:lang w:val="en-US"/>
        </w:rPr>
        <w:t>د)</w:t>
      </w:r>
      <w:r w:rsidRPr="007F0FC8">
        <w:rPr>
          <w:rtl/>
          <w:lang w:val="en-US"/>
        </w:rPr>
        <w:tab/>
      </w:r>
      <w:r w:rsidRPr="00EE2812">
        <w:rPr>
          <w:rtl/>
          <w:lang w:val="en-US"/>
        </w:rPr>
        <w:t xml:space="preserve">المعلومات التي قدمتها الدولة الطرف والتي جاء فيها أن محاكمات السنوات الخمس </w:t>
      </w:r>
      <w:r w:rsidRPr="00050A63">
        <w:rPr>
          <w:spacing w:val="-4"/>
          <w:rtl/>
          <w:lang w:val="en-US"/>
        </w:rPr>
        <w:t xml:space="preserve">الماضية شهدت تقديم </w:t>
      </w:r>
      <w:r w:rsidRPr="00E223F5">
        <w:rPr>
          <w:spacing w:val="-4"/>
          <w:rtl/>
          <w:lang w:val="en-US"/>
        </w:rPr>
        <w:t>282</w:t>
      </w:r>
      <w:r w:rsidRPr="00050A63">
        <w:rPr>
          <w:spacing w:val="-4"/>
          <w:rtl/>
          <w:lang w:val="en-US"/>
        </w:rPr>
        <w:t xml:space="preserve"> ادعاءً بشأن انتزاع أقوال تحت التعذيب، ولكن التحقيقات لم تتمكن إثبات حدوث</w:t>
      </w:r>
      <w:r w:rsidRPr="00EE2812">
        <w:rPr>
          <w:rtl/>
          <w:lang w:val="en-US"/>
        </w:rPr>
        <w:t xml:space="preserve"> التعذيب بسبب طول الفترة الزمنية التي انقضت (المواد </w:t>
      </w:r>
      <w:r w:rsidRPr="00E223F5">
        <w:rPr>
          <w:rtl/>
          <w:lang w:val="en-US"/>
        </w:rPr>
        <w:t>12</w:t>
      </w:r>
      <w:r w:rsidRPr="00EE2812">
        <w:rPr>
          <w:rtl/>
          <w:lang w:val="en-US"/>
        </w:rPr>
        <w:t xml:space="preserve"> و</w:t>
      </w:r>
      <w:r w:rsidRPr="00E223F5">
        <w:rPr>
          <w:rtl/>
          <w:lang w:val="en-US"/>
        </w:rPr>
        <w:t>13</w:t>
      </w:r>
      <w:r w:rsidRPr="00EE2812">
        <w:rPr>
          <w:rtl/>
          <w:lang w:val="en-US"/>
        </w:rPr>
        <w:t xml:space="preserve"> و</w:t>
      </w:r>
      <w:proofErr w:type="gramStart"/>
      <w:r w:rsidRPr="00E223F5">
        <w:rPr>
          <w:rtl/>
          <w:lang w:val="en-US"/>
        </w:rPr>
        <w:t>15</w:t>
      </w:r>
      <w:r w:rsidRPr="00EE2812">
        <w:rPr>
          <w:rtl/>
          <w:lang w:val="en-US"/>
        </w:rPr>
        <w:t>)</w:t>
      </w:r>
      <w:r w:rsidR="006853C9" w:rsidRPr="00E223F5">
        <w:rPr>
          <w:vertAlign w:val="superscript"/>
          <w:rtl/>
        </w:rPr>
        <w:t>(</w:t>
      </w:r>
      <w:proofErr w:type="gramEnd"/>
      <w:r w:rsidR="006853C9" w:rsidRPr="00E223F5">
        <w:rPr>
          <w:vertAlign w:val="superscript"/>
          <w:lang w:val="en-AU"/>
        </w:rPr>
        <w:footnoteReference w:id="20"/>
      </w:r>
      <w:r w:rsidR="006853C9" w:rsidRPr="006853C9">
        <w:rPr>
          <w:vertAlign w:val="superscript"/>
          <w:rtl/>
          <w:lang w:val="en-US"/>
        </w:rPr>
        <w:t>)</w:t>
      </w:r>
      <w:r w:rsidR="006853C9" w:rsidRPr="006853C9">
        <w:rPr>
          <w:rtl/>
          <w:lang w:val="en-US"/>
        </w:rPr>
        <w:t>.</w:t>
      </w:r>
    </w:p>
    <w:p w14:paraId="5A0C12C1" w14:textId="77777777" w:rsidR="00467056" w:rsidRPr="00E223F5" w:rsidRDefault="00467056">
      <w:pPr>
        <w:bidi w:val="0"/>
        <w:spacing w:line="240" w:lineRule="auto"/>
        <w:jc w:val="left"/>
        <w:rPr>
          <w:sz w:val="22"/>
          <w:rtl/>
        </w:rPr>
      </w:pPr>
      <w:r w:rsidRPr="00E223F5">
        <w:br w:type="page"/>
      </w:r>
    </w:p>
    <w:p w14:paraId="3B146F8D" w14:textId="1E2A5BAF" w:rsidR="00EE2812" w:rsidRPr="007F0FC8" w:rsidRDefault="00EE2812" w:rsidP="00EE2812">
      <w:pPr>
        <w:pStyle w:val="SingleTxtGA"/>
        <w:rPr>
          <w:b/>
          <w:bCs/>
          <w:lang w:val="en-US"/>
        </w:rPr>
      </w:pPr>
      <w:r w:rsidRPr="00E223F5">
        <w:rPr>
          <w:rtl/>
          <w:lang w:val="en-US"/>
        </w:rPr>
        <w:lastRenderedPageBreak/>
        <w:t>20</w:t>
      </w:r>
      <w:r w:rsidRPr="007F0FC8">
        <w:rPr>
          <w:rtl/>
          <w:lang w:val="en-US"/>
        </w:rPr>
        <w:t>-</w:t>
      </w:r>
      <w:r w:rsidRPr="007F0FC8">
        <w:rPr>
          <w:rtl/>
          <w:lang w:val="en-US"/>
        </w:rPr>
        <w:tab/>
      </w:r>
      <w:r w:rsidRPr="007F0FC8">
        <w:rPr>
          <w:b/>
          <w:bCs/>
          <w:rtl/>
          <w:lang w:val="en-US"/>
        </w:rPr>
        <w:t>ينبغي أن تقوم الدولة الطرف، وفق</w:t>
      </w:r>
      <w:r w:rsidR="00F25086">
        <w:rPr>
          <w:b/>
          <w:bCs/>
          <w:rtl/>
          <w:lang w:val="en-US"/>
        </w:rPr>
        <w:t xml:space="preserve">اً </w:t>
      </w:r>
      <w:r w:rsidRPr="007F0FC8">
        <w:rPr>
          <w:b/>
          <w:bCs/>
          <w:rtl/>
          <w:lang w:val="en-US"/>
        </w:rPr>
        <w:t xml:space="preserve">للالتزام الذي تعهدت به أثناء الاستعراض الدوري الشامل في عام </w:t>
      </w:r>
      <w:r w:rsidRPr="00E223F5">
        <w:rPr>
          <w:b/>
          <w:bCs/>
          <w:rtl/>
          <w:lang w:val="en-US"/>
        </w:rPr>
        <w:t>2019</w:t>
      </w:r>
      <w:r w:rsidR="006853C9" w:rsidRPr="00E223F5">
        <w:rPr>
          <w:b/>
          <w:bCs/>
          <w:vertAlign w:val="superscript"/>
          <w:rtl/>
        </w:rPr>
        <w:t>(</w:t>
      </w:r>
      <w:r w:rsidR="006853C9" w:rsidRPr="00E223F5">
        <w:rPr>
          <w:b/>
          <w:bCs/>
          <w:vertAlign w:val="superscript"/>
          <w:lang w:val="en-AU"/>
        </w:rPr>
        <w:footnoteReference w:id="21"/>
      </w:r>
      <w:r w:rsidR="006853C9" w:rsidRPr="006853C9">
        <w:rPr>
          <w:b/>
          <w:bCs/>
          <w:vertAlign w:val="superscript"/>
          <w:rtl/>
          <w:lang w:val="en-US"/>
        </w:rPr>
        <w:t>)</w:t>
      </w:r>
      <w:r w:rsidR="006853C9" w:rsidRPr="006853C9">
        <w:rPr>
          <w:b/>
          <w:bCs/>
          <w:rtl/>
          <w:lang w:val="en-US"/>
        </w:rPr>
        <w:t xml:space="preserve">، </w:t>
      </w:r>
      <w:r w:rsidRPr="007F0FC8">
        <w:rPr>
          <w:b/>
          <w:bCs/>
          <w:rtl/>
          <w:lang w:val="en-US"/>
        </w:rPr>
        <w:t>بما يلي:</w:t>
      </w:r>
    </w:p>
    <w:p w14:paraId="7D8737B0" w14:textId="1E34C34A" w:rsidR="00EE2812" w:rsidRPr="007F0FC8" w:rsidRDefault="00EE2812" w:rsidP="00467056">
      <w:pPr>
        <w:pStyle w:val="SingleTxtGA"/>
        <w:spacing w:line="342" w:lineRule="exact"/>
        <w:rPr>
          <w:b/>
          <w:bCs/>
          <w:lang w:val="en-US"/>
        </w:rPr>
      </w:pPr>
      <w:r w:rsidRPr="007F0FC8">
        <w:rPr>
          <w:rtl/>
          <w:lang w:val="en-US"/>
        </w:rPr>
        <w:tab/>
        <w:t>(</w:t>
      </w:r>
      <w:r w:rsidRPr="007F0FC8">
        <w:rPr>
          <w:rtl/>
          <w:lang w:val="en-US"/>
        </w:rPr>
        <w:t>أ)</w:t>
      </w:r>
      <w:r w:rsidRPr="007F0FC8">
        <w:rPr>
          <w:rtl/>
          <w:lang w:val="en-US"/>
        </w:rPr>
        <w:tab/>
      </w:r>
      <w:r w:rsidRPr="007F0FC8">
        <w:rPr>
          <w:b/>
          <w:bCs/>
          <w:rtl/>
          <w:lang w:val="en-US"/>
        </w:rPr>
        <w:t>تعزيز الجهود الرامية إلى الحرص على اضطلاع هيئة مستقلة، مثل مكتب الادعاء العام، بتحقيقات فورية ونزيهة وفعالة كلما وجدت أسباب معقولة تدعو إلى اعتقاد أن عمل</w:t>
      </w:r>
      <w:r w:rsidR="00F25086">
        <w:rPr>
          <w:b/>
          <w:bCs/>
          <w:rtl/>
          <w:lang w:val="en-US"/>
        </w:rPr>
        <w:t xml:space="preserve">اً </w:t>
      </w:r>
      <w:r w:rsidRPr="007F0FC8">
        <w:rPr>
          <w:b/>
          <w:bCs/>
          <w:rtl/>
          <w:lang w:val="en-US"/>
        </w:rPr>
        <w:t>من أعمال التعذيب أو إساءة المعاملة قد ارتكب، واتخاذ جميع التدابير اللازمة لضمان عدم وجود علاقة مؤسسية أو تراتبية بين المحققين في هذه الهيئة ومن يُشتبه في ارتكابه هذه الجرائم، كما يحدث حالي</w:t>
      </w:r>
      <w:r w:rsidR="00F25086">
        <w:rPr>
          <w:b/>
          <w:bCs/>
          <w:rtl/>
          <w:lang w:val="en-US"/>
        </w:rPr>
        <w:t xml:space="preserve">اً </w:t>
      </w:r>
      <w:r w:rsidRPr="007F0FC8">
        <w:rPr>
          <w:b/>
          <w:bCs/>
          <w:rtl/>
          <w:lang w:val="en-US"/>
        </w:rPr>
        <w:t>في حالات إساءة المعاملة، ومحاكمة الجناة المشتبه فيهم على النحو الواجب ومعاقبتهم، إذا ثبتت إدانتهم، بعقوبات تتناسب وخطورة أفعالهم؛</w:t>
      </w:r>
    </w:p>
    <w:p w14:paraId="68C59C58" w14:textId="77777777" w:rsidR="00EE2812" w:rsidRPr="007F0FC8" w:rsidRDefault="00EE2812" w:rsidP="00467056">
      <w:pPr>
        <w:pStyle w:val="SingleTxtGA"/>
        <w:spacing w:line="342" w:lineRule="exact"/>
        <w:rPr>
          <w:b/>
          <w:bCs/>
          <w:lang w:val="en-US"/>
        </w:rPr>
      </w:pPr>
      <w:r w:rsidRPr="007F0FC8">
        <w:rPr>
          <w:rtl/>
          <w:lang w:val="en-US"/>
        </w:rPr>
        <w:tab/>
        <w:t>(</w:t>
      </w:r>
      <w:r w:rsidRPr="007F0FC8">
        <w:rPr>
          <w:rtl/>
          <w:lang w:val="en-US"/>
        </w:rPr>
        <w:t>ب)</w:t>
      </w:r>
      <w:r w:rsidRPr="007F0FC8">
        <w:rPr>
          <w:rtl/>
          <w:lang w:val="en-US"/>
        </w:rPr>
        <w:tab/>
      </w:r>
      <w:r w:rsidRPr="00E223F5">
        <w:rPr>
          <w:rFonts w:ascii="Times New Roman Bold" w:hAnsi="Times New Roman Bold"/>
          <w:b/>
          <w:bCs/>
          <w:spacing w:val="-4"/>
          <w:rtl/>
          <w:lang w:val="en-US"/>
        </w:rPr>
        <w:t>ضمان أن تدرج على النحو الواجب جميع الشكاوى المتعلقة بالتعذيب وإساءة المعاملة</w:t>
      </w:r>
      <w:r w:rsidRPr="007F0FC8">
        <w:rPr>
          <w:b/>
          <w:bCs/>
          <w:rtl/>
          <w:lang w:val="en-US"/>
        </w:rPr>
        <w:t xml:space="preserve"> في السجل الموحد للتحقيقات السابقة للمحاكمة؛ </w:t>
      </w:r>
    </w:p>
    <w:p w14:paraId="16F29F61" w14:textId="77777777" w:rsidR="00EE2812" w:rsidRPr="007F0FC8" w:rsidRDefault="00EE2812" w:rsidP="00467056">
      <w:pPr>
        <w:pStyle w:val="SingleTxtGA"/>
        <w:spacing w:line="342" w:lineRule="exact"/>
        <w:rPr>
          <w:b/>
          <w:bCs/>
          <w:lang w:val="en-US"/>
        </w:rPr>
      </w:pPr>
      <w:r w:rsidRPr="007F0FC8">
        <w:rPr>
          <w:rtl/>
          <w:lang w:val="en-US"/>
        </w:rPr>
        <w:tab/>
        <w:t>(</w:t>
      </w:r>
      <w:r w:rsidRPr="007F0FC8">
        <w:rPr>
          <w:rtl/>
          <w:lang w:val="en-US"/>
        </w:rPr>
        <w:t>ج)</w:t>
      </w:r>
      <w:r w:rsidRPr="007F0FC8">
        <w:rPr>
          <w:rtl/>
          <w:lang w:val="en-US"/>
        </w:rPr>
        <w:tab/>
      </w:r>
      <w:r w:rsidRPr="007F0FC8">
        <w:rPr>
          <w:b/>
          <w:bCs/>
          <w:rtl/>
          <w:lang w:val="en-US"/>
        </w:rPr>
        <w:t>الحرص، في حالات ادعاء التعذيب أو إساءة المعاملة، على توقيف الجناة المشتبه فيهم عن العمل فوراً وطوال مدة التحقيق، لا سيما إذا كان استمرارهم في العمل قد يتسبب في تكرار الفعل المدعى ارتكابه أو في الانتقام من الشخص المدعى أنه ضحية أو في عرقلة التحقيق؛</w:t>
      </w:r>
    </w:p>
    <w:p w14:paraId="165BB46A" w14:textId="6F1C6347" w:rsidR="00EE2812" w:rsidRPr="007F0FC8" w:rsidRDefault="00EE2812" w:rsidP="00467056">
      <w:pPr>
        <w:pStyle w:val="SingleTxtGA"/>
        <w:spacing w:line="342" w:lineRule="exact"/>
        <w:rPr>
          <w:b/>
          <w:bCs/>
          <w:lang w:val="en-US"/>
        </w:rPr>
      </w:pPr>
      <w:r w:rsidRPr="007F0FC8">
        <w:rPr>
          <w:rtl/>
          <w:lang w:val="en-US"/>
        </w:rPr>
        <w:tab/>
        <w:t>(</w:t>
      </w:r>
      <w:r w:rsidRPr="007F0FC8">
        <w:rPr>
          <w:rtl/>
          <w:lang w:val="en-US"/>
        </w:rPr>
        <w:t>د)</w:t>
      </w:r>
      <w:r w:rsidRPr="007F0FC8">
        <w:rPr>
          <w:rtl/>
          <w:lang w:val="en-US"/>
        </w:rPr>
        <w:tab/>
      </w:r>
      <w:r w:rsidRPr="007F0FC8">
        <w:rPr>
          <w:b/>
          <w:bCs/>
          <w:rtl/>
          <w:lang w:val="en-US"/>
        </w:rPr>
        <w:t>مواصلة إتاحة التدريب الإلزامي بشأن أحكام الاتفاقية لجميع موظفي إنفاذ القانون، والمدعين العامين، والموظفين الطبيين، وخبراء الأدلة الجنائية، والقضاة، لا سيما الحظر المطلق للتعذيب وإساءة المعاملة، وبشأن أساليب التحقيق المحددة، لكي يتسنى تدريبهم تدريب</w:t>
      </w:r>
      <w:r w:rsidR="00F25086">
        <w:rPr>
          <w:b/>
          <w:bCs/>
          <w:rtl/>
          <w:lang w:val="en-US"/>
        </w:rPr>
        <w:t xml:space="preserve">اً </w:t>
      </w:r>
      <w:r w:rsidRPr="007F0FC8">
        <w:rPr>
          <w:b/>
          <w:bCs/>
          <w:rtl/>
          <w:lang w:val="en-US"/>
        </w:rPr>
        <w:t>مناسب</w:t>
      </w:r>
      <w:r w:rsidR="00F25086">
        <w:rPr>
          <w:b/>
          <w:bCs/>
          <w:rtl/>
          <w:lang w:val="en-US"/>
        </w:rPr>
        <w:t xml:space="preserve">اً </w:t>
      </w:r>
      <w:r w:rsidRPr="007F0FC8">
        <w:rPr>
          <w:b/>
          <w:bCs/>
          <w:rtl/>
          <w:lang w:val="en-US"/>
        </w:rPr>
        <w:t>على استبانة حالات التعذيب وغيره من ضروب المعاملة أو إساءة المعاملة، وفق</w:t>
      </w:r>
      <w:r w:rsidR="00F25086">
        <w:rPr>
          <w:b/>
          <w:bCs/>
          <w:rtl/>
          <w:lang w:val="en-US"/>
        </w:rPr>
        <w:t xml:space="preserve">اً </w:t>
      </w:r>
      <w:r w:rsidRPr="007F0FC8">
        <w:rPr>
          <w:b/>
          <w:bCs/>
          <w:rtl/>
          <w:lang w:val="en-US"/>
        </w:rPr>
        <w:t>للصيغة المنقحة لدليل التقصي والتوثيق الفعالين بشأن التعذيب وغيره من ضروب المعاملة أو العقوبة القاسية أو العقوبة القاسية أو اللاإنسانية أو المهينة (بروتوكول اسطنبول</w:t>
      </w:r>
      <w:r w:rsidR="006853C9" w:rsidRPr="006853C9">
        <w:rPr>
          <w:b/>
          <w:bCs/>
          <w:rtl/>
          <w:lang w:val="en-US"/>
        </w:rPr>
        <w:t xml:space="preserve">). </w:t>
      </w:r>
    </w:p>
    <w:p w14:paraId="5724F197" w14:textId="77777777" w:rsidR="00EE2812" w:rsidRPr="00E223F5" w:rsidRDefault="00EE2812" w:rsidP="00EE2812">
      <w:pPr>
        <w:pStyle w:val="H23GA"/>
      </w:pPr>
      <w:r w:rsidRPr="00E223F5">
        <w:rPr>
          <w:rtl/>
        </w:rPr>
        <w:tab/>
      </w:r>
      <w:r w:rsidRPr="00E223F5">
        <w:rPr>
          <w:rtl/>
        </w:rPr>
        <w:tab/>
        <w:t>ظروف الاحتجاز</w:t>
      </w:r>
    </w:p>
    <w:p w14:paraId="47936725" w14:textId="537EA4DF" w:rsidR="006853C9" w:rsidRPr="006853C9" w:rsidRDefault="00EE2812" w:rsidP="00467056">
      <w:pPr>
        <w:pStyle w:val="SingleTxtGA"/>
        <w:spacing w:line="342" w:lineRule="exact"/>
        <w:rPr>
          <w:lang w:val="en-US"/>
        </w:rPr>
      </w:pPr>
      <w:r w:rsidRPr="00E223F5">
        <w:rPr>
          <w:rtl/>
          <w:lang w:val="en-US"/>
        </w:rPr>
        <w:t>21</w:t>
      </w:r>
      <w:r w:rsidRPr="007F0FC8">
        <w:rPr>
          <w:rtl/>
          <w:lang w:val="en-US"/>
        </w:rPr>
        <w:t>-</w:t>
      </w:r>
      <w:r w:rsidRPr="007F0FC8">
        <w:rPr>
          <w:rtl/>
          <w:lang w:val="en-US"/>
        </w:rPr>
        <w:tab/>
      </w:r>
      <w:r w:rsidRPr="00EE2812">
        <w:rPr>
          <w:rtl/>
          <w:lang w:val="en-US"/>
        </w:rPr>
        <w:t>تعرب اللجنة عن تقديرها للتدابير التي اتخذتها الدولة الطرف من أجل الاستعاضة عن السجون القديمة بهياكل أساسية جديدة للسجون، وللجهود المبذولة من أجل تحسين ظروف الاحتجاز. غير أنها تشعر بالقلق إزاء اكتظاظ السجون وسوء الأوضاع في بعض السجون ومراكز الاحتجاز. وتلاحظ بقلق كذلك أن العديد من المؤسسات السجنية متهالكة وفي حالة رديئة وتنعدم فيها شروط النظافة وتفتقر إلى المرافق الصحية الكافية. ويساور اللجنة القلق أيض</w:t>
      </w:r>
      <w:r w:rsidR="00F25086">
        <w:rPr>
          <w:rtl/>
          <w:lang w:val="en-US"/>
        </w:rPr>
        <w:t xml:space="preserve">اً </w:t>
      </w:r>
      <w:r w:rsidRPr="00EE2812">
        <w:rPr>
          <w:rtl/>
          <w:lang w:val="en-US"/>
        </w:rPr>
        <w:t>إزاء عدم إتاحة الترتيبات التيسيرية المعقولة بغرض تلبية الاحتياجات المحددة للأشخاص ذوي الإعاقة البدنية في السجون. ومما يبعث على القلق أيض</w:t>
      </w:r>
      <w:r w:rsidR="00F25086">
        <w:rPr>
          <w:rtl/>
          <w:lang w:val="en-US"/>
        </w:rPr>
        <w:t xml:space="preserve">اً </w:t>
      </w:r>
      <w:r w:rsidRPr="00EE2812">
        <w:rPr>
          <w:rtl/>
          <w:lang w:val="en-US"/>
        </w:rPr>
        <w:t>عدم كفاية برامج إعادة التأهيل وإعادة الإدماج والأنشطة الهادفة في جميع أماكن سلب الحرية. وأخير</w:t>
      </w:r>
      <w:r w:rsidR="00F25086">
        <w:rPr>
          <w:rtl/>
          <w:lang w:val="en-US"/>
        </w:rPr>
        <w:t>اً،</w:t>
      </w:r>
      <w:r w:rsidRPr="00EE2812">
        <w:rPr>
          <w:rtl/>
          <w:lang w:val="en-US"/>
        </w:rPr>
        <w:t xml:space="preserve"> يساور </w:t>
      </w:r>
      <w:r w:rsidRPr="00E223F5">
        <w:rPr>
          <w:spacing w:val="-2"/>
          <w:rtl/>
          <w:lang w:val="en-US"/>
        </w:rPr>
        <w:t>اللجنة القلق إزاء نظام القيود الخاص المفروض على الأشخاص المحكوم عليهم بالسجن المؤبد والادعاءات المتعلقة بسوء حالتهم الصحية، واتصالهم المحدود للغاية بالعالم الخارجي، وندرة فرص استفادتهم من برامج</w:t>
      </w:r>
      <w:r w:rsidRPr="00EE2812">
        <w:rPr>
          <w:rtl/>
          <w:lang w:val="en-US"/>
        </w:rPr>
        <w:t xml:space="preserve"> إعادة الإدماج الملائمة، وإن كانت تلاحظ باهتمام الخطط الجاري تنفيذها والرامية إلى تحسين أوضاعهم، على النحو الذي أوضحه الوفد (المواد </w:t>
      </w:r>
      <w:r w:rsidRPr="00E223F5">
        <w:rPr>
          <w:rtl/>
          <w:lang w:val="en-US"/>
        </w:rPr>
        <w:t>2</w:t>
      </w:r>
      <w:r w:rsidRPr="00EE2812">
        <w:rPr>
          <w:rtl/>
          <w:lang w:val="en-US"/>
        </w:rPr>
        <w:t xml:space="preserve"> و</w:t>
      </w:r>
      <w:r w:rsidRPr="00E223F5">
        <w:rPr>
          <w:rtl/>
          <w:lang w:val="en-US"/>
        </w:rPr>
        <w:t>11</w:t>
      </w:r>
      <w:r w:rsidRPr="00EE2812">
        <w:rPr>
          <w:rtl/>
          <w:lang w:val="en-US"/>
        </w:rPr>
        <w:t xml:space="preserve"> و</w:t>
      </w:r>
      <w:r w:rsidRPr="00E223F5">
        <w:rPr>
          <w:rtl/>
          <w:lang w:val="en-US"/>
        </w:rPr>
        <w:t>1</w:t>
      </w:r>
      <w:r w:rsidR="006853C9" w:rsidRPr="00E223F5">
        <w:rPr>
          <w:rtl/>
          <w:lang w:val="en-US"/>
        </w:rPr>
        <w:t>6</w:t>
      </w:r>
      <w:r w:rsidR="006853C9" w:rsidRPr="006853C9">
        <w:rPr>
          <w:rtl/>
          <w:lang w:val="en-US"/>
        </w:rPr>
        <w:t>)</w:t>
      </w:r>
    </w:p>
    <w:p w14:paraId="25695187" w14:textId="7CE8D67F" w:rsidR="00EE2812" w:rsidRPr="007F0FC8" w:rsidRDefault="00EE2812" w:rsidP="00467056">
      <w:pPr>
        <w:pStyle w:val="SingleTxtGA"/>
        <w:spacing w:line="342" w:lineRule="exact"/>
        <w:rPr>
          <w:b/>
          <w:bCs/>
          <w:lang w:val="en-US"/>
        </w:rPr>
      </w:pPr>
      <w:r w:rsidRPr="00E223F5">
        <w:rPr>
          <w:rtl/>
          <w:lang w:val="en-US"/>
        </w:rPr>
        <w:t>22</w:t>
      </w:r>
      <w:r w:rsidRPr="007F0FC8">
        <w:rPr>
          <w:rtl/>
          <w:lang w:val="en-US"/>
        </w:rPr>
        <w:t>-</w:t>
      </w:r>
      <w:r w:rsidRPr="007F0FC8">
        <w:rPr>
          <w:rtl/>
          <w:lang w:val="en-US"/>
        </w:rPr>
        <w:tab/>
      </w:r>
      <w:r w:rsidRPr="007F0FC8">
        <w:rPr>
          <w:b/>
          <w:bCs/>
          <w:rtl/>
          <w:lang w:val="en-US"/>
        </w:rPr>
        <w:t>توصي اللجنة الدولة الطرف بما يلي:</w:t>
      </w:r>
    </w:p>
    <w:p w14:paraId="3243513E" w14:textId="09C06FF2" w:rsidR="006853C9" w:rsidRPr="006853C9" w:rsidRDefault="00EE2812" w:rsidP="00467056">
      <w:pPr>
        <w:pStyle w:val="SingleTxtGA"/>
        <w:spacing w:line="342" w:lineRule="exact"/>
        <w:rPr>
          <w:b/>
          <w:bCs/>
          <w:lang w:val="en-US"/>
        </w:rPr>
      </w:pPr>
      <w:r w:rsidRPr="007F0FC8">
        <w:rPr>
          <w:rtl/>
          <w:lang w:val="en-US"/>
        </w:rPr>
        <w:tab/>
        <w:t>(</w:t>
      </w:r>
      <w:r w:rsidRPr="007F0FC8">
        <w:rPr>
          <w:rtl/>
          <w:lang w:val="en-US"/>
        </w:rPr>
        <w:t>أ)</w:t>
      </w:r>
      <w:r w:rsidRPr="007F0FC8">
        <w:rPr>
          <w:rtl/>
          <w:lang w:val="en-US"/>
        </w:rPr>
        <w:tab/>
      </w:r>
      <w:r w:rsidRPr="007F0FC8">
        <w:rPr>
          <w:b/>
          <w:bCs/>
          <w:rtl/>
          <w:lang w:val="en-US"/>
        </w:rPr>
        <w:t xml:space="preserve">مضاعفة جهودها الرامية إلى التخفيف من الاكتظاظ في مراكز الاحتجاز، لا سيما باللجوء أكثر إلى التدابير غير </w:t>
      </w:r>
      <w:proofErr w:type="spellStart"/>
      <w:r w:rsidRPr="007F0FC8">
        <w:rPr>
          <w:b/>
          <w:bCs/>
          <w:rtl/>
          <w:lang w:val="en-US"/>
        </w:rPr>
        <w:t>الاحتجازية</w:t>
      </w:r>
      <w:proofErr w:type="spellEnd"/>
      <w:r w:rsidRPr="007F0FC8">
        <w:rPr>
          <w:b/>
          <w:bCs/>
          <w:rtl/>
          <w:lang w:val="en-US"/>
        </w:rPr>
        <w:t xml:space="preserve"> مثل الإفراج المشروط والإفراج المبكر، وفق</w:t>
      </w:r>
      <w:r w:rsidR="00F25086">
        <w:rPr>
          <w:b/>
          <w:bCs/>
          <w:rtl/>
          <w:lang w:val="en-US"/>
        </w:rPr>
        <w:t xml:space="preserve">اً </w:t>
      </w:r>
      <w:r w:rsidRPr="007F0FC8">
        <w:rPr>
          <w:b/>
          <w:bCs/>
          <w:rtl/>
          <w:lang w:val="en-US"/>
        </w:rPr>
        <w:t xml:space="preserve">لقواعد الأمم المتحدة الدنيا النموذجية للتدابير غير </w:t>
      </w:r>
      <w:proofErr w:type="spellStart"/>
      <w:r w:rsidRPr="007F0FC8">
        <w:rPr>
          <w:b/>
          <w:bCs/>
          <w:rtl/>
          <w:lang w:val="en-US"/>
        </w:rPr>
        <w:t>الاحتجازية</w:t>
      </w:r>
      <w:proofErr w:type="spellEnd"/>
      <w:r w:rsidRPr="007F0FC8">
        <w:rPr>
          <w:b/>
          <w:bCs/>
          <w:rtl/>
          <w:lang w:val="en-US"/>
        </w:rPr>
        <w:t xml:space="preserve"> (قواعد طوكيو) وقواعد الأمم المتحدة لمعاملة السجينات والتدابير غير </w:t>
      </w:r>
      <w:proofErr w:type="spellStart"/>
      <w:r w:rsidRPr="007F0FC8">
        <w:rPr>
          <w:b/>
          <w:bCs/>
          <w:rtl/>
          <w:lang w:val="en-US"/>
        </w:rPr>
        <w:t>الاحتجازية</w:t>
      </w:r>
      <w:proofErr w:type="spellEnd"/>
      <w:r w:rsidRPr="007F0FC8">
        <w:rPr>
          <w:b/>
          <w:bCs/>
          <w:rtl/>
          <w:lang w:val="en-US"/>
        </w:rPr>
        <w:t xml:space="preserve"> للمجرمات (قواعد بانكوك</w:t>
      </w:r>
      <w:r w:rsidR="006853C9" w:rsidRPr="006853C9">
        <w:rPr>
          <w:b/>
          <w:bCs/>
          <w:rtl/>
          <w:lang w:val="en-US"/>
        </w:rPr>
        <w:t>)؛</w:t>
      </w:r>
    </w:p>
    <w:p w14:paraId="3C901787" w14:textId="5B907989" w:rsidR="00EE2812" w:rsidRPr="007F0FC8" w:rsidRDefault="00EE2812" w:rsidP="00467056">
      <w:pPr>
        <w:pStyle w:val="SingleTxtGA"/>
        <w:spacing w:line="350" w:lineRule="exact"/>
        <w:rPr>
          <w:b/>
          <w:bCs/>
          <w:lang w:val="en-US"/>
        </w:rPr>
      </w:pPr>
      <w:r w:rsidRPr="007F0FC8">
        <w:rPr>
          <w:rtl/>
          <w:lang w:val="en-US"/>
        </w:rPr>
        <w:lastRenderedPageBreak/>
        <w:tab/>
        <w:t>(</w:t>
      </w:r>
      <w:r w:rsidRPr="007F0FC8">
        <w:rPr>
          <w:rtl/>
          <w:lang w:val="en-US"/>
        </w:rPr>
        <w:t>ب)</w:t>
      </w:r>
      <w:r w:rsidRPr="007F0FC8">
        <w:rPr>
          <w:rtl/>
          <w:lang w:val="en-US"/>
        </w:rPr>
        <w:tab/>
      </w:r>
      <w:r w:rsidRPr="007F0FC8">
        <w:rPr>
          <w:b/>
          <w:bCs/>
          <w:rtl/>
          <w:lang w:val="en-US"/>
        </w:rPr>
        <w:t>مواصلة تحسين مرافق السجون القائمة والظروف المادية لجعلها متماشية مع قواعد نيلسون مانديلا، واتخاذ تدابير محددة من أجل تزويد الأشخاص ذوي الإعاقة بترتيبات تيسيرية معقولة حسب احتياجات الفرد وتمكينهم من التسهيلات في السجون؛</w:t>
      </w:r>
    </w:p>
    <w:p w14:paraId="5D329FF9" w14:textId="77777777" w:rsidR="00EE2812" w:rsidRPr="007F0FC8" w:rsidRDefault="00EE2812" w:rsidP="00467056">
      <w:pPr>
        <w:pStyle w:val="SingleTxtGA"/>
        <w:spacing w:line="350" w:lineRule="exact"/>
        <w:rPr>
          <w:b/>
          <w:bCs/>
          <w:lang w:val="en-US"/>
        </w:rPr>
      </w:pPr>
      <w:r w:rsidRPr="007F0FC8">
        <w:rPr>
          <w:rtl/>
          <w:lang w:val="en-US"/>
        </w:rPr>
        <w:tab/>
        <w:t>(</w:t>
      </w:r>
      <w:r w:rsidRPr="007F0FC8">
        <w:rPr>
          <w:rtl/>
          <w:lang w:val="en-US"/>
        </w:rPr>
        <w:t>ج)</w:t>
      </w:r>
      <w:r w:rsidRPr="007F0FC8">
        <w:rPr>
          <w:rtl/>
          <w:lang w:val="en-US"/>
        </w:rPr>
        <w:tab/>
      </w:r>
      <w:r w:rsidRPr="007F0FC8">
        <w:rPr>
          <w:b/>
          <w:bCs/>
          <w:rtl/>
          <w:lang w:val="en-US"/>
        </w:rPr>
        <w:t xml:space="preserve">تعزيز إمكانية الاستفادة من برامج إعادة التأهيل وإعادة الإدماج في جميع أماكن </w:t>
      </w:r>
      <w:r w:rsidRPr="00467056">
        <w:rPr>
          <w:rFonts w:ascii="Times New Roman Bold" w:hAnsi="Times New Roman Bold"/>
          <w:b/>
          <w:bCs/>
          <w:spacing w:val="-4"/>
          <w:rtl/>
          <w:lang w:val="en-US"/>
        </w:rPr>
        <w:t>سلب الحرية، بما يشمل الأنشطة الهادفة والتدريب المهني والتعليم، بهدف دعم إعادة التأهيل داخل المجتمع؛</w:t>
      </w:r>
    </w:p>
    <w:p w14:paraId="1064208F" w14:textId="7A2FED98" w:rsidR="00EE2812" w:rsidRPr="007F0FC8" w:rsidRDefault="00EE2812" w:rsidP="00467056">
      <w:pPr>
        <w:pStyle w:val="SingleTxtGA"/>
        <w:spacing w:line="350" w:lineRule="exact"/>
        <w:rPr>
          <w:b/>
          <w:bCs/>
          <w:lang w:val="en-US"/>
        </w:rPr>
      </w:pPr>
      <w:r w:rsidRPr="007F0FC8">
        <w:rPr>
          <w:rtl/>
          <w:lang w:val="en-US"/>
        </w:rPr>
        <w:tab/>
        <w:t>(</w:t>
      </w:r>
      <w:r w:rsidRPr="007F0FC8">
        <w:rPr>
          <w:rtl/>
          <w:lang w:val="en-US"/>
        </w:rPr>
        <w:t>د)</w:t>
      </w:r>
      <w:r w:rsidRPr="007F0FC8">
        <w:rPr>
          <w:rtl/>
          <w:lang w:val="en-US"/>
        </w:rPr>
        <w:tab/>
      </w:r>
      <w:r w:rsidRPr="00467056">
        <w:rPr>
          <w:rFonts w:ascii="Times New Roman Bold" w:hAnsi="Times New Roman Bold"/>
          <w:b/>
          <w:bCs/>
          <w:spacing w:val="-4"/>
          <w:rtl/>
          <w:lang w:val="en-US"/>
        </w:rPr>
        <w:t>الاستمرار في وضع التدابير المناسبة من أجل مراجعة نظام احتجاز السجناء المحكوم</w:t>
      </w:r>
      <w:r w:rsidRPr="007F0FC8">
        <w:rPr>
          <w:b/>
          <w:bCs/>
          <w:rtl/>
          <w:lang w:val="en-US"/>
        </w:rPr>
        <w:t xml:space="preserve"> عليهم بالسجن المؤبد ومواءمته مع المعايير الدولية لحقوق الإنسان، مثل قواعد نيلسون مانديلا. </w:t>
      </w:r>
    </w:p>
    <w:p w14:paraId="6C41CBB0" w14:textId="63C4BEC6" w:rsidR="00EE2812" w:rsidRPr="00E223F5" w:rsidRDefault="00EE2812" w:rsidP="00EE2812">
      <w:pPr>
        <w:pStyle w:val="H23GA"/>
      </w:pPr>
      <w:r w:rsidRPr="00E223F5">
        <w:rPr>
          <w:rtl/>
        </w:rPr>
        <w:tab/>
      </w:r>
      <w:r w:rsidRPr="00E223F5">
        <w:rPr>
          <w:rtl/>
        </w:rPr>
        <w:tab/>
        <w:t>العنف والوفيات أثناء الاحتجاز</w:t>
      </w:r>
    </w:p>
    <w:p w14:paraId="0968EB4F" w14:textId="46B5E568" w:rsidR="006853C9" w:rsidRPr="006853C9" w:rsidRDefault="00EE2812" w:rsidP="00467056">
      <w:pPr>
        <w:pStyle w:val="SingleTxtGA"/>
        <w:spacing w:line="350" w:lineRule="exact"/>
        <w:rPr>
          <w:lang w:val="en-US"/>
        </w:rPr>
      </w:pPr>
      <w:r w:rsidRPr="00E223F5">
        <w:rPr>
          <w:rtl/>
          <w:lang w:val="en-US"/>
        </w:rPr>
        <w:t>23</w:t>
      </w:r>
      <w:r w:rsidRPr="007F0FC8">
        <w:rPr>
          <w:rtl/>
          <w:lang w:val="en-US"/>
        </w:rPr>
        <w:t>-</w:t>
      </w:r>
      <w:r w:rsidRPr="007F0FC8">
        <w:rPr>
          <w:rtl/>
          <w:lang w:val="en-US"/>
        </w:rPr>
        <w:tab/>
      </w:r>
      <w:r w:rsidRPr="00EE2812">
        <w:rPr>
          <w:rtl/>
          <w:lang w:val="en-US"/>
        </w:rPr>
        <w:t>يساور اللجنة قلق بالغ إزاء الادعاءات المتعلقة بالعنف الممارس على الأشخاص المسلوبة حريتهم على أساس الميل الجنسي والهوية الجنسانية، وممارسات التحرش والعنف الجنسي التي يرتكبها الحراس الذكور في حق المحتجزات مقابل إسداء خدمات. ويساور اللجنة القلق أيض</w:t>
      </w:r>
      <w:r w:rsidR="00F25086">
        <w:rPr>
          <w:rtl/>
          <w:lang w:val="en-US"/>
        </w:rPr>
        <w:t xml:space="preserve">اً </w:t>
      </w:r>
      <w:r w:rsidRPr="00EE2812">
        <w:rPr>
          <w:rtl/>
          <w:lang w:val="en-US"/>
        </w:rPr>
        <w:t>إزاء التقارير التي تفيد باستمرار العنف بين السجناء وارتفاع معدلات الانتحار وحوادث إيذاء النفس في صفوف السجناء. وتحيط اللجنة علم</w:t>
      </w:r>
      <w:r w:rsidR="00F25086">
        <w:rPr>
          <w:rtl/>
          <w:lang w:val="en-US"/>
        </w:rPr>
        <w:t xml:space="preserve">اً </w:t>
      </w:r>
      <w:r w:rsidRPr="00EE2812">
        <w:rPr>
          <w:rtl/>
          <w:lang w:val="en-US"/>
        </w:rPr>
        <w:t xml:space="preserve">بالمعلومات الإحصائية التي قدمتها الدولة الطرف أثناء الحوار بشأن الوفيات أثناء </w:t>
      </w:r>
      <w:proofErr w:type="gramStart"/>
      <w:r w:rsidRPr="00EE2812">
        <w:rPr>
          <w:rtl/>
          <w:lang w:val="en-US"/>
        </w:rPr>
        <w:t>الاحتجاز</w:t>
      </w:r>
      <w:r w:rsidR="006853C9" w:rsidRPr="00E223F5">
        <w:rPr>
          <w:vertAlign w:val="superscript"/>
          <w:rtl/>
        </w:rPr>
        <w:t>(</w:t>
      </w:r>
      <w:proofErr w:type="gramEnd"/>
      <w:r w:rsidR="006853C9" w:rsidRPr="00E223F5">
        <w:rPr>
          <w:vertAlign w:val="superscript"/>
          <w:lang w:val="en-AU"/>
        </w:rPr>
        <w:footnoteReference w:id="22"/>
      </w:r>
      <w:r w:rsidR="006853C9" w:rsidRPr="006853C9">
        <w:rPr>
          <w:vertAlign w:val="superscript"/>
          <w:rtl/>
          <w:lang w:val="en-US"/>
        </w:rPr>
        <w:t>)</w:t>
      </w:r>
      <w:r w:rsidR="006853C9" w:rsidRPr="006853C9">
        <w:rPr>
          <w:rtl/>
          <w:lang w:val="en-US"/>
        </w:rPr>
        <w:t xml:space="preserve">، </w:t>
      </w:r>
      <w:r w:rsidRPr="00EE2812">
        <w:rPr>
          <w:rtl/>
          <w:lang w:val="en-US"/>
        </w:rPr>
        <w:t>بما يشمل الانتحار وحوادث إيذاء النفس، غير أنها تأسف لعدم تلقيها معلومات كاملة عن نتائج التحقيقات في هذه الحالات ولعدم وجود استراتيجيات شاملة ترمي إلى منع هذه الوفيات. وفي هذا الصدد، تلاحظ اللجنة تركيب نظام المراقبة بالفيديو على مدار الساعة في أماكن سلب الحرية لأسباب أمنية. ويشكل إخضاع الأشخاص لمراقبة مستمرة بالفيديو في زنزاناتهم مسألةً تدعو إلى القلق. وأخير</w:t>
      </w:r>
      <w:r w:rsidR="00F25086">
        <w:rPr>
          <w:rtl/>
          <w:lang w:val="en-US"/>
        </w:rPr>
        <w:t>اً،</w:t>
      </w:r>
      <w:r w:rsidRPr="00EE2812">
        <w:rPr>
          <w:rtl/>
          <w:lang w:val="en-US"/>
        </w:rPr>
        <w:t xml:space="preserve"> يساور اللجنة القلق إزاء عدم إتاحة الحماية للمحتجزين الذين يعيشون في ظروف هشة، بمن فيهم الأشخاص ذوو الإعاقة الذهنية والأشخاص ذوو الإعاقات النفسية الاجتماعية (المواد </w:t>
      </w:r>
      <w:r w:rsidRPr="00E223F5">
        <w:rPr>
          <w:rtl/>
          <w:lang w:val="en-US"/>
        </w:rPr>
        <w:t>2</w:t>
      </w:r>
      <w:r w:rsidRPr="00EE2812">
        <w:rPr>
          <w:rtl/>
          <w:lang w:val="en-US"/>
        </w:rPr>
        <w:t xml:space="preserve"> و</w:t>
      </w:r>
      <w:r w:rsidRPr="00E223F5">
        <w:rPr>
          <w:rtl/>
          <w:lang w:val="en-US"/>
        </w:rPr>
        <w:t>11</w:t>
      </w:r>
      <w:r w:rsidRPr="00EE2812">
        <w:rPr>
          <w:rtl/>
          <w:lang w:val="en-US"/>
        </w:rPr>
        <w:t xml:space="preserve"> و</w:t>
      </w:r>
      <w:r w:rsidRPr="00E223F5">
        <w:rPr>
          <w:rtl/>
          <w:lang w:val="en-US"/>
        </w:rPr>
        <w:t>1</w:t>
      </w:r>
      <w:r w:rsidR="006853C9" w:rsidRPr="00E223F5">
        <w:rPr>
          <w:rtl/>
          <w:lang w:val="en-US"/>
        </w:rPr>
        <w:t>6</w:t>
      </w:r>
      <w:r w:rsidR="006853C9" w:rsidRPr="006853C9">
        <w:rPr>
          <w:rtl/>
          <w:lang w:val="en-US"/>
        </w:rPr>
        <w:t>).</w:t>
      </w:r>
    </w:p>
    <w:p w14:paraId="6874A142" w14:textId="1917FE28" w:rsidR="00EE2812" w:rsidRPr="007F0FC8" w:rsidRDefault="00EE2812" w:rsidP="00467056">
      <w:pPr>
        <w:pStyle w:val="SingleTxtGA"/>
        <w:spacing w:line="350" w:lineRule="exact"/>
        <w:rPr>
          <w:b/>
          <w:bCs/>
          <w:lang w:val="en-US"/>
        </w:rPr>
      </w:pPr>
      <w:r w:rsidRPr="00E223F5">
        <w:rPr>
          <w:rtl/>
          <w:lang w:val="en-US"/>
        </w:rPr>
        <w:t>24</w:t>
      </w:r>
      <w:r w:rsidRPr="007F0FC8">
        <w:rPr>
          <w:rtl/>
          <w:lang w:val="en-US"/>
        </w:rPr>
        <w:t>-</w:t>
      </w:r>
      <w:r w:rsidRPr="007F0FC8">
        <w:rPr>
          <w:rtl/>
          <w:lang w:val="en-US"/>
        </w:rPr>
        <w:tab/>
      </w:r>
      <w:r w:rsidRPr="007F0FC8">
        <w:rPr>
          <w:b/>
          <w:bCs/>
          <w:rtl/>
          <w:lang w:val="en-US"/>
        </w:rPr>
        <w:t>ينبغي أن تقوم الدولة الطرف بما يلي:</w:t>
      </w:r>
    </w:p>
    <w:p w14:paraId="6BD82065" w14:textId="77777777" w:rsidR="00EE2812" w:rsidRPr="007F0FC8" w:rsidRDefault="00EE2812" w:rsidP="00467056">
      <w:pPr>
        <w:pStyle w:val="SingleTxtGA"/>
        <w:spacing w:line="350" w:lineRule="exact"/>
        <w:rPr>
          <w:b/>
          <w:bCs/>
          <w:lang w:val="en-US"/>
        </w:rPr>
      </w:pPr>
      <w:r w:rsidRPr="007F0FC8">
        <w:rPr>
          <w:rtl/>
          <w:lang w:val="en-US"/>
        </w:rPr>
        <w:tab/>
        <w:t>(</w:t>
      </w:r>
      <w:r w:rsidRPr="007F0FC8">
        <w:rPr>
          <w:rtl/>
          <w:lang w:val="en-US"/>
        </w:rPr>
        <w:t>أ)</w:t>
      </w:r>
      <w:r w:rsidRPr="007F0FC8">
        <w:rPr>
          <w:rtl/>
          <w:lang w:val="en-US"/>
        </w:rPr>
        <w:tab/>
      </w:r>
      <w:r w:rsidRPr="007F0FC8">
        <w:rPr>
          <w:b/>
          <w:bCs/>
          <w:rtl/>
          <w:lang w:val="en-US"/>
        </w:rPr>
        <w:t xml:space="preserve">الحرص على إجراء تحقيق شامل في جميع ادعاءات العنف بالمحتجزين، بما يشمل العنف على أساس الميل الجنسي والهوية الجنسانية، وملاحقة المشتبه فيهم، ومعاقبتهم على النحو الواجب في حال ثبتت إدانتهم، إلى جانب إيلاء اهتمام خاص لادعاءات العنف بالمحتجزات؛ </w:t>
      </w:r>
    </w:p>
    <w:p w14:paraId="41731898" w14:textId="5274417E" w:rsidR="00EE2812" w:rsidRPr="007F0FC8" w:rsidRDefault="00EE2812" w:rsidP="00467056">
      <w:pPr>
        <w:pStyle w:val="SingleTxtGA"/>
        <w:spacing w:line="350" w:lineRule="exact"/>
        <w:rPr>
          <w:b/>
          <w:bCs/>
          <w:lang w:val="en-US"/>
        </w:rPr>
      </w:pPr>
      <w:r w:rsidRPr="007F0FC8">
        <w:rPr>
          <w:rtl/>
          <w:lang w:val="en-US"/>
        </w:rPr>
        <w:tab/>
        <w:t>(</w:t>
      </w:r>
      <w:r w:rsidRPr="007F0FC8">
        <w:rPr>
          <w:rtl/>
          <w:lang w:val="en-US"/>
        </w:rPr>
        <w:t>ب)</w:t>
      </w:r>
      <w:r w:rsidRPr="007F0FC8">
        <w:rPr>
          <w:rtl/>
          <w:lang w:val="en-US"/>
        </w:rPr>
        <w:tab/>
      </w:r>
      <w:r w:rsidRPr="007F0FC8">
        <w:rPr>
          <w:b/>
          <w:bCs/>
          <w:rtl/>
          <w:lang w:val="en-US"/>
        </w:rPr>
        <w:t>الحرص على إجراء هيئة مستقلة تحقيقات فورية ونزيهة في جميع حالات الوفاة أثناء الاحتجاز، وفق</w:t>
      </w:r>
      <w:r w:rsidR="00F25086">
        <w:rPr>
          <w:b/>
          <w:bCs/>
          <w:rtl/>
          <w:lang w:val="en-US"/>
        </w:rPr>
        <w:t xml:space="preserve">اً </w:t>
      </w:r>
      <w:r w:rsidRPr="007F0FC8">
        <w:rPr>
          <w:b/>
          <w:bCs/>
          <w:rtl/>
          <w:lang w:val="en-US"/>
        </w:rPr>
        <w:t>لبروتوكول مينيسوتا المتعلق بالتحقيق في حالات الوفاة التي يُحتمل أن تكون غير</w:t>
      </w:r>
      <w:r w:rsidR="00467056">
        <w:rPr>
          <w:rFonts w:hint="cs"/>
          <w:b/>
          <w:bCs/>
          <w:rtl/>
          <w:lang w:val="en-US"/>
        </w:rPr>
        <w:t> </w:t>
      </w:r>
      <w:r w:rsidRPr="007F0FC8">
        <w:rPr>
          <w:b/>
          <w:bCs/>
          <w:rtl/>
          <w:lang w:val="en-US"/>
        </w:rPr>
        <w:t>مشروعة؛</w:t>
      </w:r>
    </w:p>
    <w:p w14:paraId="40D6B8ED" w14:textId="33973D1F" w:rsidR="00EE2812" w:rsidRPr="007F0FC8" w:rsidRDefault="00EE2812" w:rsidP="00467056">
      <w:pPr>
        <w:pStyle w:val="SingleTxtGA"/>
        <w:spacing w:line="350" w:lineRule="exact"/>
        <w:rPr>
          <w:b/>
          <w:bCs/>
          <w:lang w:val="en-US"/>
        </w:rPr>
      </w:pPr>
      <w:r w:rsidRPr="007F0FC8">
        <w:rPr>
          <w:rtl/>
          <w:lang w:val="en-US"/>
        </w:rPr>
        <w:tab/>
        <w:t>(</w:t>
      </w:r>
      <w:r w:rsidRPr="007F0FC8">
        <w:rPr>
          <w:rtl/>
          <w:lang w:val="en-US"/>
        </w:rPr>
        <w:t>ج)</w:t>
      </w:r>
      <w:r w:rsidRPr="007F0FC8">
        <w:rPr>
          <w:rtl/>
          <w:lang w:val="en-US"/>
        </w:rPr>
        <w:tab/>
      </w:r>
      <w:r w:rsidRPr="007F0FC8">
        <w:rPr>
          <w:b/>
          <w:bCs/>
          <w:rtl/>
          <w:lang w:val="en-US"/>
        </w:rPr>
        <w:t>التحقيق في أي تورط محتمل لأفراد الشرطة وموظفي السجون في وفاة أشخاص محتجزين، وعند الاقتضاء، معاقبة المذنبين على النحو الواجب ومنح أسر الضحايا تعويضات عادلة</w:t>
      </w:r>
      <w:r w:rsidR="00467056">
        <w:rPr>
          <w:rFonts w:hint="cs"/>
          <w:b/>
          <w:bCs/>
          <w:rtl/>
          <w:lang w:val="en-US"/>
        </w:rPr>
        <w:t> </w:t>
      </w:r>
      <w:r w:rsidRPr="007F0FC8">
        <w:rPr>
          <w:b/>
          <w:bCs/>
          <w:rtl/>
          <w:lang w:val="en-US"/>
        </w:rPr>
        <w:t>ومناسبة؛</w:t>
      </w:r>
    </w:p>
    <w:p w14:paraId="0952DEF6" w14:textId="77777777" w:rsidR="00EE2812" w:rsidRPr="007F0FC8" w:rsidRDefault="00EE2812" w:rsidP="00467056">
      <w:pPr>
        <w:pStyle w:val="SingleTxtGA"/>
        <w:spacing w:line="350" w:lineRule="exact"/>
        <w:rPr>
          <w:b/>
          <w:bCs/>
          <w:spacing w:val="-2"/>
          <w:lang w:val="en-US"/>
        </w:rPr>
      </w:pPr>
      <w:r w:rsidRPr="007F0FC8">
        <w:rPr>
          <w:spacing w:val="-2"/>
          <w:rtl/>
          <w:lang w:val="en-US"/>
        </w:rPr>
        <w:tab/>
        <w:t>(</w:t>
      </w:r>
      <w:r w:rsidRPr="007F0FC8">
        <w:rPr>
          <w:spacing w:val="-2"/>
          <w:rtl/>
          <w:lang w:val="en-US"/>
        </w:rPr>
        <w:t>د)</w:t>
      </w:r>
      <w:r w:rsidRPr="007F0FC8">
        <w:rPr>
          <w:spacing w:val="-2"/>
          <w:rtl/>
          <w:lang w:val="en-US"/>
        </w:rPr>
        <w:tab/>
      </w:r>
      <w:r w:rsidRPr="007F0FC8">
        <w:rPr>
          <w:b/>
          <w:bCs/>
          <w:spacing w:val="-2"/>
          <w:rtl/>
          <w:lang w:val="en-US"/>
        </w:rPr>
        <w:t>تزويد اللجنة بمعلومات مفصلة عن حالات الوفاة أثناء الاحتجاز وأسباب هذه الوفيات؛</w:t>
      </w:r>
    </w:p>
    <w:p w14:paraId="04546E07" w14:textId="77777777" w:rsidR="00EE2812" w:rsidRPr="007F0FC8" w:rsidRDefault="00EE2812" w:rsidP="00467056">
      <w:pPr>
        <w:pStyle w:val="SingleTxtGA"/>
        <w:spacing w:line="350" w:lineRule="exact"/>
        <w:rPr>
          <w:b/>
          <w:bCs/>
          <w:lang w:val="en-US"/>
        </w:rPr>
      </w:pPr>
      <w:r w:rsidRPr="00467056">
        <w:rPr>
          <w:rtl/>
          <w:lang w:val="en-US"/>
        </w:rPr>
        <w:tab/>
        <w:t>(</w:t>
      </w:r>
      <w:r w:rsidRPr="00467056">
        <w:rPr>
          <w:rtl/>
          <w:lang w:val="en-US"/>
        </w:rPr>
        <w:t>هـ)</w:t>
      </w:r>
      <w:r w:rsidRPr="00467056">
        <w:rPr>
          <w:rtl/>
          <w:lang w:val="en-US"/>
        </w:rPr>
        <w:tab/>
      </w:r>
      <w:r w:rsidRPr="007F0FC8">
        <w:rPr>
          <w:b/>
          <w:bCs/>
          <w:rtl/>
          <w:lang w:val="en-US"/>
        </w:rPr>
        <w:t>ضمان الأمن داخل السجون بتوفير التدريب المناسب لموظفي السجون، بما يشمل التدريب على منع العنف؛</w:t>
      </w:r>
    </w:p>
    <w:p w14:paraId="31983A7B" w14:textId="77777777" w:rsidR="00EE2812" w:rsidRPr="007F0FC8" w:rsidRDefault="00EE2812" w:rsidP="00467056">
      <w:pPr>
        <w:pStyle w:val="SingleTxtGA"/>
        <w:spacing w:line="350" w:lineRule="exact"/>
        <w:rPr>
          <w:b/>
          <w:bCs/>
          <w:lang w:val="en-US"/>
        </w:rPr>
      </w:pPr>
      <w:r w:rsidRPr="007F0FC8">
        <w:rPr>
          <w:rtl/>
          <w:lang w:val="en-US"/>
        </w:rPr>
        <w:tab/>
        <w:t>(</w:t>
      </w:r>
      <w:r w:rsidRPr="007F0FC8">
        <w:rPr>
          <w:rtl/>
          <w:lang w:val="en-US"/>
        </w:rPr>
        <w:t>و)</w:t>
      </w:r>
      <w:r w:rsidRPr="007F0FC8">
        <w:rPr>
          <w:rtl/>
          <w:lang w:val="en-US"/>
        </w:rPr>
        <w:tab/>
      </w:r>
      <w:r w:rsidRPr="007F0FC8">
        <w:rPr>
          <w:b/>
          <w:bCs/>
          <w:rtl/>
          <w:lang w:val="en-US"/>
        </w:rPr>
        <w:t>جمع بيانات مفصلة عن حالات الانتحار في صفوف الأشخاص المسلوبة حريتهم، وتقييم مدى فعالية الاستراتيجيات والبرامج الرامية إلى الوقاية وتحديد المخاطر؛</w:t>
      </w:r>
    </w:p>
    <w:p w14:paraId="74A75E76" w14:textId="77777777" w:rsidR="00EE2812" w:rsidRPr="007F0FC8" w:rsidRDefault="00EE2812" w:rsidP="00EE2812">
      <w:pPr>
        <w:pStyle w:val="SingleTxtGA"/>
        <w:rPr>
          <w:b/>
          <w:bCs/>
          <w:lang w:val="en-US"/>
        </w:rPr>
      </w:pPr>
      <w:r w:rsidRPr="007F0FC8">
        <w:rPr>
          <w:rtl/>
          <w:lang w:val="en-US"/>
        </w:rPr>
        <w:lastRenderedPageBreak/>
        <w:tab/>
        <w:t>(</w:t>
      </w:r>
      <w:r w:rsidRPr="007F0FC8">
        <w:rPr>
          <w:rtl/>
          <w:lang w:val="en-US"/>
        </w:rPr>
        <w:t>ز)</w:t>
      </w:r>
      <w:r w:rsidRPr="007F0FC8">
        <w:rPr>
          <w:rtl/>
          <w:lang w:val="en-US"/>
        </w:rPr>
        <w:tab/>
      </w:r>
      <w:r w:rsidRPr="007F0FC8">
        <w:rPr>
          <w:b/>
          <w:bCs/>
          <w:rtl/>
          <w:lang w:val="en-US"/>
        </w:rPr>
        <w:t>تعزيز التدابير الرامية إلى منع العنف في صفوف الأشخاص المسلوبة حريتهم والتقليص منه، لا سيما بوضع استراتيجيات وقائية تسمح برصد حوادث العنف من هذا النوع وتوثيقها بهدف التحقيق في جميع الشكاوى وضمان مساءلة جميع المسؤولين عنها؛</w:t>
      </w:r>
    </w:p>
    <w:p w14:paraId="28734EC5" w14:textId="216A529F" w:rsidR="00EE2812" w:rsidRPr="007F0FC8" w:rsidRDefault="00EE2812" w:rsidP="00EE2812">
      <w:pPr>
        <w:pStyle w:val="SingleTxtGA"/>
        <w:rPr>
          <w:b/>
          <w:bCs/>
          <w:lang w:val="en-US"/>
        </w:rPr>
      </w:pPr>
      <w:r w:rsidRPr="007F0FC8">
        <w:rPr>
          <w:rtl/>
          <w:lang w:val="en-US"/>
        </w:rPr>
        <w:tab/>
        <w:t>(</w:t>
      </w:r>
      <w:r w:rsidRPr="007F0FC8">
        <w:rPr>
          <w:rtl/>
          <w:lang w:val="en-US"/>
        </w:rPr>
        <w:t>ح)</w:t>
      </w:r>
      <w:r w:rsidRPr="007F0FC8">
        <w:rPr>
          <w:rtl/>
          <w:lang w:val="en-US"/>
        </w:rPr>
        <w:tab/>
      </w:r>
      <w:r w:rsidRPr="007F0FC8">
        <w:rPr>
          <w:b/>
          <w:bCs/>
          <w:rtl/>
          <w:lang w:val="en-US"/>
        </w:rPr>
        <w:t>الحرص على ألا تقتحم المراقبة بالفيديو في مرافق الاحتجاز خصوصية المحتجزين أو</w:t>
      </w:r>
      <w:r w:rsidR="00C15D20" w:rsidRPr="007F0FC8">
        <w:rPr>
          <w:rFonts w:hint="cs"/>
          <w:b/>
          <w:bCs/>
          <w:rtl/>
          <w:lang w:val="en-US"/>
        </w:rPr>
        <w:t> </w:t>
      </w:r>
      <w:r w:rsidRPr="007F0FC8">
        <w:rPr>
          <w:b/>
          <w:bCs/>
          <w:rtl/>
          <w:lang w:val="en-US"/>
        </w:rPr>
        <w:t>تنتهك حقهم في التواصل السري مع محاميهم أو طبيبهم؛</w:t>
      </w:r>
    </w:p>
    <w:p w14:paraId="2C78A00C" w14:textId="6AA1B301" w:rsidR="00EE2812" w:rsidRPr="007F0FC8" w:rsidRDefault="00EE2812" w:rsidP="00EE2812">
      <w:pPr>
        <w:pStyle w:val="SingleTxtGA"/>
        <w:rPr>
          <w:b/>
          <w:bCs/>
          <w:lang w:val="en-US"/>
        </w:rPr>
      </w:pPr>
      <w:r w:rsidRPr="007F0FC8">
        <w:rPr>
          <w:rtl/>
          <w:lang w:val="en-US"/>
        </w:rPr>
        <w:tab/>
        <w:t>(</w:t>
      </w:r>
      <w:r w:rsidRPr="007F0FC8">
        <w:rPr>
          <w:rtl/>
          <w:lang w:val="en-US"/>
        </w:rPr>
        <w:t>ط)</w:t>
      </w:r>
      <w:r w:rsidRPr="007F0FC8">
        <w:rPr>
          <w:rtl/>
          <w:lang w:val="en-US"/>
        </w:rPr>
        <w:tab/>
      </w:r>
      <w:r w:rsidRPr="007F0FC8">
        <w:rPr>
          <w:b/>
          <w:bCs/>
          <w:rtl/>
          <w:lang w:val="en-US"/>
        </w:rPr>
        <w:t>تخصيص الموارد اللازمة من أجل تأهيل مرافق الاحتجاز وموظفيها للاستجابة إلى احتياجات السجناء ذوي الإعاقات البدنية، بما يتفق مع المعايير الدولية، وتعزيز الدعم المقدم للمحتجزين المستضعفين، لا سيما المحتجزين ذوي الإعاقات الذهنية والمحتجزين ذوي الإعاقات النفسية الاجتماعية.</w:t>
      </w:r>
    </w:p>
    <w:p w14:paraId="2AA0BB43" w14:textId="77777777" w:rsidR="00EE2812" w:rsidRPr="00E223F5" w:rsidRDefault="00EE2812" w:rsidP="00C15D20">
      <w:pPr>
        <w:pStyle w:val="H23GA"/>
      </w:pPr>
      <w:r w:rsidRPr="00E223F5">
        <w:rPr>
          <w:rtl/>
        </w:rPr>
        <w:tab/>
      </w:r>
      <w:r w:rsidRPr="00E223F5">
        <w:rPr>
          <w:rtl/>
        </w:rPr>
        <w:tab/>
        <w:t>الحبس الانفرادي</w:t>
      </w:r>
    </w:p>
    <w:p w14:paraId="2BB0890A" w14:textId="3CD7D211" w:rsidR="006853C9" w:rsidRPr="006853C9" w:rsidRDefault="00EE2812" w:rsidP="00EE2812">
      <w:pPr>
        <w:pStyle w:val="SingleTxtGA"/>
        <w:rPr>
          <w:lang w:val="en-US"/>
        </w:rPr>
      </w:pPr>
      <w:r w:rsidRPr="00E223F5">
        <w:rPr>
          <w:rtl/>
          <w:lang w:val="en-US"/>
        </w:rPr>
        <w:t>25</w:t>
      </w:r>
      <w:r w:rsidRPr="007F0FC8">
        <w:rPr>
          <w:rtl/>
          <w:lang w:val="en-US"/>
        </w:rPr>
        <w:t>-</w:t>
      </w:r>
      <w:r w:rsidRPr="007F0FC8">
        <w:rPr>
          <w:rtl/>
          <w:lang w:val="en-US"/>
        </w:rPr>
        <w:tab/>
      </w:r>
      <w:r w:rsidRPr="00467056">
        <w:rPr>
          <w:spacing w:val="-4"/>
          <w:rtl/>
          <w:lang w:val="en-US"/>
        </w:rPr>
        <w:t xml:space="preserve">يساور اللجنة قلق بالغ لأنه يجوز فرض الحبس الانفرادي، بموجب المادتين </w:t>
      </w:r>
      <w:r w:rsidRPr="00E223F5">
        <w:rPr>
          <w:spacing w:val="-4"/>
          <w:rtl/>
          <w:lang w:val="en-US"/>
        </w:rPr>
        <w:t>130</w:t>
      </w:r>
      <w:r w:rsidRPr="00467056">
        <w:rPr>
          <w:spacing w:val="-4"/>
          <w:rtl/>
          <w:lang w:val="en-US"/>
        </w:rPr>
        <w:t xml:space="preserve"> و</w:t>
      </w:r>
      <w:r w:rsidRPr="00E223F5">
        <w:rPr>
          <w:spacing w:val="-4"/>
          <w:rtl/>
          <w:lang w:val="en-US"/>
        </w:rPr>
        <w:t>131</w:t>
      </w:r>
      <w:r w:rsidRPr="00467056">
        <w:rPr>
          <w:spacing w:val="-4"/>
          <w:rtl/>
          <w:lang w:val="en-US"/>
        </w:rPr>
        <w:t xml:space="preserve"> من قانون</w:t>
      </w:r>
      <w:r w:rsidRPr="00EE2812">
        <w:rPr>
          <w:rtl/>
          <w:lang w:val="en-US"/>
        </w:rPr>
        <w:t xml:space="preserve"> </w:t>
      </w:r>
      <w:r w:rsidRPr="00467056">
        <w:rPr>
          <w:spacing w:val="-2"/>
          <w:rtl/>
          <w:lang w:val="en-US"/>
        </w:rPr>
        <w:t>إنفاذ العقوبات، لمدة تصل إلى أربعة أشهر من باب العقوبة التأديبية على الانتهاكات المتكررة للقواعد والإجراءات</w:t>
      </w:r>
      <w:r w:rsidRPr="00EE2812">
        <w:rPr>
          <w:rtl/>
          <w:lang w:val="en-US"/>
        </w:rPr>
        <w:t xml:space="preserve"> المعمول بها لقضاء العقوبة، ولأن الحبس الانفرادي شائع الاستخدام في الممارسة العملية. وتلاحظ بقلق كذلك أن المادة </w:t>
      </w:r>
      <w:r w:rsidRPr="00E223F5">
        <w:rPr>
          <w:rtl/>
          <w:lang w:val="en-US"/>
        </w:rPr>
        <w:t>154</w:t>
      </w:r>
      <w:r w:rsidRPr="00EE2812">
        <w:rPr>
          <w:rtl/>
          <w:lang w:val="en-US"/>
        </w:rPr>
        <w:t xml:space="preserve"> من القانون التنفيذي الجنائي تجيز إخضاع الأحداث للعزل الانفرادي لمدة تصل إلى </w:t>
      </w:r>
      <w:r w:rsidRPr="00E223F5">
        <w:rPr>
          <w:rtl/>
          <w:lang w:val="en-US"/>
        </w:rPr>
        <w:t>72</w:t>
      </w:r>
      <w:r w:rsidRPr="00EE2812">
        <w:rPr>
          <w:rtl/>
          <w:lang w:val="en-US"/>
        </w:rPr>
        <w:t xml:space="preserve"> ساعة (المواد </w:t>
      </w:r>
      <w:r w:rsidRPr="00E223F5">
        <w:rPr>
          <w:rtl/>
          <w:lang w:val="en-US"/>
        </w:rPr>
        <w:t>2</w:t>
      </w:r>
      <w:r w:rsidRPr="00EE2812">
        <w:rPr>
          <w:rtl/>
          <w:lang w:val="en-US"/>
        </w:rPr>
        <w:t xml:space="preserve"> و</w:t>
      </w:r>
      <w:r w:rsidRPr="00E223F5">
        <w:rPr>
          <w:rtl/>
          <w:lang w:val="en-US"/>
        </w:rPr>
        <w:t>11</w:t>
      </w:r>
      <w:r w:rsidRPr="00EE2812">
        <w:rPr>
          <w:rtl/>
          <w:lang w:val="en-US"/>
        </w:rPr>
        <w:t xml:space="preserve"> و</w:t>
      </w:r>
      <w:r w:rsidRPr="00E223F5">
        <w:rPr>
          <w:rtl/>
          <w:lang w:val="en-US"/>
        </w:rPr>
        <w:t>1</w:t>
      </w:r>
      <w:r w:rsidR="006853C9" w:rsidRPr="00E223F5">
        <w:rPr>
          <w:rtl/>
          <w:lang w:val="en-US"/>
        </w:rPr>
        <w:t>6</w:t>
      </w:r>
      <w:r w:rsidR="006853C9" w:rsidRPr="006853C9">
        <w:rPr>
          <w:rtl/>
          <w:lang w:val="en-US"/>
        </w:rPr>
        <w:t>).</w:t>
      </w:r>
    </w:p>
    <w:p w14:paraId="7B486DE0" w14:textId="3F84048D" w:rsidR="00EE2812" w:rsidRPr="007F0FC8" w:rsidRDefault="00EE2812" w:rsidP="00EE2812">
      <w:pPr>
        <w:pStyle w:val="SingleTxtGA"/>
        <w:rPr>
          <w:b/>
          <w:bCs/>
          <w:lang w:val="en-US"/>
        </w:rPr>
      </w:pPr>
      <w:r w:rsidRPr="00E223F5">
        <w:rPr>
          <w:rtl/>
          <w:lang w:val="en-US"/>
        </w:rPr>
        <w:t>26</w:t>
      </w:r>
      <w:r w:rsidRPr="007F0FC8">
        <w:rPr>
          <w:rtl/>
          <w:lang w:val="en-US"/>
        </w:rPr>
        <w:t>-</w:t>
      </w:r>
      <w:r w:rsidRPr="007F0FC8">
        <w:rPr>
          <w:rtl/>
          <w:lang w:val="en-US"/>
        </w:rPr>
        <w:tab/>
      </w:r>
      <w:r w:rsidRPr="007F0FC8">
        <w:rPr>
          <w:b/>
          <w:bCs/>
          <w:rtl/>
          <w:lang w:val="en-US"/>
        </w:rPr>
        <w:t xml:space="preserve">تحث اللجنة الدولة الطرف على مواءمة المادتين </w:t>
      </w:r>
      <w:r w:rsidRPr="00E223F5">
        <w:rPr>
          <w:b/>
          <w:bCs/>
          <w:rtl/>
          <w:lang w:val="en-US"/>
        </w:rPr>
        <w:t>130</w:t>
      </w:r>
      <w:r w:rsidRPr="007F0FC8">
        <w:rPr>
          <w:b/>
          <w:bCs/>
          <w:rtl/>
          <w:lang w:val="en-US"/>
        </w:rPr>
        <w:t xml:space="preserve"> و</w:t>
      </w:r>
      <w:r w:rsidRPr="00E223F5">
        <w:rPr>
          <w:b/>
          <w:bCs/>
          <w:rtl/>
          <w:lang w:val="en-US"/>
        </w:rPr>
        <w:t>131</w:t>
      </w:r>
      <w:r w:rsidRPr="007F0FC8">
        <w:rPr>
          <w:b/>
          <w:bCs/>
          <w:rtl/>
          <w:lang w:val="en-US"/>
        </w:rPr>
        <w:t xml:space="preserve"> من قانون إنفاذ العقوبات والممارسات المتعلقة بالحبس الانفرادي مع المعايير الدولية، لا سيما القواعد </w:t>
      </w:r>
      <w:r w:rsidRPr="00E223F5">
        <w:rPr>
          <w:b/>
          <w:bCs/>
          <w:rtl/>
          <w:lang w:val="en-US"/>
        </w:rPr>
        <w:t>43</w:t>
      </w:r>
      <w:r w:rsidRPr="007F0FC8">
        <w:rPr>
          <w:b/>
          <w:bCs/>
          <w:rtl/>
          <w:lang w:val="en-US"/>
        </w:rPr>
        <w:t>-</w:t>
      </w:r>
      <w:r w:rsidRPr="00E223F5">
        <w:rPr>
          <w:b/>
          <w:bCs/>
          <w:rtl/>
          <w:lang w:val="en-US"/>
        </w:rPr>
        <w:t>46</w:t>
      </w:r>
      <w:r w:rsidRPr="007F0FC8">
        <w:rPr>
          <w:b/>
          <w:bCs/>
          <w:rtl/>
          <w:lang w:val="en-US"/>
        </w:rPr>
        <w:t xml:space="preserve"> من قواعد نيلسون مانديلا، وعدم اللجوء إلى الحبس الانفرادي إلاَّ في حالات استثنائية بوصفه ملاذ</w:t>
      </w:r>
      <w:r w:rsidR="00F25086">
        <w:rPr>
          <w:b/>
          <w:bCs/>
          <w:rtl/>
          <w:lang w:val="en-US"/>
        </w:rPr>
        <w:t xml:space="preserve">اً </w:t>
      </w:r>
      <w:r w:rsidRPr="007F0FC8">
        <w:rPr>
          <w:b/>
          <w:bCs/>
          <w:rtl/>
          <w:lang w:val="en-US"/>
        </w:rPr>
        <w:t xml:space="preserve">أخيراً، ولأقصر فترة ممكنة (لا تتجاوز </w:t>
      </w:r>
      <w:r w:rsidRPr="00E223F5">
        <w:rPr>
          <w:b/>
          <w:bCs/>
          <w:rtl/>
          <w:lang w:val="en-US"/>
        </w:rPr>
        <w:t>15</w:t>
      </w:r>
      <w:r w:rsidRPr="007F0FC8">
        <w:rPr>
          <w:b/>
          <w:bCs/>
          <w:rtl/>
          <w:lang w:val="en-US"/>
        </w:rPr>
        <w:t xml:space="preserve"> يوما</w:t>
      </w:r>
      <w:r w:rsidR="00F25086">
        <w:rPr>
          <w:rFonts w:hint="cs"/>
          <w:b/>
          <w:bCs/>
          <w:rtl/>
          <w:lang w:val="en-US"/>
        </w:rPr>
        <w:t>ً</w:t>
      </w:r>
      <w:r w:rsidRPr="007F0FC8">
        <w:rPr>
          <w:b/>
          <w:bCs/>
          <w:rtl/>
          <w:lang w:val="en-US"/>
        </w:rPr>
        <w:t>) ورهن</w:t>
      </w:r>
      <w:r w:rsidR="00F25086">
        <w:rPr>
          <w:b/>
          <w:bCs/>
          <w:rtl/>
          <w:lang w:val="en-US"/>
        </w:rPr>
        <w:t xml:space="preserve">اً </w:t>
      </w:r>
      <w:r w:rsidRPr="007F0FC8">
        <w:rPr>
          <w:b/>
          <w:bCs/>
          <w:rtl/>
          <w:lang w:val="en-US"/>
        </w:rPr>
        <w:t xml:space="preserve">بمراجعة مستقلة، وعدم فرضه إلا بإذن من السلطة </w:t>
      </w:r>
      <w:r w:rsidRPr="00467056">
        <w:rPr>
          <w:rFonts w:ascii="Times New Roman Bold" w:hAnsi="Times New Roman Bold"/>
          <w:b/>
          <w:bCs/>
          <w:spacing w:val="-4"/>
          <w:rtl/>
          <w:lang w:val="en-US"/>
        </w:rPr>
        <w:t>المختصة. وينبغي أن تحترم الدولة الطرف مبدأ حظر فرض الحبس الانفرادي والتدابير المماثلة المفروضة</w:t>
      </w:r>
      <w:r w:rsidRPr="007F0FC8">
        <w:rPr>
          <w:b/>
          <w:bCs/>
          <w:rtl/>
          <w:lang w:val="en-US"/>
        </w:rPr>
        <w:t xml:space="preserve"> </w:t>
      </w:r>
      <w:r w:rsidRPr="00467056">
        <w:rPr>
          <w:rFonts w:ascii="Times New Roman Bold" w:hAnsi="Times New Roman Bold"/>
          <w:b/>
          <w:bCs/>
          <w:spacing w:val="-4"/>
          <w:rtl/>
          <w:lang w:val="en-US"/>
        </w:rPr>
        <w:t xml:space="preserve">على الأحداث (انظر أيضاً القاعدة </w:t>
      </w:r>
      <w:r w:rsidRPr="00E223F5">
        <w:rPr>
          <w:rFonts w:ascii="Times New Roman Bold" w:hAnsi="Times New Roman Bold"/>
          <w:b/>
          <w:bCs/>
          <w:spacing w:val="-4"/>
          <w:rtl/>
          <w:lang w:val="en-US"/>
        </w:rPr>
        <w:t>67</w:t>
      </w:r>
      <w:r w:rsidRPr="00467056">
        <w:rPr>
          <w:rFonts w:ascii="Times New Roman Bold" w:hAnsi="Times New Roman Bold"/>
          <w:b/>
          <w:bCs/>
          <w:spacing w:val="-4"/>
          <w:rtl/>
          <w:lang w:val="en-US"/>
        </w:rPr>
        <w:t xml:space="preserve"> من قواعد الأمم المتحدة بشأن حماية الأحداث المجردين من حريتهم)</w:t>
      </w:r>
      <w:r w:rsidRPr="007F0FC8">
        <w:rPr>
          <w:b/>
          <w:bCs/>
          <w:rtl/>
          <w:lang w:val="en-US"/>
        </w:rPr>
        <w:t xml:space="preserve"> وأن تجعل المادة </w:t>
      </w:r>
      <w:r w:rsidRPr="00E223F5">
        <w:rPr>
          <w:b/>
          <w:bCs/>
          <w:rtl/>
          <w:lang w:val="en-US"/>
        </w:rPr>
        <w:t>154</w:t>
      </w:r>
      <w:r w:rsidRPr="007F0FC8">
        <w:rPr>
          <w:b/>
          <w:bCs/>
          <w:rtl/>
          <w:lang w:val="en-US"/>
        </w:rPr>
        <w:t xml:space="preserve"> من القانون التنفيذي الجنائي متسقة مع المعايير الدولية.</w:t>
      </w:r>
    </w:p>
    <w:p w14:paraId="24AC3512" w14:textId="77777777" w:rsidR="00EE2812" w:rsidRPr="00E223F5" w:rsidRDefault="00EE2812" w:rsidP="00C15D20">
      <w:pPr>
        <w:pStyle w:val="H23GA"/>
      </w:pPr>
      <w:r w:rsidRPr="00E223F5">
        <w:rPr>
          <w:rtl/>
        </w:rPr>
        <w:tab/>
      </w:r>
      <w:r w:rsidRPr="00E223F5">
        <w:rPr>
          <w:rtl/>
        </w:rPr>
        <w:tab/>
        <w:t xml:space="preserve">الرعاية الصحية في أماكن سلب الحرية </w:t>
      </w:r>
    </w:p>
    <w:p w14:paraId="4D777B0C" w14:textId="6C6D063A" w:rsidR="006853C9" w:rsidRPr="006853C9" w:rsidRDefault="00EE2812" w:rsidP="00EE2812">
      <w:pPr>
        <w:pStyle w:val="SingleTxtGA"/>
        <w:rPr>
          <w:lang w:val="en-US"/>
        </w:rPr>
      </w:pPr>
      <w:r w:rsidRPr="00E223F5">
        <w:rPr>
          <w:rtl/>
          <w:lang w:val="en-US"/>
        </w:rPr>
        <w:t>27</w:t>
      </w:r>
      <w:r w:rsidRPr="007F0FC8">
        <w:rPr>
          <w:rtl/>
          <w:lang w:val="en-US"/>
        </w:rPr>
        <w:t>-</w:t>
      </w:r>
      <w:r w:rsidRPr="007F0FC8">
        <w:rPr>
          <w:rtl/>
          <w:lang w:val="en-US"/>
        </w:rPr>
        <w:tab/>
      </w:r>
      <w:r w:rsidRPr="00EE2812">
        <w:rPr>
          <w:rtl/>
          <w:lang w:val="en-US"/>
        </w:rPr>
        <w:t>تعرب اللجنة عن تقديرها للتدابير التي اتخذتها الدولة الطرف من أجل تحويل المسؤولية عن خدمات الرعاية الصحية في مرافق الاحتجاز السابق للمحاكمة وفي السجون من وزارة الداخلية إلى وزارة الصحة أثناء الفترة قيد الاستعراض، غير أنها لا تزال تشعر بالقلق إزاء التقارير التي تشير إلى قلة عدد</w:t>
      </w:r>
      <w:r w:rsidR="00E223F5">
        <w:rPr>
          <w:rFonts w:hint="cs"/>
          <w:rtl/>
          <w:lang w:val="en-US"/>
        </w:rPr>
        <w:t> </w:t>
      </w:r>
      <w:r w:rsidRPr="00EE2812">
        <w:rPr>
          <w:rtl/>
          <w:lang w:val="en-US"/>
        </w:rPr>
        <w:t>الموظفين الطبيين المدربين تدريب</w:t>
      </w:r>
      <w:r w:rsidR="00F25086">
        <w:rPr>
          <w:rtl/>
          <w:lang w:val="en-US"/>
        </w:rPr>
        <w:t xml:space="preserve">اً </w:t>
      </w:r>
      <w:r w:rsidRPr="00EE2812">
        <w:rPr>
          <w:rtl/>
          <w:lang w:val="en-US"/>
        </w:rPr>
        <w:t>ملائم</w:t>
      </w:r>
      <w:r w:rsidR="00F25086">
        <w:rPr>
          <w:rtl/>
          <w:lang w:val="en-US"/>
        </w:rPr>
        <w:t xml:space="preserve">اً </w:t>
      </w:r>
      <w:r w:rsidRPr="00EE2812">
        <w:rPr>
          <w:rtl/>
          <w:lang w:val="en-US"/>
        </w:rPr>
        <w:t xml:space="preserve">وعدم تزويد الأشخاص بالقدر المناسب من الرعاية الطبية </w:t>
      </w:r>
      <w:r w:rsidRPr="00467056">
        <w:rPr>
          <w:spacing w:val="-2"/>
          <w:rtl/>
          <w:lang w:val="en-US"/>
        </w:rPr>
        <w:t>والأدوية اللازمة، بمن فيهم من يحتاج إلى علاج متخصص، مثل المصابين بفيروس نقص المناعة البشرية</w:t>
      </w:r>
      <w:r w:rsidRPr="00EE2812">
        <w:rPr>
          <w:rtl/>
          <w:lang w:val="en-US"/>
        </w:rPr>
        <w:t xml:space="preserve"> والأشخاص ذوي الإعاقة. ويساورها القلق أيض</w:t>
      </w:r>
      <w:r w:rsidR="00F25086">
        <w:rPr>
          <w:rtl/>
          <w:lang w:val="en-US"/>
        </w:rPr>
        <w:t xml:space="preserve">اً </w:t>
      </w:r>
      <w:r w:rsidRPr="00EE2812">
        <w:rPr>
          <w:rtl/>
          <w:lang w:val="en-US"/>
        </w:rPr>
        <w:t>إزاء المعلومات التي تشير إلى نقص الرعاية النفسية المقدمة إلى الأشخاص المسلوبة حريتهم، في حين تحيط علم</w:t>
      </w:r>
      <w:r w:rsidR="00F25086">
        <w:rPr>
          <w:rtl/>
          <w:lang w:val="en-US"/>
        </w:rPr>
        <w:t xml:space="preserve">اً </w:t>
      </w:r>
      <w:r w:rsidRPr="00EE2812">
        <w:rPr>
          <w:rtl/>
          <w:lang w:val="en-US"/>
        </w:rPr>
        <w:t xml:space="preserve">ببيان الدولة الطرف الذي يناقض ما تقدم ذكره إذ دفعت فيه بأن هذه الرعاية يقدمها ما يزيد على </w:t>
      </w:r>
      <w:r w:rsidRPr="00E223F5">
        <w:rPr>
          <w:rtl/>
          <w:lang w:val="en-US"/>
        </w:rPr>
        <w:t>500</w:t>
      </w:r>
      <w:r w:rsidRPr="00EE2812">
        <w:rPr>
          <w:rtl/>
          <w:lang w:val="en-US"/>
        </w:rPr>
        <w:t xml:space="preserve"> طبيب نفساني. وأخير</w:t>
      </w:r>
      <w:r w:rsidR="00F25086">
        <w:rPr>
          <w:rtl/>
          <w:lang w:val="en-US"/>
        </w:rPr>
        <w:t>اً،</w:t>
      </w:r>
      <w:r w:rsidRPr="00EE2812">
        <w:rPr>
          <w:rtl/>
          <w:lang w:val="en-US"/>
        </w:rPr>
        <w:t xml:space="preserve"> تلاحظ اللجنة عدم توفير التدريب المستمر والمناسب بشأن الكشف عن التعذيب وإساءة المعاملة لجميع الموظفين الطبيين الذين يتعاملون مع الأشخاص المسلوبة حريتهم، وهو ما قد يسهم في الاقتصار على تسجيل الإصابات وتحليلها بطريقة سطحية، لا سيما في مرافق الاحتجاز السابق للمحاكمة، وفي عدم اتباع ممارسة منظمة لإبلاغ السلطات القضائية بهذه الإصابات (المواد </w:t>
      </w:r>
      <w:r w:rsidRPr="00E223F5">
        <w:rPr>
          <w:rtl/>
          <w:lang w:val="en-US"/>
        </w:rPr>
        <w:t>2</w:t>
      </w:r>
      <w:r w:rsidRPr="00EE2812">
        <w:rPr>
          <w:rtl/>
          <w:lang w:val="en-US"/>
        </w:rPr>
        <w:t xml:space="preserve"> و</w:t>
      </w:r>
      <w:r w:rsidRPr="00E223F5">
        <w:rPr>
          <w:rtl/>
          <w:lang w:val="en-US"/>
        </w:rPr>
        <w:t>11</w:t>
      </w:r>
      <w:r w:rsidRPr="00EE2812">
        <w:rPr>
          <w:rtl/>
          <w:lang w:val="en-US"/>
        </w:rPr>
        <w:t xml:space="preserve"> و</w:t>
      </w:r>
      <w:r w:rsidRPr="00E223F5">
        <w:rPr>
          <w:rtl/>
          <w:lang w:val="en-US"/>
        </w:rPr>
        <w:t>1</w:t>
      </w:r>
      <w:r w:rsidR="006853C9" w:rsidRPr="00E223F5">
        <w:rPr>
          <w:rtl/>
          <w:lang w:val="en-US"/>
        </w:rPr>
        <w:t>6</w:t>
      </w:r>
      <w:r w:rsidR="006853C9" w:rsidRPr="006853C9">
        <w:rPr>
          <w:rtl/>
          <w:lang w:val="en-US"/>
        </w:rPr>
        <w:t>).</w:t>
      </w:r>
    </w:p>
    <w:p w14:paraId="336207A4" w14:textId="4DB69221" w:rsidR="00EE2812" w:rsidRPr="007F0FC8" w:rsidRDefault="00EE2812" w:rsidP="00EE2812">
      <w:pPr>
        <w:pStyle w:val="SingleTxtGA"/>
        <w:rPr>
          <w:b/>
          <w:bCs/>
          <w:lang w:val="en-US"/>
        </w:rPr>
      </w:pPr>
      <w:r w:rsidRPr="00E223F5">
        <w:rPr>
          <w:rtl/>
          <w:lang w:val="en-US"/>
        </w:rPr>
        <w:lastRenderedPageBreak/>
        <w:t>28</w:t>
      </w:r>
      <w:r w:rsidRPr="007F0FC8">
        <w:rPr>
          <w:rtl/>
          <w:lang w:val="en-US"/>
        </w:rPr>
        <w:t>-</w:t>
      </w:r>
      <w:r w:rsidRPr="007F0FC8">
        <w:rPr>
          <w:rtl/>
          <w:lang w:val="en-US"/>
        </w:rPr>
        <w:tab/>
      </w:r>
      <w:r w:rsidRPr="007F0FC8">
        <w:rPr>
          <w:b/>
          <w:bCs/>
          <w:rtl/>
          <w:lang w:val="en-US"/>
        </w:rPr>
        <w:t>ينبغي أن تواصل الدولة الطرف النهوض بنوعية الخدمات الصحية المقدمة للمحتجزين بتعيين المزيد من الموظفين الطبيين المؤهلين، بمن فيهم الأطباء النفسانيون، لا سيما فيما يتعلق بالأشخاص الذين يحتاجون إلى علاج متخصص، مثل المصابين بفيروس نقص المناعة البشرية والأشخاص ذوي الإعاقة، وأن تتيح الأدوية والمعدات الطبية اللازمة في جميع المرافق الإصلاحية. وإلى جانب ذلك، ينبغي أن تعتمد الدولة الطرف سياسة تكفل قيام موظفين طبيين مستقلين بفحص الوضع الصحي لجميع الأشخاص المقبوض عليهم والمحتجزين وتوثيقه على النحو السليم، وأن تضمن استفادة جميع الموظفين الطبيين الذين يتعاملون مع الأشخاص المسلوبة حريتهم من تدريب إلزامي ومنتظم على كشف حالات التعذيب وإساءة المعاملة وفق</w:t>
      </w:r>
      <w:r w:rsidR="00F25086">
        <w:rPr>
          <w:b/>
          <w:bCs/>
          <w:rtl/>
          <w:lang w:val="en-US"/>
        </w:rPr>
        <w:t xml:space="preserve">اً </w:t>
      </w:r>
      <w:r w:rsidRPr="007F0FC8">
        <w:rPr>
          <w:b/>
          <w:bCs/>
          <w:rtl/>
          <w:lang w:val="en-US"/>
        </w:rPr>
        <w:t xml:space="preserve">للصيغة المنقحة لبروتوكول اسطنبول؛ وأن تواصل تعزيز الإجراءات القائمة بشأن الاحتفاظ بالملفات والسجلات الطبية على النحو السليم، بما فيها تلك المستخدمة في تسجيل الإصابات، وإبلاغ السلطات القضائية المختصة على الفور بأي إصابات تدلّ على التعذيب أو إساءة المعاملة. </w:t>
      </w:r>
    </w:p>
    <w:p w14:paraId="52CBF6EB" w14:textId="77777777" w:rsidR="00EE2812" w:rsidRPr="00E223F5" w:rsidRDefault="00EE2812" w:rsidP="00C15D20">
      <w:pPr>
        <w:pStyle w:val="H23GA"/>
      </w:pPr>
      <w:r w:rsidRPr="00E223F5">
        <w:rPr>
          <w:rtl/>
        </w:rPr>
        <w:tab/>
      </w:r>
      <w:r w:rsidRPr="00E223F5">
        <w:rPr>
          <w:rtl/>
        </w:rPr>
        <w:tab/>
        <w:t>آليات تقديم الشكاوى في أماكن سلب الحرية</w:t>
      </w:r>
    </w:p>
    <w:p w14:paraId="16ADA1A5" w14:textId="240D93E2" w:rsidR="006853C9" w:rsidRPr="006853C9" w:rsidRDefault="00EE2812" w:rsidP="00EE2812">
      <w:pPr>
        <w:pStyle w:val="SingleTxtGA"/>
        <w:rPr>
          <w:lang w:val="en-US"/>
        </w:rPr>
      </w:pPr>
      <w:r w:rsidRPr="00E223F5">
        <w:rPr>
          <w:rtl/>
          <w:lang w:val="en-US"/>
        </w:rPr>
        <w:t>29</w:t>
      </w:r>
      <w:r w:rsidRPr="007F0FC8">
        <w:rPr>
          <w:rtl/>
          <w:lang w:val="en-US"/>
        </w:rPr>
        <w:t>-</w:t>
      </w:r>
      <w:r w:rsidRPr="007F0FC8">
        <w:rPr>
          <w:rtl/>
          <w:lang w:val="en-US"/>
        </w:rPr>
        <w:tab/>
      </w:r>
      <w:r w:rsidRPr="00EE2812">
        <w:rPr>
          <w:rtl/>
          <w:lang w:val="en-US"/>
        </w:rPr>
        <w:t>تحيط اللجنة علم</w:t>
      </w:r>
      <w:r w:rsidR="00F25086">
        <w:rPr>
          <w:rtl/>
          <w:lang w:val="en-US"/>
        </w:rPr>
        <w:t xml:space="preserve">اً </w:t>
      </w:r>
      <w:r w:rsidRPr="00EE2812">
        <w:rPr>
          <w:rtl/>
          <w:lang w:val="en-US"/>
        </w:rPr>
        <w:t xml:space="preserve">بالتدابير التي اتخذتها الدولة الطرف من أجل تيسير اللجوء إلى إجراءات تقديم الشكاوى في أماكن سلب الحرية. وتشمل هذه التدابير تركيب محطات إلكترونية في جميع السجون البالغ عددها </w:t>
      </w:r>
      <w:r w:rsidRPr="00E223F5">
        <w:rPr>
          <w:rtl/>
          <w:lang w:val="en-US"/>
        </w:rPr>
        <w:t>79</w:t>
      </w:r>
      <w:r w:rsidRPr="00EE2812">
        <w:rPr>
          <w:rtl/>
          <w:lang w:val="en-US"/>
        </w:rPr>
        <w:t xml:space="preserve"> </w:t>
      </w:r>
      <w:proofErr w:type="gramStart"/>
      <w:r w:rsidRPr="00EE2812">
        <w:rPr>
          <w:rtl/>
          <w:lang w:val="en-US"/>
        </w:rPr>
        <w:t>سجنا</w:t>
      </w:r>
      <w:r w:rsidR="00F25086">
        <w:rPr>
          <w:rFonts w:hint="cs"/>
          <w:rtl/>
          <w:lang w:val="en-US"/>
        </w:rPr>
        <w:t>ً</w:t>
      </w:r>
      <w:r w:rsidR="006853C9" w:rsidRPr="00E223F5">
        <w:rPr>
          <w:vertAlign w:val="superscript"/>
          <w:rtl/>
        </w:rPr>
        <w:t>(</w:t>
      </w:r>
      <w:proofErr w:type="gramEnd"/>
      <w:r w:rsidR="006853C9" w:rsidRPr="00E223F5">
        <w:rPr>
          <w:vertAlign w:val="superscript"/>
          <w:lang w:val="en-AU"/>
        </w:rPr>
        <w:footnoteReference w:id="23"/>
      </w:r>
      <w:r w:rsidR="006853C9" w:rsidRPr="006853C9">
        <w:rPr>
          <w:vertAlign w:val="superscript"/>
          <w:rtl/>
          <w:lang w:val="en-US"/>
        </w:rPr>
        <w:t>)</w:t>
      </w:r>
      <w:r w:rsidR="006853C9" w:rsidRPr="006853C9">
        <w:rPr>
          <w:rtl/>
          <w:lang w:val="en-US"/>
        </w:rPr>
        <w:t xml:space="preserve">. </w:t>
      </w:r>
      <w:r w:rsidRPr="00EE2812">
        <w:rPr>
          <w:rtl/>
          <w:lang w:val="en-US"/>
        </w:rPr>
        <w:t>غير أنها لا تزال تشعر بالقلق إزاء المعلومات الواردة التي تفيد بأن العديد من الأشخاص المسلوبة حريتهم يواجهون صعوبات أو يترددون في تقديم شكاوى بشأن التعذيب أو إساءة المعاملة عبر هذه المحطات نظر</w:t>
      </w:r>
      <w:r w:rsidR="00F25086">
        <w:rPr>
          <w:rtl/>
          <w:lang w:val="en-US"/>
        </w:rPr>
        <w:t xml:space="preserve">اً </w:t>
      </w:r>
      <w:r w:rsidRPr="00EE2812">
        <w:rPr>
          <w:rtl/>
          <w:lang w:val="en-US"/>
        </w:rPr>
        <w:t>إلى قربها من مكاتب الإدارة أو بسبب المراقبة المستمرة بالفيديو. ويساورها القلق أيض</w:t>
      </w:r>
      <w:r w:rsidR="00F25086">
        <w:rPr>
          <w:rtl/>
          <w:lang w:val="en-US"/>
        </w:rPr>
        <w:t xml:space="preserve">اً </w:t>
      </w:r>
      <w:r w:rsidRPr="00EE2812">
        <w:rPr>
          <w:rtl/>
          <w:lang w:val="en-US"/>
        </w:rPr>
        <w:t>إزاء المعلومات التي تفيد بانعدام الثقة في عملية تقديم الشكاوى بالوسائل الإلكترونية أو تسليمها إلى هيئات إشرافية أخرى أثناء زياراتها خوف</w:t>
      </w:r>
      <w:r w:rsidR="00F25086">
        <w:rPr>
          <w:rtl/>
          <w:lang w:val="en-US"/>
        </w:rPr>
        <w:t xml:space="preserve">اً </w:t>
      </w:r>
      <w:r w:rsidRPr="00EE2812">
        <w:rPr>
          <w:rtl/>
          <w:lang w:val="en-US"/>
        </w:rPr>
        <w:t xml:space="preserve">من انتقام الموظفين (المواد </w:t>
      </w:r>
      <w:r w:rsidRPr="00E223F5">
        <w:rPr>
          <w:rtl/>
          <w:lang w:val="en-US"/>
        </w:rPr>
        <w:t>2</w:t>
      </w:r>
      <w:r w:rsidRPr="00EE2812">
        <w:rPr>
          <w:rtl/>
          <w:lang w:val="en-US"/>
        </w:rPr>
        <w:t xml:space="preserve"> و</w:t>
      </w:r>
      <w:r w:rsidRPr="00E223F5">
        <w:rPr>
          <w:rtl/>
          <w:lang w:val="en-US"/>
        </w:rPr>
        <w:t>12</w:t>
      </w:r>
      <w:r w:rsidRPr="00EE2812">
        <w:rPr>
          <w:rtl/>
          <w:lang w:val="en-US"/>
        </w:rPr>
        <w:t xml:space="preserve"> و</w:t>
      </w:r>
      <w:r w:rsidRPr="00E223F5">
        <w:rPr>
          <w:rtl/>
          <w:lang w:val="en-US"/>
        </w:rPr>
        <w:t>13</w:t>
      </w:r>
      <w:r w:rsidRPr="00EE2812">
        <w:rPr>
          <w:rtl/>
          <w:lang w:val="en-US"/>
        </w:rPr>
        <w:t xml:space="preserve"> و</w:t>
      </w:r>
      <w:r w:rsidRPr="00E223F5">
        <w:rPr>
          <w:rtl/>
          <w:lang w:val="en-US"/>
        </w:rPr>
        <w:t>1</w:t>
      </w:r>
      <w:r w:rsidR="006853C9" w:rsidRPr="00E223F5">
        <w:rPr>
          <w:rtl/>
          <w:lang w:val="en-US"/>
        </w:rPr>
        <w:t>6</w:t>
      </w:r>
      <w:r w:rsidR="006853C9" w:rsidRPr="006853C9">
        <w:rPr>
          <w:rtl/>
          <w:lang w:val="en-US"/>
        </w:rPr>
        <w:t>).</w:t>
      </w:r>
    </w:p>
    <w:p w14:paraId="3FB65213" w14:textId="6B0CFA86" w:rsidR="00EE2812" w:rsidRPr="007F0FC8" w:rsidRDefault="00EE2812" w:rsidP="00EE2812">
      <w:pPr>
        <w:pStyle w:val="SingleTxtGA"/>
        <w:rPr>
          <w:b/>
          <w:bCs/>
          <w:lang w:val="en-US"/>
        </w:rPr>
      </w:pPr>
      <w:r w:rsidRPr="00E223F5">
        <w:rPr>
          <w:rtl/>
          <w:lang w:val="en-US"/>
        </w:rPr>
        <w:t>30</w:t>
      </w:r>
      <w:r w:rsidRPr="007F0FC8">
        <w:rPr>
          <w:rtl/>
          <w:lang w:val="en-US"/>
        </w:rPr>
        <w:t>-</w:t>
      </w:r>
      <w:r w:rsidRPr="007F0FC8">
        <w:rPr>
          <w:rtl/>
          <w:lang w:val="en-US"/>
        </w:rPr>
        <w:tab/>
      </w:r>
      <w:r w:rsidRPr="007F0FC8">
        <w:rPr>
          <w:b/>
          <w:bCs/>
          <w:rtl/>
          <w:lang w:val="en-US"/>
        </w:rPr>
        <w:t>ينبغي أن تتخذ الدولة الطرف تدابير ترمي إلى تدعيم آليات الشكاوى المعمول بها بالحرص على تمكين اللجوء إليها سر</w:t>
      </w:r>
      <w:r w:rsidR="00F25086">
        <w:rPr>
          <w:b/>
          <w:bCs/>
          <w:rtl/>
          <w:lang w:val="en-US"/>
        </w:rPr>
        <w:t xml:space="preserve">اً </w:t>
      </w:r>
      <w:r w:rsidRPr="007F0FC8">
        <w:rPr>
          <w:b/>
          <w:bCs/>
          <w:rtl/>
          <w:lang w:val="en-US"/>
        </w:rPr>
        <w:t>ومن دون عوائق وفي كنف الخصوصية التامة وضمان حماية أصحاب الشكاوى من أي تخويف أو أعمال انتقامية بسبب تقديم شكاواهم.</w:t>
      </w:r>
    </w:p>
    <w:p w14:paraId="507769B5" w14:textId="77777777" w:rsidR="00EE2812" w:rsidRPr="00E223F5" w:rsidRDefault="00EE2812" w:rsidP="00C15D20">
      <w:pPr>
        <w:pStyle w:val="H23GA"/>
      </w:pPr>
      <w:r w:rsidRPr="00E223F5">
        <w:rPr>
          <w:rtl/>
        </w:rPr>
        <w:tab/>
      </w:r>
      <w:r w:rsidRPr="00E223F5">
        <w:rPr>
          <w:rtl/>
        </w:rPr>
        <w:tab/>
        <w:t xml:space="preserve">الأشخاص ذوو الإعاقة في المؤسسات المغلقة </w:t>
      </w:r>
    </w:p>
    <w:p w14:paraId="11560E7B" w14:textId="1AA1990F" w:rsidR="006853C9" w:rsidRPr="006853C9" w:rsidRDefault="00EE2812" w:rsidP="00EE2812">
      <w:pPr>
        <w:pStyle w:val="SingleTxtGA"/>
        <w:rPr>
          <w:lang w:val="en-US"/>
        </w:rPr>
      </w:pPr>
      <w:r w:rsidRPr="00E223F5">
        <w:rPr>
          <w:rtl/>
          <w:lang w:val="en-US"/>
        </w:rPr>
        <w:t>31</w:t>
      </w:r>
      <w:r w:rsidRPr="007F0FC8">
        <w:rPr>
          <w:rtl/>
          <w:lang w:val="en-US"/>
        </w:rPr>
        <w:t>-</w:t>
      </w:r>
      <w:r w:rsidRPr="007F0FC8">
        <w:rPr>
          <w:rtl/>
          <w:lang w:val="en-US"/>
        </w:rPr>
        <w:tab/>
      </w:r>
      <w:r w:rsidRPr="00EE2812">
        <w:rPr>
          <w:rtl/>
          <w:lang w:val="en-US"/>
        </w:rPr>
        <w:t xml:space="preserve">يساور اللجنة قلق بالغ إزاء تشريعات الدولة الطرف التي تسمح بإيداع الأشخاص ذوي </w:t>
      </w:r>
      <w:proofErr w:type="gramStart"/>
      <w:r w:rsidRPr="00EE2812">
        <w:rPr>
          <w:rtl/>
          <w:lang w:val="en-US"/>
        </w:rPr>
        <w:t>الإعاقة</w:t>
      </w:r>
      <w:r w:rsidR="006853C9" w:rsidRPr="00E223F5">
        <w:rPr>
          <w:vertAlign w:val="superscript"/>
          <w:rtl/>
        </w:rPr>
        <w:t>(</w:t>
      </w:r>
      <w:proofErr w:type="gramEnd"/>
      <w:r w:rsidR="006853C9" w:rsidRPr="00E223F5">
        <w:rPr>
          <w:vertAlign w:val="superscript"/>
          <w:lang w:val="en-AU"/>
        </w:rPr>
        <w:footnoteReference w:id="24"/>
      </w:r>
      <w:r w:rsidR="006853C9" w:rsidRPr="006853C9">
        <w:rPr>
          <w:vertAlign w:val="superscript"/>
          <w:rtl/>
          <w:lang w:val="en-US"/>
        </w:rPr>
        <w:t>)</w:t>
      </w:r>
      <w:r w:rsidR="006853C9" w:rsidRPr="006853C9">
        <w:rPr>
          <w:rtl/>
          <w:lang w:val="en-US"/>
        </w:rPr>
        <w:t xml:space="preserve">، </w:t>
      </w:r>
      <w:r w:rsidRPr="00EE2812">
        <w:rPr>
          <w:rtl/>
          <w:lang w:val="en-US"/>
        </w:rPr>
        <w:t>بمن فيهم الأطفال، في المستشفيات قسر</w:t>
      </w:r>
      <w:r w:rsidR="00F25086">
        <w:rPr>
          <w:rtl/>
          <w:lang w:val="en-US"/>
        </w:rPr>
        <w:t xml:space="preserve">اً </w:t>
      </w:r>
      <w:r w:rsidRPr="00EE2812">
        <w:rPr>
          <w:rtl/>
          <w:lang w:val="en-US"/>
        </w:rPr>
        <w:t>إمّا لأغراض المراقبة أو للعلاج، وإزاء عدم إمكانية اللجوء إلى آليات فعالة لتقديم الشكاوى في هذه المؤسسات المغلقة، لا سيما في حالة الأشخاص ذوي الأهلية القانونية المحدودة. كما يساورها بالغ القلق إزاء الادعاءات الخطيرة المتعلقة بالعنف البدني، والتخدير القسري، واستخدام زنزانات العزل، واللجوء إلى تقييد الحركة، وإهمال الأطفال والشباب ذوي الإعاقة في مؤسسات الإيواء الحكومية، وإزاء ارتفاع عدد الموظفين (</w:t>
      </w:r>
      <w:r w:rsidRPr="00E223F5">
        <w:rPr>
          <w:rtl/>
          <w:lang w:val="en-US"/>
        </w:rPr>
        <w:t>70</w:t>
      </w:r>
      <w:r w:rsidR="006853C9" w:rsidRPr="00E223F5">
        <w:rPr>
          <w:rtl/>
          <w:lang w:val="en-US"/>
        </w:rPr>
        <w:t>0</w:t>
      </w:r>
      <w:r w:rsidR="006853C9" w:rsidRPr="006853C9">
        <w:rPr>
          <w:rtl/>
          <w:lang w:val="en-US"/>
        </w:rPr>
        <w:t xml:space="preserve">) </w:t>
      </w:r>
      <w:r w:rsidRPr="00EE2812">
        <w:rPr>
          <w:rtl/>
          <w:lang w:val="en-US"/>
        </w:rPr>
        <w:t xml:space="preserve">الذين استهدفتهم إجراءات إدارية وتأديبية في الفترة ما بين عامي </w:t>
      </w:r>
      <w:r w:rsidRPr="00E223F5">
        <w:rPr>
          <w:rtl/>
          <w:lang w:val="en-US"/>
        </w:rPr>
        <w:t>2019</w:t>
      </w:r>
      <w:r w:rsidRPr="00EE2812">
        <w:rPr>
          <w:rtl/>
          <w:lang w:val="en-US"/>
        </w:rPr>
        <w:t xml:space="preserve"> و</w:t>
      </w:r>
      <w:r w:rsidRPr="00E223F5">
        <w:rPr>
          <w:rtl/>
          <w:lang w:val="en-US"/>
        </w:rPr>
        <w:t>2021</w:t>
      </w:r>
      <w:r w:rsidRPr="00EE2812">
        <w:rPr>
          <w:rtl/>
          <w:lang w:val="en-US"/>
        </w:rPr>
        <w:t>، لأسباب تشمل الضرب والتعذيب، مقارنة بالعدد المحدود من أحكام الإدانة الصادرة في حقهم (</w:t>
      </w:r>
      <w:proofErr w:type="gramStart"/>
      <w:r w:rsidRPr="00E223F5">
        <w:rPr>
          <w:rtl/>
          <w:lang w:val="en-US"/>
        </w:rPr>
        <w:t>22</w:t>
      </w:r>
      <w:r w:rsidRPr="00EE2812">
        <w:rPr>
          <w:rtl/>
          <w:lang w:val="en-US"/>
        </w:rPr>
        <w:t>)</w:t>
      </w:r>
      <w:r w:rsidR="006853C9" w:rsidRPr="00E223F5">
        <w:rPr>
          <w:vertAlign w:val="superscript"/>
          <w:rtl/>
        </w:rPr>
        <w:t>(</w:t>
      </w:r>
      <w:proofErr w:type="gramEnd"/>
      <w:r w:rsidR="006853C9" w:rsidRPr="00E223F5">
        <w:rPr>
          <w:vertAlign w:val="superscript"/>
          <w:lang w:val="en-AU"/>
        </w:rPr>
        <w:footnoteReference w:id="25"/>
      </w:r>
      <w:r w:rsidR="006853C9" w:rsidRPr="006853C9">
        <w:rPr>
          <w:vertAlign w:val="superscript"/>
          <w:rtl/>
          <w:lang w:val="en-US"/>
        </w:rPr>
        <w:t>)</w:t>
      </w:r>
      <w:r w:rsidR="006853C9" w:rsidRPr="006853C9">
        <w:rPr>
          <w:rtl/>
          <w:lang w:val="en-US"/>
        </w:rPr>
        <w:t xml:space="preserve">. </w:t>
      </w:r>
      <w:r w:rsidRPr="00EE2812">
        <w:rPr>
          <w:rtl/>
          <w:lang w:val="en-US"/>
        </w:rPr>
        <w:t>وتأسف اللجنة لوفاة أربعة أطفال ذوي إعاقة في</w:t>
      </w:r>
      <w:r w:rsidR="00467056">
        <w:rPr>
          <w:rFonts w:hint="cs"/>
          <w:rtl/>
          <w:lang w:val="en-US"/>
        </w:rPr>
        <w:t> </w:t>
      </w:r>
      <w:r w:rsidRPr="00EE2812">
        <w:rPr>
          <w:rtl/>
          <w:lang w:val="en-US"/>
        </w:rPr>
        <w:t xml:space="preserve">مؤسسة حكومية في </w:t>
      </w:r>
      <w:proofErr w:type="spellStart"/>
      <w:r w:rsidRPr="00EE2812">
        <w:rPr>
          <w:rtl/>
          <w:lang w:val="en-US"/>
        </w:rPr>
        <w:t>أياغوز</w:t>
      </w:r>
      <w:proofErr w:type="spellEnd"/>
      <w:r w:rsidRPr="00EE2812">
        <w:rPr>
          <w:rtl/>
          <w:lang w:val="en-US"/>
        </w:rPr>
        <w:t xml:space="preserve"> وترحب بالإجراءات الجنائية التي بوشرت في هذا </w:t>
      </w:r>
      <w:proofErr w:type="gramStart"/>
      <w:r w:rsidRPr="00EE2812">
        <w:rPr>
          <w:rtl/>
          <w:lang w:val="en-US"/>
        </w:rPr>
        <w:t>الخصوص</w:t>
      </w:r>
      <w:r w:rsidR="006853C9" w:rsidRPr="00E223F5">
        <w:rPr>
          <w:vertAlign w:val="superscript"/>
          <w:rtl/>
        </w:rPr>
        <w:t>(</w:t>
      </w:r>
      <w:proofErr w:type="gramEnd"/>
      <w:r w:rsidR="006853C9" w:rsidRPr="00E223F5">
        <w:rPr>
          <w:vertAlign w:val="superscript"/>
          <w:lang w:val="en-AU"/>
        </w:rPr>
        <w:footnoteReference w:id="26"/>
      </w:r>
      <w:r w:rsidR="006853C9" w:rsidRPr="006853C9">
        <w:rPr>
          <w:vertAlign w:val="superscript"/>
          <w:rtl/>
          <w:lang w:val="en-US"/>
        </w:rPr>
        <w:t>)</w:t>
      </w:r>
      <w:r w:rsidR="006853C9" w:rsidRPr="006853C9">
        <w:rPr>
          <w:rtl/>
          <w:lang w:val="en-US"/>
        </w:rPr>
        <w:t xml:space="preserve">. </w:t>
      </w:r>
      <w:r w:rsidRPr="00EE2812">
        <w:rPr>
          <w:rtl/>
          <w:lang w:val="en-US"/>
        </w:rPr>
        <w:lastRenderedPageBreak/>
        <w:t>وأخير</w:t>
      </w:r>
      <w:r w:rsidR="00F25086">
        <w:rPr>
          <w:rtl/>
          <w:lang w:val="en-US"/>
        </w:rPr>
        <w:t>اً،</w:t>
      </w:r>
      <w:r w:rsidR="00467056">
        <w:rPr>
          <w:rFonts w:hint="cs"/>
          <w:rtl/>
          <w:lang w:val="en-US"/>
        </w:rPr>
        <w:t> </w:t>
      </w:r>
      <w:r w:rsidRPr="00EE2812">
        <w:rPr>
          <w:rtl/>
          <w:lang w:val="en-US"/>
        </w:rPr>
        <w:t>يساور اللجنة القلق إزاء التقارير التي تفيد بعدم تقديم خدمات دعم متخصص للأحداث الجانحين ذوي الإعاقات الذهنية أو الإعاقات النفسية الاجتماعية الذين شُخِّصت إصابتهم ب</w:t>
      </w:r>
      <w:r w:rsidR="00886A54">
        <w:rPr>
          <w:rFonts w:hint="cs"/>
          <w:rtl/>
          <w:lang w:val="en-US"/>
        </w:rPr>
        <w:t>‍ </w:t>
      </w:r>
      <w:r w:rsidRPr="00EE2812">
        <w:rPr>
          <w:rtl/>
          <w:lang w:val="en-US"/>
        </w:rPr>
        <w:t xml:space="preserve">"اضطرابات عقلية". وعلمت اللجنة بحالة تدعو إلى القلق وتتعلق بحدث أُخضع لتدابير طبية إلزامية وأودع في زنزانة انفرادية في جناح للأمراض النفسية مخصص للكبار (المواد </w:t>
      </w:r>
      <w:r w:rsidRPr="00E223F5">
        <w:rPr>
          <w:rtl/>
          <w:lang w:val="en-US"/>
        </w:rPr>
        <w:t>2</w:t>
      </w:r>
      <w:r w:rsidRPr="00EE2812">
        <w:rPr>
          <w:rtl/>
          <w:lang w:val="en-US"/>
        </w:rPr>
        <w:t xml:space="preserve"> و</w:t>
      </w:r>
      <w:r w:rsidRPr="00E223F5">
        <w:rPr>
          <w:rtl/>
          <w:lang w:val="en-US"/>
        </w:rPr>
        <w:t>11</w:t>
      </w:r>
      <w:r w:rsidRPr="00EE2812">
        <w:rPr>
          <w:rtl/>
          <w:lang w:val="en-US"/>
        </w:rPr>
        <w:t xml:space="preserve"> و</w:t>
      </w:r>
      <w:r w:rsidRPr="00E223F5">
        <w:rPr>
          <w:rtl/>
          <w:lang w:val="en-US"/>
        </w:rPr>
        <w:t>13</w:t>
      </w:r>
      <w:r w:rsidRPr="00EE2812">
        <w:rPr>
          <w:rtl/>
          <w:lang w:val="en-US"/>
        </w:rPr>
        <w:t xml:space="preserve"> و</w:t>
      </w:r>
      <w:r w:rsidRPr="00E223F5">
        <w:rPr>
          <w:rtl/>
          <w:lang w:val="en-US"/>
        </w:rPr>
        <w:t>1</w:t>
      </w:r>
      <w:r w:rsidR="006853C9" w:rsidRPr="00E223F5">
        <w:rPr>
          <w:rtl/>
          <w:lang w:val="en-US"/>
        </w:rPr>
        <w:t>6</w:t>
      </w:r>
      <w:r w:rsidR="006853C9" w:rsidRPr="006853C9">
        <w:rPr>
          <w:rtl/>
          <w:lang w:val="en-US"/>
        </w:rPr>
        <w:t>).</w:t>
      </w:r>
    </w:p>
    <w:p w14:paraId="09848708" w14:textId="2D764D11" w:rsidR="00EE2812" w:rsidRPr="007F0FC8" w:rsidRDefault="00EE2812" w:rsidP="00886A54">
      <w:pPr>
        <w:pStyle w:val="SingleTxtGA"/>
        <w:spacing w:line="342" w:lineRule="exact"/>
        <w:rPr>
          <w:b/>
          <w:bCs/>
          <w:lang w:val="en-US"/>
        </w:rPr>
      </w:pPr>
      <w:r w:rsidRPr="00E223F5">
        <w:rPr>
          <w:rtl/>
          <w:lang w:val="en-US"/>
        </w:rPr>
        <w:t>32</w:t>
      </w:r>
      <w:r w:rsidRPr="007F0FC8">
        <w:rPr>
          <w:rtl/>
          <w:lang w:val="en-US"/>
        </w:rPr>
        <w:t>-</w:t>
      </w:r>
      <w:r w:rsidRPr="007F0FC8">
        <w:rPr>
          <w:rtl/>
          <w:lang w:val="en-US"/>
        </w:rPr>
        <w:tab/>
      </w:r>
      <w:r w:rsidRPr="007F0FC8">
        <w:rPr>
          <w:b/>
          <w:bCs/>
          <w:rtl/>
          <w:lang w:val="en-US"/>
        </w:rPr>
        <w:t>توصي اللجنة الدولة الطرف بما يلي:</w:t>
      </w:r>
    </w:p>
    <w:p w14:paraId="7E30E947" w14:textId="77777777" w:rsidR="00EE2812" w:rsidRPr="007F0FC8" w:rsidRDefault="00EE2812" w:rsidP="00886A54">
      <w:pPr>
        <w:pStyle w:val="SingleTxtGA"/>
        <w:spacing w:line="342" w:lineRule="exact"/>
        <w:rPr>
          <w:b/>
          <w:bCs/>
          <w:lang w:val="en-US"/>
        </w:rPr>
      </w:pPr>
      <w:r w:rsidRPr="007F0FC8">
        <w:rPr>
          <w:rtl/>
          <w:lang w:val="en-US"/>
        </w:rPr>
        <w:tab/>
        <w:t>(</w:t>
      </w:r>
      <w:r w:rsidRPr="007F0FC8">
        <w:rPr>
          <w:rtl/>
          <w:lang w:val="en-US"/>
        </w:rPr>
        <w:t>أ)</w:t>
      </w:r>
      <w:r w:rsidRPr="007F0FC8">
        <w:rPr>
          <w:rtl/>
          <w:lang w:val="en-US"/>
        </w:rPr>
        <w:tab/>
      </w:r>
      <w:r w:rsidRPr="007F0FC8">
        <w:rPr>
          <w:b/>
          <w:bCs/>
          <w:rtl/>
          <w:lang w:val="en-US"/>
        </w:rPr>
        <w:t xml:space="preserve">تفادي ممارسة الإيداع القسري في مؤسسات مغلقة لأسباب طبية، وضمان عدم اللجوء إلى هذه الممارسة ما لم يكن ذلك تدبيراً يكتسي طابع الضرورة القصوى، ويشكل الملاذ الأخير، ويدوم أقصر مدة ممكنة، ويقترن بضمانات إجرائية وموضوعية مناسبة، مثل المراقبة الطبية والقضائية </w:t>
      </w:r>
      <w:r w:rsidRPr="00E223F5">
        <w:rPr>
          <w:rFonts w:ascii="Times New Roman Bold" w:hAnsi="Times New Roman Bold"/>
          <w:b/>
          <w:bCs/>
          <w:spacing w:val="-4"/>
          <w:rtl/>
          <w:lang w:val="en-US"/>
        </w:rPr>
        <w:t>الأولية والدورية، وضمان إمكانية استفادة الجميع، بمن فيهم الأشخاص ذوو الأهلية القانونية المحدودة،</w:t>
      </w:r>
      <w:r w:rsidRPr="007F0FC8">
        <w:rPr>
          <w:b/>
          <w:bCs/>
          <w:rtl/>
          <w:lang w:val="en-US"/>
        </w:rPr>
        <w:t xml:space="preserve"> قانوناً وممارسةً، من آليات تقديم الشكاوى؛ </w:t>
      </w:r>
    </w:p>
    <w:p w14:paraId="0C5BC12D" w14:textId="77777777" w:rsidR="00EE2812" w:rsidRPr="00467056" w:rsidRDefault="00EE2812" w:rsidP="00886A54">
      <w:pPr>
        <w:pStyle w:val="SingleTxtGA"/>
        <w:spacing w:line="342" w:lineRule="exact"/>
        <w:rPr>
          <w:rFonts w:ascii="Times New Roman Bold" w:hAnsi="Times New Roman Bold"/>
          <w:b/>
          <w:bCs/>
          <w:spacing w:val="-4"/>
          <w:lang w:val="en-US"/>
        </w:rPr>
      </w:pPr>
      <w:r w:rsidRPr="007F0FC8">
        <w:rPr>
          <w:rtl/>
          <w:lang w:val="en-US"/>
        </w:rPr>
        <w:tab/>
        <w:t>(</w:t>
      </w:r>
      <w:r w:rsidRPr="007F0FC8">
        <w:rPr>
          <w:rtl/>
          <w:lang w:val="en-US"/>
        </w:rPr>
        <w:t>ب)</w:t>
      </w:r>
      <w:r w:rsidRPr="007F0FC8">
        <w:rPr>
          <w:rtl/>
          <w:lang w:val="en-US"/>
        </w:rPr>
        <w:tab/>
      </w:r>
      <w:r w:rsidRPr="00467056">
        <w:rPr>
          <w:rFonts w:ascii="Times New Roman Bold" w:hAnsi="Times New Roman Bold"/>
          <w:b/>
          <w:bCs/>
          <w:spacing w:val="-4"/>
          <w:rtl/>
          <w:lang w:val="en-US"/>
        </w:rPr>
        <w:t xml:space="preserve">وضع سياسة عامة تهدف إلى تفادي إيداع الأطفال والمراهقين في مؤسسات الرعاية ودعم الأسر وتقديم الخدمات المجتمعية المناسبة، وضمان عدم السماح بتدبير فصل الأطفال عن أسرهم لأغراض تتعلق بالحماية أو الاحتجاز أو السجن إلا في حالات استثنائية ولأقصر فترة زمنية ممكنة؛ </w:t>
      </w:r>
    </w:p>
    <w:p w14:paraId="4B38F099" w14:textId="42798157" w:rsidR="00EE2812" w:rsidRPr="007F0FC8" w:rsidRDefault="00EE2812" w:rsidP="00886A54">
      <w:pPr>
        <w:pStyle w:val="SingleTxtGA"/>
        <w:spacing w:line="342" w:lineRule="exact"/>
        <w:rPr>
          <w:b/>
          <w:bCs/>
          <w:lang w:val="en-US"/>
        </w:rPr>
      </w:pPr>
      <w:r w:rsidRPr="007F0FC8">
        <w:rPr>
          <w:rtl/>
          <w:lang w:val="en-US"/>
        </w:rPr>
        <w:tab/>
        <w:t>(</w:t>
      </w:r>
      <w:r w:rsidRPr="007F0FC8">
        <w:rPr>
          <w:rtl/>
          <w:lang w:val="en-US"/>
        </w:rPr>
        <w:t>ج)</w:t>
      </w:r>
      <w:r w:rsidRPr="007F0FC8">
        <w:rPr>
          <w:rtl/>
          <w:lang w:val="en-US"/>
        </w:rPr>
        <w:tab/>
      </w:r>
      <w:r w:rsidRPr="007F0FC8">
        <w:rPr>
          <w:b/>
          <w:bCs/>
          <w:rtl/>
          <w:lang w:val="en-US"/>
        </w:rPr>
        <w:t>ضمان عدم احتجاز أو سجن الأحداث الجانحين ذوي الإعاقات الذهنية أو الإعاقات النفسية الاجتماعية الذين شُخِّصت إصابتهم ب</w:t>
      </w:r>
      <w:r w:rsidR="00F25086">
        <w:rPr>
          <w:rFonts w:hint="cs"/>
          <w:b/>
          <w:bCs/>
          <w:rtl/>
          <w:lang w:val="en-US"/>
        </w:rPr>
        <w:t>‍ </w:t>
      </w:r>
      <w:r w:rsidRPr="007F0FC8">
        <w:rPr>
          <w:b/>
          <w:bCs/>
          <w:rtl/>
          <w:lang w:val="en-US"/>
        </w:rPr>
        <w:t xml:space="preserve">"اضطرابات عقلية" في أجنحة الطب النفسي للبالغين، </w:t>
      </w:r>
      <w:r w:rsidRPr="00886A54">
        <w:rPr>
          <w:rFonts w:ascii="Times New Roman Bold" w:hAnsi="Times New Roman Bold"/>
          <w:b/>
          <w:bCs/>
          <w:spacing w:val="-2"/>
          <w:rtl/>
          <w:lang w:val="en-US"/>
        </w:rPr>
        <w:t>وتوجيههم إلى المرافق الصحية المناسبة حيث يمكنهم تلقي المتابعة والعلاج النفسيين، إذا دعت الحاجة،</w:t>
      </w:r>
      <w:r w:rsidRPr="007F0FC8">
        <w:rPr>
          <w:b/>
          <w:bCs/>
          <w:rtl/>
          <w:lang w:val="en-US"/>
        </w:rPr>
        <w:t xml:space="preserve"> وتزويدهم بالسكن الملائم والدعم النفسي والاجتماعي؛</w:t>
      </w:r>
    </w:p>
    <w:p w14:paraId="34F7EF92" w14:textId="6272FE17" w:rsidR="00EE2812" w:rsidRPr="007F0FC8" w:rsidRDefault="00EE2812" w:rsidP="00886A54">
      <w:pPr>
        <w:pStyle w:val="SingleTxtGA"/>
        <w:spacing w:line="342" w:lineRule="exact"/>
        <w:rPr>
          <w:b/>
          <w:bCs/>
          <w:lang w:val="en-US"/>
        </w:rPr>
      </w:pPr>
      <w:r w:rsidRPr="007F0FC8">
        <w:rPr>
          <w:rtl/>
          <w:lang w:val="en-US"/>
        </w:rPr>
        <w:tab/>
        <w:t>(</w:t>
      </w:r>
      <w:r w:rsidRPr="007F0FC8">
        <w:rPr>
          <w:rtl/>
          <w:lang w:val="en-US"/>
        </w:rPr>
        <w:t>د)</w:t>
      </w:r>
      <w:r w:rsidRPr="007F0FC8">
        <w:rPr>
          <w:rtl/>
          <w:lang w:val="en-US"/>
        </w:rPr>
        <w:tab/>
      </w:r>
      <w:r w:rsidRPr="007F0FC8">
        <w:rPr>
          <w:b/>
          <w:bCs/>
          <w:rtl/>
          <w:lang w:val="en-US"/>
        </w:rPr>
        <w:t xml:space="preserve">إجراء تحقيقات سريعة ووافية ونزيهة في جميع ادعاءات انتهاكات حقوق الإنسان </w:t>
      </w:r>
      <w:r w:rsidRPr="00467056">
        <w:rPr>
          <w:rFonts w:ascii="Times New Roman Bold" w:hAnsi="Times New Roman Bold"/>
          <w:b/>
          <w:bCs/>
          <w:spacing w:val="-4"/>
          <w:rtl/>
          <w:lang w:val="en-US"/>
        </w:rPr>
        <w:t>في مؤسسات الإيواء الحكومية الخاصة بالأطفال، وإحالة المسؤولين عنها إلى العدالة وإنصاف الضحايا؛</w:t>
      </w:r>
      <w:r w:rsidRPr="007F0FC8">
        <w:rPr>
          <w:b/>
          <w:bCs/>
          <w:rtl/>
          <w:lang w:val="en-US"/>
        </w:rPr>
        <w:t xml:space="preserve"> وضمان التنظيم الصارم لاستخدام المثبطات الكيميائية وتقييد الحركة؛ والحرص على قيام الآلية الوقائية الوطنية بزيارات منتظمة إلى هذه المؤسسات بالتعاون مع المفوض(ة) المعني(ة) بحقوق الطفل.</w:t>
      </w:r>
    </w:p>
    <w:p w14:paraId="26AE7887" w14:textId="33413BDD" w:rsidR="00EE2812" w:rsidRPr="00E223F5" w:rsidRDefault="00C15D20" w:rsidP="00C15D20">
      <w:pPr>
        <w:pStyle w:val="H23GA"/>
      </w:pPr>
      <w:r w:rsidRPr="00E223F5">
        <w:rPr>
          <w:rtl/>
        </w:rPr>
        <w:tab/>
      </w:r>
      <w:r w:rsidR="00EE2812" w:rsidRPr="00E223F5">
        <w:rPr>
          <w:rtl/>
        </w:rPr>
        <w:tab/>
        <w:t>جبر الضرر</w:t>
      </w:r>
    </w:p>
    <w:p w14:paraId="377DF5F0" w14:textId="6E119BA5" w:rsidR="006853C9" w:rsidRPr="006853C9" w:rsidRDefault="00EE2812" w:rsidP="00886A54">
      <w:pPr>
        <w:pStyle w:val="SingleTxtGA"/>
        <w:spacing w:line="342" w:lineRule="exact"/>
        <w:rPr>
          <w:lang w:val="en-US"/>
        </w:rPr>
      </w:pPr>
      <w:r w:rsidRPr="00E223F5">
        <w:rPr>
          <w:rtl/>
          <w:lang w:val="en-US"/>
        </w:rPr>
        <w:t>33</w:t>
      </w:r>
      <w:r w:rsidRPr="007F0FC8">
        <w:rPr>
          <w:rtl/>
          <w:lang w:val="en-US"/>
        </w:rPr>
        <w:t>-</w:t>
      </w:r>
      <w:r w:rsidRPr="007F0FC8">
        <w:rPr>
          <w:rtl/>
          <w:lang w:val="en-US"/>
        </w:rPr>
        <w:tab/>
      </w:r>
      <w:r w:rsidRPr="00467056">
        <w:rPr>
          <w:spacing w:val="-2"/>
          <w:rtl/>
          <w:lang w:val="en-US"/>
        </w:rPr>
        <w:t>في حين تحيط اللجنة علم</w:t>
      </w:r>
      <w:r w:rsidR="00F25086" w:rsidRPr="00467056">
        <w:rPr>
          <w:spacing w:val="-2"/>
          <w:rtl/>
          <w:lang w:val="en-US"/>
        </w:rPr>
        <w:t xml:space="preserve">اً </w:t>
      </w:r>
      <w:r w:rsidRPr="00467056">
        <w:rPr>
          <w:spacing w:val="-2"/>
          <w:rtl/>
          <w:lang w:val="en-US"/>
        </w:rPr>
        <w:t xml:space="preserve">باعتماد القانون رقم </w:t>
      </w:r>
      <w:r w:rsidRPr="00E223F5">
        <w:rPr>
          <w:spacing w:val="-2"/>
          <w:rtl/>
          <w:lang w:val="en-US"/>
        </w:rPr>
        <w:t>131</w:t>
      </w:r>
      <w:r w:rsidRPr="00467056">
        <w:rPr>
          <w:spacing w:val="-2"/>
          <w:rtl/>
          <w:lang w:val="en-US"/>
        </w:rPr>
        <w:t>-</w:t>
      </w:r>
      <w:r w:rsidRPr="00467056">
        <w:rPr>
          <w:spacing w:val="-2"/>
          <w:lang w:val="en-US"/>
        </w:rPr>
        <w:t>VІ ZRK</w:t>
      </w:r>
      <w:r w:rsidRPr="00467056">
        <w:rPr>
          <w:spacing w:val="-2"/>
          <w:rtl/>
          <w:lang w:val="en-US"/>
        </w:rPr>
        <w:t xml:space="preserve"> بشأن صندوق تعويض الضحايا،</w:t>
      </w:r>
      <w:r w:rsidRPr="00EE2812">
        <w:rPr>
          <w:rtl/>
          <w:lang w:val="en-US"/>
        </w:rPr>
        <w:t xml:space="preserve"> وانخفاض مبالغ التعويض النقدي المقدمة من الصندوق إلى ضحايا التعذيب، فإنها تشعر بالقلق إزاء عدم مدّ هؤلاء الضحايا بالجبر الشامل والمساعدة في إعادة التأهيل. وإلى جانب ذلك، تعرب اللجنة عن أسفها إذ تلاحظ أن التوصيات الواردة في عدة قرارات اعتمدتها فيما يتعلق بالبلاغات الفردية المتعلقة بالدولة </w:t>
      </w:r>
      <w:proofErr w:type="gramStart"/>
      <w:r w:rsidRPr="00EE2812">
        <w:rPr>
          <w:rtl/>
          <w:lang w:val="en-US"/>
        </w:rPr>
        <w:t>الطرف</w:t>
      </w:r>
      <w:r w:rsidR="006853C9" w:rsidRPr="00E223F5">
        <w:rPr>
          <w:vertAlign w:val="superscript"/>
          <w:rtl/>
        </w:rPr>
        <w:t>(</w:t>
      </w:r>
      <w:proofErr w:type="gramEnd"/>
      <w:r w:rsidR="006853C9" w:rsidRPr="00E223F5">
        <w:rPr>
          <w:vertAlign w:val="superscript"/>
          <w:lang w:val="en-AU"/>
        </w:rPr>
        <w:footnoteReference w:id="27"/>
      </w:r>
      <w:r w:rsidR="006853C9" w:rsidRPr="006853C9">
        <w:rPr>
          <w:vertAlign w:val="superscript"/>
          <w:rtl/>
          <w:lang w:val="en-US"/>
        </w:rPr>
        <w:t>)</w:t>
      </w:r>
      <w:r w:rsidR="006853C9" w:rsidRPr="006853C9">
        <w:rPr>
          <w:rtl/>
          <w:lang w:val="en-US"/>
        </w:rPr>
        <w:t xml:space="preserve">، </w:t>
      </w:r>
      <w:r w:rsidRPr="00EE2812">
        <w:rPr>
          <w:rtl/>
          <w:lang w:val="en-US"/>
        </w:rPr>
        <w:t xml:space="preserve">وفي الآراء التي اعتمدتها هيئات معاهدات الأمم المتحدة الأخرى بشأن المعاهدات التي هي طرف فيها، لا تزال تنتظر التنفيذ، وأن الدولة الطرف لم تبلغ اللجنة بالنتائج التي توصّل إليها الفريق العامل المنشأ من أجل وضع آلية قانونية ترمي إلى تنفيذ هذه التوصيات (المادتان </w:t>
      </w:r>
      <w:r w:rsidRPr="00E223F5">
        <w:rPr>
          <w:rtl/>
          <w:lang w:val="en-US"/>
        </w:rPr>
        <w:t>2</w:t>
      </w:r>
      <w:r w:rsidRPr="00EE2812">
        <w:rPr>
          <w:rtl/>
          <w:lang w:val="en-US"/>
        </w:rPr>
        <w:t xml:space="preserve"> و</w:t>
      </w:r>
      <w:r w:rsidRPr="00E223F5">
        <w:rPr>
          <w:rtl/>
          <w:lang w:val="en-US"/>
        </w:rPr>
        <w:t>1</w:t>
      </w:r>
      <w:r w:rsidR="006853C9" w:rsidRPr="00E223F5">
        <w:rPr>
          <w:rtl/>
          <w:lang w:val="en-US"/>
        </w:rPr>
        <w:t>4</w:t>
      </w:r>
      <w:r w:rsidR="006853C9" w:rsidRPr="006853C9">
        <w:rPr>
          <w:rtl/>
          <w:lang w:val="en-US"/>
        </w:rPr>
        <w:t>).</w:t>
      </w:r>
    </w:p>
    <w:p w14:paraId="0F1C2CB3" w14:textId="218E1C34" w:rsidR="00EE2812" w:rsidRPr="007F0FC8" w:rsidRDefault="00EE2812" w:rsidP="00886A54">
      <w:pPr>
        <w:pStyle w:val="SingleTxtGA"/>
        <w:spacing w:line="342" w:lineRule="exact"/>
        <w:rPr>
          <w:b/>
          <w:bCs/>
          <w:lang w:val="en-US"/>
        </w:rPr>
      </w:pPr>
      <w:r w:rsidRPr="00E223F5">
        <w:rPr>
          <w:rtl/>
          <w:lang w:val="en-US"/>
        </w:rPr>
        <w:t>34</w:t>
      </w:r>
      <w:r w:rsidRPr="007F0FC8">
        <w:rPr>
          <w:rtl/>
          <w:lang w:val="en-US"/>
        </w:rPr>
        <w:t>-</w:t>
      </w:r>
      <w:r w:rsidRPr="007F0FC8">
        <w:rPr>
          <w:rtl/>
          <w:lang w:val="en-US"/>
        </w:rPr>
        <w:tab/>
      </w:r>
      <w:r w:rsidRPr="007F0FC8">
        <w:rPr>
          <w:b/>
          <w:bCs/>
          <w:rtl/>
          <w:lang w:val="en-US"/>
        </w:rPr>
        <w:t xml:space="preserve">إن اللجنة، إذ تشير إلى تعليقها العام رقم </w:t>
      </w:r>
      <w:r w:rsidRPr="00E223F5">
        <w:rPr>
          <w:b/>
          <w:bCs/>
          <w:rtl/>
          <w:lang w:val="en-US"/>
        </w:rPr>
        <w:t>3</w:t>
      </w:r>
      <w:r w:rsidRPr="007F0FC8">
        <w:rPr>
          <w:b/>
          <w:bCs/>
          <w:rtl/>
          <w:lang w:val="en-US"/>
        </w:rPr>
        <w:t>(</w:t>
      </w:r>
      <w:r w:rsidRPr="00E223F5">
        <w:rPr>
          <w:b/>
          <w:bCs/>
          <w:rtl/>
          <w:lang w:val="en-US"/>
        </w:rPr>
        <w:t>201</w:t>
      </w:r>
      <w:r w:rsidR="006853C9" w:rsidRPr="00E223F5">
        <w:rPr>
          <w:b/>
          <w:bCs/>
          <w:rtl/>
          <w:lang w:val="en-US"/>
        </w:rPr>
        <w:t>2</w:t>
      </w:r>
      <w:r w:rsidR="006853C9" w:rsidRPr="006853C9">
        <w:rPr>
          <w:b/>
          <w:bCs/>
          <w:rtl/>
          <w:lang w:val="en-US"/>
        </w:rPr>
        <w:t xml:space="preserve">) </w:t>
      </w:r>
      <w:r w:rsidRPr="007F0FC8">
        <w:rPr>
          <w:b/>
          <w:bCs/>
          <w:rtl/>
          <w:lang w:val="en-US"/>
        </w:rPr>
        <w:t xml:space="preserve">بشأن تنفيذ المادة </w:t>
      </w:r>
      <w:r w:rsidRPr="00E223F5">
        <w:rPr>
          <w:b/>
          <w:bCs/>
          <w:rtl/>
          <w:lang w:val="en-US"/>
        </w:rPr>
        <w:t>14</w:t>
      </w:r>
      <w:r w:rsidRPr="007F0FC8">
        <w:rPr>
          <w:b/>
          <w:bCs/>
          <w:rtl/>
          <w:lang w:val="en-US"/>
        </w:rPr>
        <w:t xml:space="preserve"> من الاتفاقية، توصي بأن تتخذ الدولة الطرف المزيد من التدابير من أجل إنشاء برنامج شامل يمكّن ضحايا التعذيب من جبر الضرر ويمنحهم حق</w:t>
      </w:r>
      <w:r w:rsidR="00F25086">
        <w:rPr>
          <w:b/>
          <w:bCs/>
          <w:rtl/>
          <w:lang w:val="en-US"/>
        </w:rPr>
        <w:t xml:space="preserve">اً </w:t>
      </w:r>
      <w:r w:rsidRPr="007F0FC8">
        <w:rPr>
          <w:b/>
          <w:bCs/>
          <w:rtl/>
          <w:lang w:val="en-US"/>
        </w:rPr>
        <w:t>قابل</w:t>
      </w:r>
      <w:r w:rsidR="00F25086">
        <w:rPr>
          <w:b/>
          <w:bCs/>
          <w:rtl/>
          <w:lang w:val="en-US"/>
        </w:rPr>
        <w:t xml:space="preserve">اً </w:t>
      </w:r>
      <w:r w:rsidRPr="007F0FC8">
        <w:rPr>
          <w:b/>
          <w:bCs/>
          <w:rtl/>
          <w:lang w:val="en-US"/>
        </w:rPr>
        <w:t xml:space="preserve">للإنفاذ في تعويض عادل ومناسب، بما يشمل وسائل إعادة تأهيلهم على أكمل وجه ممكن، إضافة إلى التعويض المقدم من صندوق تعويض الضحايا. وإضافة إلى ذلك، ينبغي أن تنفذ </w:t>
      </w:r>
      <w:r w:rsidRPr="007F0FC8">
        <w:rPr>
          <w:b/>
          <w:bCs/>
          <w:spacing w:val="-4"/>
          <w:rtl/>
          <w:lang w:val="en-US"/>
        </w:rPr>
        <w:t xml:space="preserve">الدولة الطرف التوصيات الواردة في الآراء التي اعتمدتها هيئات معاهدات الأمم المتحدة بشأن البلاغات الفردية بغية إنصاف الضحايا، وأن تضع آلية مناسبة لهذا التنفيذ، وأن تنشر تقاريرها واستنتاجاتها الشاملة بانتظام. </w:t>
      </w:r>
    </w:p>
    <w:p w14:paraId="46EB7F35" w14:textId="68A257C3" w:rsidR="00EE2812" w:rsidRPr="00E223F5" w:rsidRDefault="00EE2812" w:rsidP="00C15D20">
      <w:pPr>
        <w:pStyle w:val="H23GA"/>
      </w:pPr>
      <w:r w:rsidRPr="00E223F5">
        <w:rPr>
          <w:rtl/>
        </w:rPr>
        <w:lastRenderedPageBreak/>
        <w:tab/>
      </w:r>
      <w:r w:rsidRPr="00E223F5">
        <w:rPr>
          <w:rtl/>
        </w:rPr>
        <w:tab/>
        <w:t>نظام اللجوء وعدم الإعادة القسرية</w:t>
      </w:r>
    </w:p>
    <w:p w14:paraId="50D7209E" w14:textId="2F792412" w:rsidR="006853C9" w:rsidRPr="006853C9" w:rsidRDefault="00EE2812" w:rsidP="00EE2812">
      <w:pPr>
        <w:pStyle w:val="SingleTxtGA"/>
        <w:rPr>
          <w:lang w:val="en-US"/>
        </w:rPr>
      </w:pPr>
      <w:r w:rsidRPr="00E223F5">
        <w:rPr>
          <w:rtl/>
          <w:lang w:val="en-US"/>
        </w:rPr>
        <w:t>35</w:t>
      </w:r>
      <w:r w:rsidRPr="007F0FC8">
        <w:rPr>
          <w:rtl/>
          <w:lang w:val="en-US"/>
        </w:rPr>
        <w:t>-</w:t>
      </w:r>
      <w:r w:rsidRPr="007F0FC8">
        <w:rPr>
          <w:rtl/>
          <w:lang w:val="en-US"/>
        </w:rPr>
        <w:tab/>
      </w:r>
      <w:r w:rsidRPr="00EE2812">
        <w:rPr>
          <w:rtl/>
          <w:lang w:val="en-US"/>
        </w:rPr>
        <w:t>تحيط اللجنة علم</w:t>
      </w:r>
      <w:r w:rsidR="00F25086">
        <w:rPr>
          <w:rtl/>
          <w:lang w:val="en-US"/>
        </w:rPr>
        <w:t xml:space="preserve">اً </w:t>
      </w:r>
      <w:r w:rsidRPr="00EE2812">
        <w:rPr>
          <w:rtl/>
          <w:lang w:val="en-US"/>
        </w:rPr>
        <w:t>بالجهود التي تبذلها الدولة الطرف من أجل إتاحة الحماية للأشخاص ملتمسي اللجوء والأشخاص عديمي الجنسية، غير أنها تشعر بالقلق لأن الأحكام ذات الصلة من القانون الجنائي وقانون الجرائم الإدارية التي تنظّم الطرد والترحيل بسبب العبور غير القانوني لحدود الدولة أو انتهاك تشريعات الهجرة لا تتضمن بنود</w:t>
      </w:r>
      <w:r w:rsidR="00F25086">
        <w:rPr>
          <w:rtl/>
          <w:lang w:val="en-US"/>
        </w:rPr>
        <w:t xml:space="preserve">اً </w:t>
      </w:r>
      <w:r w:rsidRPr="00EE2812">
        <w:rPr>
          <w:rtl/>
          <w:lang w:val="en-US"/>
        </w:rPr>
        <w:t xml:space="preserve">بشأن منع الإعادة القسرية. ونتيجة لذلك، لا يعفى ملتمسو اللجوء من المسؤولية الإدارية والجنائية في حالة الدخول غير القانوني أو استخدام وثائق مزورة أو الإقامة غير القانونية في إقليم الدولة الطرف، حتى وإن كانت الإجراءات الخاصة بهم فيما يتعلق بقرار الحماية الدولية لا تزال متواصلة. وفي حين تلاحظ اللجنة أن التشريع الوطني ينص على إمكانية تقديم طلب اللجوء على الحدود، فإنها تشعر بالقلق لأن الإجراء المعمول به يفتقر إلى تعليمات مفصلة بشأن إحالة ملتمسي اللجوء من سلطات الحدود، بما في ذلك في المطارات الدولية ومناطق العبور، إلى الهيئات التنفيذية </w:t>
      </w:r>
      <w:proofErr w:type="gramStart"/>
      <w:r w:rsidRPr="00EE2812">
        <w:rPr>
          <w:rtl/>
          <w:lang w:val="en-US"/>
        </w:rPr>
        <w:t>المحلية</w:t>
      </w:r>
      <w:r w:rsidR="006853C9" w:rsidRPr="00E223F5">
        <w:rPr>
          <w:vertAlign w:val="superscript"/>
          <w:rtl/>
        </w:rPr>
        <w:t>(</w:t>
      </w:r>
      <w:proofErr w:type="gramEnd"/>
      <w:r w:rsidR="006853C9" w:rsidRPr="00E223F5">
        <w:rPr>
          <w:vertAlign w:val="superscript"/>
          <w:lang w:val="en-AU"/>
        </w:rPr>
        <w:footnoteReference w:id="28"/>
      </w:r>
      <w:r w:rsidR="006853C9" w:rsidRPr="006853C9">
        <w:rPr>
          <w:vertAlign w:val="superscript"/>
          <w:rtl/>
          <w:lang w:val="en-US"/>
        </w:rPr>
        <w:t>)</w:t>
      </w:r>
      <w:r w:rsidR="006853C9" w:rsidRPr="006853C9">
        <w:rPr>
          <w:rtl/>
          <w:lang w:val="en-US"/>
        </w:rPr>
        <w:t xml:space="preserve">. </w:t>
      </w:r>
      <w:r w:rsidRPr="00EE2812">
        <w:rPr>
          <w:rtl/>
          <w:lang w:val="en-US"/>
        </w:rPr>
        <w:t>وأخير</w:t>
      </w:r>
      <w:r w:rsidR="00F25086">
        <w:rPr>
          <w:rtl/>
          <w:lang w:val="en-US"/>
        </w:rPr>
        <w:t>اً،</w:t>
      </w:r>
      <w:r w:rsidRPr="00EE2812">
        <w:rPr>
          <w:rtl/>
          <w:lang w:val="en-US"/>
        </w:rPr>
        <w:t xml:space="preserve"> تلاحظ اللجنة أن الدولة الطرف لم تنضم بعد إلى اتفاقية عام </w:t>
      </w:r>
      <w:r w:rsidRPr="00E223F5">
        <w:rPr>
          <w:rtl/>
          <w:lang w:val="en-US"/>
        </w:rPr>
        <w:t>1954</w:t>
      </w:r>
      <w:r w:rsidRPr="00EE2812">
        <w:rPr>
          <w:rtl/>
          <w:lang w:val="en-US"/>
        </w:rPr>
        <w:t xml:space="preserve"> المتعلقة بوضع الأشخاص عديمي الجنسية أو اتفاقية عام </w:t>
      </w:r>
      <w:r w:rsidRPr="00E223F5">
        <w:rPr>
          <w:rtl/>
          <w:lang w:val="en-US"/>
        </w:rPr>
        <w:t>1961</w:t>
      </w:r>
      <w:r w:rsidRPr="00EE2812">
        <w:rPr>
          <w:rtl/>
          <w:lang w:val="en-US"/>
        </w:rPr>
        <w:t xml:space="preserve"> بشأن خفض حالات انعدام الجنسية (المواد </w:t>
      </w:r>
      <w:r w:rsidRPr="00E223F5">
        <w:rPr>
          <w:rtl/>
          <w:lang w:val="en-US"/>
        </w:rPr>
        <w:t>2</w:t>
      </w:r>
      <w:r w:rsidRPr="00EE2812">
        <w:rPr>
          <w:rtl/>
          <w:lang w:val="en-US"/>
        </w:rPr>
        <w:t xml:space="preserve"> و</w:t>
      </w:r>
      <w:r w:rsidRPr="00E223F5">
        <w:rPr>
          <w:rtl/>
          <w:lang w:val="en-US"/>
        </w:rPr>
        <w:t>3</w:t>
      </w:r>
      <w:r w:rsidRPr="00EE2812">
        <w:rPr>
          <w:rtl/>
          <w:lang w:val="en-US"/>
        </w:rPr>
        <w:t xml:space="preserve"> و</w:t>
      </w:r>
      <w:r w:rsidRPr="00E223F5">
        <w:rPr>
          <w:rtl/>
          <w:lang w:val="en-US"/>
        </w:rPr>
        <w:t>1</w:t>
      </w:r>
      <w:r w:rsidR="006853C9" w:rsidRPr="00E223F5">
        <w:rPr>
          <w:rtl/>
          <w:lang w:val="en-US"/>
        </w:rPr>
        <w:t>6</w:t>
      </w:r>
      <w:r w:rsidR="006853C9" w:rsidRPr="006853C9">
        <w:rPr>
          <w:rtl/>
          <w:lang w:val="en-US"/>
        </w:rPr>
        <w:t>).</w:t>
      </w:r>
    </w:p>
    <w:p w14:paraId="533C0DF8" w14:textId="1E74AB60" w:rsidR="00EE2812" w:rsidRPr="007F0FC8" w:rsidRDefault="00EE2812" w:rsidP="00EE2812">
      <w:pPr>
        <w:pStyle w:val="SingleTxtGA"/>
        <w:rPr>
          <w:b/>
          <w:bCs/>
          <w:lang w:val="en-US"/>
        </w:rPr>
      </w:pPr>
      <w:r w:rsidRPr="00E223F5">
        <w:rPr>
          <w:rtl/>
          <w:lang w:val="en-US"/>
        </w:rPr>
        <w:t>36</w:t>
      </w:r>
      <w:r w:rsidRPr="007F0FC8">
        <w:rPr>
          <w:rtl/>
          <w:lang w:val="en-US"/>
        </w:rPr>
        <w:t>-</w:t>
      </w:r>
      <w:r w:rsidRPr="007F0FC8">
        <w:rPr>
          <w:rtl/>
          <w:lang w:val="en-US"/>
        </w:rPr>
        <w:tab/>
      </w:r>
      <w:r w:rsidRPr="007F0FC8">
        <w:rPr>
          <w:b/>
          <w:bCs/>
          <w:rtl/>
          <w:lang w:val="en-US"/>
        </w:rPr>
        <w:t>ينبغي أن تكفل الدولة الطرف عدم طرد أي شخص أو إعادته أو تسليمه إلى دولة أخرى عند وجود أسباب وجيهة تدعو إلى اعتقاد أنه سيواجه خطر</w:t>
      </w:r>
      <w:r w:rsidR="00F25086">
        <w:rPr>
          <w:b/>
          <w:bCs/>
          <w:rtl/>
          <w:lang w:val="en-US"/>
        </w:rPr>
        <w:t xml:space="preserve">اً </w:t>
      </w:r>
      <w:r w:rsidRPr="007F0FC8">
        <w:rPr>
          <w:b/>
          <w:bCs/>
          <w:rtl/>
          <w:lang w:val="en-US"/>
        </w:rPr>
        <w:t>شخصي</w:t>
      </w:r>
      <w:r w:rsidR="00F25086">
        <w:rPr>
          <w:b/>
          <w:bCs/>
          <w:rtl/>
          <w:lang w:val="en-US"/>
        </w:rPr>
        <w:t xml:space="preserve">اً </w:t>
      </w:r>
      <w:r w:rsidRPr="007F0FC8">
        <w:rPr>
          <w:b/>
          <w:bCs/>
          <w:rtl/>
          <w:lang w:val="en-US"/>
        </w:rPr>
        <w:t>ومتوقع</w:t>
      </w:r>
      <w:r w:rsidR="00F25086">
        <w:rPr>
          <w:b/>
          <w:bCs/>
          <w:rtl/>
          <w:lang w:val="en-US"/>
        </w:rPr>
        <w:t xml:space="preserve">اً </w:t>
      </w:r>
      <w:r w:rsidRPr="007F0FC8">
        <w:rPr>
          <w:b/>
          <w:bCs/>
          <w:rtl/>
          <w:lang w:val="en-US"/>
        </w:rPr>
        <w:t>بالتعرض للتعذيب. وينبغي على وجه الخصوص أن تتخذ الدولة الطرف خطوات تشريعية من أجل تعديل الأحكام القانونية ذات الصلة التي تنظّم الطرد والترحيل بسبب العبور غير القانوني أو انتهاك قوانين الهجرة، وفق</w:t>
      </w:r>
      <w:r w:rsidR="00F25086">
        <w:rPr>
          <w:b/>
          <w:bCs/>
          <w:rtl/>
          <w:lang w:val="en-US"/>
        </w:rPr>
        <w:t xml:space="preserve">اً </w:t>
      </w:r>
      <w:r w:rsidRPr="007F0FC8">
        <w:rPr>
          <w:b/>
          <w:bCs/>
          <w:rtl/>
          <w:lang w:val="en-US"/>
        </w:rPr>
        <w:t>لمبدأ عدم</w:t>
      </w:r>
      <w:r w:rsidR="00E223F5">
        <w:rPr>
          <w:rFonts w:hint="cs"/>
          <w:b/>
          <w:bCs/>
          <w:rtl/>
          <w:lang w:val="en-US"/>
        </w:rPr>
        <w:t> </w:t>
      </w:r>
      <w:r w:rsidRPr="007F0FC8">
        <w:rPr>
          <w:b/>
          <w:bCs/>
          <w:rtl/>
          <w:lang w:val="en-US"/>
        </w:rPr>
        <w:t>الإعادة القسرية. وفي هذا الصدد، ينبغي للدولة الطرف ألا تطرد ملتمسي اللجوء أو اللاجئين من إقليمها إلى أن يصدر بشأنهم قرار نهائي، بما يشمل القرار الصادر في مرحلة الطعن. وينبغي أيض</w:t>
      </w:r>
      <w:r w:rsidR="00F25086">
        <w:rPr>
          <w:b/>
          <w:bCs/>
          <w:rtl/>
          <w:lang w:val="en-US"/>
        </w:rPr>
        <w:t xml:space="preserve">اً </w:t>
      </w:r>
      <w:r w:rsidRPr="007F0FC8">
        <w:rPr>
          <w:b/>
          <w:bCs/>
          <w:rtl/>
          <w:lang w:val="en-US"/>
        </w:rPr>
        <w:t>أن تضع الدولة الطرف إجراءً يتعلق باللجوء والإحالة يكون متاح</w:t>
      </w:r>
      <w:r w:rsidR="00F25086">
        <w:rPr>
          <w:b/>
          <w:bCs/>
          <w:rtl/>
          <w:lang w:val="en-US"/>
        </w:rPr>
        <w:t xml:space="preserve">اً </w:t>
      </w:r>
      <w:r w:rsidRPr="007F0FC8">
        <w:rPr>
          <w:b/>
          <w:bCs/>
          <w:rtl/>
          <w:lang w:val="en-US"/>
        </w:rPr>
        <w:t xml:space="preserve">في جميع النقاط الحدودية. وتشجع اللجنة الدولة الطرف على الانضمام إلى اتفاقية عام </w:t>
      </w:r>
      <w:r w:rsidRPr="00E223F5">
        <w:rPr>
          <w:b/>
          <w:bCs/>
          <w:rtl/>
          <w:lang w:val="en-US"/>
        </w:rPr>
        <w:t>1954</w:t>
      </w:r>
      <w:r w:rsidRPr="007F0FC8">
        <w:rPr>
          <w:b/>
          <w:bCs/>
          <w:rtl/>
          <w:lang w:val="en-US"/>
        </w:rPr>
        <w:t xml:space="preserve"> المتعلقة بوضع الأشخاص عديمي الجنسية واتفاقية عام </w:t>
      </w:r>
      <w:r w:rsidRPr="00E223F5">
        <w:rPr>
          <w:b/>
          <w:bCs/>
          <w:rtl/>
          <w:lang w:val="en-US"/>
        </w:rPr>
        <w:t>1961</w:t>
      </w:r>
      <w:r w:rsidRPr="007F0FC8">
        <w:rPr>
          <w:b/>
          <w:bCs/>
          <w:rtl/>
          <w:lang w:val="en-US"/>
        </w:rPr>
        <w:t xml:space="preserve"> المتعلقة بخفض حالات انعدام الجنسية.</w:t>
      </w:r>
    </w:p>
    <w:p w14:paraId="41F0C733" w14:textId="370DC2CF" w:rsidR="00EE2812" w:rsidRPr="00E223F5" w:rsidRDefault="00EE2812" w:rsidP="00C15D20">
      <w:pPr>
        <w:pStyle w:val="H23GA"/>
      </w:pPr>
      <w:r w:rsidRPr="00E223F5">
        <w:rPr>
          <w:rtl/>
        </w:rPr>
        <w:tab/>
      </w:r>
      <w:r w:rsidRPr="00E223F5">
        <w:rPr>
          <w:rtl/>
        </w:rPr>
        <w:tab/>
        <w:t>العنف الجنساني، بما في ذلك العنف العائلي</w:t>
      </w:r>
    </w:p>
    <w:p w14:paraId="4D16BCC7" w14:textId="72D05056" w:rsidR="00EE2812" w:rsidRPr="00EE2812" w:rsidRDefault="00EE2812" w:rsidP="00EE2812">
      <w:pPr>
        <w:pStyle w:val="SingleTxtGA"/>
        <w:rPr>
          <w:lang w:val="en-US"/>
        </w:rPr>
      </w:pPr>
      <w:r w:rsidRPr="00E223F5">
        <w:rPr>
          <w:rtl/>
          <w:lang w:val="en-US"/>
        </w:rPr>
        <w:t>37</w:t>
      </w:r>
      <w:r w:rsidRPr="007F0FC8">
        <w:rPr>
          <w:rtl/>
          <w:lang w:val="en-US"/>
        </w:rPr>
        <w:t>-</w:t>
      </w:r>
      <w:r w:rsidRPr="007F0FC8">
        <w:rPr>
          <w:rtl/>
          <w:lang w:val="en-US"/>
        </w:rPr>
        <w:tab/>
      </w:r>
      <w:r w:rsidRPr="00EE2812">
        <w:rPr>
          <w:rtl/>
          <w:lang w:val="en-US"/>
        </w:rPr>
        <w:t>ترحب اللجنة بإنشاء مراكز أزمات وملاجئ لضحايا العنف العائلي في كل منطقة والعدد المتزايد من المحققات، وتحيط علم</w:t>
      </w:r>
      <w:r w:rsidR="00F25086">
        <w:rPr>
          <w:rtl/>
          <w:lang w:val="en-US"/>
        </w:rPr>
        <w:t xml:space="preserve">اً </w:t>
      </w:r>
      <w:r w:rsidRPr="00EE2812">
        <w:rPr>
          <w:rtl/>
          <w:lang w:val="en-US"/>
        </w:rPr>
        <w:t xml:space="preserve">بالتعديلات التي أدخلت على قانون منع العنف العائلي في عام </w:t>
      </w:r>
      <w:r w:rsidRPr="00E223F5">
        <w:rPr>
          <w:rtl/>
          <w:lang w:val="en-US"/>
        </w:rPr>
        <w:t>202</w:t>
      </w:r>
      <w:r w:rsidR="006853C9" w:rsidRPr="00E223F5">
        <w:rPr>
          <w:rtl/>
          <w:lang w:val="en-US"/>
        </w:rPr>
        <w:t>0</w:t>
      </w:r>
      <w:r w:rsidR="006853C9" w:rsidRPr="006853C9">
        <w:rPr>
          <w:rtl/>
          <w:lang w:val="en-US"/>
        </w:rPr>
        <w:t xml:space="preserve">. </w:t>
      </w:r>
      <w:r w:rsidRPr="00EE2812">
        <w:rPr>
          <w:rtl/>
          <w:lang w:val="en-US"/>
        </w:rPr>
        <w:t>ومع</w:t>
      </w:r>
      <w:r w:rsidR="00F25086">
        <w:rPr>
          <w:rFonts w:hint="cs"/>
          <w:rtl/>
          <w:lang w:val="en-US"/>
        </w:rPr>
        <w:t> </w:t>
      </w:r>
      <w:r w:rsidRPr="00EE2812">
        <w:rPr>
          <w:rtl/>
          <w:lang w:val="en-US"/>
        </w:rPr>
        <w:t xml:space="preserve">ذلك، لا تزال اللجنة تشعر بالقلق لأن العنف العائلي لم يُجرَّم بعد بوصفه جريمة قائمة </w:t>
      </w:r>
      <w:proofErr w:type="gramStart"/>
      <w:r w:rsidRPr="00EE2812">
        <w:rPr>
          <w:rtl/>
          <w:lang w:val="en-US"/>
        </w:rPr>
        <w:t>بذاتها</w:t>
      </w:r>
      <w:r w:rsidR="006853C9" w:rsidRPr="00E223F5">
        <w:rPr>
          <w:vertAlign w:val="superscript"/>
          <w:rtl/>
        </w:rPr>
        <w:t>(</w:t>
      </w:r>
      <w:proofErr w:type="gramEnd"/>
      <w:r w:rsidR="006853C9" w:rsidRPr="00E223F5">
        <w:rPr>
          <w:vertAlign w:val="superscript"/>
          <w:lang w:val="en-AU"/>
        </w:rPr>
        <w:footnoteReference w:id="29"/>
      </w:r>
      <w:r w:rsidR="006853C9" w:rsidRPr="006853C9">
        <w:rPr>
          <w:vertAlign w:val="superscript"/>
          <w:rtl/>
          <w:lang w:val="en-US"/>
        </w:rPr>
        <w:t>)</w:t>
      </w:r>
      <w:r w:rsidR="006853C9" w:rsidRPr="006853C9">
        <w:rPr>
          <w:rtl/>
          <w:lang w:val="en-US"/>
        </w:rPr>
        <w:t xml:space="preserve">، </w:t>
      </w:r>
      <w:r w:rsidRPr="00EE2812">
        <w:rPr>
          <w:rtl/>
          <w:lang w:val="en-US"/>
        </w:rPr>
        <w:t xml:space="preserve">ولأن الوصم الاجتماعي المرتبط به يتسبب في انخفاض عدد الحالات المبلغ عنها. وإلى جانب ذلك، تبيّن المعلومات التي تلقتها اللجنة تدنّي معدل التحقيقات والملاحقات القضائية مقارنة بارتفاع العدد المقدّر للوفيات والإصابات الناجمة عن العنف العائلي (المواد </w:t>
      </w:r>
      <w:r w:rsidRPr="00E223F5">
        <w:rPr>
          <w:rtl/>
          <w:lang w:val="en-US"/>
        </w:rPr>
        <w:t>2</w:t>
      </w:r>
      <w:r w:rsidRPr="00EE2812">
        <w:rPr>
          <w:rtl/>
          <w:lang w:val="en-US"/>
        </w:rPr>
        <w:t xml:space="preserve"> ومن </w:t>
      </w:r>
      <w:r w:rsidRPr="00E223F5">
        <w:rPr>
          <w:rtl/>
          <w:lang w:val="en-US"/>
        </w:rPr>
        <w:t>12</w:t>
      </w:r>
      <w:r w:rsidRPr="00EE2812">
        <w:rPr>
          <w:rtl/>
          <w:lang w:val="en-US"/>
        </w:rPr>
        <w:t xml:space="preserve"> إلى </w:t>
      </w:r>
      <w:r w:rsidRPr="00E223F5">
        <w:rPr>
          <w:rtl/>
          <w:lang w:val="en-US"/>
        </w:rPr>
        <w:t>14</w:t>
      </w:r>
      <w:r w:rsidRPr="00EE2812">
        <w:rPr>
          <w:rtl/>
          <w:lang w:val="en-US"/>
        </w:rPr>
        <w:t xml:space="preserve"> و</w:t>
      </w:r>
      <w:r w:rsidRPr="00E223F5">
        <w:rPr>
          <w:rtl/>
          <w:lang w:val="en-US"/>
        </w:rPr>
        <w:t>1</w:t>
      </w:r>
      <w:r w:rsidR="006853C9" w:rsidRPr="00E223F5">
        <w:rPr>
          <w:rtl/>
          <w:lang w:val="en-US"/>
        </w:rPr>
        <w:t>6</w:t>
      </w:r>
      <w:r w:rsidR="006853C9" w:rsidRPr="006853C9">
        <w:rPr>
          <w:rtl/>
          <w:lang w:val="en-US"/>
        </w:rPr>
        <w:t xml:space="preserve">). </w:t>
      </w:r>
    </w:p>
    <w:p w14:paraId="7C55028B" w14:textId="77777777" w:rsidR="00EE2812" w:rsidRPr="007F0FC8" w:rsidRDefault="00EE2812" w:rsidP="00EE2812">
      <w:pPr>
        <w:pStyle w:val="SingleTxtGA"/>
        <w:rPr>
          <w:b/>
          <w:bCs/>
          <w:lang w:val="en-US"/>
        </w:rPr>
      </w:pPr>
      <w:r w:rsidRPr="00E223F5">
        <w:rPr>
          <w:rtl/>
          <w:lang w:val="en-US"/>
        </w:rPr>
        <w:t>38</w:t>
      </w:r>
      <w:r w:rsidRPr="007F0FC8">
        <w:rPr>
          <w:rtl/>
          <w:lang w:val="en-US"/>
        </w:rPr>
        <w:t>-</w:t>
      </w:r>
      <w:r w:rsidRPr="007F0FC8">
        <w:rPr>
          <w:rtl/>
          <w:lang w:val="en-US"/>
        </w:rPr>
        <w:tab/>
      </w:r>
      <w:r w:rsidRPr="007F0FC8">
        <w:rPr>
          <w:b/>
          <w:bCs/>
          <w:rtl/>
          <w:lang w:val="en-US"/>
        </w:rPr>
        <w:t xml:space="preserve">ينبغي أن تعتمد الدولة الطرف تدابير تشريعية وغير تشريعية محددة من أجل تجريم العنف العائلي والعنف الجنساني والقائم على الميل الجنسي ومكافحتهما، وأن تكفل وجود آليات لتشجيع ضحايا العنف الجنسي والجنساني على تقديم شكاواهم، والتحقيق الفوري والشامل والفعال في جميع ادعاءات العنف، ومحاسبة الجناة، وإنصاف الضحايا على النحو المناسب وتمكينهم من الدعم الطبي والنفسي والاجتماعي الملائم. </w:t>
      </w:r>
    </w:p>
    <w:p w14:paraId="644F900C" w14:textId="77777777" w:rsidR="00EE2812" w:rsidRPr="00E223F5" w:rsidRDefault="00EE2812" w:rsidP="00C15D20">
      <w:pPr>
        <w:pStyle w:val="H23GA"/>
      </w:pPr>
      <w:r w:rsidRPr="00E223F5">
        <w:rPr>
          <w:rtl/>
        </w:rPr>
        <w:lastRenderedPageBreak/>
        <w:tab/>
      </w:r>
      <w:r w:rsidRPr="00E223F5">
        <w:rPr>
          <w:rtl/>
        </w:rPr>
        <w:tab/>
        <w:t>العنف بالأشخاص على أساس ميولهم الجنسية وهوياتهم الجنسانية الفعلية أو المتصورة</w:t>
      </w:r>
    </w:p>
    <w:p w14:paraId="021C114A" w14:textId="6A7D0B76" w:rsidR="006853C9" w:rsidRPr="006853C9" w:rsidRDefault="00EE2812" w:rsidP="00EE2812">
      <w:pPr>
        <w:pStyle w:val="SingleTxtGA"/>
        <w:rPr>
          <w:lang w:val="en-US"/>
        </w:rPr>
      </w:pPr>
      <w:r w:rsidRPr="00E223F5">
        <w:rPr>
          <w:rtl/>
          <w:lang w:val="en-US"/>
        </w:rPr>
        <w:t>39</w:t>
      </w:r>
      <w:r w:rsidRPr="007F0FC8">
        <w:rPr>
          <w:rtl/>
          <w:lang w:val="en-US"/>
        </w:rPr>
        <w:t>-</w:t>
      </w:r>
      <w:r w:rsidRPr="007F0FC8">
        <w:rPr>
          <w:rtl/>
          <w:lang w:val="en-US"/>
        </w:rPr>
        <w:tab/>
      </w:r>
      <w:r w:rsidRPr="00EE2812">
        <w:rPr>
          <w:rtl/>
          <w:lang w:val="en-US"/>
        </w:rPr>
        <w:t>تلاحظ اللجنة أيض</w:t>
      </w:r>
      <w:r w:rsidR="00F25086">
        <w:rPr>
          <w:rtl/>
          <w:lang w:val="en-US"/>
        </w:rPr>
        <w:t xml:space="preserve">اً </w:t>
      </w:r>
      <w:r w:rsidRPr="00EE2812">
        <w:rPr>
          <w:rtl/>
          <w:lang w:val="en-US"/>
        </w:rPr>
        <w:t>بقلق ظاهرة العنف بالأفراد على أساس ميولهم الجنسية الفعلية أو المتصورة أو هوياتهم الجنسانية، بمن فيهم المدافعون عن حقوق الإنسان الذين يكافحون هذا النوع من التمييز، كما</w:t>
      </w:r>
      <w:r w:rsidR="00F25086">
        <w:rPr>
          <w:rFonts w:hint="cs"/>
          <w:rtl/>
          <w:lang w:val="en-US"/>
        </w:rPr>
        <w:t> </w:t>
      </w:r>
      <w:r w:rsidRPr="00EE2812">
        <w:rPr>
          <w:rtl/>
          <w:lang w:val="en-US"/>
        </w:rPr>
        <w:t xml:space="preserve">تلاحظ عدم إجراء تحقيقات فعالة في هذه الحالات (المادتان </w:t>
      </w:r>
      <w:r w:rsidRPr="00E223F5">
        <w:rPr>
          <w:rtl/>
          <w:lang w:val="en-US"/>
        </w:rPr>
        <w:t>2</w:t>
      </w:r>
      <w:r w:rsidRPr="00EE2812">
        <w:rPr>
          <w:rtl/>
          <w:lang w:val="en-US"/>
        </w:rPr>
        <w:t xml:space="preserve"> و</w:t>
      </w:r>
      <w:r w:rsidRPr="00E223F5">
        <w:rPr>
          <w:rtl/>
          <w:lang w:val="en-US"/>
        </w:rPr>
        <w:t>1</w:t>
      </w:r>
      <w:r w:rsidR="006853C9" w:rsidRPr="00E223F5">
        <w:rPr>
          <w:rtl/>
          <w:lang w:val="en-US"/>
        </w:rPr>
        <w:t>6</w:t>
      </w:r>
      <w:r w:rsidR="006853C9" w:rsidRPr="006853C9">
        <w:rPr>
          <w:rtl/>
          <w:lang w:val="en-US"/>
        </w:rPr>
        <w:t>).</w:t>
      </w:r>
    </w:p>
    <w:p w14:paraId="0C291053" w14:textId="09CFFB42" w:rsidR="00EE2812" w:rsidRPr="007F0FC8" w:rsidRDefault="00EE2812" w:rsidP="00EE2812">
      <w:pPr>
        <w:pStyle w:val="SingleTxtGA"/>
        <w:rPr>
          <w:b/>
          <w:bCs/>
          <w:lang w:val="en-US"/>
        </w:rPr>
      </w:pPr>
      <w:r w:rsidRPr="00E223F5">
        <w:rPr>
          <w:rtl/>
          <w:lang w:val="en-US"/>
        </w:rPr>
        <w:t>40</w:t>
      </w:r>
      <w:r w:rsidRPr="007F0FC8">
        <w:rPr>
          <w:rtl/>
          <w:lang w:val="en-US"/>
        </w:rPr>
        <w:t>-</w:t>
      </w:r>
      <w:r w:rsidRPr="007F0FC8">
        <w:rPr>
          <w:rtl/>
          <w:lang w:val="en-US"/>
        </w:rPr>
        <w:tab/>
      </w:r>
      <w:r w:rsidRPr="007F0FC8">
        <w:rPr>
          <w:b/>
          <w:bCs/>
          <w:rtl/>
          <w:lang w:val="en-US"/>
        </w:rPr>
        <w:t>ينبغي أن تتخذ الدولة الطرف تدابير فعالة من أجل منع العنف القائم على الميول الجنسية والهوية الجنسانية الحقيقية أو المتصورة وأن تكفل التحقيق في جميع أعمال العنف وملاحقة مرتكبيها على وجه السرعة وبصورة فعالة ونزيهة، وتقديم الجناة إلى العدالة وإنصاف الضحايا.</w:t>
      </w:r>
    </w:p>
    <w:p w14:paraId="1E63EAA4" w14:textId="77777777" w:rsidR="00EE2812" w:rsidRPr="00E223F5" w:rsidRDefault="00EE2812" w:rsidP="00C15D20">
      <w:pPr>
        <w:pStyle w:val="H23GA"/>
      </w:pPr>
      <w:r w:rsidRPr="00E223F5">
        <w:rPr>
          <w:rtl/>
        </w:rPr>
        <w:tab/>
      </w:r>
      <w:r w:rsidRPr="00E223F5">
        <w:rPr>
          <w:rtl/>
        </w:rPr>
        <w:tab/>
        <w:t>الاعتراف القانوني بالنوع الاجتماعي</w:t>
      </w:r>
    </w:p>
    <w:p w14:paraId="0CF6F0DD" w14:textId="4C2CC999" w:rsidR="006853C9" w:rsidRPr="006853C9" w:rsidRDefault="00EE2812" w:rsidP="00EE2812">
      <w:pPr>
        <w:pStyle w:val="SingleTxtGA"/>
        <w:rPr>
          <w:lang w:val="en-US"/>
        </w:rPr>
      </w:pPr>
      <w:r w:rsidRPr="00E223F5">
        <w:rPr>
          <w:rtl/>
          <w:lang w:val="en-US"/>
        </w:rPr>
        <w:t>41</w:t>
      </w:r>
      <w:r w:rsidRPr="007F0FC8">
        <w:rPr>
          <w:rtl/>
          <w:lang w:val="en-US"/>
        </w:rPr>
        <w:t>-</w:t>
      </w:r>
      <w:r w:rsidRPr="007F0FC8">
        <w:rPr>
          <w:rtl/>
          <w:lang w:val="en-US"/>
        </w:rPr>
        <w:tab/>
      </w:r>
      <w:r w:rsidRPr="00EE2812">
        <w:rPr>
          <w:rtl/>
          <w:lang w:val="en-US"/>
        </w:rPr>
        <w:t xml:space="preserve">يساور اللجنة القلق لأن جراحة تغيير الجنس الإلزامية، بما يشمل التعقيم، شرط من شروط الاعتراف القانوني بالنوع الاجتماعي بموجب المادة </w:t>
      </w:r>
      <w:r w:rsidRPr="00E223F5">
        <w:rPr>
          <w:rtl/>
          <w:lang w:val="en-US"/>
        </w:rPr>
        <w:t>257</w:t>
      </w:r>
      <w:r w:rsidRPr="00EE2812">
        <w:rPr>
          <w:rtl/>
          <w:lang w:val="en-US"/>
        </w:rPr>
        <w:t>(</w:t>
      </w:r>
      <w:r w:rsidRPr="00E223F5">
        <w:rPr>
          <w:rtl/>
          <w:lang w:val="en-US"/>
        </w:rPr>
        <w:t>1</w:t>
      </w:r>
      <w:r w:rsidR="006853C9" w:rsidRPr="00E223F5">
        <w:rPr>
          <w:rtl/>
          <w:lang w:val="en-US"/>
        </w:rPr>
        <w:t>3</w:t>
      </w:r>
      <w:r w:rsidR="006853C9" w:rsidRPr="006853C9">
        <w:rPr>
          <w:rtl/>
          <w:lang w:val="en-US"/>
        </w:rPr>
        <w:t xml:space="preserve">) </w:t>
      </w:r>
      <w:r w:rsidRPr="00EE2812">
        <w:rPr>
          <w:rtl/>
          <w:lang w:val="en-US"/>
        </w:rPr>
        <w:t>من قانون الأسرة والزواج، ولأن تشخيص حالة نفسية مرضية ضروريٌ أيض</w:t>
      </w:r>
      <w:r w:rsidR="00F25086">
        <w:rPr>
          <w:rtl/>
          <w:lang w:val="en-US"/>
        </w:rPr>
        <w:t>اً،</w:t>
      </w:r>
      <w:r w:rsidRPr="00EE2812">
        <w:rPr>
          <w:rtl/>
          <w:lang w:val="en-US"/>
        </w:rPr>
        <w:t xml:space="preserve"> كما يساورها القلق لعدم تقديم أيّ دعم نفسي اجتماعي في هذا الصدد (المادة </w:t>
      </w:r>
      <w:r w:rsidRPr="00E223F5">
        <w:rPr>
          <w:rtl/>
          <w:lang w:val="en-US"/>
        </w:rPr>
        <w:t>1</w:t>
      </w:r>
      <w:r w:rsidR="006853C9" w:rsidRPr="00E223F5">
        <w:rPr>
          <w:rtl/>
          <w:lang w:val="en-US"/>
        </w:rPr>
        <w:t>6</w:t>
      </w:r>
      <w:r w:rsidR="006853C9" w:rsidRPr="006853C9">
        <w:rPr>
          <w:rtl/>
          <w:lang w:val="en-US"/>
        </w:rPr>
        <w:t>).</w:t>
      </w:r>
    </w:p>
    <w:p w14:paraId="364A1068" w14:textId="21DD502F" w:rsidR="00EE2812" w:rsidRPr="007F0FC8" w:rsidRDefault="00EE2812" w:rsidP="00EE2812">
      <w:pPr>
        <w:pStyle w:val="SingleTxtGA"/>
        <w:rPr>
          <w:b/>
          <w:bCs/>
          <w:lang w:val="en-US"/>
        </w:rPr>
      </w:pPr>
      <w:r w:rsidRPr="00E223F5">
        <w:rPr>
          <w:rtl/>
          <w:lang w:val="en-US"/>
        </w:rPr>
        <w:t>42</w:t>
      </w:r>
      <w:r w:rsidRPr="007F0FC8">
        <w:rPr>
          <w:rtl/>
          <w:lang w:val="en-US"/>
        </w:rPr>
        <w:t>-</w:t>
      </w:r>
      <w:r w:rsidRPr="007F0FC8">
        <w:rPr>
          <w:rtl/>
          <w:lang w:val="en-US"/>
        </w:rPr>
        <w:tab/>
      </w:r>
      <w:r w:rsidRPr="007F0FC8">
        <w:rPr>
          <w:b/>
          <w:bCs/>
          <w:rtl/>
          <w:lang w:val="en-US"/>
        </w:rPr>
        <w:t xml:space="preserve">ينبغي أن تلغي الدولة الطرف شرط جراحة تغيير الجنس الإلزامية الوارد في المادة </w:t>
      </w:r>
      <w:r w:rsidRPr="00E223F5">
        <w:rPr>
          <w:b/>
          <w:bCs/>
          <w:rtl/>
          <w:lang w:val="en-US"/>
        </w:rPr>
        <w:t>257</w:t>
      </w:r>
      <w:r w:rsidRPr="007F0FC8">
        <w:rPr>
          <w:b/>
          <w:bCs/>
          <w:rtl/>
          <w:lang w:val="en-US"/>
        </w:rPr>
        <w:t>(</w:t>
      </w:r>
      <w:r w:rsidRPr="00E223F5">
        <w:rPr>
          <w:b/>
          <w:bCs/>
          <w:rtl/>
          <w:lang w:val="en-US"/>
        </w:rPr>
        <w:t>1</w:t>
      </w:r>
      <w:r w:rsidR="006853C9" w:rsidRPr="00E223F5">
        <w:rPr>
          <w:b/>
          <w:bCs/>
          <w:rtl/>
          <w:lang w:val="en-US"/>
        </w:rPr>
        <w:t>3</w:t>
      </w:r>
      <w:r w:rsidR="006853C9" w:rsidRPr="006853C9">
        <w:rPr>
          <w:b/>
          <w:bCs/>
          <w:rtl/>
          <w:lang w:val="en-US"/>
        </w:rPr>
        <w:t xml:space="preserve">) </w:t>
      </w:r>
      <w:r w:rsidRPr="007F0FC8">
        <w:rPr>
          <w:b/>
          <w:bCs/>
          <w:rtl/>
          <w:lang w:val="en-US"/>
        </w:rPr>
        <w:t xml:space="preserve">من قانون الأسرة والزواج، وشرط تشخيص حالة نفسية مرضية، وأن تضع إجراءات تتعلق بالاعتراف </w:t>
      </w:r>
      <w:r w:rsidRPr="00886A54">
        <w:rPr>
          <w:rFonts w:ascii="Times New Roman Bold" w:hAnsi="Times New Roman Bold"/>
          <w:b/>
          <w:bCs/>
          <w:spacing w:val="-2"/>
          <w:rtl/>
          <w:lang w:val="en-US"/>
        </w:rPr>
        <w:t>القانوني بالنوع الاجتماعي على أساس عدم التمييز وعلى أساس طوعي، وأن تكفل خدمات تقديم المشورة</w:t>
      </w:r>
      <w:r w:rsidRPr="007F0FC8">
        <w:rPr>
          <w:b/>
          <w:bCs/>
          <w:rtl/>
          <w:lang w:val="en-US"/>
        </w:rPr>
        <w:t xml:space="preserve"> النزيهة والدعم النفسي الاجتماعي. </w:t>
      </w:r>
    </w:p>
    <w:p w14:paraId="52642D7D" w14:textId="77777777" w:rsidR="00EE2812" w:rsidRPr="00E223F5" w:rsidRDefault="00EE2812" w:rsidP="00C15D20">
      <w:pPr>
        <w:pStyle w:val="H23GA"/>
      </w:pPr>
      <w:r w:rsidRPr="00E223F5">
        <w:rPr>
          <w:rtl/>
        </w:rPr>
        <w:tab/>
      </w:r>
      <w:r w:rsidRPr="00E223F5">
        <w:rPr>
          <w:rtl/>
        </w:rPr>
        <w:tab/>
        <w:t>طقوس القبول وإساءة المعاملة في الجيش</w:t>
      </w:r>
    </w:p>
    <w:p w14:paraId="6831E7BA" w14:textId="191F4C1B" w:rsidR="00EE2812" w:rsidRPr="00EE2812" w:rsidRDefault="00EE2812" w:rsidP="00EE2812">
      <w:pPr>
        <w:pStyle w:val="SingleTxtGA"/>
        <w:rPr>
          <w:lang w:val="en-US"/>
        </w:rPr>
      </w:pPr>
      <w:r w:rsidRPr="00E223F5">
        <w:rPr>
          <w:rtl/>
          <w:lang w:val="en-US"/>
        </w:rPr>
        <w:t>43</w:t>
      </w:r>
      <w:r w:rsidRPr="007F0FC8">
        <w:rPr>
          <w:rtl/>
          <w:lang w:val="en-US"/>
        </w:rPr>
        <w:t>-</w:t>
      </w:r>
      <w:r w:rsidRPr="007F0FC8">
        <w:rPr>
          <w:rtl/>
          <w:lang w:val="en-US"/>
        </w:rPr>
        <w:tab/>
      </w:r>
      <w:r w:rsidRPr="00EE2812">
        <w:rPr>
          <w:rtl/>
          <w:lang w:val="en-US"/>
        </w:rPr>
        <w:t xml:space="preserve">لا تزال اللجنة تشعر بالقلق إزاء التقارير التي تفيد بأن طقوس القبول والضغط النفسي يندرجان ضمن الأسباب المحتملة لحالات إيذاء النفس والانتحار والوفاة في صفوف القوات المسلحة، وإزاء ارتفاع معدل الحوادث المسجلة للإصابات والوفيات الذي قدمه الوفد، ولكنها تعرب عن تقديرها للإجراءات الوقائية التي اتُّخذت بهدف معالجة هذه المسائل (المادتان </w:t>
      </w:r>
      <w:r w:rsidRPr="00E223F5">
        <w:rPr>
          <w:rtl/>
          <w:lang w:val="en-US"/>
        </w:rPr>
        <w:t>2</w:t>
      </w:r>
      <w:r w:rsidRPr="00EE2812">
        <w:rPr>
          <w:rtl/>
          <w:lang w:val="en-US"/>
        </w:rPr>
        <w:t xml:space="preserve"> و</w:t>
      </w:r>
      <w:r w:rsidRPr="00E223F5">
        <w:rPr>
          <w:rtl/>
          <w:lang w:val="en-US"/>
        </w:rPr>
        <w:t>1</w:t>
      </w:r>
      <w:r w:rsidR="006853C9" w:rsidRPr="00E223F5">
        <w:rPr>
          <w:rtl/>
          <w:lang w:val="en-US"/>
        </w:rPr>
        <w:t>6</w:t>
      </w:r>
      <w:r w:rsidR="006853C9" w:rsidRPr="006853C9">
        <w:rPr>
          <w:rtl/>
          <w:lang w:val="en-US"/>
        </w:rPr>
        <w:t xml:space="preserve">). </w:t>
      </w:r>
    </w:p>
    <w:p w14:paraId="5D93CA2C" w14:textId="1A27ABBF" w:rsidR="00EE2812" w:rsidRPr="007F0FC8" w:rsidRDefault="00EE2812" w:rsidP="00EE2812">
      <w:pPr>
        <w:pStyle w:val="SingleTxtGA"/>
        <w:rPr>
          <w:b/>
          <w:bCs/>
          <w:lang w:val="en-US"/>
        </w:rPr>
      </w:pPr>
      <w:r w:rsidRPr="00E223F5">
        <w:rPr>
          <w:rtl/>
          <w:lang w:val="en-US"/>
        </w:rPr>
        <w:t>44</w:t>
      </w:r>
      <w:r w:rsidRPr="007F0FC8">
        <w:rPr>
          <w:rtl/>
          <w:lang w:val="en-US"/>
        </w:rPr>
        <w:t>-</w:t>
      </w:r>
      <w:r w:rsidRPr="007F0FC8">
        <w:rPr>
          <w:rtl/>
          <w:lang w:val="en-US"/>
        </w:rPr>
        <w:tab/>
      </w:r>
      <w:r w:rsidRPr="007F0FC8">
        <w:rPr>
          <w:b/>
          <w:bCs/>
          <w:rtl/>
          <w:lang w:val="en-US"/>
        </w:rPr>
        <w:t xml:space="preserve">تكرر اللجنة توصياتها </w:t>
      </w:r>
      <w:proofErr w:type="gramStart"/>
      <w:r w:rsidRPr="007F0FC8">
        <w:rPr>
          <w:b/>
          <w:bCs/>
          <w:rtl/>
          <w:lang w:val="en-US"/>
        </w:rPr>
        <w:t>السابقة</w:t>
      </w:r>
      <w:r w:rsidR="006853C9" w:rsidRPr="00E223F5">
        <w:rPr>
          <w:b/>
          <w:bCs/>
          <w:vertAlign w:val="superscript"/>
          <w:rtl/>
        </w:rPr>
        <w:t>(</w:t>
      </w:r>
      <w:proofErr w:type="gramEnd"/>
      <w:r w:rsidR="006853C9" w:rsidRPr="00E223F5">
        <w:rPr>
          <w:b/>
          <w:bCs/>
          <w:vertAlign w:val="superscript"/>
          <w:lang w:val="en-AU"/>
        </w:rPr>
        <w:footnoteReference w:id="30"/>
      </w:r>
      <w:r w:rsidRPr="007F0FC8">
        <w:rPr>
          <w:b/>
          <w:bCs/>
          <w:vertAlign w:val="superscript"/>
          <w:rtl/>
          <w:lang w:val="en-US"/>
        </w:rPr>
        <w:t>)</w:t>
      </w:r>
      <w:r w:rsidRPr="007F0FC8">
        <w:rPr>
          <w:b/>
          <w:bCs/>
          <w:rtl/>
          <w:lang w:val="en-US"/>
        </w:rPr>
        <w:t xml:space="preserve"> بأن تدعّم الدولة الطرف إجراءاتها الوقائية الرامية إلى </w:t>
      </w:r>
      <w:r w:rsidRPr="00886A54">
        <w:rPr>
          <w:rFonts w:ascii="Times New Roman Bold" w:hAnsi="Times New Roman Bold"/>
          <w:b/>
          <w:bCs/>
          <w:spacing w:val="-2"/>
          <w:rtl/>
          <w:lang w:val="en-US"/>
        </w:rPr>
        <w:t>القضاء على طقوس قبول الموظفين وإساءة معاملتهم، وضمان إجراء تحقيقات فعالة في جميع ادعاءات</w:t>
      </w:r>
      <w:r w:rsidRPr="007F0FC8">
        <w:rPr>
          <w:b/>
          <w:bCs/>
          <w:rtl/>
          <w:lang w:val="en-US"/>
        </w:rPr>
        <w:t xml:space="preserve"> إساءة المعاملة والوفيات في صفوف أفراد الجيش، وملاحقة المسؤولين وإنزال العقوبات المناسبة بهم، وإنصاف الضحايا وأسرهم.</w:t>
      </w:r>
    </w:p>
    <w:p w14:paraId="09BFE0A4" w14:textId="25F7596A" w:rsidR="00EE2812" w:rsidRPr="00E223F5" w:rsidRDefault="00EE2812" w:rsidP="00C15D20">
      <w:pPr>
        <w:pStyle w:val="H23GA"/>
      </w:pPr>
      <w:r w:rsidRPr="00E223F5">
        <w:rPr>
          <w:rtl/>
        </w:rPr>
        <w:tab/>
      </w:r>
      <w:r w:rsidRPr="00E223F5">
        <w:rPr>
          <w:rtl/>
        </w:rPr>
        <w:tab/>
        <w:t>إجراء المتابعة</w:t>
      </w:r>
    </w:p>
    <w:p w14:paraId="2119A136" w14:textId="0F38750F" w:rsidR="00EE2812" w:rsidRPr="007F0FC8" w:rsidRDefault="00EE2812" w:rsidP="00EE2812">
      <w:pPr>
        <w:pStyle w:val="SingleTxtGA"/>
        <w:rPr>
          <w:b/>
          <w:bCs/>
          <w:lang w:val="en-US"/>
        </w:rPr>
      </w:pPr>
      <w:r w:rsidRPr="00E223F5">
        <w:rPr>
          <w:rtl/>
          <w:lang w:val="en-US"/>
        </w:rPr>
        <w:t>45</w:t>
      </w:r>
      <w:r w:rsidRPr="007F0FC8">
        <w:rPr>
          <w:rtl/>
          <w:lang w:val="en-US"/>
        </w:rPr>
        <w:t>-</w:t>
      </w:r>
      <w:r w:rsidRPr="007F0FC8">
        <w:rPr>
          <w:rtl/>
          <w:lang w:val="en-US"/>
        </w:rPr>
        <w:tab/>
      </w:r>
      <w:r w:rsidRPr="007F0FC8">
        <w:rPr>
          <w:b/>
          <w:bCs/>
          <w:rtl/>
          <w:lang w:val="en-US"/>
        </w:rPr>
        <w:t xml:space="preserve">تطلب اللجنة إلى الدولة الطرف أن تقدم، بحلول </w:t>
      </w:r>
      <w:r w:rsidRPr="00E223F5">
        <w:rPr>
          <w:b/>
          <w:bCs/>
          <w:rtl/>
          <w:lang w:val="en-US"/>
        </w:rPr>
        <w:t>12</w:t>
      </w:r>
      <w:r w:rsidRPr="007F0FC8">
        <w:rPr>
          <w:b/>
          <w:bCs/>
          <w:rtl/>
          <w:lang w:val="en-US"/>
        </w:rPr>
        <w:t xml:space="preserve"> أيار/مايو </w:t>
      </w:r>
      <w:r w:rsidRPr="00E223F5">
        <w:rPr>
          <w:b/>
          <w:bCs/>
          <w:rtl/>
          <w:lang w:val="en-US"/>
        </w:rPr>
        <w:t>2024</w:t>
      </w:r>
      <w:r w:rsidRPr="007F0FC8">
        <w:rPr>
          <w:b/>
          <w:bCs/>
          <w:rtl/>
          <w:lang w:val="en-US"/>
        </w:rPr>
        <w:t xml:space="preserve">، معلومات عن متابعتها </w:t>
      </w:r>
      <w:r w:rsidRPr="00F25086">
        <w:rPr>
          <w:rFonts w:ascii="Times New Roman Bold" w:hAnsi="Times New Roman Bold"/>
          <w:b/>
          <w:bCs/>
          <w:spacing w:val="-4"/>
          <w:rtl/>
          <w:lang w:val="en-US"/>
        </w:rPr>
        <w:t xml:space="preserve">توصيات اللجنة بشأن أحداث كانون الثاني/يناير </w:t>
      </w:r>
      <w:r w:rsidRPr="00E223F5">
        <w:rPr>
          <w:rFonts w:ascii="Times New Roman Bold" w:hAnsi="Times New Roman Bold"/>
          <w:b/>
          <w:bCs/>
          <w:spacing w:val="-4"/>
          <w:rtl/>
          <w:lang w:val="en-US"/>
        </w:rPr>
        <w:t>2022</w:t>
      </w:r>
      <w:r w:rsidRPr="00F25086">
        <w:rPr>
          <w:rFonts w:ascii="Times New Roman Bold" w:hAnsi="Times New Roman Bold"/>
          <w:b/>
          <w:bCs/>
          <w:spacing w:val="-4"/>
          <w:rtl/>
          <w:lang w:val="en-US"/>
        </w:rPr>
        <w:t>، وأعمال العنف والوفيات أثناء الاحتجاز، والرعاية</w:t>
      </w:r>
      <w:r w:rsidRPr="007F0FC8">
        <w:rPr>
          <w:b/>
          <w:bCs/>
          <w:rtl/>
          <w:lang w:val="en-US"/>
        </w:rPr>
        <w:t xml:space="preserve"> الصحية في أماكن سلب الحرية، وطقوس القبول وإساءة المعاملة في الجيش (انظر الفقرات </w:t>
      </w:r>
      <w:r w:rsidRPr="00E223F5">
        <w:rPr>
          <w:b/>
          <w:bCs/>
          <w:rtl/>
          <w:lang w:val="en-US"/>
        </w:rPr>
        <w:t>14</w:t>
      </w:r>
      <w:r w:rsidRPr="007F0FC8">
        <w:rPr>
          <w:b/>
          <w:bCs/>
          <w:rtl/>
          <w:lang w:val="en-US"/>
        </w:rPr>
        <w:t>(أ) و</w:t>
      </w:r>
      <w:r w:rsidRPr="00E223F5">
        <w:rPr>
          <w:b/>
          <w:bCs/>
          <w:rtl/>
          <w:lang w:val="en-US"/>
        </w:rPr>
        <w:t>24</w:t>
      </w:r>
      <w:r w:rsidRPr="007F0FC8">
        <w:rPr>
          <w:b/>
          <w:bCs/>
          <w:rtl/>
          <w:lang w:val="en-US"/>
        </w:rPr>
        <w:t>(أ) و</w:t>
      </w:r>
      <w:r w:rsidRPr="00E223F5">
        <w:rPr>
          <w:b/>
          <w:bCs/>
          <w:rtl/>
          <w:lang w:val="en-US"/>
        </w:rPr>
        <w:t>28</w:t>
      </w:r>
      <w:r w:rsidRPr="007F0FC8">
        <w:rPr>
          <w:b/>
          <w:bCs/>
          <w:rtl/>
          <w:lang w:val="en-US"/>
        </w:rPr>
        <w:t xml:space="preserve"> و</w:t>
      </w:r>
      <w:r w:rsidRPr="00E223F5">
        <w:rPr>
          <w:b/>
          <w:bCs/>
          <w:rtl/>
          <w:lang w:val="en-US"/>
        </w:rPr>
        <w:t>44</w:t>
      </w:r>
      <w:r w:rsidRPr="007F0FC8">
        <w:rPr>
          <w:b/>
          <w:bCs/>
          <w:rtl/>
          <w:lang w:val="en-US"/>
        </w:rPr>
        <w:t xml:space="preserve"> الواردة أعلاه</w:t>
      </w:r>
      <w:r w:rsidR="006853C9" w:rsidRPr="006853C9">
        <w:rPr>
          <w:b/>
          <w:bCs/>
          <w:rtl/>
          <w:lang w:val="en-US"/>
        </w:rPr>
        <w:t xml:space="preserve">). </w:t>
      </w:r>
      <w:r w:rsidRPr="007F0FC8">
        <w:rPr>
          <w:b/>
          <w:bCs/>
          <w:rtl/>
          <w:lang w:val="en-US"/>
        </w:rPr>
        <w:t>وفي هذا السياق، تدعو اللجنة الدولة الطرف إلى إعلامها بما لديها من خطط لتنفيذ بعض التوصيات المتبقية الواردة في الملاحظات الختامية أو جميعها، خلال الفترة المشمولة بالتقرير المقبل.</w:t>
      </w:r>
    </w:p>
    <w:p w14:paraId="6F4A5FD8" w14:textId="77777777" w:rsidR="00EE2812" w:rsidRPr="00E223F5" w:rsidRDefault="00EE2812" w:rsidP="001F2088">
      <w:pPr>
        <w:pStyle w:val="H23GA"/>
      </w:pPr>
      <w:r w:rsidRPr="00E223F5">
        <w:rPr>
          <w:rtl/>
        </w:rPr>
        <w:lastRenderedPageBreak/>
        <w:tab/>
      </w:r>
      <w:r w:rsidRPr="00E223F5">
        <w:rPr>
          <w:rtl/>
        </w:rPr>
        <w:tab/>
        <w:t>مسائل أخرى</w:t>
      </w:r>
    </w:p>
    <w:p w14:paraId="134BC966" w14:textId="77777777" w:rsidR="00EE2812" w:rsidRPr="00886A54" w:rsidRDefault="00EE2812" w:rsidP="00EE2812">
      <w:pPr>
        <w:pStyle w:val="SingleTxtGA"/>
        <w:rPr>
          <w:rFonts w:ascii="Times New Roman Bold" w:hAnsi="Times New Roman Bold"/>
          <w:b/>
          <w:bCs/>
          <w:spacing w:val="-4"/>
          <w:lang w:val="en-US"/>
        </w:rPr>
      </w:pPr>
      <w:r w:rsidRPr="00E223F5">
        <w:rPr>
          <w:rtl/>
          <w:lang w:val="en-US"/>
        </w:rPr>
        <w:t>46</w:t>
      </w:r>
      <w:r w:rsidRPr="007F0FC8">
        <w:rPr>
          <w:rtl/>
          <w:lang w:val="en-US"/>
        </w:rPr>
        <w:t>-</w:t>
      </w:r>
      <w:r w:rsidRPr="007F0FC8">
        <w:rPr>
          <w:rtl/>
          <w:lang w:val="en-US"/>
        </w:rPr>
        <w:tab/>
      </w:r>
      <w:r w:rsidRPr="007F0FC8">
        <w:rPr>
          <w:b/>
          <w:bCs/>
          <w:rtl/>
          <w:lang w:val="en-US"/>
        </w:rPr>
        <w:t xml:space="preserve">تشجع اللجنة الدولة الطرف على توجيه دعوات إلى المكلفين بولايات في إطار الإجراءات </w:t>
      </w:r>
      <w:r w:rsidRPr="00886A54">
        <w:rPr>
          <w:rFonts w:ascii="Times New Roman Bold" w:hAnsi="Times New Roman Bold"/>
          <w:b/>
          <w:bCs/>
          <w:spacing w:val="-4"/>
          <w:rtl/>
          <w:lang w:val="en-US"/>
        </w:rPr>
        <w:t>الخاصة التابعة للأمم المتحدة الذين تقدموا بطلبات زيارة، لا سيما الفريق العامل المعني بالاحتجاز التعسفي.</w:t>
      </w:r>
    </w:p>
    <w:p w14:paraId="5D79FF22" w14:textId="77777777" w:rsidR="00EE2812" w:rsidRPr="007F0FC8" w:rsidRDefault="00EE2812" w:rsidP="00EE2812">
      <w:pPr>
        <w:pStyle w:val="SingleTxtGA"/>
        <w:rPr>
          <w:b/>
          <w:bCs/>
          <w:lang w:val="en-US"/>
        </w:rPr>
      </w:pPr>
      <w:r w:rsidRPr="00E223F5">
        <w:rPr>
          <w:rtl/>
          <w:lang w:val="en-US"/>
        </w:rPr>
        <w:t>47</w:t>
      </w:r>
      <w:r w:rsidRPr="007F0FC8">
        <w:rPr>
          <w:rtl/>
          <w:lang w:val="en-US"/>
        </w:rPr>
        <w:t>-</w:t>
      </w:r>
      <w:r w:rsidRPr="007F0FC8">
        <w:rPr>
          <w:rtl/>
          <w:lang w:val="en-US"/>
        </w:rPr>
        <w:tab/>
      </w:r>
      <w:r w:rsidRPr="00886A54">
        <w:rPr>
          <w:rFonts w:ascii="Times New Roman Bold" w:hAnsi="Times New Roman Bold"/>
          <w:b/>
          <w:bCs/>
          <w:spacing w:val="-4"/>
          <w:rtl/>
          <w:lang w:val="en-US"/>
        </w:rPr>
        <w:t>ويُطلب إلى الدولة الطرف أن تنشر على نطاق واسع التقرير المقدّم إلى اللجنة وهذه الملاحظات الختامية، باللغات المناسبة، وذلك عن طريق المواقع الرسمية على الإنترنت ووسائط الإعلام</w:t>
      </w:r>
      <w:r w:rsidRPr="007F0FC8">
        <w:rPr>
          <w:b/>
          <w:bCs/>
          <w:rtl/>
          <w:lang w:val="en-US"/>
        </w:rPr>
        <w:t xml:space="preserve"> والمنظمات غير الحكومية، وأن تُبلغ اللجنةَ بما اضطلعت به من أنشطة النشر.</w:t>
      </w:r>
    </w:p>
    <w:p w14:paraId="2C3D9438" w14:textId="0713D568" w:rsidR="00EE2812" w:rsidRPr="007F0FC8" w:rsidRDefault="00EE2812" w:rsidP="00EE2812">
      <w:pPr>
        <w:pStyle w:val="SingleTxtGA"/>
        <w:rPr>
          <w:b/>
          <w:bCs/>
          <w:lang w:val="en-US"/>
        </w:rPr>
      </w:pPr>
      <w:r w:rsidRPr="00E223F5">
        <w:rPr>
          <w:rtl/>
          <w:lang w:val="en-US"/>
        </w:rPr>
        <w:t>48</w:t>
      </w:r>
      <w:r w:rsidRPr="007F0FC8">
        <w:rPr>
          <w:rtl/>
          <w:lang w:val="en-US"/>
        </w:rPr>
        <w:t>-</w:t>
      </w:r>
      <w:r w:rsidRPr="007F0FC8">
        <w:rPr>
          <w:rtl/>
          <w:lang w:val="en-US"/>
        </w:rPr>
        <w:tab/>
      </w:r>
      <w:r w:rsidRPr="00886A54">
        <w:rPr>
          <w:rFonts w:ascii="Times New Roman Bold" w:hAnsi="Times New Roman Bold"/>
          <w:b/>
          <w:bCs/>
          <w:spacing w:val="-2"/>
          <w:rtl/>
          <w:lang w:val="en-US"/>
        </w:rPr>
        <w:t>وتطلب اللجنة إلى الدولة الطرف أن تقدّم تقريرها الدوري المقبل، الذي سيكون تقريرها الخامس</w:t>
      </w:r>
      <w:r w:rsidRPr="007F0FC8">
        <w:rPr>
          <w:b/>
          <w:bCs/>
          <w:rtl/>
          <w:lang w:val="en-US"/>
        </w:rPr>
        <w:t xml:space="preserve">، بحلول </w:t>
      </w:r>
      <w:r w:rsidRPr="00E223F5">
        <w:rPr>
          <w:b/>
          <w:bCs/>
          <w:rtl/>
          <w:lang w:val="en-US"/>
        </w:rPr>
        <w:t>12</w:t>
      </w:r>
      <w:r w:rsidRPr="007F0FC8">
        <w:rPr>
          <w:b/>
          <w:bCs/>
          <w:rtl/>
          <w:lang w:val="en-US"/>
        </w:rPr>
        <w:t xml:space="preserve"> أيار/مايو </w:t>
      </w:r>
      <w:r w:rsidRPr="00E223F5">
        <w:rPr>
          <w:b/>
          <w:bCs/>
          <w:rtl/>
          <w:lang w:val="en-US"/>
        </w:rPr>
        <w:t>202</w:t>
      </w:r>
      <w:r w:rsidR="006853C9" w:rsidRPr="00E223F5">
        <w:rPr>
          <w:b/>
          <w:bCs/>
          <w:rtl/>
          <w:lang w:val="en-US"/>
        </w:rPr>
        <w:t>7</w:t>
      </w:r>
      <w:r w:rsidR="006853C9" w:rsidRPr="006853C9">
        <w:rPr>
          <w:b/>
          <w:bCs/>
          <w:rtl/>
          <w:lang w:val="en-US"/>
        </w:rPr>
        <w:t xml:space="preserve">. </w:t>
      </w:r>
      <w:r w:rsidRPr="007F0FC8">
        <w:rPr>
          <w:b/>
          <w:bCs/>
          <w:rtl/>
          <w:lang w:val="en-US"/>
        </w:rPr>
        <w:t xml:space="preserve">ولهذا الغرض، تدعو اللجنة الدولة الطرف إلى الموافقة، بحلول </w:t>
      </w:r>
      <w:r w:rsidRPr="00E223F5">
        <w:rPr>
          <w:b/>
          <w:bCs/>
          <w:rtl/>
          <w:lang w:val="en-US"/>
        </w:rPr>
        <w:t>12</w:t>
      </w:r>
      <w:r w:rsidRPr="007F0FC8">
        <w:rPr>
          <w:b/>
          <w:bCs/>
          <w:rtl/>
          <w:lang w:val="en-US"/>
        </w:rPr>
        <w:t xml:space="preserve"> </w:t>
      </w:r>
      <w:r w:rsidRPr="00E223F5">
        <w:rPr>
          <w:rFonts w:ascii="Times New Roman Bold" w:hAnsi="Times New Roman Bold"/>
          <w:b/>
          <w:bCs/>
          <w:spacing w:val="-4"/>
          <w:rtl/>
          <w:lang w:val="en-US"/>
        </w:rPr>
        <w:t>أيار/مايو 2024، على الإجراء المبسّط لتقديم التقارير، الذي تحيل اللجنة بموجبه إلى الدولة الطرف قائمة</w:t>
      </w:r>
      <w:r w:rsidRPr="007F0FC8">
        <w:rPr>
          <w:b/>
          <w:bCs/>
          <w:rtl/>
          <w:lang w:val="en-US"/>
        </w:rPr>
        <w:t xml:space="preserve"> مسائل قبل تقديم تقريرها. وستشكّل ردود الدولة الطرف على قائمة المسائل هذه تقريرها الدوري الخامس بموجب المادة </w:t>
      </w:r>
      <w:r w:rsidRPr="00E223F5">
        <w:rPr>
          <w:b/>
          <w:bCs/>
          <w:rtl/>
          <w:lang w:val="en-US"/>
        </w:rPr>
        <w:t>19</w:t>
      </w:r>
      <w:r w:rsidRPr="007F0FC8">
        <w:rPr>
          <w:b/>
          <w:bCs/>
          <w:rtl/>
          <w:lang w:val="en-US"/>
        </w:rPr>
        <w:t xml:space="preserve"> من الاتفاقية.</w:t>
      </w:r>
    </w:p>
    <w:p w14:paraId="68725AEB" w14:textId="0616E2E9" w:rsidR="00EE2812" w:rsidRPr="00EE2812" w:rsidRDefault="00EE2812" w:rsidP="00EE2812">
      <w:pPr>
        <w:pStyle w:val="SingleTxtGA"/>
        <w:jc w:val="center"/>
        <w:rPr>
          <w:u w:val="single"/>
          <w:rtl/>
        </w:rPr>
      </w:pPr>
      <w:r>
        <w:rPr>
          <w:u w:val="single"/>
          <w:rtl/>
        </w:rPr>
        <w:tab/>
      </w:r>
      <w:r>
        <w:rPr>
          <w:u w:val="single"/>
          <w:rtl/>
        </w:rPr>
        <w:tab/>
      </w:r>
      <w:r>
        <w:rPr>
          <w:u w:val="single"/>
          <w:rtl/>
        </w:rPr>
        <w:tab/>
      </w:r>
    </w:p>
    <w:sectPr w:rsidR="00EE2812" w:rsidRPr="00EE2812" w:rsidSect="005B7576">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38BC53" w14:textId="77777777" w:rsidR="008739D0" w:rsidRPr="002901D9" w:rsidRDefault="008739D0" w:rsidP="00874514">
      <w:pPr>
        <w:spacing w:after="60" w:line="240" w:lineRule="auto"/>
        <w:ind w:left="57"/>
        <w:rPr>
          <w:i/>
          <w:iCs/>
        </w:rPr>
      </w:pPr>
      <w:r>
        <w:rPr>
          <w:rFonts w:hint="cs"/>
          <w:i/>
          <w:iCs/>
          <w:rtl/>
        </w:rPr>
        <w:t>الحواشي</w:t>
      </w:r>
    </w:p>
  </w:endnote>
  <w:endnote w:type="continuationSeparator" w:id="0">
    <w:p w14:paraId="6B389641" w14:textId="77777777" w:rsidR="008739D0" w:rsidRDefault="008739D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948FD" w14:textId="3C803153" w:rsidR="007A52A9" w:rsidRPr="007A52A9" w:rsidRDefault="007A52A9" w:rsidP="007A52A9">
    <w:pPr>
      <w:pStyle w:val="Footer"/>
      <w:tabs>
        <w:tab w:val="right" w:pos="9638"/>
      </w:tabs>
      <w:rPr>
        <w:b/>
        <w:sz w:val="18"/>
        <w:lang w:val="en-US"/>
      </w:rPr>
    </w:pPr>
    <w:r>
      <w:rPr>
        <w:lang w:val="en-US"/>
      </w:rPr>
      <w:t>GE.23-09422</w:t>
    </w:r>
    <w:r>
      <w:rPr>
        <w:lang w:val="en-US"/>
      </w:rPr>
      <w:tab/>
    </w:r>
    <w:r w:rsidRPr="007A52A9">
      <w:rPr>
        <w:b/>
        <w:sz w:val="18"/>
        <w:lang w:val="en-US"/>
      </w:rPr>
      <w:fldChar w:fldCharType="begin"/>
    </w:r>
    <w:r w:rsidRPr="007A52A9">
      <w:rPr>
        <w:b/>
        <w:sz w:val="18"/>
        <w:lang w:val="en-US"/>
      </w:rPr>
      <w:instrText xml:space="preserve"> PAGE  \* MERGEFORMAT </w:instrText>
    </w:r>
    <w:r w:rsidRPr="007A52A9">
      <w:rPr>
        <w:b/>
        <w:sz w:val="18"/>
        <w:lang w:val="en-US"/>
      </w:rPr>
      <w:fldChar w:fldCharType="separate"/>
    </w:r>
    <w:r w:rsidRPr="007A52A9">
      <w:rPr>
        <w:b/>
        <w:noProof/>
        <w:sz w:val="18"/>
        <w:lang w:val="en-US"/>
      </w:rPr>
      <w:t>2</w:t>
    </w:r>
    <w:r w:rsidRPr="007A52A9">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F61F4" w14:textId="269A79F9" w:rsidR="006959B0" w:rsidRPr="007A52A9" w:rsidRDefault="007A52A9" w:rsidP="007A52A9">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GE.23-09422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46B95" w14:textId="3FC755FE" w:rsidR="00261289" w:rsidRPr="007A52A9" w:rsidRDefault="007A52A9" w:rsidP="007A52A9">
    <w:pPr>
      <w:pStyle w:val="Footer"/>
      <w:spacing w:before="600"/>
      <w:ind w:left="567"/>
      <w:jc w:val="right"/>
      <w:rPr>
        <w:sz w:val="20"/>
        <w:lang w:val="en-US"/>
      </w:rPr>
    </w:pPr>
    <w:r>
      <w:rPr>
        <w:sz w:val="20"/>
        <w:lang w:val="en-US"/>
      </w:rPr>
      <w:t>GE.</w:t>
    </w:r>
    <w:r w:rsidR="00F62057">
      <w:rPr>
        <w:noProof/>
      </w:rPr>
      <w:drawing>
        <wp:anchor distT="0" distB="0" distL="114300" distR="114300" simplePos="0" relativeHeight="251658240" behindDoc="1" locked="1" layoutInCell="0" allowOverlap="1" wp14:anchorId="2E9E1088" wp14:editId="2F2820CF">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23-09422 (A)</w:t>
    </w:r>
    <w:r>
      <w:rPr>
        <w:noProof/>
        <w:sz w:val="20"/>
        <w:lang w:val="en-US"/>
      </w:rPr>
      <w:drawing>
        <wp:anchor distT="0" distB="0" distL="114300" distR="114300" simplePos="0" relativeHeight="251659264" behindDoc="0" locked="0" layoutInCell="1" allowOverlap="1" wp14:anchorId="0D4D5029" wp14:editId="6D872037">
          <wp:simplePos x="0" y="0"/>
          <wp:positionH relativeFrom="margin">
            <wp:posOffset>0</wp:posOffset>
          </wp:positionH>
          <wp:positionV relativeFrom="margin">
            <wp:posOffset>8891905</wp:posOffset>
          </wp:positionV>
          <wp:extent cx="561975" cy="561975"/>
          <wp:effectExtent l="0" t="0" r="9525" b="9525"/>
          <wp:wrapNone/>
          <wp:docPr id="472270366"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270366"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D2A600" w14:textId="77777777" w:rsidR="008739D0" w:rsidRPr="00C111C6" w:rsidRDefault="008739D0" w:rsidP="00C111C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BA7C6D4" w14:textId="77777777" w:rsidR="008739D0" w:rsidRDefault="008739D0" w:rsidP="00656392">
      <w:pPr>
        <w:spacing w:line="240" w:lineRule="auto"/>
      </w:pPr>
      <w:r>
        <w:continuationSeparator/>
      </w:r>
    </w:p>
  </w:footnote>
  <w:footnote w:id="1">
    <w:p w14:paraId="193FACEE" w14:textId="154FAFFD" w:rsidR="00EE2812" w:rsidRPr="00EE2812" w:rsidRDefault="00EE2812" w:rsidP="00EE2812">
      <w:pPr>
        <w:pStyle w:val="FootnoteText1"/>
        <w:rPr>
          <w:rFonts w:hint="cs"/>
        </w:rPr>
      </w:pPr>
      <w:r>
        <w:rPr>
          <w:rtl/>
        </w:rPr>
        <w:t>*</w:t>
      </w:r>
      <w:r>
        <w:rPr>
          <w:rtl/>
        </w:rPr>
        <w:tab/>
      </w:r>
      <w:r w:rsidRPr="00EE2812">
        <w:rPr>
          <w:rtl/>
        </w:rPr>
        <w:t>اعتمدتها اللجنة في دورتها السادسة والسبعين (</w:t>
      </w:r>
      <w:r w:rsidRPr="00E223F5">
        <w:rPr>
          <w:rtl/>
        </w:rPr>
        <w:t>17</w:t>
      </w:r>
      <w:r w:rsidRPr="00EE2812">
        <w:rPr>
          <w:rtl/>
        </w:rPr>
        <w:t xml:space="preserve"> نيسان/أبريل - </w:t>
      </w:r>
      <w:r w:rsidRPr="00E223F5">
        <w:rPr>
          <w:rtl/>
        </w:rPr>
        <w:t>12</w:t>
      </w:r>
      <w:r w:rsidRPr="00EE2812">
        <w:rPr>
          <w:rtl/>
        </w:rPr>
        <w:t xml:space="preserve"> أيار/مايو </w:t>
      </w:r>
      <w:r w:rsidRPr="00E223F5">
        <w:rPr>
          <w:rtl/>
        </w:rPr>
        <w:t>2023</w:t>
      </w:r>
      <w:r w:rsidR="006853C9" w:rsidRPr="006853C9">
        <w:rPr>
          <w:rtl/>
        </w:rPr>
        <w:t>)</w:t>
      </w:r>
      <w:r w:rsidR="006853C9" w:rsidRPr="006853C9">
        <w:rPr>
          <w:rtl/>
        </w:rPr>
        <w:t xml:space="preserve">. </w:t>
      </w:r>
    </w:p>
  </w:footnote>
  <w:footnote w:id="2">
    <w:p w14:paraId="073C4784" w14:textId="77777777" w:rsidR="006853C9" w:rsidRPr="00EE2812" w:rsidRDefault="006853C9" w:rsidP="006853C9">
      <w:pPr>
        <w:pStyle w:val="FootnoteText1"/>
        <w:textDirection w:val="tbRlV"/>
      </w:pPr>
      <w:r>
        <w:rPr>
          <w:rtl/>
        </w:rPr>
        <w:t>(</w:t>
      </w:r>
      <w:r w:rsidRPr="00E223F5">
        <w:rPr>
          <w:lang w:val="en-AU"/>
        </w:rPr>
        <w:footnoteRef/>
      </w:r>
      <w:r>
        <w:rPr>
          <w:rtl/>
        </w:rPr>
        <w:t>)</w:t>
      </w:r>
      <w:r w:rsidRPr="008167F1">
        <w:rPr>
          <w:rtl/>
        </w:rPr>
        <w:tab/>
      </w:r>
      <w:hyperlink r:id="rId1" w:history="1">
        <w:r w:rsidRPr="006853C9">
          <w:rPr>
            <w:rStyle w:val="Hyperlink"/>
          </w:rPr>
          <w:t>CAT/C/KAZ/</w:t>
        </w:r>
        <w:r w:rsidRPr="00E223F5">
          <w:rPr>
            <w:rStyle w:val="Hyperlink"/>
          </w:rPr>
          <w:t>4</w:t>
        </w:r>
      </w:hyperlink>
      <w:r w:rsidRPr="008167F1">
        <w:rPr>
          <w:rtl/>
        </w:rPr>
        <w:t xml:space="preserve"> و</w:t>
      </w:r>
      <w:hyperlink r:id="rId2" w:history="1">
        <w:r w:rsidRPr="006853C9">
          <w:rPr>
            <w:rStyle w:val="Hyperlink"/>
          </w:rPr>
          <w:t>CAT/C/KAZ/</w:t>
        </w:r>
        <w:r w:rsidRPr="00E223F5">
          <w:rPr>
            <w:rStyle w:val="Hyperlink"/>
          </w:rPr>
          <w:t>4</w:t>
        </w:r>
        <w:r w:rsidRPr="006853C9">
          <w:rPr>
            <w:rStyle w:val="Hyperlink"/>
          </w:rPr>
          <w:t>/Corr.</w:t>
        </w:r>
        <w:r w:rsidRPr="00E223F5">
          <w:rPr>
            <w:rStyle w:val="Hyperlink"/>
          </w:rPr>
          <w:t>1</w:t>
        </w:r>
      </w:hyperlink>
      <w:r w:rsidRPr="006853C9">
        <w:rPr>
          <w:rtl/>
        </w:rPr>
        <w:t xml:space="preserve">. </w:t>
      </w:r>
    </w:p>
  </w:footnote>
  <w:footnote w:id="3">
    <w:p w14:paraId="1588860A" w14:textId="77777777" w:rsidR="006853C9" w:rsidRPr="00EE2812" w:rsidRDefault="006853C9" w:rsidP="006853C9">
      <w:pPr>
        <w:pStyle w:val="FootnoteText1"/>
        <w:textDirection w:val="tbRlV"/>
      </w:pPr>
      <w:r>
        <w:rPr>
          <w:rtl/>
        </w:rPr>
        <w:t>(</w:t>
      </w:r>
      <w:r w:rsidRPr="00E223F5">
        <w:rPr>
          <w:lang w:val="en-AU"/>
        </w:rPr>
        <w:footnoteRef/>
      </w:r>
      <w:r>
        <w:rPr>
          <w:rtl/>
        </w:rPr>
        <w:t>)</w:t>
      </w:r>
      <w:r w:rsidRPr="008167F1">
        <w:rPr>
          <w:rtl/>
        </w:rPr>
        <w:tab/>
        <w:t>انظر</w:t>
      </w:r>
      <w:r>
        <w:rPr>
          <w:rtl/>
        </w:rPr>
        <w:t xml:space="preserve"> الوثيقتين</w:t>
      </w:r>
      <w:r w:rsidRPr="008167F1">
        <w:rPr>
          <w:rtl/>
        </w:rPr>
        <w:t xml:space="preserve"> </w:t>
      </w:r>
      <w:hyperlink r:id="rId3" w:history="1">
        <w:r w:rsidRPr="006853C9">
          <w:rPr>
            <w:rStyle w:val="Hyperlink"/>
          </w:rPr>
          <w:t>CAT/C/SR.</w:t>
        </w:r>
        <w:r w:rsidRPr="00E223F5">
          <w:rPr>
            <w:rStyle w:val="Hyperlink"/>
          </w:rPr>
          <w:t>1995</w:t>
        </w:r>
      </w:hyperlink>
      <w:r w:rsidRPr="008167F1">
        <w:rPr>
          <w:rtl/>
        </w:rPr>
        <w:t xml:space="preserve"> و</w:t>
      </w:r>
      <w:hyperlink r:id="rId4" w:history="1">
        <w:r w:rsidRPr="006853C9">
          <w:rPr>
            <w:rStyle w:val="Hyperlink"/>
          </w:rPr>
          <w:t>CAT/C/SR.</w:t>
        </w:r>
        <w:r w:rsidRPr="00E223F5">
          <w:rPr>
            <w:rStyle w:val="Hyperlink"/>
          </w:rPr>
          <w:t>1998</w:t>
        </w:r>
      </w:hyperlink>
      <w:r w:rsidRPr="006853C9">
        <w:rPr>
          <w:rtl/>
        </w:rPr>
        <w:t xml:space="preserve">. </w:t>
      </w:r>
    </w:p>
  </w:footnote>
  <w:footnote w:id="4">
    <w:p w14:paraId="63347A0A" w14:textId="77777777" w:rsidR="006853C9" w:rsidRPr="00EE2812" w:rsidRDefault="006853C9" w:rsidP="006853C9">
      <w:pPr>
        <w:pStyle w:val="FootnoteText1"/>
        <w:textDirection w:val="tbRlV"/>
      </w:pPr>
      <w:r>
        <w:rPr>
          <w:rtl/>
        </w:rPr>
        <w:t>(</w:t>
      </w:r>
      <w:r w:rsidRPr="00E223F5">
        <w:rPr>
          <w:lang w:val="en-AU"/>
        </w:rPr>
        <w:footnoteRef/>
      </w:r>
      <w:r>
        <w:rPr>
          <w:rtl/>
        </w:rPr>
        <w:t>)</w:t>
      </w:r>
      <w:r w:rsidRPr="008167F1">
        <w:rPr>
          <w:rtl/>
        </w:rPr>
        <w:tab/>
      </w:r>
      <w:hyperlink r:id="rId5" w:history="1">
        <w:r w:rsidRPr="006853C9">
          <w:rPr>
            <w:rStyle w:val="Hyperlink"/>
          </w:rPr>
          <w:t>CAT/C/KAZ/RQ/</w:t>
        </w:r>
        <w:r w:rsidRPr="00E223F5">
          <w:rPr>
            <w:rStyle w:val="Hyperlink"/>
          </w:rPr>
          <w:t>4</w:t>
        </w:r>
      </w:hyperlink>
      <w:r w:rsidRPr="006853C9">
        <w:rPr>
          <w:rtl/>
        </w:rPr>
        <w:t xml:space="preserve">. </w:t>
      </w:r>
    </w:p>
  </w:footnote>
  <w:footnote w:id="5">
    <w:p w14:paraId="1A5D3F94" w14:textId="77777777" w:rsidR="006853C9" w:rsidRPr="00EE2812" w:rsidRDefault="006853C9" w:rsidP="006853C9">
      <w:pPr>
        <w:pStyle w:val="FootnoteText1"/>
        <w:textDirection w:val="tbRlV"/>
      </w:pPr>
      <w:r>
        <w:rPr>
          <w:rtl/>
        </w:rPr>
        <w:t>(</w:t>
      </w:r>
      <w:r w:rsidRPr="00E223F5">
        <w:rPr>
          <w:lang w:val="en-AU"/>
        </w:rPr>
        <w:footnoteRef/>
      </w:r>
      <w:r>
        <w:rPr>
          <w:rtl/>
        </w:rPr>
        <w:t>)</w:t>
      </w:r>
      <w:r w:rsidRPr="008167F1">
        <w:rPr>
          <w:rtl/>
        </w:rPr>
        <w:tab/>
      </w:r>
      <w:hyperlink r:id="rId6" w:history="1">
        <w:r w:rsidRPr="006853C9">
          <w:rPr>
            <w:rStyle w:val="Hyperlink"/>
          </w:rPr>
          <w:t>CAT/C/KAZ/Q/</w:t>
        </w:r>
        <w:r w:rsidRPr="00E223F5">
          <w:rPr>
            <w:rStyle w:val="Hyperlink"/>
          </w:rPr>
          <w:t>4</w:t>
        </w:r>
      </w:hyperlink>
      <w:r w:rsidRPr="006853C9">
        <w:rPr>
          <w:rtl/>
        </w:rPr>
        <w:t xml:space="preserve">. </w:t>
      </w:r>
    </w:p>
  </w:footnote>
  <w:footnote w:id="6">
    <w:p w14:paraId="512F701C" w14:textId="77777777" w:rsidR="006853C9" w:rsidRPr="00EE2812" w:rsidRDefault="006853C9" w:rsidP="006853C9">
      <w:pPr>
        <w:pStyle w:val="FootnoteText1"/>
        <w:textDirection w:val="tbRlV"/>
      </w:pPr>
      <w:r>
        <w:rPr>
          <w:rtl/>
        </w:rPr>
        <w:t>(</w:t>
      </w:r>
      <w:r w:rsidRPr="00E223F5">
        <w:rPr>
          <w:lang w:val="en-AU"/>
        </w:rPr>
        <w:footnoteRef/>
      </w:r>
      <w:r>
        <w:rPr>
          <w:rtl/>
        </w:rPr>
        <w:t>)</w:t>
      </w:r>
      <w:r w:rsidRPr="008167F1">
        <w:rPr>
          <w:rtl/>
        </w:rPr>
        <w:tab/>
      </w:r>
      <w:hyperlink r:id="rId7" w:history="1">
        <w:r w:rsidRPr="006853C9">
          <w:rPr>
            <w:rStyle w:val="Hyperlink"/>
          </w:rPr>
          <w:t>CAT/C/KAZ/CO/</w:t>
        </w:r>
        <w:r w:rsidRPr="00E223F5">
          <w:rPr>
            <w:rStyle w:val="Hyperlink"/>
          </w:rPr>
          <w:t>3</w:t>
        </w:r>
      </w:hyperlink>
      <w:r w:rsidRPr="008167F1">
        <w:rPr>
          <w:rtl/>
        </w:rPr>
        <w:t xml:space="preserve">، الفقرة </w:t>
      </w:r>
      <w:r w:rsidRPr="00E223F5">
        <w:rPr>
          <w:rtl/>
        </w:rPr>
        <w:t>30</w:t>
      </w:r>
      <w:r w:rsidRPr="006853C9">
        <w:rPr>
          <w:rtl/>
        </w:rPr>
        <w:t xml:space="preserve">. </w:t>
      </w:r>
    </w:p>
  </w:footnote>
  <w:footnote w:id="7">
    <w:p w14:paraId="5DC84A57" w14:textId="77777777" w:rsidR="006853C9" w:rsidRPr="00EE2812" w:rsidRDefault="006853C9" w:rsidP="00EE2812">
      <w:pPr>
        <w:pStyle w:val="FootnoteText1"/>
        <w:textDirection w:val="tbRlV"/>
      </w:pPr>
      <w:r>
        <w:rPr>
          <w:rtl/>
        </w:rPr>
        <w:t>(</w:t>
      </w:r>
      <w:r w:rsidRPr="00E223F5">
        <w:rPr>
          <w:lang w:val="en-AU"/>
        </w:rPr>
        <w:footnoteRef/>
      </w:r>
      <w:r>
        <w:rPr>
          <w:rtl/>
        </w:rPr>
        <w:t>)</w:t>
      </w:r>
      <w:r w:rsidRPr="008167F1">
        <w:rPr>
          <w:rtl/>
        </w:rPr>
        <w:tab/>
        <w:t xml:space="preserve">المرجع نفسه، الفقرة </w:t>
      </w:r>
      <w:r w:rsidRPr="00E223F5">
        <w:rPr>
          <w:rtl/>
        </w:rPr>
        <w:t>8</w:t>
      </w:r>
      <w:r w:rsidRPr="006853C9">
        <w:rPr>
          <w:rtl/>
        </w:rPr>
        <w:t xml:space="preserve">. </w:t>
      </w:r>
    </w:p>
  </w:footnote>
  <w:footnote w:id="8">
    <w:p w14:paraId="2CA31E19" w14:textId="77777777" w:rsidR="006853C9" w:rsidRPr="00EE2812" w:rsidRDefault="006853C9" w:rsidP="00EE2812">
      <w:pPr>
        <w:pStyle w:val="FootnoteText1"/>
        <w:textDirection w:val="tbRlV"/>
      </w:pPr>
      <w:r>
        <w:rPr>
          <w:rtl/>
        </w:rPr>
        <w:t>(</w:t>
      </w:r>
      <w:r w:rsidRPr="00E223F5">
        <w:rPr>
          <w:lang w:val="en-AU"/>
        </w:rPr>
        <w:footnoteRef/>
      </w:r>
      <w:r>
        <w:rPr>
          <w:rtl/>
        </w:rPr>
        <w:t>)</w:t>
      </w:r>
      <w:r w:rsidRPr="008167F1">
        <w:rPr>
          <w:rtl/>
        </w:rPr>
        <w:tab/>
        <w:t xml:space="preserve">المرجع نفسه، الفقرة </w:t>
      </w:r>
      <w:r w:rsidRPr="00E223F5">
        <w:rPr>
          <w:rtl/>
        </w:rPr>
        <w:t>10</w:t>
      </w:r>
      <w:r w:rsidRPr="006853C9">
        <w:rPr>
          <w:rtl/>
        </w:rPr>
        <w:t xml:space="preserve">. </w:t>
      </w:r>
    </w:p>
  </w:footnote>
  <w:footnote w:id="9">
    <w:p w14:paraId="4D7865BE" w14:textId="77777777" w:rsidR="006853C9" w:rsidRPr="00EE2812" w:rsidRDefault="006853C9" w:rsidP="00EE2812">
      <w:pPr>
        <w:pStyle w:val="FootnoteText1"/>
        <w:textDirection w:val="tbRlV"/>
      </w:pPr>
      <w:r>
        <w:rPr>
          <w:rtl/>
        </w:rPr>
        <w:t>(</w:t>
      </w:r>
      <w:r w:rsidRPr="00E223F5">
        <w:rPr>
          <w:lang w:val="en-AU"/>
        </w:rPr>
        <w:footnoteRef/>
      </w:r>
      <w:r>
        <w:rPr>
          <w:rtl/>
        </w:rPr>
        <w:t>)</w:t>
      </w:r>
      <w:r w:rsidRPr="008167F1">
        <w:rPr>
          <w:rtl/>
        </w:rPr>
        <w:tab/>
        <w:t xml:space="preserve">المرجع نفسه، الفقرة </w:t>
      </w:r>
      <w:r w:rsidRPr="00E223F5">
        <w:rPr>
          <w:rtl/>
        </w:rPr>
        <w:t>13</w:t>
      </w:r>
      <w:r w:rsidRPr="006853C9">
        <w:rPr>
          <w:rtl/>
        </w:rPr>
        <w:t xml:space="preserve">. </w:t>
      </w:r>
    </w:p>
  </w:footnote>
  <w:footnote w:id="10">
    <w:p w14:paraId="65A2DA58" w14:textId="77777777" w:rsidR="006853C9" w:rsidRPr="00EE2812" w:rsidRDefault="006853C9" w:rsidP="00FB1610">
      <w:pPr>
        <w:pStyle w:val="FootnoteText1"/>
        <w:spacing w:line="260" w:lineRule="exact"/>
        <w:textDirection w:val="tbRlV"/>
      </w:pPr>
      <w:r>
        <w:rPr>
          <w:rtl/>
        </w:rPr>
        <w:t>(</w:t>
      </w:r>
      <w:r w:rsidRPr="00E223F5">
        <w:rPr>
          <w:lang w:val="en-AU"/>
        </w:rPr>
        <w:footnoteRef/>
      </w:r>
      <w:r>
        <w:rPr>
          <w:rtl/>
        </w:rPr>
        <w:t>)</w:t>
      </w:r>
      <w:r w:rsidRPr="008167F1">
        <w:rPr>
          <w:rtl/>
        </w:rPr>
        <w:tab/>
        <w:t xml:space="preserve">المرجع نفسه، الفقرة </w:t>
      </w:r>
      <w:r w:rsidRPr="00E223F5">
        <w:rPr>
          <w:rtl/>
        </w:rPr>
        <w:t>15</w:t>
      </w:r>
      <w:r w:rsidRPr="006853C9">
        <w:rPr>
          <w:rtl/>
        </w:rPr>
        <w:t xml:space="preserve">. </w:t>
      </w:r>
    </w:p>
  </w:footnote>
  <w:footnote w:id="11">
    <w:p w14:paraId="3F31EF09" w14:textId="77777777" w:rsidR="006853C9" w:rsidRPr="008167F1" w:rsidRDefault="006853C9" w:rsidP="00FB1610">
      <w:pPr>
        <w:pStyle w:val="FootnoteText1"/>
        <w:spacing w:line="260" w:lineRule="exact"/>
        <w:textDirection w:val="tbRlV"/>
      </w:pPr>
      <w:r>
        <w:rPr>
          <w:rtl/>
        </w:rPr>
        <w:t>(</w:t>
      </w:r>
      <w:r w:rsidRPr="00E223F5">
        <w:rPr>
          <w:lang w:val="en-AU"/>
        </w:rPr>
        <w:footnoteRef/>
      </w:r>
      <w:r>
        <w:rPr>
          <w:rtl/>
        </w:rPr>
        <w:t>)</w:t>
      </w:r>
      <w:r w:rsidRPr="008167F1">
        <w:rPr>
          <w:rtl/>
        </w:rPr>
        <w:tab/>
      </w:r>
      <w:hyperlink r:id="rId8" w:history="1">
        <w:r w:rsidRPr="006853C9">
          <w:rPr>
            <w:rStyle w:val="Hyperlink"/>
          </w:rPr>
          <w:t>CAT/C/KAZ/CO/</w:t>
        </w:r>
        <w:r w:rsidRPr="00E223F5">
          <w:rPr>
            <w:rStyle w:val="Hyperlink"/>
          </w:rPr>
          <w:t>3</w:t>
        </w:r>
        <w:r w:rsidRPr="006853C9">
          <w:rPr>
            <w:rStyle w:val="Hyperlink"/>
          </w:rPr>
          <w:t>/Add.</w:t>
        </w:r>
        <w:r w:rsidRPr="00E223F5">
          <w:rPr>
            <w:rStyle w:val="Hyperlink"/>
          </w:rPr>
          <w:t>1</w:t>
        </w:r>
      </w:hyperlink>
      <w:r w:rsidRPr="006853C9">
        <w:rPr>
          <w:rtl/>
        </w:rPr>
        <w:t xml:space="preserve">. </w:t>
      </w:r>
    </w:p>
  </w:footnote>
  <w:footnote w:id="12">
    <w:p w14:paraId="2194199B" w14:textId="295DBC0A" w:rsidR="006853C9" w:rsidRPr="00EE2812" w:rsidRDefault="006853C9" w:rsidP="00FB1610">
      <w:pPr>
        <w:pStyle w:val="FootnoteText1"/>
        <w:spacing w:line="260" w:lineRule="exact"/>
        <w:textDirection w:val="tbRlV"/>
      </w:pPr>
      <w:r>
        <w:rPr>
          <w:rtl/>
        </w:rPr>
        <w:t>(</w:t>
      </w:r>
      <w:r w:rsidRPr="00E223F5">
        <w:rPr>
          <w:lang w:val="en-AU"/>
        </w:rPr>
        <w:footnoteRef/>
      </w:r>
      <w:r>
        <w:rPr>
          <w:rtl/>
        </w:rPr>
        <w:t>)</w:t>
      </w:r>
      <w:r w:rsidRPr="008167F1">
        <w:rPr>
          <w:rtl/>
        </w:rPr>
        <w:tab/>
        <w:t xml:space="preserve">انظر </w:t>
      </w:r>
      <w:hyperlink r:id="rId9" w:history="1">
        <w:r w:rsidR="0086501A" w:rsidRPr="009F1514">
          <w:rPr>
            <w:rStyle w:val="Hyperlink"/>
          </w:rPr>
          <w:t>https://tbinternet.ohchr.org/_layouts/</w:t>
        </w:r>
        <w:r w:rsidR="0086501A" w:rsidRPr="00E223F5">
          <w:rPr>
            <w:rStyle w:val="Hyperlink"/>
          </w:rPr>
          <w:t>15</w:t>
        </w:r>
        <w:r w:rsidR="0086501A" w:rsidRPr="009F1514">
          <w:rPr>
            <w:rStyle w:val="Hyperlink"/>
          </w:rPr>
          <w:t>/treatybodyexternal/Download.aspx?symbolno=INT</w:t>
        </w:r>
      </w:hyperlink>
      <w:r w:rsidR="0086501A">
        <w:rPr>
          <w:rStyle w:val="Hyperlink"/>
        </w:rPr>
        <w:br/>
      </w:r>
      <w:r w:rsidR="00FB1610" w:rsidRPr="00A459E2">
        <w:rPr>
          <w:rStyle w:val="Hyperlink"/>
        </w:rPr>
        <w:t>%</w:t>
      </w:r>
      <w:r w:rsidR="00FB1610" w:rsidRPr="00E223F5">
        <w:rPr>
          <w:rStyle w:val="Hyperlink"/>
        </w:rPr>
        <w:t>2</w:t>
      </w:r>
      <w:r w:rsidR="00FB1610" w:rsidRPr="00A459E2">
        <w:rPr>
          <w:rStyle w:val="Hyperlink"/>
        </w:rPr>
        <w:t>FCAT%</w:t>
      </w:r>
      <w:r w:rsidR="00FB1610" w:rsidRPr="00E223F5">
        <w:rPr>
          <w:rStyle w:val="Hyperlink"/>
        </w:rPr>
        <w:t>2</w:t>
      </w:r>
      <w:r w:rsidR="00FB1610" w:rsidRPr="00A459E2">
        <w:rPr>
          <w:rStyle w:val="Hyperlink"/>
        </w:rPr>
        <w:t>FFUL%</w:t>
      </w:r>
      <w:r w:rsidR="00FB1610" w:rsidRPr="00E223F5">
        <w:rPr>
          <w:rStyle w:val="Hyperlink"/>
        </w:rPr>
        <w:t>2</w:t>
      </w:r>
      <w:r w:rsidR="00FB1610" w:rsidRPr="00A459E2">
        <w:rPr>
          <w:rStyle w:val="Hyperlink"/>
        </w:rPr>
        <w:t>FKAZ%</w:t>
      </w:r>
      <w:r w:rsidR="00FB1610" w:rsidRPr="00E223F5">
        <w:rPr>
          <w:rStyle w:val="Hyperlink"/>
        </w:rPr>
        <w:t>2</w:t>
      </w:r>
      <w:r w:rsidR="00FB1610" w:rsidRPr="00A459E2">
        <w:rPr>
          <w:rStyle w:val="Hyperlink"/>
        </w:rPr>
        <w:t>F</w:t>
      </w:r>
      <w:r w:rsidR="00FB1610" w:rsidRPr="00E223F5">
        <w:rPr>
          <w:rStyle w:val="Hyperlink"/>
        </w:rPr>
        <w:t>25015</w:t>
      </w:r>
      <w:r w:rsidR="00FB1610" w:rsidRPr="00A459E2">
        <w:rPr>
          <w:rStyle w:val="Hyperlink"/>
        </w:rPr>
        <w:t>&amp;Lang=</w:t>
      </w:r>
      <w:proofErr w:type="spellStart"/>
      <w:r w:rsidR="00FB1610" w:rsidRPr="00A459E2">
        <w:rPr>
          <w:rStyle w:val="Hyperlink"/>
        </w:rPr>
        <w:t>en</w:t>
      </w:r>
      <w:proofErr w:type="spellEnd"/>
      <w:r w:rsidRPr="006853C9">
        <w:rPr>
          <w:rtl/>
        </w:rPr>
        <w:t xml:space="preserve">. </w:t>
      </w:r>
    </w:p>
  </w:footnote>
  <w:footnote w:id="13">
    <w:p w14:paraId="1FECFE8B" w14:textId="77777777" w:rsidR="006853C9" w:rsidRPr="00EE2812" w:rsidRDefault="006853C9" w:rsidP="00FB1610">
      <w:pPr>
        <w:pStyle w:val="FootnoteText1"/>
        <w:spacing w:line="260" w:lineRule="exact"/>
        <w:textDirection w:val="tbRlV"/>
      </w:pPr>
      <w:r>
        <w:rPr>
          <w:rtl/>
        </w:rPr>
        <w:t>(</w:t>
      </w:r>
      <w:r w:rsidRPr="00E223F5">
        <w:rPr>
          <w:lang w:val="en-AU"/>
        </w:rPr>
        <w:footnoteRef/>
      </w:r>
      <w:r>
        <w:rPr>
          <w:rtl/>
        </w:rPr>
        <w:t>)</w:t>
      </w:r>
      <w:r w:rsidRPr="008167F1">
        <w:rPr>
          <w:rtl/>
        </w:rPr>
        <w:tab/>
      </w:r>
      <w:hyperlink r:id="rId10" w:history="1">
        <w:r w:rsidRPr="006853C9">
          <w:rPr>
            <w:rStyle w:val="Hyperlink"/>
          </w:rPr>
          <w:t>CAT/C/KAZ/CO/</w:t>
        </w:r>
        <w:r w:rsidRPr="00E223F5">
          <w:rPr>
            <w:rStyle w:val="Hyperlink"/>
          </w:rPr>
          <w:t>3</w:t>
        </w:r>
        <w:r w:rsidRPr="006853C9">
          <w:rPr>
            <w:rStyle w:val="Hyperlink"/>
          </w:rPr>
          <w:t>/Add.</w:t>
        </w:r>
        <w:r w:rsidRPr="00E223F5">
          <w:rPr>
            <w:rStyle w:val="Hyperlink"/>
          </w:rPr>
          <w:t>2</w:t>
        </w:r>
      </w:hyperlink>
      <w:r w:rsidRPr="006853C9">
        <w:rPr>
          <w:rtl/>
        </w:rPr>
        <w:t xml:space="preserve">. </w:t>
      </w:r>
    </w:p>
  </w:footnote>
  <w:footnote w:id="14">
    <w:p w14:paraId="778BE5A4" w14:textId="77777777" w:rsidR="006853C9" w:rsidRPr="00EE2812" w:rsidRDefault="006853C9" w:rsidP="006853C9">
      <w:pPr>
        <w:pStyle w:val="FootnoteText1"/>
        <w:textDirection w:val="tbRlV"/>
      </w:pPr>
      <w:r>
        <w:rPr>
          <w:rtl/>
        </w:rPr>
        <w:t>(</w:t>
      </w:r>
      <w:r w:rsidRPr="00E223F5">
        <w:rPr>
          <w:lang w:val="en-AU"/>
        </w:rPr>
        <w:footnoteRef/>
      </w:r>
      <w:r>
        <w:rPr>
          <w:rtl/>
        </w:rPr>
        <w:t>)</w:t>
      </w:r>
      <w:r>
        <w:rPr>
          <w:rtl/>
        </w:rPr>
        <w:tab/>
      </w:r>
      <w:hyperlink r:id="rId11" w:history="1">
        <w:r w:rsidRPr="006853C9">
          <w:rPr>
            <w:rStyle w:val="Hyperlink"/>
          </w:rPr>
          <w:t>CAT/C/KAZ/RQ/</w:t>
        </w:r>
        <w:r w:rsidRPr="00E223F5">
          <w:rPr>
            <w:rStyle w:val="Hyperlink"/>
          </w:rPr>
          <w:t>4</w:t>
        </w:r>
      </w:hyperlink>
      <w:r w:rsidRPr="008167F1">
        <w:rPr>
          <w:rtl/>
        </w:rPr>
        <w:t xml:space="preserve">، الفقرات </w:t>
      </w:r>
      <w:r w:rsidRPr="00E223F5">
        <w:rPr>
          <w:rtl/>
        </w:rPr>
        <w:t>26</w:t>
      </w:r>
      <w:r w:rsidRPr="008167F1">
        <w:rPr>
          <w:rtl/>
        </w:rPr>
        <w:t xml:space="preserve"> و</w:t>
      </w:r>
      <w:r w:rsidRPr="00E223F5">
        <w:rPr>
          <w:rtl/>
        </w:rPr>
        <w:t>27</w:t>
      </w:r>
      <w:r w:rsidRPr="008167F1">
        <w:rPr>
          <w:rtl/>
        </w:rPr>
        <w:t xml:space="preserve"> و</w:t>
      </w:r>
      <w:r w:rsidRPr="00E223F5">
        <w:rPr>
          <w:rtl/>
        </w:rPr>
        <w:t>29</w:t>
      </w:r>
      <w:r w:rsidRPr="006853C9">
        <w:rPr>
          <w:rtl/>
        </w:rPr>
        <w:t xml:space="preserve">. </w:t>
      </w:r>
    </w:p>
  </w:footnote>
  <w:footnote w:id="15">
    <w:p w14:paraId="61F25877" w14:textId="77777777" w:rsidR="006853C9" w:rsidRPr="00EE2812" w:rsidRDefault="006853C9" w:rsidP="00EE2812">
      <w:pPr>
        <w:pStyle w:val="FootnoteText1"/>
        <w:textDirection w:val="tbRlV"/>
      </w:pPr>
      <w:r>
        <w:rPr>
          <w:rtl/>
        </w:rPr>
        <w:t>(</w:t>
      </w:r>
      <w:r w:rsidRPr="00E223F5">
        <w:rPr>
          <w:lang w:val="en-AU"/>
        </w:rPr>
        <w:footnoteRef/>
      </w:r>
      <w:r>
        <w:rPr>
          <w:rtl/>
        </w:rPr>
        <w:t>)</w:t>
      </w:r>
      <w:r>
        <w:rPr>
          <w:rtl/>
        </w:rPr>
        <w:tab/>
      </w:r>
      <w:r w:rsidRPr="008167F1">
        <w:rPr>
          <w:rtl/>
        </w:rPr>
        <w:t xml:space="preserve">المرجع نفسه، الفقرة </w:t>
      </w:r>
      <w:r w:rsidRPr="00E223F5">
        <w:rPr>
          <w:rtl/>
        </w:rPr>
        <w:t>195</w:t>
      </w:r>
      <w:r w:rsidRPr="006853C9">
        <w:rPr>
          <w:rtl/>
        </w:rPr>
        <w:t xml:space="preserve">. </w:t>
      </w:r>
    </w:p>
  </w:footnote>
  <w:footnote w:id="16">
    <w:p w14:paraId="0AF04B1D" w14:textId="77777777" w:rsidR="006853C9" w:rsidRPr="00EE2812" w:rsidRDefault="006853C9" w:rsidP="00EE2812">
      <w:pPr>
        <w:pStyle w:val="FootnoteText1"/>
        <w:textDirection w:val="tbRlV"/>
      </w:pPr>
      <w:r>
        <w:rPr>
          <w:rtl/>
        </w:rPr>
        <w:t>(</w:t>
      </w:r>
      <w:r w:rsidRPr="00E223F5">
        <w:rPr>
          <w:lang w:val="en-AU"/>
        </w:rPr>
        <w:footnoteRef/>
      </w:r>
      <w:r>
        <w:rPr>
          <w:rtl/>
        </w:rPr>
        <w:t>)</w:t>
      </w:r>
      <w:r w:rsidRPr="008167F1">
        <w:rPr>
          <w:rtl/>
        </w:rPr>
        <w:tab/>
        <w:t xml:space="preserve">المرجع نفسه، الفقرة </w:t>
      </w:r>
      <w:r w:rsidRPr="00E223F5">
        <w:rPr>
          <w:rtl/>
        </w:rPr>
        <w:t>169</w:t>
      </w:r>
      <w:r w:rsidRPr="006853C9">
        <w:rPr>
          <w:rtl/>
        </w:rPr>
        <w:t xml:space="preserve">. </w:t>
      </w:r>
    </w:p>
  </w:footnote>
  <w:footnote w:id="17">
    <w:p w14:paraId="2742450E" w14:textId="77777777" w:rsidR="006853C9" w:rsidRPr="00EE2812" w:rsidRDefault="006853C9" w:rsidP="00EE2812">
      <w:pPr>
        <w:pStyle w:val="FootnoteText1"/>
        <w:textDirection w:val="tbRlV"/>
      </w:pPr>
      <w:r>
        <w:rPr>
          <w:rtl/>
        </w:rPr>
        <w:t>(</w:t>
      </w:r>
      <w:r w:rsidRPr="00E223F5">
        <w:rPr>
          <w:lang w:val="en-AU"/>
        </w:rPr>
        <w:footnoteRef/>
      </w:r>
      <w:r>
        <w:rPr>
          <w:rtl/>
        </w:rPr>
        <w:t>)</w:t>
      </w:r>
      <w:r w:rsidRPr="008167F1">
        <w:rPr>
          <w:rtl/>
        </w:rPr>
        <w:tab/>
        <w:t xml:space="preserve">المرجع نفسه، الفقرة </w:t>
      </w:r>
      <w:r w:rsidRPr="00E223F5">
        <w:rPr>
          <w:rtl/>
        </w:rPr>
        <w:t>12</w:t>
      </w:r>
      <w:r w:rsidRPr="006853C9">
        <w:rPr>
          <w:rtl/>
        </w:rPr>
        <w:t xml:space="preserve">. </w:t>
      </w:r>
    </w:p>
  </w:footnote>
  <w:footnote w:id="18">
    <w:p w14:paraId="1A0C602B" w14:textId="77777777" w:rsidR="006853C9" w:rsidRPr="00EE2812" w:rsidRDefault="006853C9" w:rsidP="006853C9">
      <w:pPr>
        <w:pStyle w:val="FootnoteText1"/>
        <w:textDirection w:val="tbRlV"/>
      </w:pPr>
      <w:r>
        <w:rPr>
          <w:rtl/>
        </w:rPr>
        <w:t>(</w:t>
      </w:r>
      <w:r w:rsidRPr="00E223F5">
        <w:rPr>
          <w:lang w:val="en-AU"/>
        </w:rPr>
        <w:footnoteRef/>
      </w:r>
      <w:r>
        <w:rPr>
          <w:rtl/>
        </w:rPr>
        <w:t>)</w:t>
      </w:r>
      <w:r>
        <w:rPr>
          <w:rtl/>
        </w:rPr>
        <w:tab/>
      </w:r>
      <w:hyperlink r:id="rId12" w:history="1">
        <w:r w:rsidRPr="006853C9">
          <w:rPr>
            <w:rStyle w:val="Hyperlink"/>
          </w:rPr>
          <w:t>CAT/C/KAZ/CO/</w:t>
        </w:r>
        <w:r w:rsidRPr="00E223F5">
          <w:rPr>
            <w:rStyle w:val="Hyperlink"/>
          </w:rPr>
          <w:t>3</w:t>
        </w:r>
      </w:hyperlink>
      <w:r w:rsidRPr="008167F1">
        <w:rPr>
          <w:rtl/>
        </w:rPr>
        <w:t xml:space="preserve">، الفقرة </w:t>
      </w:r>
      <w:r w:rsidRPr="00E223F5">
        <w:rPr>
          <w:rtl/>
        </w:rPr>
        <w:t>10</w:t>
      </w:r>
      <w:r w:rsidRPr="006853C9">
        <w:rPr>
          <w:rtl/>
        </w:rPr>
        <w:t xml:space="preserve">. </w:t>
      </w:r>
    </w:p>
  </w:footnote>
  <w:footnote w:id="19">
    <w:p w14:paraId="5684EC74" w14:textId="77777777" w:rsidR="006853C9" w:rsidRPr="00EE2812" w:rsidRDefault="006853C9" w:rsidP="006853C9">
      <w:pPr>
        <w:pStyle w:val="FootnoteText1"/>
        <w:textDirection w:val="tbRlV"/>
      </w:pPr>
      <w:r>
        <w:rPr>
          <w:rtl/>
        </w:rPr>
        <w:t>(</w:t>
      </w:r>
      <w:r w:rsidRPr="00E223F5">
        <w:rPr>
          <w:lang w:val="en-AU"/>
        </w:rPr>
        <w:footnoteRef/>
      </w:r>
      <w:r>
        <w:rPr>
          <w:rtl/>
        </w:rPr>
        <w:t>)</w:t>
      </w:r>
      <w:r>
        <w:rPr>
          <w:rtl/>
        </w:rPr>
        <w:tab/>
      </w:r>
      <w:hyperlink r:id="rId13" w:history="1">
        <w:r w:rsidRPr="006853C9">
          <w:rPr>
            <w:rStyle w:val="Hyperlink"/>
          </w:rPr>
          <w:t>CAT/C/KAZ/RQ/</w:t>
        </w:r>
        <w:r w:rsidRPr="00E223F5">
          <w:rPr>
            <w:rStyle w:val="Hyperlink"/>
          </w:rPr>
          <w:t>4</w:t>
        </w:r>
      </w:hyperlink>
      <w:r w:rsidRPr="008167F1">
        <w:rPr>
          <w:rtl/>
        </w:rPr>
        <w:t xml:space="preserve">، الفقرة </w:t>
      </w:r>
      <w:r w:rsidRPr="00E223F5">
        <w:rPr>
          <w:rtl/>
        </w:rPr>
        <w:t>191</w:t>
      </w:r>
      <w:r w:rsidRPr="006853C9">
        <w:rPr>
          <w:rtl/>
        </w:rPr>
        <w:t xml:space="preserve">. </w:t>
      </w:r>
    </w:p>
  </w:footnote>
  <w:footnote w:id="20">
    <w:p w14:paraId="3D278B68" w14:textId="77777777" w:rsidR="006853C9" w:rsidRPr="00EE2812" w:rsidRDefault="006853C9" w:rsidP="00EE2812">
      <w:pPr>
        <w:pStyle w:val="FootnoteText1"/>
        <w:textDirection w:val="tbRlV"/>
      </w:pPr>
      <w:r>
        <w:rPr>
          <w:rtl/>
        </w:rPr>
        <w:t>(</w:t>
      </w:r>
      <w:r w:rsidRPr="00E223F5">
        <w:rPr>
          <w:lang w:val="en-AU"/>
        </w:rPr>
        <w:footnoteRef/>
      </w:r>
      <w:r>
        <w:rPr>
          <w:rtl/>
        </w:rPr>
        <w:t>)</w:t>
      </w:r>
      <w:r>
        <w:rPr>
          <w:rtl/>
        </w:rPr>
        <w:tab/>
      </w:r>
      <w:r w:rsidRPr="008167F1">
        <w:rPr>
          <w:rtl/>
        </w:rPr>
        <w:t xml:space="preserve">المرجع نفسه، الفقرة </w:t>
      </w:r>
      <w:r w:rsidRPr="00E223F5">
        <w:rPr>
          <w:rtl/>
        </w:rPr>
        <w:t>209</w:t>
      </w:r>
      <w:r w:rsidRPr="006853C9">
        <w:rPr>
          <w:rtl/>
        </w:rPr>
        <w:t xml:space="preserve">. </w:t>
      </w:r>
    </w:p>
  </w:footnote>
  <w:footnote w:id="21">
    <w:p w14:paraId="41B76E4C" w14:textId="77777777" w:rsidR="006853C9" w:rsidRPr="00EE2812" w:rsidRDefault="006853C9" w:rsidP="006853C9">
      <w:pPr>
        <w:pStyle w:val="FootnoteText1"/>
        <w:textDirection w:val="tbRlV"/>
      </w:pPr>
      <w:r>
        <w:rPr>
          <w:rtl/>
        </w:rPr>
        <w:t>(</w:t>
      </w:r>
      <w:r w:rsidRPr="00E223F5">
        <w:rPr>
          <w:lang w:val="en-AU"/>
        </w:rPr>
        <w:footnoteRef/>
      </w:r>
      <w:r>
        <w:rPr>
          <w:rtl/>
        </w:rPr>
        <w:t>)</w:t>
      </w:r>
      <w:r>
        <w:rPr>
          <w:rtl/>
        </w:rPr>
        <w:tab/>
      </w:r>
      <w:hyperlink r:id="rId14" w:history="1">
        <w:r w:rsidRPr="006853C9">
          <w:rPr>
            <w:rStyle w:val="Hyperlink"/>
          </w:rPr>
          <w:t>A/HRC/</w:t>
        </w:r>
        <w:r w:rsidRPr="00E223F5">
          <w:rPr>
            <w:rStyle w:val="Hyperlink"/>
          </w:rPr>
          <w:t>43</w:t>
        </w:r>
        <w:r w:rsidRPr="006853C9">
          <w:rPr>
            <w:rStyle w:val="Hyperlink"/>
          </w:rPr>
          <w:t>/</w:t>
        </w:r>
        <w:r w:rsidRPr="00E223F5">
          <w:rPr>
            <w:rStyle w:val="Hyperlink"/>
          </w:rPr>
          <w:t>10</w:t>
        </w:r>
      </w:hyperlink>
      <w:r w:rsidRPr="008167F1">
        <w:rPr>
          <w:rtl/>
        </w:rPr>
        <w:t xml:space="preserve">، الفقرات </w:t>
      </w:r>
      <w:r w:rsidRPr="00E223F5">
        <w:rPr>
          <w:rtl/>
        </w:rPr>
        <w:t>139</w:t>
      </w:r>
      <w:r w:rsidRPr="00EE2812">
        <w:rPr>
          <w:rtl/>
        </w:rPr>
        <w:t>-</w:t>
      </w:r>
      <w:r w:rsidRPr="00E223F5">
        <w:rPr>
          <w:rtl/>
        </w:rPr>
        <w:t>61</w:t>
      </w:r>
      <w:r w:rsidRPr="008167F1">
        <w:rPr>
          <w:rtl/>
        </w:rPr>
        <w:t xml:space="preserve"> ومن </w:t>
      </w:r>
      <w:r w:rsidRPr="00E223F5">
        <w:rPr>
          <w:rtl/>
        </w:rPr>
        <w:t>139</w:t>
      </w:r>
      <w:r w:rsidRPr="00EE2812">
        <w:rPr>
          <w:rtl/>
        </w:rPr>
        <w:t>-</w:t>
      </w:r>
      <w:r w:rsidRPr="00E223F5">
        <w:rPr>
          <w:rtl/>
        </w:rPr>
        <w:t>63</w:t>
      </w:r>
      <w:r w:rsidRPr="008167F1">
        <w:rPr>
          <w:rtl/>
        </w:rPr>
        <w:t xml:space="preserve"> إلى </w:t>
      </w:r>
      <w:r w:rsidRPr="00E223F5">
        <w:rPr>
          <w:rtl/>
        </w:rPr>
        <w:t>139</w:t>
      </w:r>
      <w:r w:rsidRPr="00EE2812">
        <w:rPr>
          <w:rtl/>
        </w:rPr>
        <w:t>-</w:t>
      </w:r>
      <w:r w:rsidRPr="00E223F5">
        <w:rPr>
          <w:rtl/>
        </w:rPr>
        <w:t>67</w:t>
      </w:r>
      <w:r w:rsidRPr="008167F1">
        <w:rPr>
          <w:rtl/>
        </w:rPr>
        <w:t>، و</w:t>
      </w:r>
      <w:hyperlink r:id="rId15" w:history="1">
        <w:r w:rsidRPr="006853C9">
          <w:rPr>
            <w:rStyle w:val="Hyperlink"/>
          </w:rPr>
          <w:t>A/HRC/</w:t>
        </w:r>
        <w:r w:rsidRPr="00E223F5">
          <w:rPr>
            <w:rStyle w:val="Hyperlink"/>
          </w:rPr>
          <w:t>43</w:t>
        </w:r>
        <w:r w:rsidRPr="006853C9">
          <w:rPr>
            <w:rStyle w:val="Hyperlink"/>
          </w:rPr>
          <w:t>/</w:t>
        </w:r>
        <w:r w:rsidRPr="00E223F5">
          <w:rPr>
            <w:rStyle w:val="Hyperlink"/>
          </w:rPr>
          <w:t>10</w:t>
        </w:r>
        <w:r w:rsidRPr="006853C9">
          <w:rPr>
            <w:rStyle w:val="Hyperlink"/>
          </w:rPr>
          <w:t>/Add.</w:t>
        </w:r>
        <w:r w:rsidRPr="00E223F5">
          <w:rPr>
            <w:rStyle w:val="Hyperlink"/>
          </w:rPr>
          <w:t>1</w:t>
        </w:r>
      </w:hyperlink>
      <w:r w:rsidRPr="008167F1">
        <w:rPr>
          <w:rtl/>
        </w:rPr>
        <w:t xml:space="preserve">، الفقرة </w:t>
      </w:r>
      <w:r w:rsidRPr="00E223F5">
        <w:rPr>
          <w:rtl/>
        </w:rPr>
        <w:t>4</w:t>
      </w:r>
      <w:r w:rsidRPr="006853C9">
        <w:rPr>
          <w:rtl/>
        </w:rPr>
        <w:t xml:space="preserve">. </w:t>
      </w:r>
    </w:p>
  </w:footnote>
  <w:footnote w:id="22">
    <w:p w14:paraId="3E6020FA" w14:textId="77777777" w:rsidR="006853C9" w:rsidRPr="00EE2812" w:rsidRDefault="006853C9" w:rsidP="006853C9">
      <w:pPr>
        <w:pStyle w:val="FootnoteText1"/>
        <w:textDirection w:val="tbRlV"/>
      </w:pPr>
      <w:r>
        <w:rPr>
          <w:rtl/>
        </w:rPr>
        <w:t>(</w:t>
      </w:r>
      <w:r w:rsidRPr="00E223F5">
        <w:rPr>
          <w:lang w:val="en-AU"/>
        </w:rPr>
        <w:footnoteRef/>
      </w:r>
      <w:r>
        <w:rPr>
          <w:rtl/>
        </w:rPr>
        <w:t>)</w:t>
      </w:r>
      <w:r>
        <w:rPr>
          <w:rtl/>
        </w:rPr>
        <w:tab/>
      </w:r>
      <w:hyperlink r:id="rId16" w:history="1">
        <w:r w:rsidRPr="006853C9">
          <w:rPr>
            <w:rStyle w:val="Hyperlink"/>
          </w:rPr>
          <w:t>CAT/C/KAZ/RQ/</w:t>
        </w:r>
        <w:r w:rsidRPr="00E223F5">
          <w:rPr>
            <w:rStyle w:val="Hyperlink"/>
          </w:rPr>
          <w:t>4</w:t>
        </w:r>
      </w:hyperlink>
      <w:r w:rsidRPr="008167F1">
        <w:rPr>
          <w:rtl/>
        </w:rPr>
        <w:t xml:space="preserve">، الفقرة </w:t>
      </w:r>
      <w:r w:rsidRPr="00E223F5">
        <w:rPr>
          <w:rtl/>
        </w:rPr>
        <w:t>168</w:t>
      </w:r>
      <w:r w:rsidRPr="006853C9">
        <w:rPr>
          <w:rtl/>
        </w:rPr>
        <w:t xml:space="preserve">. </w:t>
      </w:r>
    </w:p>
  </w:footnote>
  <w:footnote w:id="23">
    <w:p w14:paraId="3738335F" w14:textId="77777777" w:rsidR="006853C9" w:rsidRPr="00EE2812" w:rsidRDefault="006853C9" w:rsidP="00EE2812">
      <w:pPr>
        <w:pStyle w:val="FootnoteText1"/>
        <w:textDirection w:val="tbRlV"/>
      </w:pPr>
      <w:r>
        <w:rPr>
          <w:rtl/>
        </w:rPr>
        <w:t>(</w:t>
      </w:r>
      <w:r w:rsidRPr="00E223F5">
        <w:rPr>
          <w:lang w:val="en-AU"/>
        </w:rPr>
        <w:footnoteRef/>
      </w:r>
      <w:r>
        <w:rPr>
          <w:rtl/>
        </w:rPr>
        <w:t>)</w:t>
      </w:r>
      <w:r>
        <w:rPr>
          <w:rtl/>
        </w:rPr>
        <w:tab/>
      </w:r>
      <w:r w:rsidRPr="008167F1">
        <w:rPr>
          <w:rtl/>
        </w:rPr>
        <w:t xml:space="preserve">المرجع نفسه، الفقرتان </w:t>
      </w:r>
      <w:r w:rsidRPr="00E223F5">
        <w:rPr>
          <w:rtl/>
        </w:rPr>
        <w:t>188</w:t>
      </w:r>
      <w:r w:rsidRPr="008167F1">
        <w:rPr>
          <w:rtl/>
        </w:rPr>
        <w:t xml:space="preserve"> و</w:t>
      </w:r>
      <w:r w:rsidRPr="00E223F5">
        <w:rPr>
          <w:rtl/>
        </w:rPr>
        <w:t>190</w:t>
      </w:r>
      <w:r w:rsidRPr="006853C9">
        <w:rPr>
          <w:rtl/>
        </w:rPr>
        <w:t xml:space="preserve">. </w:t>
      </w:r>
    </w:p>
  </w:footnote>
  <w:footnote w:id="24">
    <w:p w14:paraId="1E93EF30" w14:textId="77777777" w:rsidR="006853C9" w:rsidRPr="00EE2812" w:rsidRDefault="006853C9" w:rsidP="006853C9">
      <w:pPr>
        <w:pStyle w:val="FootnoteText1"/>
        <w:textDirection w:val="tbRlV"/>
      </w:pPr>
      <w:r>
        <w:rPr>
          <w:rtl/>
        </w:rPr>
        <w:t>(</w:t>
      </w:r>
      <w:r w:rsidRPr="00E223F5">
        <w:rPr>
          <w:lang w:val="en-AU"/>
        </w:rPr>
        <w:footnoteRef/>
      </w:r>
      <w:r>
        <w:rPr>
          <w:rtl/>
        </w:rPr>
        <w:t>)</w:t>
      </w:r>
      <w:r>
        <w:rPr>
          <w:rtl/>
        </w:rPr>
        <w:tab/>
      </w:r>
      <w:hyperlink r:id="rId17" w:history="1">
        <w:r w:rsidRPr="006853C9">
          <w:rPr>
            <w:rStyle w:val="Hyperlink"/>
          </w:rPr>
          <w:t>E/C.</w:t>
        </w:r>
        <w:r w:rsidRPr="00E223F5">
          <w:rPr>
            <w:rStyle w:val="Hyperlink"/>
          </w:rPr>
          <w:t>12</w:t>
        </w:r>
        <w:r w:rsidRPr="006853C9">
          <w:rPr>
            <w:rStyle w:val="Hyperlink"/>
          </w:rPr>
          <w:t>/KAZ/CO/</w:t>
        </w:r>
        <w:r w:rsidRPr="00E223F5">
          <w:rPr>
            <w:rStyle w:val="Hyperlink"/>
          </w:rPr>
          <w:t>2</w:t>
        </w:r>
      </w:hyperlink>
      <w:r w:rsidRPr="008167F1">
        <w:rPr>
          <w:rtl/>
        </w:rPr>
        <w:t xml:space="preserve">، الفقرتان </w:t>
      </w:r>
      <w:r w:rsidRPr="00E223F5">
        <w:rPr>
          <w:rtl/>
        </w:rPr>
        <w:t>44</w:t>
      </w:r>
      <w:r w:rsidRPr="008167F1">
        <w:rPr>
          <w:rtl/>
        </w:rPr>
        <w:t xml:space="preserve"> و</w:t>
      </w:r>
      <w:r w:rsidRPr="00E223F5">
        <w:rPr>
          <w:rtl/>
        </w:rPr>
        <w:t>45</w:t>
      </w:r>
      <w:r w:rsidRPr="006853C9">
        <w:rPr>
          <w:rtl/>
        </w:rPr>
        <w:t xml:space="preserve">. </w:t>
      </w:r>
    </w:p>
  </w:footnote>
  <w:footnote w:id="25">
    <w:p w14:paraId="68819F6E" w14:textId="77777777" w:rsidR="006853C9" w:rsidRPr="00EE2812" w:rsidRDefault="006853C9" w:rsidP="006853C9">
      <w:pPr>
        <w:pStyle w:val="FootnoteText1"/>
        <w:textDirection w:val="tbRlV"/>
      </w:pPr>
      <w:r>
        <w:rPr>
          <w:rtl/>
        </w:rPr>
        <w:t>(</w:t>
      </w:r>
      <w:r w:rsidRPr="00E223F5">
        <w:rPr>
          <w:lang w:val="en-AU"/>
        </w:rPr>
        <w:footnoteRef/>
      </w:r>
      <w:r>
        <w:rPr>
          <w:rtl/>
        </w:rPr>
        <w:t>)</w:t>
      </w:r>
      <w:r>
        <w:rPr>
          <w:rtl/>
        </w:rPr>
        <w:tab/>
      </w:r>
      <w:hyperlink r:id="rId18" w:history="1">
        <w:r w:rsidRPr="006853C9">
          <w:rPr>
            <w:rStyle w:val="Hyperlink"/>
          </w:rPr>
          <w:t>CAT/C/KAZ/RQ/</w:t>
        </w:r>
        <w:r w:rsidRPr="00E223F5">
          <w:rPr>
            <w:rStyle w:val="Hyperlink"/>
          </w:rPr>
          <w:t>4</w:t>
        </w:r>
      </w:hyperlink>
      <w:r w:rsidRPr="008167F1">
        <w:rPr>
          <w:rtl/>
        </w:rPr>
        <w:t xml:space="preserve">، الفقرات </w:t>
      </w:r>
      <w:r w:rsidRPr="00E223F5">
        <w:rPr>
          <w:rtl/>
        </w:rPr>
        <w:t>178</w:t>
      </w:r>
      <w:r w:rsidRPr="00EE2812">
        <w:rPr>
          <w:rtl/>
        </w:rPr>
        <w:t>-</w:t>
      </w:r>
      <w:r w:rsidRPr="00E223F5">
        <w:rPr>
          <w:rtl/>
        </w:rPr>
        <w:t>181</w:t>
      </w:r>
      <w:r w:rsidRPr="006853C9">
        <w:rPr>
          <w:rtl/>
        </w:rPr>
        <w:t xml:space="preserve">. </w:t>
      </w:r>
    </w:p>
  </w:footnote>
  <w:footnote w:id="26">
    <w:p w14:paraId="2B1C3C7D" w14:textId="77777777" w:rsidR="006853C9" w:rsidRPr="00EE2812" w:rsidRDefault="006853C9" w:rsidP="00EE2812">
      <w:pPr>
        <w:pStyle w:val="FootnoteText1"/>
        <w:textDirection w:val="tbRlV"/>
      </w:pPr>
      <w:r>
        <w:rPr>
          <w:rtl/>
        </w:rPr>
        <w:t>(</w:t>
      </w:r>
      <w:r w:rsidRPr="00E223F5">
        <w:rPr>
          <w:lang w:val="en-AU"/>
        </w:rPr>
        <w:footnoteRef/>
      </w:r>
      <w:r>
        <w:rPr>
          <w:rtl/>
        </w:rPr>
        <w:t>)</w:t>
      </w:r>
      <w:r>
        <w:rPr>
          <w:rtl/>
        </w:rPr>
        <w:tab/>
      </w:r>
      <w:r w:rsidRPr="008167F1">
        <w:rPr>
          <w:rtl/>
        </w:rPr>
        <w:t xml:space="preserve">المرجع نفسه، الفقرتان </w:t>
      </w:r>
      <w:r w:rsidRPr="00E223F5">
        <w:rPr>
          <w:rtl/>
        </w:rPr>
        <w:t>174</w:t>
      </w:r>
      <w:r w:rsidRPr="008167F1">
        <w:rPr>
          <w:rtl/>
        </w:rPr>
        <w:t xml:space="preserve"> و</w:t>
      </w:r>
      <w:r w:rsidRPr="00E223F5">
        <w:rPr>
          <w:rtl/>
        </w:rPr>
        <w:t>175</w:t>
      </w:r>
      <w:r w:rsidRPr="006853C9">
        <w:rPr>
          <w:rtl/>
        </w:rPr>
        <w:t xml:space="preserve">. </w:t>
      </w:r>
    </w:p>
  </w:footnote>
  <w:footnote w:id="27">
    <w:p w14:paraId="4EA9F71F" w14:textId="77777777" w:rsidR="006853C9" w:rsidRPr="00EE2812" w:rsidRDefault="006853C9" w:rsidP="006853C9">
      <w:pPr>
        <w:pStyle w:val="FootnoteText1"/>
        <w:textDirection w:val="tbRlV"/>
      </w:pPr>
      <w:r>
        <w:rPr>
          <w:rtl/>
        </w:rPr>
        <w:t>(</w:t>
      </w:r>
      <w:r w:rsidRPr="00E223F5">
        <w:rPr>
          <w:lang w:val="en-AU"/>
        </w:rPr>
        <w:footnoteRef/>
      </w:r>
      <w:r>
        <w:rPr>
          <w:rtl/>
        </w:rPr>
        <w:t>)</w:t>
      </w:r>
      <w:r>
        <w:rPr>
          <w:rtl/>
        </w:rPr>
        <w:tab/>
      </w:r>
      <w:r w:rsidRPr="008167F1">
        <w:rPr>
          <w:rtl/>
        </w:rPr>
        <w:t>انظر على سبيل المثال</w:t>
      </w:r>
      <w:r>
        <w:rPr>
          <w:rtl/>
        </w:rPr>
        <w:t xml:space="preserve"> الوثائق</w:t>
      </w:r>
      <w:r w:rsidRPr="008167F1">
        <w:rPr>
          <w:rtl/>
        </w:rPr>
        <w:t xml:space="preserve"> </w:t>
      </w:r>
      <w:hyperlink r:id="rId19" w:history="1">
        <w:r w:rsidRPr="006853C9">
          <w:rPr>
            <w:rStyle w:val="Hyperlink"/>
          </w:rPr>
          <w:t>CAT/C/</w:t>
        </w:r>
        <w:r w:rsidRPr="00E223F5">
          <w:rPr>
            <w:rStyle w:val="Hyperlink"/>
          </w:rPr>
          <w:t>54</w:t>
        </w:r>
        <w:r w:rsidRPr="006853C9">
          <w:rPr>
            <w:rStyle w:val="Hyperlink"/>
          </w:rPr>
          <w:t>/</w:t>
        </w:r>
        <w:r w:rsidRPr="00E223F5">
          <w:rPr>
            <w:rStyle w:val="Hyperlink"/>
          </w:rPr>
          <w:t>3</w:t>
        </w:r>
      </w:hyperlink>
      <w:r w:rsidRPr="008167F1">
        <w:rPr>
          <w:rtl/>
        </w:rPr>
        <w:t xml:space="preserve"> و</w:t>
      </w:r>
      <w:hyperlink r:id="rId20" w:history="1">
        <w:r w:rsidRPr="006853C9">
          <w:rPr>
            <w:rStyle w:val="Hyperlink"/>
          </w:rPr>
          <w:t>CAT/C/</w:t>
        </w:r>
        <w:r w:rsidRPr="00E223F5">
          <w:rPr>
            <w:rStyle w:val="Hyperlink"/>
          </w:rPr>
          <w:t>56</w:t>
        </w:r>
        <w:r w:rsidRPr="006853C9">
          <w:rPr>
            <w:rStyle w:val="Hyperlink"/>
          </w:rPr>
          <w:t>/</w:t>
        </w:r>
        <w:r w:rsidRPr="00E223F5">
          <w:rPr>
            <w:rStyle w:val="Hyperlink"/>
          </w:rPr>
          <w:t>2</w:t>
        </w:r>
      </w:hyperlink>
      <w:r w:rsidRPr="008167F1">
        <w:rPr>
          <w:rtl/>
        </w:rPr>
        <w:t xml:space="preserve"> و</w:t>
      </w:r>
      <w:hyperlink r:id="rId21" w:history="1">
        <w:r w:rsidRPr="006853C9">
          <w:rPr>
            <w:rStyle w:val="Hyperlink"/>
          </w:rPr>
          <w:t>CAT/C/</w:t>
        </w:r>
        <w:r w:rsidRPr="00E223F5">
          <w:rPr>
            <w:rStyle w:val="Hyperlink"/>
          </w:rPr>
          <w:t>57</w:t>
        </w:r>
        <w:r w:rsidRPr="006853C9">
          <w:rPr>
            <w:rStyle w:val="Hyperlink"/>
          </w:rPr>
          <w:t>/</w:t>
        </w:r>
        <w:r w:rsidRPr="00E223F5">
          <w:rPr>
            <w:rStyle w:val="Hyperlink"/>
          </w:rPr>
          <w:t>3</w:t>
        </w:r>
      </w:hyperlink>
      <w:r w:rsidRPr="008167F1">
        <w:rPr>
          <w:rtl/>
        </w:rPr>
        <w:t xml:space="preserve"> و</w:t>
      </w:r>
      <w:hyperlink r:id="rId22" w:history="1">
        <w:r w:rsidRPr="006853C9">
          <w:rPr>
            <w:rStyle w:val="Hyperlink"/>
          </w:rPr>
          <w:t>CAT/C/</w:t>
        </w:r>
        <w:r w:rsidRPr="00E223F5">
          <w:rPr>
            <w:rStyle w:val="Hyperlink"/>
          </w:rPr>
          <w:t>60</w:t>
        </w:r>
        <w:r w:rsidRPr="006853C9">
          <w:rPr>
            <w:rStyle w:val="Hyperlink"/>
          </w:rPr>
          <w:t>/</w:t>
        </w:r>
        <w:r w:rsidRPr="00E223F5">
          <w:rPr>
            <w:rStyle w:val="Hyperlink"/>
          </w:rPr>
          <w:t>4</w:t>
        </w:r>
      </w:hyperlink>
      <w:r w:rsidRPr="008167F1">
        <w:rPr>
          <w:rtl/>
        </w:rPr>
        <w:t xml:space="preserve"> و</w:t>
      </w:r>
      <w:hyperlink r:id="rId23" w:history="1">
        <w:r w:rsidRPr="006853C9">
          <w:rPr>
            <w:rStyle w:val="Hyperlink"/>
          </w:rPr>
          <w:t>CAT/C/</w:t>
        </w:r>
        <w:r w:rsidRPr="00E223F5">
          <w:rPr>
            <w:rStyle w:val="Hyperlink"/>
          </w:rPr>
          <w:t>62</w:t>
        </w:r>
        <w:r w:rsidRPr="006853C9">
          <w:rPr>
            <w:rStyle w:val="Hyperlink"/>
          </w:rPr>
          <w:t>/</w:t>
        </w:r>
        <w:r w:rsidRPr="00E223F5">
          <w:rPr>
            <w:rStyle w:val="Hyperlink"/>
          </w:rPr>
          <w:t>3</w:t>
        </w:r>
      </w:hyperlink>
      <w:r w:rsidRPr="006853C9">
        <w:rPr>
          <w:rtl/>
        </w:rPr>
        <w:t xml:space="preserve">. </w:t>
      </w:r>
    </w:p>
  </w:footnote>
  <w:footnote w:id="28">
    <w:p w14:paraId="21CB3D7C" w14:textId="77777777" w:rsidR="006853C9" w:rsidRPr="00EE2812" w:rsidRDefault="006853C9" w:rsidP="006853C9">
      <w:pPr>
        <w:pStyle w:val="FootnoteText1"/>
        <w:textDirection w:val="tbRlV"/>
      </w:pPr>
      <w:r>
        <w:rPr>
          <w:rtl/>
        </w:rPr>
        <w:t>(</w:t>
      </w:r>
      <w:r w:rsidRPr="00E223F5">
        <w:rPr>
          <w:lang w:val="en-AU"/>
        </w:rPr>
        <w:footnoteRef/>
      </w:r>
      <w:r>
        <w:rPr>
          <w:rtl/>
        </w:rPr>
        <w:t>)</w:t>
      </w:r>
      <w:r>
        <w:rPr>
          <w:rtl/>
        </w:rPr>
        <w:tab/>
      </w:r>
      <w:hyperlink r:id="rId24" w:history="1">
        <w:r w:rsidRPr="006853C9">
          <w:rPr>
            <w:rStyle w:val="Hyperlink"/>
          </w:rPr>
          <w:t>CERD/C/KAZ/CO/</w:t>
        </w:r>
        <w:r w:rsidRPr="00E223F5">
          <w:rPr>
            <w:rStyle w:val="Hyperlink"/>
          </w:rPr>
          <w:t>8</w:t>
        </w:r>
        <w:r w:rsidRPr="006853C9">
          <w:rPr>
            <w:rStyle w:val="Hyperlink"/>
          </w:rPr>
          <w:t>-</w:t>
        </w:r>
        <w:r w:rsidRPr="00E223F5">
          <w:rPr>
            <w:rStyle w:val="Hyperlink"/>
          </w:rPr>
          <w:t>10</w:t>
        </w:r>
      </w:hyperlink>
      <w:r w:rsidRPr="008167F1">
        <w:rPr>
          <w:rtl/>
        </w:rPr>
        <w:t xml:space="preserve">، الفقرتان </w:t>
      </w:r>
      <w:r w:rsidRPr="00E223F5">
        <w:rPr>
          <w:rtl/>
        </w:rPr>
        <w:t>39</w:t>
      </w:r>
      <w:r w:rsidRPr="008167F1">
        <w:rPr>
          <w:rtl/>
        </w:rPr>
        <w:t xml:space="preserve"> و</w:t>
      </w:r>
      <w:r w:rsidRPr="00E223F5">
        <w:rPr>
          <w:rtl/>
        </w:rPr>
        <w:t>40</w:t>
      </w:r>
      <w:r w:rsidRPr="006853C9">
        <w:rPr>
          <w:rtl/>
        </w:rPr>
        <w:t xml:space="preserve">. </w:t>
      </w:r>
    </w:p>
  </w:footnote>
  <w:footnote w:id="29">
    <w:p w14:paraId="5EE44253" w14:textId="77777777" w:rsidR="006853C9" w:rsidRPr="00EE2812" w:rsidRDefault="006853C9" w:rsidP="006853C9">
      <w:pPr>
        <w:pStyle w:val="FootnoteText1"/>
        <w:textDirection w:val="tbRlV"/>
      </w:pPr>
      <w:r>
        <w:rPr>
          <w:rtl/>
        </w:rPr>
        <w:t>(</w:t>
      </w:r>
      <w:r w:rsidRPr="00E223F5">
        <w:rPr>
          <w:lang w:val="en-AU"/>
        </w:rPr>
        <w:footnoteRef/>
      </w:r>
      <w:r>
        <w:rPr>
          <w:rtl/>
        </w:rPr>
        <w:t>)</w:t>
      </w:r>
      <w:r>
        <w:rPr>
          <w:rtl/>
        </w:rPr>
        <w:tab/>
      </w:r>
      <w:hyperlink r:id="rId25" w:history="1">
        <w:r w:rsidRPr="006853C9">
          <w:rPr>
            <w:rStyle w:val="Hyperlink"/>
          </w:rPr>
          <w:t>CEDAW/C/KAZ/CO/</w:t>
        </w:r>
        <w:r w:rsidRPr="00E223F5">
          <w:rPr>
            <w:rStyle w:val="Hyperlink"/>
          </w:rPr>
          <w:t>5</w:t>
        </w:r>
      </w:hyperlink>
      <w:r w:rsidRPr="008167F1">
        <w:rPr>
          <w:rtl/>
        </w:rPr>
        <w:t xml:space="preserve">، الفقرتان </w:t>
      </w:r>
      <w:r w:rsidRPr="00E223F5">
        <w:rPr>
          <w:rtl/>
        </w:rPr>
        <w:t>25</w:t>
      </w:r>
      <w:r w:rsidRPr="008167F1">
        <w:rPr>
          <w:rtl/>
        </w:rPr>
        <w:t xml:space="preserve"> و</w:t>
      </w:r>
      <w:r w:rsidRPr="00E223F5">
        <w:rPr>
          <w:rtl/>
        </w:rPr>
        <w:t>26</w:t>
      </w:r>
      <w:r w:rsidRPr="008167F1">
        <w:rPr>
          <w:rtl/>
        </w:rPr>
        <w:t>، و</w:t>
      </w:r>
      <w:hyperlink r:id="rId26" w:history="1">
        <w:r w:rsidRPr="006853C9">
          <w:rPr>
            <w:rStyle w:val="Hyperlink"/>
          </w:rPr>
          <w:t>E/C.</w:t>
        </w:r>
        <w:r w:rsidRPr="00E223F5">
          <w:rPr>
            <w:rStyle w:val="Hyperlink"/>
          </w:rPr>
          <w:t>12</w:t>
        </w:r>
        <w:r w:rsidRPr="006853C9">
          <w:rPr>
            <w:rStyle w:val="Hyperlink"/>
          </w:rPr>
          <w:t>/KAZ/CO/</w:t>
        </w:r>
        <w:r w:rsidRPr="00E223F5">
          <w:rPr>
            <w:rStyle w:val="Hyperlink"/>
          </w:rPr>
          <w:t>2</w:t>
        </w:r>
      </w:hyperlink>
      <w:r w:rsidRPr="008167F1">
        <w:rPr>
          <w:rtl/>
        </w:rPr>
        <w:t xml:space="preserve">، الفقرتان </w:t>
      </w:r>
      <w:r w:rsidRPr="00E223F5">
        <w:rPr>
          <w:rtl/>
        </w:rPr>
        <w:t>36</w:t>
      </w:r>
      <w:r w:rsidRPr="008167F1">
        <w:rPr>
          <w:rtl/>
        </w:rPr>
        <w:t xml:space="preserve"> و</w:t>
      </w:r>
      <w:r w:rsidRPr="00E223F5">
        <w:rPr>
          <w:rtl/>
        </w:rPr>
        <w:t>37</w:t>
      </w:r>
      <w:r w:rsidRPr="006853C9">
        <w:rPr>
          <w:rtl/>
        </w:rPr>
        <w:t xml:space="preserve">. </w:t>
      </w:r>
    </w:p>
  </w:footnote>
  <w:footnote w:id="30">
    <w:p w14:paraId="7EF48B8F" w14:textId="77777777" w:rsidR="006853C9" w:rsidRPr="00EE2812" w:rsidRDefault="006853C9" w:rsidP="006853C9">
      <w:pPr>
        <w:pStyle w:val="FootnoteText1"/>
        <w:textDirection w:val="tbRlV"/>
      </w:pPr>
      <w:r>
        <w:rPr>
          <w:rtl/>
        </w:rPr>
        <w:t>(</w:t>
      </w:r>
      <w:r w:rsidRPr="00E223F5">
        <w:rPr>
          <w:lang w:val="en-AU"/>
        </w:rPr>
        <w:footnoteRef/>
      </w:r>
      <w:r>
        <w:rPr>
          <w:rtl/>
        </w:rPr>
        <w:t>)</w:t>
      </w:r>
      <w:r>
        <w:rPr>
          <w:rtl/>
        </w:rPr>
        <w:tab/>
      </w:r>
      <w:hyperlink r:id="rId27" w:history="1">
        <w:r w:rsidRPr="006853C9">
          <w:rPr>
            <w:rStyle w:val="Hyperlink"/>
          </w:rPr>
          <w:t>CAT/C/KAZ/CO/</w:t>
        </w:r>
        <w:r w:rsidRPr="00E223F5">
          <w:rPr>
            <w:rStyle w:val="Hyperlink"/>
          </w:rPr>
          <w:t>3</w:t>
        </w:r>
      </w:hyperlink>
      <w:r w:rsidRPr="008167F1">
        <w:rPr>
          <w:rtl/>
        </w:rPr>
        <w:t xml:space="preserve">، الفقرة </w:t>
      </w:r>
      <w:r w:rsidRPr="00E223F5">
        <w:rPr>
          <w:rtl/>
        </w:rPr>
        <w:t>25</w:t>
      </w:r>
      <w:r w:rsidRPr="006853C9">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300B4" w14:textId="24901F40" w:rsidR="007A52A9" w:rsidRPr="007A52A9" w:rsidRDefault="007A52A9" w:rsidP="007A52A9">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CAT/C/KAZ/CO/4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DAEDF9" w14:textId="70673F7B" w:rsidR="007A52A9" w:rsidRPr="007A52A9" w:rsidRDefault="007A52A9" w:rsidP="007A52A9">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CAT/C/KAZ/CO/4</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7B0854" w14:textId="77777777" w:rsidR="00143C39" w:rsidRDefault="00143C39" w:rsidP="00143C3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903128020">
    <w:abstractNumId w:val="15"/>
  </w:num>
  <w:num w:numId="2" w16cid:durableId="402486958">
    <w:abstractNumId w:val="12"/>
  </w:num>
  <w:num w:numId="3" w16cid:durableId="699551496">
    <w:abstractNumId w:val="2"/>
  </w:num>
  <w:num w:numId="4" w16cid:durableId="1894732594">
    <w:abstractNumId w:val="11"/>
  </w:num>
  <w:num w:numId="5" w16cid:durableId="1407068146">
    <w:abstractNumId w:val="8"/>
  </w:num>
  <w:num w:numId="6" w16cid:durableId="1610699976">
    <w:abstractNumId w:val="5"/>
  </w:num>
  <w:num w:numId="7" w16cid:durableId="2061589564">
    <w:abstractNumId w:val="17"/>
  </w:num>
  <w:num w:numId="8" w16cid:durableId="547374569">
    <w:abstractNumId w:val="2"/>
  </w:num>
  <w:num w:numId="9" w16cid:durableId="494422320">
    <w:abstractNumId w:val="11"/>
  </w:num>
  <w:num w:numId="10" w16cid:durableId="1789859954">
    <w:abstractNumId w:val="5"/>
  </w:num>
  <w:num w:numId="11" w16cid:durableId="1351490467">
    <w:abstractNumId w:val="17"/>
  </w:num>
  <w:num w:numId="12" w16cid:durableId="1739741033">
    <w:abstractNumId w:val="2"/>
  </w:num>
  <w:num w:numId="13" w16cid:durableId="547693580">
    <w:abstractNumId w:val="11"/>
  </w:num>
  <w:num w:numId="14" w16cid:durableId="1417168256">
    <w:abstractNumId w:val="8"/>
  </w:num>
  <w:num w:numId="15" w16cid:durableId="1480270703">
    <w:abstractNumId w:val="5"/>
  </w:num>
  <w:num w:numId="16" w16cid:durableId="1361084399">
    <w:abstractNumId w:val="17"/>
  </w:num>
  <w:num w:numId="17" w16cid:durableId="1061714165">
    <w:abstractNumId w:val="4"/>
  </w:num>
  <w:num w:numId="18" w16cid:durableId="1808549702">
    <w:abstractNumId w:val="3"/>
  </w:num>
  <w:num w:numId="19" w16cid:durableId="242685188">
    <w:abstractNumId w:val="16"/>
  </w:num>
  <w:num w:numId="20" w16cid:durableId="1288581436">
    <w:abstractNumId w:val="13"/>
  </w:num>
  <w:num w:numId="21" w16cid:durableId="449473127">
    <w:abstractNumId w:val="1"/>
  </w:num>
  <w:num w:numId="22" w16cid:durableId="1000304868">
    <w:abstractNumId w:val="14"/>
  </w:num>
  <w:num w:numId="23" w16cid:durableId="286157584">
    <w:abstractNumId w:val="0"/>
  </w:num>
  <w:num w:numId="24" w16cid:durableId="744379891">
    <w:abstractNumId w:val="9"/>
  </w:num>
  <w:num w:numId="25" w16cid:durableId="133499281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28564948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08552047">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329400512">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387189847">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333844893">
    <w:abstractNumId w:val="7"/>
  </w:num>
  <w:num w:numId="31" w16cid:durableId="1285189212">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81117165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9D0"/>
    <w:rsid w:val="000076D5"/>
    <w:rsid w:val="00040E91"/>
    <w:rsid w:val="00043663"/>
    <w:rsid w:val="000456F3"/>
    <w:rsid w:val="000505CF"/>
    <w:rsid w:val="00050A63"/>
    <w:rsid w:val="000A2113"/>
    <w:rsid w:val="000D701C"/>
    <w:rsid w:val="000E11D4"/>
    <w:rsid w:val="000E2A71"/>
    <w:rsid w:val="000F71D2"/>
    <w:rsid w:val="001159B1"/>
    <w:rsid w:val="00143C39"/>
    <w:rsid w:val="00160263"/>
    <w:rsid w:val="00166BD2"/>
    <w:rsid w:val="00167825"/>
    <w:rsid w:val="00170EB3"/>
    <w:rsid w:val="00181F96"/>
    <w:rsid w:val="001A1371"/>
    <w:rsid w:val="001B346A"/>
    <w:rsid w:val="001D6F7B"/>
    <w:rsid w:val="001E1CAD"/>
    <w:rsid w:val="001E290D"/>
    <w:rsid w:val="001F2088"/>
    <w:rsid w:val="00210DD4"/>
    <w:rsid w:val="002144FA"/>
    <w:rsid w:val="0023469A"/>
    <w:rsid w:val="00243C8A"/>
    <w:rsid w:val="00261289"/>
    <w:rsid w:val="00266034"/>
    <w:rsid w:val="0026755E"/>
    <w:rsid w:val="00267A0E"/>
    <w:rsid w:val="002717F9"/>
    <w:rsid w:val="002901D9"/>
    <w:rsid w:val="002976C2"/>
    <w:rsid w:val="002C491C"/>
    <w:rsid w:val="00323EC8"/>
    <w:rsid w:val="003260FF"/>
    <w:rsid w:val="00343D95"/>
    <w:rsid w:val="00362E33"/>
    <w:rsid w:val="00374341"/>
    <w:rsid w:val="00384DA7"/>
    <w:rsid w:val="003D1062"/>
    <w:rsid w:val="00420D7B"/>
    <w:rsid w:val="00450B21"/>
    <w:rsid w:val="00453B63"/>
    <w:rsid w:val="00455780"/>
    <w:rsid w:val="00462F28"/>
    <w:rsid w:val="00467056"/>
    <w:rsid w:val="00472BE8"/>
    <w:rsid w:val="004811D5"/>
    <w:rsid w:val="004956DC"/>
    <w:rsid w:val="004B0A1C"/>
    <w:rsid w:val="004D2177"/>
    <w:rsid w:val="004D298E"/>
    <w:rsid w:val="00531DEA"/>
    <w:rsid w:val="0054472E"/>
    <w:rsid w:val="005662A9"/>
    <w:rsid w:val="00575E9A"/>
    <w:rsid w:val="005827D4"/>
    <w:rsid w:val="00593BE6"/>
    <w:rsid w:val="0059622A"/>
    <w:rsid w:val="005A3015"/>
    <w:rsid w:val="005B7576"/>
    <w:rsid w:val="005C5878"/>
    <w:rsid w:val="005C7CEA"/>
    <w:rsid w:val="005D3C0B"/>
    <w:rsid w:val="005E23DF"/>
    <w:rsid w:val="005E5217"/>
    <w:rsid w:val="005F0FA4"/>
    <w:rsid w:val="005F30EE"/>
    <w:rsid w:val="0060473A"/>
    <w:rsid w:val="00656392"/>
    <w:rsid w:val="006646E9"/>
    <w:rsid w:val="006853C9"/>
    <w:rsid w:val="0068781D"/>
    <w:rsid w:val="006959B0"/>
    <w:rsid w:val="006B2A7F"/>
    <w:rsid w:val="006B3E27"/>
    <w:rsid w:val="006B6507"/>
    <w:rsid w:val="006C104C"/>
    <w:rsid w:val="006D05CB"/>
    <w:rsid w:val="00706DFD"/>
    <w:rsid w:val="0071052D"/>
    <w:rsid w:val="00712059"/>
    <w:rsid w:val="007175B2"/>
    <w:rsid w:val="00733704"/>
    <w:rsid w:val="0074737D"/>
    <w:rsid w:val="00761849"/>
    <w:rsid w:val="0078071A"/>
    <w:rsid w:val="007A3847"/>
    <w:rsid w:val="007A52A9"/>
    <w:rsid w:val="007D56C1"/>
    <w:rsid w:val="007F0FC8"/>
    <w:rsid w:val="00817373"/>
    <w:rsid w:val="00852A9A"/>
    <w:rsid w:val="00860491"/>
    <w:rsid w:val="0086501A"/>
    <w:rsid w:val="008739D0"/>
    <w:rsid w:val="00874514"/>
    <w:rsid w:val="00886A54"/>
    <w:rsid w:val="00891325"/>
    <w:rsid w:val="00893A8A"/>
    <w:rsid w:val="00897AA1"/>
    <w:rsid w:val="008C0B37"/>
    <w:rsid w:val="008F49E1"/>
    <w:rsid w:val="0090370F"/>
    <w:rsid w:val="00906A57"/>
    <w:rsid w:val="009269D2"/>
    <w:rsid w:val="00942135"/>
    <w:rsid w:val="009521B0"/>
    <w:rsid w:val="00972676"/>
    <w:rsid w:val="00981C12"/>
    <w:rsid w:val="009A7E9F"/>
    <w:rsid w:val="009E4397"/>
    <w:rsid w:val="009E5018"/>
    <w:rsid w:val="009F09F5"/>
    <w:rsid w:val="00A12B37"/>
    <w:rsid w:val="00A34EA8"/>
    <w:rsid w:val="00A44D86"/>
    <w:rsid w:val="00A67AF5"/>
    <w:rsid w:val="00A94CA3"/>
    <w:rsid w:val="00AB2C0B"/>
    <w:rsid w:val="00AB6758"/>
    <w:rsid w:val="00B07715"/>
    <w:rsid w:val="00B13763"/>
    <w:rsid w:val="00B456A0"/>
    <w:rsid w:val="00B477A4"/>
    <w:rsid w:val="00B54045"/>
    <w:rsid w:val="00B82677"/>
    <w:rsid w:val="00BA39D4"/>
    <w:rsid w:val="00BB3C3B"/>
    <w:rsid w:val="00BD0805"/>
    <w:rsid w:val="00C111C6"/>
    <w:rsid w:val="00C15D20"/>
    <w:rsid w:val="00C438D7"/>
    <w:rsid w:val="00C62476"/>
    <w:rsid w:val="00C64C7B"/>
    <w:rsid w:val="00C81B50"/>
    <w:rsid w:val="00C87F1F"/>
    <w:rsid w:val="00C96AFF"/>
    <w:rsid w:val="00CA2103"/>
    <w:rsid w:val="00CA35DF"/>
    <w:rsid w:val="00CD1801"/>
    <w:rsid w:val="00CF25FC"/>
    <w:rsid w:val="00D10EF1"/>
    <w:rsid w:val="00D317F1"/>
    <w:rsid w:val="00D3653E"/>
    <w:rsid w:val="00D42810"/>
    <w:rsid w:val="00D914A7"/>
    <w:rsid w:val="00DA57C9"/>
    <w:rsid w:val="00DB712F"/>
    <w:rsid w:val="00DC1D29"/>
    <w:rsid w:val="00DD13C3"/>
    <w:rsid w:val="00DD596E"/>
    <w:rsid w:val="00DD621E"/>
    <w:rsid w:val="00DF0575"/>
    <w:rsid w:val="00E223F5"/>
    <w:rsid w:val="00E2697F"/>
    <w:rsid w:val="00E64B72"/>
    <w:rsid w:val="00E70E04"/>
    <w:rsid w:val="00E76499"/>
    <w:rsid w:val="00EC05A7"/>
    <w:rsid w:val="00EC4B6B"/>
    <w:rsid w:val="00EE2812"/>
    <w:rsid w:val="00EE56C3"/>
    <w:rsid w:val="00EF1EE5"/>
    <w:rsid w:val="00F158EB"/>
    <w:rsid w:val="00F1695F"/>
    <w:rsid w:val="00F25086"/>
    <w:rsid w:val="00F62057"/>
    <w:rsid w:val="00F763B4"/>
    <w:rsid w:val="00F81AF1"/>
    <w:rsid w:val="00F900C3"/>
    <w:rsid w:val="00FB1610"/>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F31109E"/>
  <w15:docId w15:val="{009E8CEC-0811-431B-BAF8-60CBD4F5E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BE6"/>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593BE6"/>
    <w:pPr>
      <w:bidi w:val="0"/>
      <w:outlineLvl w:val="0"/>
    </w:pPr>
  </w:style>
  <w:style w:type="paragraph" w:styleId="Heading2">
    <w:name w:val="heading 2"/>
    <w:basedOn w:val="Normal"/>
    <w:next w:val="Normal"/>
    <w:link w:val="Heading2Char"/>
    <w:uiPriority w:val="9"/>
    <w:unhideWhenUsed/>
    <w:rsid w:val="00593BE6"/>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593BE6"/>
    <w:pPr>
      <w:keepNext/>
      <w:keepLines/>
      <w:spacing w:before="200"/>
      <w:outlineLvl w:val="2"/>
    </w:pPr>
    <w:rPr>
      <w:b/>
      <w:bCs/>
      <w:color w:val="4F81BD"/>
    </w:rPr>
  </w:style>
  <w:style w:type="paragraph" w:styleId="Heading4">
    <w:name w:val="heading 4"/>
    <w:basedOn w:val="Normal"/>
    <w:next w:val="Normal"/>
    <w:link w:val="Heading4Char"/>
    <w:uiPriority w:val="9"/>
    <w:unhideWhenUsed/>
    <w:rsid w:val="00593BE6"/>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593BE6"/>
    <w:pPr>
      <w:keepNext/>
      <w:keepLines/>
      <w:spacing w:before="200"/>
      <w:outlineLvl w:val="4"/>
    </w:pPr>
    <w:rPr>
      <w:color w:val="243F60"/>
    </w:rPr>
  </w:style>
  <w:style w:type="paragraph" w:styleId="Heading6">
    <w:name w:val="heading 6"/>
    <w:basedOn w:val="Normal"/>
    <w:next w:val="Normal"/>
    <w:link w:val="Heading6Char"/>
    <w:uiPriority w:val="9"/>
    <w:unhideWhenUsed/>
    <w:rsid w:val="00593BE6"/>
    <w:pPr>
      <w:keepNext/>
      <w:keepLines/>
      <w:spacing w:before="200"/>
      <w:outlineLvl w:val="5"/>
    </w:pPr>
    <w:rPr>
      <w:i/>
      <w:iCs/>
      <w:color w:val="243F60"/>
    </w:rPr>
  </w:style>
  <w:style w:type="paragraph" w:styleId="Heading7">
    <w:name w:val="heading 7"/>
    <w:basedOn w:val="Normal"/>
    <w:next w:val="Normal"/>
    <w:link w:val="Heading7Char"/>
    <w:uiPriority w:val="9"/>
    <w:unhideWhenUsed/>
    <w:rsid w:val="00593BE6"/>
    <w:pPr>
      <w:keepNext/>
      <w:keepLines/>
      <w:spacing w:before="200"/>
      <w:outlineLvl w:val="6"/>
    </w:pPr>
    <w:rPr>
      <w:i/>
      <w:iCs/>
      <w:color w:val="404040"/>
    </w:rPr>
  </w:style>
  <w:style w:type="paragraph" w:styleId="Heading8">
    <w:name w:val="heading 8"/>
    <w:basedOn w:val="Normal"/>
    <w:next w:val="Normal"/>
    <w:link w:val="Heading8Char"/>
    <w:uiPriority w:val="9"/>
    <w:unhideWhenUsed/>
    <w:rsid w:val="00593BE6"/>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593BE6"/>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593BE6"/>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593BE6"/>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593BE6"/>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593BE6"/>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593BE6"/>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593BE6"/>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593BE6"/>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593BE6"/>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593BE6"/>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593BE6"/>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593BE6"/>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593BE6"/>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593BE6"/>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593BE6"/>
    <w:pPr>
      <w:numPr>
        <w:numId w:val="5"/>
      </w:numPr>
      <w:bidi w:val="0"/>
    </w:pPr>
    <w:rPr>
      <w:lang w:val="en-US"/>
    </w:rPr>
  </w:style>
  <w:style w:type="paragraph" w:customStyle="1" w:styleId="Roman1GA">
    <w:name w:val="_Roman 1_GA"/>
    <w:basedOn w:val="Bullet1GA"/>
    <w:qFormat/>
    <w:rsid w:val="00593BE6"/>
    <w:pPr>
      <w:numPr>
        <w:numId w:val="6"/>
      </w:numPr>
      <w:tabs>
        <w:tab w:val="clear" w:pos="2310"/>
        <w:tab w:val="left" w:pos="2486"/>
      </w:tabs>
      <w:ind w:left="2486" w:hanging="378"/>
    </w:pPr>
  </w:style>
  <w:style w:type="paragraph" w:customStyle="1" w:styleId="Roman2GA">
    <w:name w:val="_Roman 2_GA"/>
    <w:basedOn w:val="Bullet2GA"/>
    <w:qFormat/>
    <w:rsid w:val="00593BE6"/>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593BE6"/>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593BE6"/>
    <w:rPr>
      <w:rFonts w:ascii="Times New Roman" w:eastAsia="PMingLiU" w:hAnsi="Times New Roman" w:cs="Simplified Arabic"/>
      <w:sz w:val="18"/>
      <w:lang w:val="en-GB" w:eastAsia="en-US"/>
    </w:rPr>
  </w:style>
  <w:style w:type="character" w:customStyle="1" w:styleId="EndtnoteReference">
    <w:name w:val="Endtnote Reference"/>
    <w:aliases w:val="1_GA"/>
    <w:qFormat/>
    <w:rsid w:val="00593BE6"/>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593BE6"/>
    <w:pPr>
      <w:suppressAutoHyphens/>
      <w:bidi w:val="0"/>
      <w:spacing w:line="240" w:lineRule="auto"/>
    </w:pPr>
    <w:rPr>
      <w:sz w:val="16"/>
      <w:lang w:val="en-GB"/>
    </w:rPr>
  </w:style>
  <w:style w:type="character" w:customStyle="1" w:styleId="FooterChar">
    <w:name w:val="Footer Char"/>
    <w:aliases w:val="3_GA Char,3_G Char"/>
    <w:link w:val="Footer"/>
    <w:rsid w:val="00593BE6"/>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593BE6"/>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593BE6"/>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593BE6"/>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593BE6"/>
    <w:rPr>
      <w:rFonts w:ascii="Times New Roman" w:eastAsia="PMingLiU" w:hAnsi="Times New Roman" w:cs="Simplified Arabic"/>
      <w:sz w:val="22"/>
      <w:szCs w:val="22"/>
      <w:lang w:val="en-GB" w:eastAsia="en-US"/>
    </w:rPr>
  </w:style>
  <w:style w:type="character" w:styleId="PageNumber">
    <w:name w:val="page number"/>
    <w:aliases w:val="7_GA,7_G"/>
    <w:qFormat/>
    <w:rsid w:val="00593BE6"/>
    <w:rPr>
      <w:rFonts w:ascii="Times New Roman Bold" w:hAnsi="Times New Roman Bold"/>
      <w:b/>
      <w:i w:val="0"/>
      <w:sz w:val="18"/>
      <w:szCs w:val="18"/>
    </w:rPr>
  </w:style>
  <w:style w:type="paragraph" w:customStyle="1" w:styleId="XXLargeGA">
    <w:name w:val="XXLarge_GA"/>
    <w:basedOn w:val="Normal"/>
    <w:next w:val="SingleTxtGA"/>
    <w:qFormat/>
    <w:rsid w:val="00593BE6"/>
    <w:pPr>
      <w:suppressAutoHyphens/>
      <w:spacing w:line="820" w:lineRule="exact"/>
    </w:pPr>
    <w:rPr>
      <w:spacing w:val="-8"/>
      <w:w w:val="96"/>
      <w:sz w:val="57"/>
      <w:szCs w:val="86"/>
      <w:lang w:val="en-GB"/>
    </w:rPr>
  </w:style>
  <w:style w:type="character" w:customStyle="1" w:styleId="Heading2Char">
    <w:name w:val="Heading 2 Char"/>
    <w:link w:val="Heading2"/>
    <w:uiPriority w:val="9"/>
    <w:rsid w:val="00593BE6"/>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593BE6"/>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593BE6"/>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593BE6"/>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593BE6"/>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593BE6"/>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593BE6"/>
    <w:rPr>
      <w:rFonts w:ascii="Times New Roman" w:eastAsia="PMingLiU" w:hAnsi="Times New Roman" w:cs="Simplified Arabic"/>
      <w:color w:val="404040"/>
      <w:lang w:eastAsia="en-US"/>
    </w:rPr>
  </w:style>
  <w:style w:type="character" w:customStyle="1" w:styleId="Heading9Char">
    <w:name w:val="Heading 9 Char"/>
    <w:link w:val="Heading9"/>
    <w:uiPriority w:val="9"/>
    <w:rsid w:val="00593BE6"/>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593BE6"/>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593BE6"/>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593BE6"/>
    <w:pPr>
      <w:numPr>
        <w:ilvl w:val="1"/>
      </w:numPr>
    </w:pPr>
    <w:rPr>
      <w:i/>
      <w:iCs/>
      <w:color w:val="4F81BD"/>
      <w:spacing w:val="15"/>
      <w:sz w:val="24"/>
      <w:szCs w:val="24"/>
    </w:rPr>
  </w:style>
  <w:style w:type="character" w:customStyle="1" w:styleId="SubtitleChar">
    <w:name w:val="Subtitle Char"/>
    <w:link w:val="Subtitle"/>
    <w:uiPriority w:val="11"/>
    <w:rsid w:val="00593BE6"/>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593BE6"/>
    <w:rPr>
      <w:b/>
      <w:bCs/>
    </w:rPr>
  </w:style>
  <w:style w:type="table" w:styleId="TableGrid">
    <w:name w:val="Table Grid"/>
    <w:basedOn w:val="TableNormal"/>
    <w:rsid w:val="00593BE6"/>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593BE6"/>
    <w:rPr>
      <w:color w:val="0000FF"/>
      <w:u w:val="none"/>
    </w:rPr>
  </w:style>
  <w:style w:type="paragraph" w:styleId="TOC1">
    <w:name w:val="toc 1"/>
    <w:basedOn w:val="Normal"/>
    <w:link w:val="TOC1Char"/>
    <w:autoRedefine/>
    <w:uiPriority w:val="39"/>
    <w:unhideWhenUsed/>
    <w:rsid w:val="00593BE6"/>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593BE6"/>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593BE6"/>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593BE6"/>
    <w:rPr>
      <w:rFonts w:eastAsia="DengXian"/>
      <w:color w:val="auto"/>
      <w:sz w:val="20"/>
      <w:szCs w:val="20"/>
      <w:u w:val="none"/>
      <w:lang w:eastAsia="zh-CN" w:bidi="ar-EG"/>
    </w:rPr>
  </w:style>
  <w:style w:type="paragraph" w:styleId="TOC4">
    <w:name w:val="toc 4"/>
    <w:basedOn w:val="Normal"/>
    <w:link w:val="TOC4Char"/>
    <w:autoRedefine/>
    <w:uiPriority w:val="39"/>
    <w:unhideWhenUsed/>
    <w:rsid w:val="00593BE6"/>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593BE6"/>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593BE6"/>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593BE6"/>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593BE6"/>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593BE6"/>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593BE6"/>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593BE6"/>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593BE6"/>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593BE6"/>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593BE6"/>
    <w:rPr>
      <w:rFonts w:ascii="Times New Roman" w:eastAsia="PMingLiU" w:hAnsi="Times New Roman" w:cs="Simplified Arabic"/>
      <w:lang w:val="en-GB" w:eastAsia="en-US"/>
    </w:rPr>
  </w:style>
  <w:style w:type="paragraph" w:customStyle="1" w:styleId="NormalA">
    <w:name w:val="Normal_A"/>
    <w:basedOn w:val="Normal"/>
    <w:qFormat/>
    <w:rsid w:val="00593BE6"/>
  </w:style>
  <w:style w:type="paragraph" w:customStyle="1" w:styleId="FootnoteGA">
    <w:name w:val="_Footnote_GA"/>
    <w:basedOn w:val="Normal"/>
    <w:qFormat/>
    <w:rsid w:val="00593BE6"/>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593BE6"/>
    <w:rPr>
      <w:sz w:val="44"/>
      <w:szCs w:val="44"/>
      <w:lang w:val="en-US" w:bidi="ar-DZ"/>
    </w:rPr>
  </w:style>
  <w:style w:type="paragraph" w:customStyle="1" w:styleId="FootnoteGA0">
    <w:name w:val="Footnote_GA"/>
    <w:basedOn w:val="Normal"/>
    <w:qFormat/>
    <w:rsid w:val="00593BE6"/>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593BE6"/>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593BE6"/>
    <w:pPr>
      <w:spacing w:line="240" w:lineRule="exact"/>
    </w:pPr>
    <w:rPr>
      <w:spacing w:val="6"/>
      <w:w w:val="106"/>
      <w:sz w:val="14"/>
      <w:szCs w:val="21"/>
    </w:rPr>
  </w:style>
  <w:style w:type="paragraph" w:customStyle="1" w:styleId="Original">
    <w:name w:val="Original"/>
    <w:basedOn w:val="Normal"/>
    <w:next w:val="Normal"/>
    <w:qFormat/>
    <w:rsid w:val="00593BE6"/>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593BE6"/>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593BE6"/>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C64C7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64C7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64C7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593BE6"/>
    <w:rPr>
      <w:lang w:val="en-US" w:eastAsia="zh-TW"/>
    </w:rPr>
  </w:style>
  <w:style w:type="paragraph" w:customStyle="1" w:styleId="STitleMGA">
    <w:name w:val="S_Title_M_GA"/>
    <w:basedOn w:val="SMGA"/>
    <w:qFormat/>
    <w:rsid w:val="00593BE6"/>
    <w:rPr>
      <w:lang w:eastAsia="zh-TW"/>
    </w:rPr>
  </w:style>
  <w:style w:type="paragraph" w:customStyle="1" w:styleId="STitleSGA">
    <w:name w:val="S_Title_S_GA"/>
    <w:basedOn w:val="SSGA"/>
    <w:qFormat/>
    <w:rsid w:val="00593BE6"/>
    <w:rPr>
      <w:lang w:eastAsia="zh-TW"/>
    </w:rPr>
  </w:style>
  <w:style w:type="paragraph" w:styleId="FootnoteText">
    <w:name w:val="footnote text"/>
    <w:basedOn w:val="Normal"/>
    <w:link w:val="FootnoteTextChar"/>
    <w:uiPriority w:val="99"/>
    <w:semiHidden/>
    <w:unhideWhenUsed/>
    <w:qFormat/>
    <w:rsid w:val="00EE2812"/>
    <w:pPr>
      <w:spacing w:line="240" w:lineRule="auto"/>
    </w:pPr>
    <w:rPr>
      <w:szCs w:val="20"/>
    </w:rPr>
  </w:style>
  <w:style w:type="character" w:customStyle="1" w:styleId="FootnoteTextChar">
    <w:name w:val="Footnote Text Char"/>
    <w:basedOn w:val="DefaultParagraphFont"/>
    <w:link w:val="FootnoteText"/>
    <w:uiPriority w:val="99"/>
    <w:semiHidden/>
    <w:rsid w:val="00EE2812"/>
    <w:rPr>
      <w:rFonts w:ascii="Times New Roman" w:eastAsia="PMingLiU" w:hAnsi="Times New Roman" w:cs="Simplified Arabic"/>
      <w:lang w:eastAsia="en-US"/>
    </w:rPr>
  </w:style>
  <w:style w:type="character" w:styleId="FootnoteReference">
    <w:name w:val="footnote reference"/>
    <w:basedOn w:val="DefaultParagraphFont"/>
    <w:uiPriority w:val="99"/>
    <w:semiHidden/>
    <w:unhideWhenUsed/>
    <w:qFormat/>
    <w:rsid w:val="00EE2812"/>
    <w:rPr>
      <w:vertAlign w:val="superscript"/>
    </w:rPr>
  </w:style>
  <w:style w:type="character" w:styleId="EndnoteReference">
    <w:name w:val="endnote reference"/>
    <w:aliases w:val="1_G"/>
    <w:basedOn w:val="DefaultParagraphFont"/>
    <w:unhideWhenUsed/>
    <w:qFormat/>
    <w:rsid w:val="00EE2812"/>
    <w:rPr>
      <w:vertAlign w:val="superscript"/>
    </w:rPr>
  </w:style>
  <w:style w:type="character" w:styleId="UnresolvedMention">
    <w:name w:val="Unresolved Mention"/>
    <w:basedOn w:val="DefaultParagraphFont"/>
    <w:uiPriority w:val="99"/>
    <w:semiHidden/>
    <w:unhideWhenUsed/>
    <w:rsid w:val="006853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AT/C/KAZ/CO/3/Add.1" TargetMode="External"/><Relationship Id="rId13" Type="http://schemas.openxmlformats.org/officeDocument/2006/relationships/hyperlink" Target="https://undocs.org/ar/CAT/C/KAZ/RQ/4" TargetMode="External"/><Relationship Id="rId18" Type="http://schemas.openxmlformats.org/officeDocument/2006/relationships/hyperlink" Target="https://undocs.org/ar/CAT/C/KAZ/RQ/4" TargetMode="External"/><Relationship Id="rId26" Type="http://schemas.openxmlformats.org/officeDocument/2006/relationships/hyperlink" Target="https://undocs.org/ar/E/C.12/KAZ/CO/2" TargetMode="External"/><Relationship Id="rId3" Type="http://schemas.openxmlformats.org/officeDocument/2006/relationships/hyperlink" Target="https://undocs.org/ar/CAT/C/SR.1995" TargetMode="External"/><Relationship Id="rId21" Type="http://schemas.openxmlformats.org/officeDocument/2006/relationships/hyperlink" Target="https://undocs.org/ar/CAT/C/57/3" TargetMode="External"/><Relationship Id="rId7" Type="http://schemas.openxmlformats.org/officeDocument/2006/relationships/hyperlink" Target="https://undocs.org/ar/CAT/C/KAZ/CO/3" TargetMode="External"/><Relationship Id="rId12" Type="http://schemas.openxmlformats.org/officeDocument/2006/relationships/hyperlink" Target="https://undocs.org/ar/CAT/C/KAZ/CO/3" TargetMode="External"/><Relationship Id="rId17" Type="http://schemas.openxmlformats.org/officeDocument/2006/relationships/hyperlink" Target="https://undocs.org/ar/E/C.12/KAZ/CO/2" TargetMode="External"/><Relationship Id="rId25" Type="http://schemas.openxmlformats.org/officeDocument/2006/relationships/hyperlink" Target="https://undocs.org/ar/CEDAW/C/KAZ/CO/5" TargetMode="External"/><Relationship Id="rId2" Type="http://schemas.openxmlformats.org/officeDocument/2006/relationships/hyperlink" Target="https://undocs.org/ar/CAT/C/KAZ/4/Corr.1" TargetMode="External"/><Relationship Id="rId16" Type="http://schemas.openxmlformats.org/officeDocument/2006/relationships/hyperlink" Target="https://undocs.org/ar/CAT/C/KAZ/RQ/4" TargetMode="External"/><Relationship Id="rId20" Type="http://schemas.openxmlformats.org/officeDocument/2006/relationships/hyperlink" Target="https://undocs.org/ar/CAT/C/56/2" TargetMode="External"/><Relationship Id="rId1" Type="http://schemas.openxmlformats.org/officeDocument/2006/relationships/hyperlink" Target="https://undocs.org/ar/CAT/C/KAZ/4" TargetMode="External"/><Relationship Id="rId6" Type="http://schemas.openxmlformats.org/officeDocument/2006/relationships/hyperlink" Target="https://undocs.org/ar/CAT/C/KAZ/Q/4" TargetMode="External"/><Relationship Id="rId11" Type="http://schemas.openxmlformats.org/officeDocument/2006/relationships/hyperlink" Target="https://undocs.org/ar/CAT/C/KAZ/RQ/4" TargetMode="External"/><Relationship Id="rId24" Type="http://schemas.openxmlformats.org/officeDocument/2006/relationships/hyperlink" Target="https://undocs.org/ar/CERD/C/KAZ/CO/8-10" TargetMode="External"/><Relationship Id="rId5" Type="http://schemas.openxmlformats.org/officeDocument/2006/relationships/hyperlink" Target="https://undocs.org/ar/CAT/C/KAZ/RQ/4" TargetMode="External"/><Relationship Id="rId15" Type="http://schemas.openxmlformats.org/officeDocument/2006/relationships/hyperlink" Target="https://undocs.org/ar/A/HRC/43/10/Add.1" TargetMode="External"/><Relationship Id="rId23" Type="http://schemas.openxmlformats.org/officeDocument/2006/relationships/hyperlink" Target="https://undocs.org/ar/CAT/C/62/3" TargetMode="External"/><Relationship Id="rId10" Type="http://schemas.openxmlformats.org/officeDocument/2006/relationships/hyperlink" Target="https://undocs.org/ar/CAT/C/KAZ/CO/3/Add.2" TargetMode="External"/><Relationship Id="rId19" Type="http://schemas.openxmlformats.org/officeDocument/2006/relationships/hyperlink" Target="https://undocs.org/ar/CAT/C/54/3" TargetMode="External"/><Relationship Id="rId4" Type="http://schemas.openxmlformats.org/officeDocument/2006/relationships/hyperlink" Target="https://undocs.org/ar/CAT/C/SR.1998" TargetMode="External"/><Relationship Id="rId9" Type="http://schemas.openxmlformats.org/officeDocument/2006/relationships/hyperlink" Target="https://tbinternet.ohchr.org/_layouts/15/treatybodyexternal/Download.aspx?symbolno=INT" TargetMode="External"/><Relationship Id="rId14" Type="http://schemas.openxmlformats.org/officeDocument/2006/relationships/hyperlink" Target="https://undocs.org/ar/A/HRC/43/10" TargetMode="External"/><Relationship Id="rId22" Type="http://schemas.openxmlformats.org/officeDocument/2006/relationships/hyperlink" Target="https://undocs.org/ar/CAT/C/60/4" TargetMode="External"/><Relationship Id="rId27" Type="http://schemas.openxmlformats.org/officeDocument/2006/relationships/hyperlink" Target="https://undocs.org/ar/CAT/C/KAZ/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15</Pages>
  <Words>5045</Words>
  <Characters>31534</Characters>
  <Application>Microsoft Office Word</Application>
  <DocSecurity>0</DocSecurity>
  <Lines>2866</Lines>
  <Paragraphs>1741</Paragraphs>
  <ScaleCrop>false</ScaleCrop>
  <HeadingPairs>
    <vt:vector size="2" baseType="variant">
      <vt:variant>
        <vt:lpstr>Title</vt:lpstr>
      </vt:variant>
      <vt:variant>
        <vt:i4>1</vt:i4>
      </vt:variant>
    </vt:vector>
  </HeadingPairs>
  <TitlesOfParts>
    <vt:vector size="1" baseType="lpstr">
      <vt:lpstr>CAT/C/KAZ/CO/4</vt:lpstr>
    </vt:vector>
  </TitlesOfParts>
  <Company>DCM</Company>
  <LinksUpToDate>false</LinksUpToDate>
  <CharactersWithSpaces>34838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CAT/C/KAZ/CO/4</dc:title>
  <dc:subject>GE.2309422(A)</dc:subject>
  <dc:creator>Gamal MAHMOUD - </dc:creator>
  <cp:keywords>GE.(A)</cp:keywords>
  <dc:description>_x000d_
_x000d_
Arabic_x000d_
</dc:description>
  <cp:lastModifiedBy>Gamal Mohamed Abdelhamid Mahmoud</cp:lastModifiedBy>
  <cp:revision>2</cp:revision>
  <cp:lastPrinted>2016-06-21T10:29:00Z</cp:lastPrinted>
  <dcterms:created xsi:type="dcterms:W3CDTF">2023-10-27T08:02:00Z</dcterms:created>
  <dcterms:modified xsi:type="dcterms:W3CDTF">2023-10-27T08:02:00Z</dcterms:modified>
  <cp:category>Final</cp:category>
</cp:coreProperties>
</file>