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F592C" w:rsidP="001F592C">
            <w:pPr>
              <w:bidi w:val="0"/>
              <w:spacing w:after="20"/>
              <w:jc w:val="left"/>
              <w:rPr>
                <w:szCs w:val="20"/>
              </w:rPr>
            </w:pPr>
            <w:r w:rsidRPr="001F592C">
              <w:rPr>
                <w:sz w:val="40"/>
                <w:szCs w:val="20"/>
              </w:rPr>
              <w:t>CEDAW</w:t>
            </w:r>
            <w:r>
              <w:rPr>
                <w:szCs w:val="20"/>
              </w:rPr>
              <w:t>/C/KWT/Q/3-4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1F592C" w:rsidRDefault="001F592C" w:rsidP="001F592C">
            <w:pPr>
              <w:bidi w:val="0"/>
              <w:spacing w:before="240"/>
              <w:jc w:val="left"/>
            </w:pPr>
            <w:r>
              <w:t>Distr.: General</w:t>
            </w:r>
          </w:p>
          <w:p w:rsidR="001F592C" w:rsidRDefault="001F592C" w:rsidP="001F592C">
            <w:pPr>
              <w:bidi w:val="0"/>
              <w:jc w:val="left"/>
            </w:pPr>
            <w:r>
              <w:t>8 March 2011</w:t>
            </w:r>
          </w:p>
          <w:p w:rsidR="001F592C" w:rsidRDefault="001F592C" w:rsidP="001F592C">
            <w:pPr>
              <w:bidi w:val="0"/>
              <w:jc w:val="left"/>
            </w:pPr>
            <w:r>
              <w:t>Arabic</w:t>
            </w:r>
          </w:p>
          <w:p w:rsidR="00257225" w:rsidRPr="008B4BC6" w:rsidRDefault="001F592C" w:rsidP="001F592C">
            <w:pPr>
              <w:bidi w:val="0"/>
              <w:jc w:val="left"/>
            </w:pPr>
            <w:r>
              <w:t>Original: English</w:t>
            </w:r>
          </w:p>
        </w:tc>
      </w:tr>
    </w:tbl>
    <w:p w:rsidR="00B118BC" w:rsidRPr="00B118BC" w:rsidRDefault="00B118BC" w:rsidP="00133370">
      <w:pPr>
        <w:spacing w:before="120" w:line="380" w:lineRule="exact"/>
        <w:rPr>
          <w:b/>
          <w:bCs/>
          <w:spacing w:val="6"/>
          <w:kern w:val="3"/>
          <w:sz w:val="36"/>
          <w:szCs w:val="36"/>
        </w:rPr>
      </w:pPr>
      <w:r w:rsidRPr="00B118BC">
        <w:rPr>
          <w:b/>
          <w:bCs/>
          <w:spacing w:val="6"/>
          <w:kern w:val="3"/>
          <w:sz w:val="36"/>
          <w:szCs w:val="36"/>
          <w:rtl/>
        </w:rPr>
        <w:t>اللجنة المعنية بالقضاء على التمييز ضد المرأة</w:t>
      </w:r>
    </w:p>
    <w:p w:rsidR="00B118BC" w:rsidRPr="00B118BC" w:rsidRDefault="00B118BC" w:rsidP="00EE3131">
      <w:pPr>
        <w:spacing w:line="380" w:lineRule="exact"/>
        <w:rPr>
          <w:rFonts w:hint="cs"/>
          <w:b/>
          <w:bCs/>
          <w:spacing w:val="6"/>
          <w:kern w:val="3"/>
          <w:sz w:val="30"/>
          <w:rtl/>
        </w:rPr>
      </w:pPr>
      <w:r w:rsidRPr="00B118BC">
        <w:rPr>
          <w:b/>
          <w:bCs/>
          <w:spacing w:val="6"/>
          <w:kern w:val="3"/>
          <w:sz w:val="30"/>
          <w:rtl/>
        </w:rPr>
        <w:t>الدورة الخمسون</w:t>
      </w:r>
    </w:p>
    <w:p w:rsidR="00B118BC" w:rsidRPr="00B118BC" w:rsidRDefault="00B118BC" w:rsidP="00EE3131">
      <w:pPr>
        <w:spacing w:line="380" w:lineRule="exact"/>
        <w:rPr>
          <w:spacing w:val="6"/>
          <w:kern w:val="3"/>
          <w:sz w:val="30"/>
        </w:rPr>
      </w:pPr>
      <w:r w:rsidRPr="00B118BC">
        <w:rPr>
          <w:spacing w:val="6"/>
          <w:kern w:val="3"/>
          <w:sz w:val="30"/>
          <w:rtl/>
        </w:rPr>
        <w:t>3-21 تشرين الأول/أكتوبر 2011</w:t>
      </w:r>
    </w:p>
    <w:p w:rsidR="00B118BC" w:rsidRPr="00B118BC" w:rsidRDefault="00B118BC" w:rsidP="00B118BC">
      <w:pPr>
        <w:pStyle w:val="HChGA"/>
      </w:pPr>
      <w:r>
        <w:rPr>
          <w:rFonts w:hint="cs"/>
          <w:rtl/>
        </w:rPr>
        <w:tab/>
      </w:r>
      <w:r>
        <w:rPr>
          <w:rFonts w:hint="cs"/>
          <w:rtl/>
        </w:rPr>
        <w:tab/>
      </w:r>
      <w:r w:rsidRPr="00B118BC">
        <w:rPr>
          <w:rtl/>
        </w:rPr>
        <w:t xml:space="preserve">قائمة </w:t>
      </w:r>
      <w:r>
        <w:rPr>
          <w:rFonts w:hint="cs"/>
          <w:rtl/>
        </w:rPr>
        <w:t>ب</w:t>
      </w:r>
      <w:r w:rsidRPr="00B118BC">
        <w:rPr>
          <w:rtl/>
        </w:rPr>
        <w:t>القضايا والأسئلة المطروحة فيما يتعلق بالنظر في التقارير الدورية</w:t>
      </w:r>
    </w:p>
    <w:p w:rsidR="00B118BC" w:rsidRDefault="00B118BC" w:rsidP="00B118BC">
      <w:pPr>
        <w:pStyle w:val="H1GA"/>
        <w:rPr>
          <w:kern w:val="3"/>
        </w:rPr>
      </w:pPr>
      <w:r>
        <w:rPr>
          <w:rFonts w:hint="cs"/>
          <w:kern w:val="3"/>
          <w:rtl/>
        </w:rPr>
        <w:tab/>
      </w:r>
      <w:r>
        <w:rPr>
          <w:rFonts w:hint="cs"/>
          <w:kern w:val="3"/>
          <w:rtl/>
        </w:rPr>
        <w:tab/>
      </w:r>
      <w:r>
        <w:rPr>
          <w:kern w:val="3"/>
          <w:rtl/>
        </w:rPr>
        <w:t>الكويت</w:t>
      </w:r>
    </w:p>
    <w:p w:rsidR="00B118BC" w:rsidRDefault="00B118BC" w:rsidP="00B118BC">
      <w:pPr>
        <w:pStyle w:val="SingleTxtGA"/>
      </w:pPr>
      <w:r>
        <w:rPr>
          <w:rFonts w:hint="cs"/>
          <w:rtl/>
        </w:rPr>
        <w:tab/>
      </w:r>
      <w:r>
        <w:rPr>
          <w:rtl/>
        </w:rPr>
        <w:t>نظر الفريق العامل لمـا قبل الدورة في التقرير الجامع للتقريرين الدوريين الثالث والرابع للكويت (</w:t>
      </w:r>
      <w:r>
        <w:rPr>
          <w:rFonts w:eastAsia="SimSun"/>
          <w:lang w:eastAsia="zh-CN"/>
        </w:rPr>
        <w:t>CEDAW/C/KWT/3-4</w:t>
      </w:r>
      <w:r>
        <w:rPr>
          <w:rtl/>
        </w:rPr>
        <w:t>).</w:t>
      </w:r>
    </w:p>
    <w:p w:rsidR="00B118BC" w:rsidRDefault="00B118BC" w:rsidP="00B118BC">
      <w:pPr>
        <w:pStyle w:val="H23GA"/>
        <w:rPr>
          <w:kern w:val="3"/>
        </w:rPr>
      </w:pPr>
      <w:r>
        <w:rPr>
          <w:rFonts w:hint="cs"/>
          <w:kern w:val="3"/>
          <w:rtl/>
        </w:rPr>
        <w:tab/>
      </w:r>
      <w:r>
        <w:rPr>
          <w:rFonts w:hint="cs"/>
          <w:kern w:val="3"/>
          <w:rtl/>
        </w:rPr>
        <w:tab/>
      </w:r>
      <w:r>
        <w:rPr>
          <w:kern w:val="3"/>
          <w:rtl/>
        </w:rPr>
        <w:t>قضايا وأسئلة عامة</w:t>
      </w:r>
    </w:p>
    <w:p w:rsidR="00B118BC" w:rsidRDefault="00B118BC" w:rsidP="001E5A60">
      <w:pPr>
        <w:pStyle w:val="SingleTxtGA"/>
      </w:pPr>
      <w:r>
        <w:rPr>
          <w:kern w:val="3"/>
          <w:rtl/>
        </w:rPr>
        <w:t>1-</w:t>
      </w:r>
      <w:r>
        <w:rPr>
          <w:kern w:val="3"/>
          <w:rtl/>
        </w:rPr>
        <w:tab/>
        <w:t>يرجى تقديم معلومات عن عملية إعداد التقرير الجامع للتقريرين الدوريين الثالث والرابع. و</w:t>
      </w:r>
      <w:r>
        <w:rPr>
          <w:rFonts w:hint="cs"/>
          <w:kern w:val="3"/>
          <w:rtl/>
        </w:rPr>
        <w:t>ي</w:t>
      </w:r>
      <w:r>
        <w:rPr>
          <w:kern w:val="3"/>
          <w:rtl/>
        </w:rPr>
        <w:t xml:space="preserve">رجى الإشارة على وجه الخصوص إلى مدى استشارة المنظمات غير الحكومية، على نحو ما أوصت </w:t>
      </w:r>
      <w:proofErr w:type="spellStart"/>
      <w:r>
        <w:rPr>
          <w:kern w:val="3"/>
          <w:rtl/>
        </w:rPr>
        <w:t>به</w:t>
      </w:r>
      <w:proofErr w:type="spellEnd"/>
      <w:r>
        <w:rPr>
          <w:kern w:val="3"/>
          <w:rtl/>
        </w:rPr>
        <w:t xml:space="preserve"> اللجنة (</w:t>
      </w:r>
      <w:r>
        <w:rPr>
          <w:rFonts w:eastAsia="SimSun"/>
        </w:rPr>
        <w:t>CEDAW/C/KWT/CO/2</w:t>
      </w:r>
      <w:r>
        <w:rPr>
          <w:kern w:val="3"/>
          <w:rtl/>
        </w:rPr>
        <w:t>، الفقرة 80)، وما إذا كانت الحكومة قد قدمت التقرير إلى مجلس الأمة.</w:t>
      </w:r>
    </w:p>
    <w:p w:rsidR="00B118BC" w:rsidRDefault="001E5A60" w:rsidP="001E5A60">
      <w:pPr>
        <w:pStyle w:val="H23GA"/>
        <w:rPr>
          <w:kern w:val="3"/>
        </w:rPr>
      </w:pPr>
      <w:r>
        <w:rPr>
          <w:rFonts w:hint="cs"/>
          <w:kern w:val="3"/>
          <w:rtl/>
        </w:rPr>
        <w:tab/>
      </w:r>
      <w:r>
        <w:rPr>
          <w:rFonts w:hint="cs"/>
          <w:kern w:val="3"/>
          <w:rtl/>
        </w:rPr>
        <w:tab/>
      </w:r>
      <w:r w:rsidR="00B118BC">
        <w:rPr>
          <w:kern w:val="3"/>
          <w:rtl/>
        </w:rPr>
        <w:t>الوضع القانوني للاتفاقية، والإطار التشريعي والمؤسسي</w:t>
      </w:r>
    </w:p>
    <w:p w:rsidR="00B118BC" w:rsidRDefault="00B118BC" w:rsidP="00D93D94">
      <w:pPr>
        <w:pStyle w:val="SingleTxtGA"/>
        <w:rPr>
          <w:rFonts w:hint="cs"/>
        </w:rPr>
      </w:pPr>
      <w:r>
        <w:rPr>
          <w:kern w:val="3"/>
          <w:rtl/>
        </w:rPr>
        <w:t>2-</w:t>
      </w:r>
      <w:r>
        <w:rPr>
          <w:kern w:val="3"/>
          <w:rtl/>
        </w:rPr>
        <w:tab/>
        <w:t>أوصت اللجنة، في ملاحظاتها الختامية السابقة (</w:t>
      </w:r>
      <w:r>
        <w:rPr>
          <w:rFonts w:eastAsia="SimSun"/>
        </w:rPr>
        <w:t>CEDAW/C/KWT/CO/2</w:t>
      </w:r>
      <w:r>
        <w:rPr>
          <w:kern w:val="3"/>
          <w:rtl/>
        </w:rPr>
        <w:t>،</w:t>
      </w:r>
      <w:r w:rsidR="00D93D94">
        <w:rPr>
          <w:rFonts w:hint="cs"/>
          <w:kern w:val="3"/>
          <w:rtl/>
        </w:rPr>
        <w:t xml:space="preserve">            </w:t>
      </w:r>
      <w:r>
        <w:rPr>
          <w:kern w:val="3"/>
          <w:rtl/>
        </w:rPr>
        <w:t xml:space="preserve"> الفقرة 81) بأن تصدق الدولة الطرف على البروتوكول الاختياري للاتفاقية. وفي هذا الصدد، يرجى </w:t>
      </w:r>
      <w:r w:rsidR="003A3F83">
        <w:rPr>
          <w:rFonts w:hint="cs"/>
          <w:kern w:val="3"/>
          <w:rtl/>
        </w:rPr>
        <w:t>بيان</w:t>
      </w:r>
      <w:r>
        <w:rPr>
          <w:kern w:val="3"/>
          <w:rtl/>
        </w:rPr>
        <w:t xml:space="preserve"> سبب عدم قبول الدولة الطرف توصيات </w:t>
      </w:r>
      <w:r>
        <w:rPr>
          <w:rFonts w:hint="cs"/>
          <w:kern w:val="3"/>
          <w:rtl/>
        </w:rPr>
        <w:t>مماثلة</w:t>
      </w:r>
      <w:r>
        <w:rPr>
          <w:kern w:val="3"/>
          <w:rtl/>
        </w:rPr>
        <w:t xml:space="preserve"> و</w:t>
      </w:r>
      <w:r>
        <w:rPr>
          <w:rFonts w:hint="cs"/>
          <w:kern w:val="3"/>
          <w:rtl/>
        </w:rPr>
        <w:t>ُ</w:t>
      </w:r>
      <w:r>
        <w:rPr>
          <w:kern w:val="3"/>
          <w:rtl/>
        </w:rPr>
        <w:t>جهت إليها أثناء الاستعراض الدوري الشامل للكويت</w:t>
      </w:r>
      <w:r w:rsidR="003A3F83">
        <w:rPr>
          <w:kern w:val="3"/>
          <w:vertAlign w:val="superscript"/>
          <w:rtl/>
        </w:rPr>
        <w:t>(</w:t>
      </w:r>
      <w:r w:rsidR="003A3F83">
        <w:rPr>
          <w:rStyle w:val="FootnoteReference"/>
          <w:spacing w:val="6"/>
          <w:rtl/>
        </w:rPr>
        <w:footnoteReference w:id="1"/>
      </w:r>
      <w:r w:rsidR="003A3F83">
        <w:rPr>
          <w:kern w:val="3"/>
          <w:vertAlign w:val="superscript"/>
          <w:rtl/>
        </w:rPr>
        <w:t>)</w:t>
      </w:r>
      <w:r>
        <w:rPr>
          <w:rFonts w:hint="cs"/>
          <w:kern w:val="3"/>
          <w:rtl/>
        </w:rPr>
        <w:t>.</w:t>
      </w:r>
    </w:p>
    <w:p w:rsidR="00B118BC" w:rsidRDefault="00B118BC" w:rsidP="00D93D94">
      <w:pPr>
        <w:pStyle w:val="SingleTxtGA"/>
        <w:rPr>
          <w:kern w:val="3"/>
        </w:rPr>
      </w:pPr>
      <w:r>
        <w:rPr>
          <w:kern w:val="3"/>
          <w:rtl/>
        </w:rPr>
        <w:t>3-</w:t>
      </w:r>
      <w:r>
        <w:rPr>
          <w:kern w:val="3"/>
          <w:rtl/>
        </w:rPr>
        <w:tab/>
        <w:t xml:space="preserve">وفيما يتعلق بالمادة 4 من الدستور، يرجى </w:t>
      </w:r>
      <w:r w:rsidR="00D93D94">
        <w:rPr>
          <w:rFonts w:hint="cs"/>
          <w:kern w:val="3"/>
          <w:rtl/>
        </w:rPr>
        <w:t>بيان</w:t>
      </w:r>
      <w:r>
        <w:rPr>
          <w:kern w:val="3"/>
          <w:rtl/>
        </w:rPr>
        <w:t xml:space="preserve"> الأساس القانوني أو غير ذلك من الأسس </w:t>
      </w:r>
      <w:r w:rsidR="00D93D94">
        <w:rPr>
          <w:rFonts w:hint="cs"/>
          <w:kern w:val="3"/>
          <w:rtl/>
        </w:rPr>
        <w:t>لإقصاء</w:t>
      </w:r>
      <w:r>
        <w:rPr>
          <w:kern w:val="3"/>
          <w:rtl/>
        </w:rPr>
        <w:t xml:space="preserve"> المرأة </w:t>
      </w:r>
      <w:r w:rsidR="00D93D94">
        <w:rPr>
          <w:rFonts w:hint="cs"/>
          <w:kern w:val="3"/>
          <w:rtl/>
        </w:rPr>
        <w:t>ع</w:t>
      </w:r>
      <w:r>
        <w:rPr>
          <w:kern w:val="3"/>
          <w:rtl/>
        </w:rPr>
        <w:t>ن وراثة</w:t>
      </w:r>
      <w:r w:rsidR="00D93D94">
        <w:rPr>
          <w:rFonts w:hint="cs"/>
          <w:kern w:val="3"/>
          <w:rtl/>
        </w:rPr>
        <w:t xml:space="preserve"> العرش الأميري</w:t>
      </w:r>
      <w:r>
        <w:rPr>
          <w:kern w:val="3"/>
          <w:rtl/>
        </w:rPr>
        <w:t>.</w:t>
      </w:r>
    </w:p>
    <w:p w:rsidR="00B118BC" w:rsidRDefault="00B118BC" w:rsidP="003057C8">
      <w:pPr>
        <w:pStyle w:val="SingleTxtGA"/>
      </w:pPr>
      <w:r>
        <w:rPr>
          <w:kern w:val="3"/>
          <w:rtl/>
        </w:rPr>
        <w:t>4-</w:t>
      </w:r>
      <w:r>
        <w:rPr>
          <w:kern w:val="3"/>
          <w:rtl/>
        </w:rPr>
        <w:tab/>
        <w:t>وتماشيا</w:t>
      </w:r>
      <w:r w:rsidR="00D93D94">
        <w:rPr>
          <w:rFonts w:hint="cs"/>
          <w:kern w:val="3"/>
          <w:rtl/>
        </w:rPr>
        <w:t>ً</w:t>
      </w:r>
      <w:r>
        <w:rPr>
          <w:kern w:val="3"/>
          <w:rtl/>
        </w:rPr>
        <w:t xml:space="preserve"> مع التوصيات السابقة للجنة (</w:t>
      </w:r>
      <w:r>
        <w:rPr>
          <w:rFonts w:eastAsia="SimSun"/>
        </w:rPr>
        <w:t>CEDAW/C/KWT/CO/2</w:t>
      </w:r>
      <w:r>
        <w:rPr>
          <w:kern w:val="3"/>
          <w:rtl/>
        </w:rPr>
        <w:t>، الفقرة 63)، يرجى تقديم معلومات مفصلة عن التدريب المقدم إلى القضاة والمحامين والمدعين العامين والشرطة وسائر موظفي إنفاذ القانون، بشأن الطابع الملزم للاتفاقية وانطباقها المباشر، فضلا</w:t>
      </w:r>
      <w:r w:rsidR="001C3ECE">
        <w:rPr>
          <w:rFonts w:hint="cs"/>
          <w:kern w:val="3"/>
          <w:rtl/>
        </w:rPr>
        <w:t>ً</w:t>
      </w:r>
      <w:r>
        <w:rPr>
          <w:kern w:val="3"/>
          <w:rtl/>
        </w:rPr>
        <w:t xml:space="preserve"> عن التدابير المتخذة لإذكاء وعي الجمهور بالاتفاقية.</w:t>
      </w:r>
    </w:p>
    <w:p w:rsidR="00B118BC" w:rsidRPr="003057C8" w:rsidRDefault="00B118BC" w:rsidP="003057C8">
      <w:pPr>
        <w:pStyle w:val="SingleTxtGA"/>
        <w:rPr>
          <w:spacing w:val="-6"/>
          <w:kern w:val="3"/>
        </w:rPr>
      </w:pPr>
      <w:r>
        <w:rPr>
          <w:kern w:val="3"/>
          <w:rtl/>
        </w:rPr>
        <w:t>5-</w:t>
      </w:r>
      <w:r>
        <w:rPr>
          <w:kern w:val="3"/>
          <w:rtl/>
        </w:rPr>
        <w:tab/>
        <w:t xml:space="preserve">ويرجى تقديم معلومات عن عدد الشكاوى المتعلقة بحقوق الإنسان التي تقدمها </w:t>
      </w:r>
      <w:r w:rsidRPr="003057C8">
        <w:rPr>
          <w:spacing w:val="-6"/>
          <w:kern w:val="3"/>
          <w:rtl/>
        </w:rPr>
        <w:t>النساء إلى اللجنة العليا لحقوق الإنسان (الفقرة 29 من التقرير) وإلى المحاكم (الفقرتان 52 و58)، وأنواع الانتهاكات المزعومة، وعن نتائجها.</w:t>
      </w:r>
    </w:p>
    <w:p w:rsidR="00B118BC" w:rsidRDefault="00B118BC" w:rsidP="00B24212">
      <w:pPr>
        <w:pStyle w:val="SingleTxtGA"/>
        <w:rPr>
          <w:kern w:val="3"/>
        </w:rPr>
      </w:pPr>
      <w:r>
        <w:rPr>
          <w:kern w:val="3"/>
          <w:rtl/>
        </w:rPr>
        <w:t>6-</w:t>
      </w:r>
      <w:r>
        <w:rPr>
          <w:kern w:val="3"/>
          <w:rtl/>
        </w:rPr>
        <w:tab/>
        <w:t>و</w:t>
      </w:r>
      <w:r>
        <w:rPr>
          <w:rFonts w:hint="cs"/>
          <w:kern w:val="3"/>
          <w:rtl/>
        </w:rPr>
        <w:t>ي</w:t>
      </w:r>
      <w:r>
        <w:rPr>
          <w:kern w:val="3"/>
          <w:rtl/>
        </w:rPr>
        <w:t xml:space="preserve">رجى </w:t>
      </w:r>
      <w:r>
        <w:rPr>
          <w:rFonts w:hint="cs"/>
          <w:kern w:val="3"/>
          <w:rtl/>
        </w:rPr>
        <w:t>أيضا</w:t>
      </w:r>
      <w:r w:rsidR="003057C8">
        <w:rPr>
          <w:rFonts w:hint="cs"/>
          <w:kern w:val="3"/>
          <w:rtl/>
        </w:rPr>
        <w:t>ً</w:t>
      </w:r>
      <w:r>
        <w:rPr>
          <w:rFonts w:hint="cs"/>
          <w:kern w:val="3"/>
          <w:rtl/>
        </w:rPr>
        <w:t xml:space="preserve"> بيان</w:t>
      </w:r>
      <w:r>
        <w:rPr>
          <w:kern w:val="3"/>
          <w:rtl/>
        </w:rPr>
        <w:t xml:space="preserve"> ما إذا كانت الدولة الطرف قد اتخذت خطوات ملموسة في</w:t>
      </w:r>
      <w:r w:rsidR="003057C8">
        <w:rPr>
          <w:rFonts w:hint="cs"/>
          <w:kern w:val="3"/>
          <w:rtl/>
        </w:rPr>
        <w:t xml:space="preserve"> </w:t>
      </w:r>
      <w:r>
        <w:rPr>
          <w:kern w:val="3"/>
          <w:rtl/>
        </w:rPr>
        <w:t xml:space="preserve"> سبيل إنشاء مؤسسة وطنية مستقلة لحقوق الإنسان وفقا</w:t>
      </w:r>
      <w:r w:rsidR="001C3ECE">
        <w:rPr>
          <w:rFonts w:hint="cs"/>
          <w:kern w:val="3"/>
          <w:rtl/>
        </w:rPr>
        <w:t>ً</w:t>
      </w:r>
      <w:r>
        <w:rPr>
          <w:kern w:val="3"/>
          <w:rtl/>
        </w:rPr>
        <w:t xml:space="preserve"> لمبادئ باريس (مرفق قرار الجمعية العامة 48/134 المؤرخ 20 كانون الأول/ديسمبر 1993)، تماشيا</w:t>
      </w:r>
      <w:r w:rsidR="001C3ECE">
        <w:rPr>
          <w:rFonts w:hint="cs"/>
          <w:kern w:val="3"/>
          <w:rtl/>
        </w:rPr>
        <w:t>ً</w:t>
      </w:r>
      <w:r>
        <w:rPr>
          <w:kern w:val="3"/>
          <w:rtl/>
        </w:rPr>
        <w:t xml:space="preserve"> مع الالتزام الطوعي الذي </w:t>
      </w:r>
      <w:r>
        <w:rPr>
          <w:rFonts w:hint="cs"/>
          <w:kern w:val="3"/>
          <w:rtl/>
        </w:rPr>
        <w:t>أعربت عنه</w:t>
      </w:r>
      <w:r>
        <w:rPr>
          <w:kern w:val="3"/>
          <w:rtl/>
        </w:rPr>
        <w:t xml:space="preserve"> خلال الاستعراض الدوري الشامل</w:t>
      </w:r>
      <w:r w:rsidR="00B24212">
        <w:rPr>
          <w:kern w:val="3"/>
          <w:vertAlign w:val="superscript"/>
          <w:rtl/>
        </w:rPr>
        <w:t>(</w:t>
      </w:r>
      <w:r w:rsidR="00B24212">
        <w:rPr>
          <w:rStyle w:val="FootnoteReference"/>
          <w:rtl/>
        </w:rPr>
        <w:footnoteReference w:id="2"/>
      </w:r>
      <w:r w:rsidR="00B24212">
        <w:rPr>
          <w:kern w:val="3"/>
          <w:vertAlign w:val="superscript"/>
          <w:rtl/>
        </w:rPr>
        <w:t>)</w:t>
      </w:r>
      <w:r>
        <w:rPr>
          <w:kern w:val="3"/>
          <w:rtl/>
        </w:rPr>
        <w:t>.</w:t>
      </w:r>
    </w:p>
    <w:p w:rsidR="00B118BC" w:rsidRDefault="00B118BC" w:rsidP="00DC230B">
      <w:pPr>
        <w:pStyle w:val="SingleTxtGA"/>
        <w:rPr>
          <w:rFonts w:hint="cs"/>
        </w:rPr>
      </w:pPr>
      <w:r>
        <w:rPr>
          <w:kern w:val="3"/>
          <w:rtl/>
        </w:rPr>
        <w:t>7-</w:t>
      </w:r>
      <w:r>
        <w:rPr>
          <w:kern w:val="3"/>
          <w:rtl/>
        </w:rPr>
        <w:tab/>
        <w:t>ويرجى بيان ما إذا كانت الدولة الطرف تتخذ خطوات لتدرج في تشريعها الوطني تعريفا</w:t>
      </w:r>
      <w:r w:rsidR="001C3ECE">
        <w:rPr>
          <w:rFonts w:hint="cs"/>
          <w:kern w:val="3"/>
          <w:rtl/>
        </w:rPr>
        <w:t>ً</w:t>
      </w:r>
      <w:r>
        <w:rPr>
          <w:kern w:val="3"/>
          <w:rtl/>
        </w:rPr>
        <w:t xml:space="preserve"> للتمييز ضد المرأة على النحو الوارد في المادة 1 من الاتفاقية، </w:t>
      </w:r>
      <w:r>
        <w:rPr>
          <w:rFonts w:hint="cs"/>
          <w:kern w:val="3"/>
          <w:rtl/>
        </w:rPr>
        <w:t>وفقا</w:t>
      </w:r>
      <w:r w:rsidR="001C3ECE">
        <w:rPr>
          <w:rFonts w:hint="cs"/>
          <w:kern w:val="3"/>
          <w:rtl/>
        </w:rPr>
        <w:t>ً</w:t>
      </w:r>
      <w:r>
        <w:rPr>
          <w:rFonts w:hint="cs"/>
          <w:kern w:val="3"/>
          <w:rtl/>
        </w:rPr>
        <w:t xml:space="preserve"> ل</w:t>
      </w:r>
      <w:r>
        <w:rPr>
          <w:kern w:val="3"/>
          <w:rtl/>
        </w:rPr>
        <w:t xml:space="preserve">ما أوصت </w:t>
      </w:r>
      <w:proofErr w:type="spellStart"/>
      <w:r>
        <w:rPr>
          <w:kern w:val="3"/>
          <w:rtl/>
        </w:rPr>
        <w:t>به</w:t>
      </w:r>
      <w:proofErr w:type="spellEnd"/>
      <w:r>
        <w:rPr>
          <w:kern w:val="3"/>
          <w:rtl/>
        </w:rPr>
        <w:t xml:space="preserve"> اللجنة (</w:t>
      </w:r>
      <w:r>
        <w:rPr>
          <w:rFonts w:eastAsia="SimSun"/>
        </w:rPr>
        <w:t>CEDAW/C/KWT/CO/2</w:t>
      </w:r>
      <w:r>
        <w:rPr>
          <w:kern w:val="3"/>
          <w:rtl/>
        </w:rPr>
        <w:t>، الفقرة 65). وهل تُتخذ خطوات لاعتماد خطة عمل وطنية وتشريعات شاملة بشأن المساواة بين الجنسين، تماشيا</w:t>
      </w:r>
      <w:r w:rsidR="001C3ECE">
        <w:rPr>
          <w:rFonts w:hint="cs"/>
          <w:kern w:val="3"/>
          <w:rtl/>
        </w:rPr>
        <w:t>ً</w:t>
      </w:r>
      <w:r>
        <w:rPr>
          <w:kern w:val="3"/>
          <w:rtl/>
        </w:rPr>
        <w:t xml:space="preserve"> مع الالتزامات الطوعية التي تعهدت </w:t>
      </w:r>
      <w:proofErr w:type="spellStart"/>
      <w:r>
        <w:rPr>
          <w:kern w:val="3"/>
          <w:rtl/>
        </w:rPr>
        <w:t>بها</w:t>
      </w:r>
      <w:proofErr w:type="spellEnd"/>
      <w:r>
        <w:rPr>
          <w:kern w:val="3"/>
          <w:rtl/>
        </w:rPr>
        <w:t xml:space="preserve"> الدولة الطرف في استعراضها الدوري الشامل؟</w:t>
      </w:r>
      <w:r w:rsidR="00F471E6">
        <w:rPr>
          <w:kern w:val="3"/>
          <w:vertAlign w:val="superscript"/>
          <w:rtl/>
        </w:rPr>
        <w:t>(</w:t>
      </w:r>
      <w:r w:rsidR="00F471E6">
        <w:rPr>
          <w:rStyle w:val="FootnoteReference"/>
          <w:rtl/>
        </w:rPr>
        <w:footnoteReference w:id="3"/>
      </w:r>
      <w:r w:rsidR="00F471E6">
        <w:rPr>
          <w:kern w:val="3"/>
          <w:vertAlign w:val="superscript"/>
          <w:rtl/>
        </w:rPr>
        <w:t>)</w:t>
      </w:r>
    </w:p>
    <w:p w:rsidR="00B118BC" w:rsidRPr="00C271A6" w:rsidRDefault="00DC230B" w:rsidP="00DC230B">
      <w:pPr>
        <w:pStyle w:val="H23GA"/>
        <w:rPr>
          <w:kern w:val="3"/>
        </w:rPr>
      </w:pPr>
      <w:r>
        <w:rPr>
          <w:rFonts w:hint="cs"/>
          <w:kern w:val="3"/>
          <w:rtl/>
        </w:rPr>
        <w:tab/>
      </w:r>
      <w:r>
        <w:rPr>
          <w:rFonts w:hint="cs"/>
          <w:kern w:val="3"/>
          <w:rtl/>
        </w:rPr>
        <w:tab/>
      </w:r>
      <w:r w:rsidR="00B118BC" w:rsidRPr="00C271A6">
        <w:rPr>
          <w:kern w:val="3"/>
          <w:rtl/>
        </w:rPr>
        <w:t>القوالب النمطية</w:t>
      </w:r>
    </w:p>
    <w:p w:rsidR="00B118BC" w:rsidRDefault="00B118BC" w:rsidP="00DC230B">
      <w:pPr>
        <w:pStyle w:val="SingleTxtGA"/>
      </w:pPr>
      <w:r>
        <w:rPr>
          <w:kern w:val="3"/>
          <w:rtl/>
        </w:rPr>
        <w:t>8-</w:t>
      </w:r>
      <w:r>
        <w:rPr>
          <w:kern w:val="3"/>
          <w:rtl/>
        </w:rPr>
        <w:tab/>
        <w:t>ما هي التدابير التي ات</w:t>
      </w:r>
      <w:r>
        <w:rPr>
          <w:rFonts w:hint="cs"/>
          <w:kern w:val="3"/>
          <w:rtl/>
        </w:rPr>
        <w:t>ُّ</w:t>
      </w:r>
      <w:r>
        <w:rPr>
          <w:kern w:val="3"/>
          <w:rtl/>
        </w:rPr>
        <w:t>خذت لتنفيذ توصية اللجنة (</w:t>
      </w:r>
      <w:r>
        <w:rPr>
          <w:rFonts w:eastAsia="SimSun"/>
        </w:rPr>
        <w:t>CEDAW/C/KWT/CO/2</w:t>
      </w:r>
      <w:r>
        <w:rPr>
          <w:kern w:val="3"/>
          <w:rtl/>
        </w:rPr>
        <w:t xml:space="preserve">، </w:t>
      </w:r>
      <w:r w:rsidR="00DC230B">
        <w:rPr>
          <w:rFonts w:hint="cs"/>
          <w:kern w:val="3"/>
          <w:rtl/>
        </w:rPr>
        <w:t xml:space="preserve">         </w:t>
      </w:r>
      <w:r>
        <w:rPr>
          <w:kern w:val="3"/>
          <w:rtl/>
        </w:rPr>
        <w:t>الفقرة 71) بشأن إذكاء الوعي لتعزيز فهم أفضل للمساواة بين الجنسي</w:t>
      </w:r>
      <w:r>
        <w:rPr>
          <w:rFonts w:hint="cs"/>
          <w:kern w:val="3"/>
          <w:rtl/>
        </w:rPr>
        <w:t>ن</w:t>
      </w:r>
      <w:r>
        <w:rPr>
          <w:kern w:val="3"/>
          <w:rtl/>
        </w:rPr>
        <w:t xml:space="preserve">، على </w:t>
      </w:r>
      <w:r>
        <w:rPr>
          <w:rFonts w:hint="cs"/>
          <w:kern w:val="3"/>
          <w:rtl/>
        </w:rPr>
        <w:t>كل</w:t>
      </w:r>
      <w:r>
        <w:rPr>
          <w:kern w:val="3"/>
          <w:rtl/>
        </w:rPr>
        <w:t xml:space="preserve"> مستويات المجتمع، بغية القضاء على القوالب النمطية التقليدية السائدة بشأن دور المرأة والرجل ومسؤولياتهما في الأسرة والمجتمع، مع التركيز المفرط على دور الأمومة الذي تضطلع </w:t>
      </w:r>
      <w:proofErr w:type="spellStart"/>
      <w:r>
        <w:rPr>
          <w:kern w:val="3"/>
          <w:rtl/>
        </w:rPr>
        <w:t>به</w:t>
      </w:r>
      <w:proofErr w:type="spellEnd"/>
      <w:r>
        <w:rPr>
          <w:kern w:val="3"/>
          <w:rtl/>
        </w:rPr>
        <w:t xml:space="preserve"> المرأة؟ وما هي، بوجه خاص، التدابير التي ت</w:t>
      </w:r>
      <w:r>
        <w:rPr>
          <w:rFonts w:hint="cs"/>
          <w:kern w:val="3"/>
          <w:rtl/>
        </w:rPr>
        <w:t>ُ</w:t>
      </w:r>
      <w:r>
        <w:rPr>
          <w:kern w:val="3"/>
          <w:rtl/>
        </w:rPr>
        <w:t>تخذ لتشجيع الرجال على المشاركة بنشاط أكبر في الاضطلاع بمسؤوليات الأسرة والمنزل وللترويج لصور المرأة النشطة اقتصاديا</w:t>
      </w:r>
      <w:r w:rsidR="00DC230B">
        <w:rPr>
          <w:rFonts w:hint="cs"/>
          <w:kern w:val="3"/>
          <w:rtl/>
        </w:rPr>
        <w:t>ً</w:t>
      </w:r>
      <w:r>
        <w:rPr>
          <w:kern w:val="3"/>
          <w:rtl/>
        </w:rPr>
        <w:t xml:space="preserve"> واجتماعيا</w:t>
      </w:r>
      <w:r w:rsidR="00DC230B">
        <w:rPr>
          <w:rFonts w:hint="cs"/>
          <w:kern w:val="3"/>
          <w:rtl/>
        </w:rPr>
        <w:t>ً</w:t>
      </w:r>
      <w:r>
        <w:rPr>
          <w:kern w:val="3"/>
          <w:rtl/>
        </w:rPr>
        <w:t xml:space="preserve">؟ ويرجى </w:t>
      </w:r>
      <w:r w:rsidR="00DC230B">
        <w:rPr>
          <w:rFonts w:hint="cs"/>
          <w:kern w:val="3"/>
          <w:rtl/>
        </w:rPr>
        <w:t>بيان</w:t>
      </w:r>
      <w:r>
        <w:rPr>
          <w:kern w:val="3"/>
          <w:rtl/>
        </w:rPr>
        <w:t xml:space="preserve"> دور إدارة التنمية الأسرية التابعة لوزارة الأوقاف والشؤون الإسلامية في هذا الصدد (الفقرة 92 من التقرير).</w:t>
      </w:r>
    </w:p>
    <w:p w:rsidR="00B118BC" w:rsidRPr="00C271A6" w:rsidRDefault="00DC230B" w:rsidP="00DC230B">
      <w:pPr>
        <w:pStyle w:val="H23GA"/>
        <w:keepNext/>
        <w:rPr>
          <w:kern w:val="3"/>
        </w:rPr>
      </w:pPr>
      <w:r>
        <w:rPr>
          <w:rFonts w:hint="cs"/>
          <w:kern w:val="3"/>
          <w:rtl/>
        </w:rPr>
        <w:tab/>
      </w:r>
      <w:r>
        <w:rPr>
          <w:rFonts w:hint="cs"/>
          <w:kern w:val="3"/>
          <w:rtl/>
        </w:rPr>
        <w:tab/>
      </w:r>
      <w:r w:rsidR="00B118BC" w:rsidRPr="00C271A6">
        <w:rPr>
          <w:kern w:val="3"/>
          <w:rtl/>
        </w:rPr>
        <w:t>العنف ضد المرأة</w:t>
      </w:r>
    </w:p>
    <w:p w:rsidR="00B118BC" w:rsidRPr="009465CB" w:rsidRDefault="00B118BC" w:rsidP="009465CB">
      <w:pPr>
        <w:pStyle w:val="SingleTxtGA"/>
        <w:rPr>
          <w:spacing w:val="-6"/>
        </w:rPr>
      </w:pPr>
      <w:r>
        <w:rPr>
          <w:kern w:val="3"/>
          <w:rtl/>
        </w:rPr>
        <w:t>9-</w:t>
      </w:r>
      <w:r>
        <w:rPr>
          <w:kern w:val="3"/>
          <w:rtl/>
        </w:rPr>
        <w:tab/>
        <w:t>يرجى بيان الخطوات التي اتخذتها الدولة الطرف لتجريم الاغتصاب الزوجي، واعتماد أحكام محددة في القانون الجنائي بشأن العنف المنزلي، وتشجيع النساء الضحايا على إبلاغ الشرطة عن حوادث العنف المنزلي والعنف الجنسي، بما يشمل تقديم المساعدة القانونية والطبية والنفسية وتوفير الملاجئ المؤقتة الملائمة للضحايا. ويرجى تقديم بيانات إحصائية عن عدد حالات العنف المنزلي والجنسي المبلغ عنها، وعدد التحقيقات والملاحقات الجنائية، والعقوبات المفروضة على المذنبين، وعن أي تعويضات قدمت للضحايا منذ عام 2005، على أن تصنف هذه البيانات حسب الجنس والسن والجنسية والعلاقة يبن الضحية والجاني</w:t>
      </w:r>
      <w:r w:rsidR="009465CB">
        <w:rPr>
          <w:kern w:val="3"/>
          <w:vertAlign w:val="superscript"/>
          <w:rtl/>
        </w:rPr>
        <w:t>(</w:t>
      </w:r>
      <w:r w:rsidR="009465CB">
        <w:rPr>
          <w:rStyle w:val="FootnoteReference"/>
          <w:rtl/>
        </w:rPr>
        <w:footnoteReference w:id="4"/>
      </w:r>
      <w:r w:rsidR="009465CB">
        <w:rPr>
          <w:kern w:val="3"/>
          <w:vertAlign w:val="superscript"/>
          <w:rtl/>
        </w:rPr>
        <w:t>)</w:t>
      </w:r>
      <w:r>
        <w:rPr>
          <w:kern w:val="3"/>
          <w:rtl/>
        </w:rPr>
        <w:t>.</w:t>
      </w:r>
      <w:r w:rsidR="00463EB9">
        <w:rPr>
          <w:rFonts w:hint="cs"/>
          <w:kern w:val="3"/>
          <w:rtl/>
        </w:rPr>
        <w:t xml:space="preserve"> </w:t>
      </w:r>
      <w:r>
        <w:rPr>
          <w:kern w:val="3"/>
          <w:rtl/>
        </w:rPr>
        <w:t xml:space="preserve">ويرجى </w:t>
      </w:r>
      <w:r w:rsidRPr="009465CB">
        <w:rPr>
          <w:spacing w:val="-6"/>
          <w:kern w:val="3"/>
          <w:rtl/>
        </w:rPr>
        <w:t>أيضا</w:t>
      </w:r>
      <w:r w:rsidR="009465CB" w:rsidRPr="009465CB">
        <w:rPr>
          <w:rFonts w:hint="cs"/>
          <w:spacing w:val="-6"/>
          <w:kern w:val="3"/>
          <w:rtl/>
        </w:rPr>
        <w:t>ً</w:t>
      </w:r>
      <w:r w:rsidRPr="009465CB">
        <w:rPr>
          <w:spacing w:val="-6"/>
          <w:kern w:val="3"/>
          <w:rtl/>
        </w:rPr>
        <w:t xml:space="preserve"> بيان التدابير المتخذة لتدريب القضاة والمدعين العامين والشرطة على الإجراءات المناسبة لمواجهة هذه الأفعال، وتوعية الجمهور بطابعها الإجرامي (</w:t>
      </w:r>
      <w:r w:rsidRPr="009465CB">
        <w:rPr>
          <w:rFonts w:eastAsia="SimSun"/>
          <w:spacing w:val="-6"/>
          <w:szCs w:val="18"/>
          <w:lang w:eastAsia="zh-CN"/>
        </w:rPr>
        <w:t>CEDAW/C/KWT/CO/2</w:t>
      </w:r>
      <w:r w:rsidRPr="009465CB">
        <w:rPr>
          <w:spacing w:val="-6"/>
          <w:kern w:val="3"/>
          <w:rtl/>
        </w:rPr>
        <w:t>، الفقرة 79).</w:t>
      </w:r>
    </w:p>
    <w:p w:rsidR="00B118BC" w:rsidRDefault="00B118BC" w:rsidP="00463EB9">
      <w:pPr>
        <w:pStyle w:val="SingleTxtGA"/>
        <w:rPr>
          <w:rFonts w:hint="cs"/>
          <w:kern w:val="3"/>
          <w:rtl/>
        </w:rPr>
      </w:pPr>
      <w:r>
        <w:rPr>
          <w:kern w:val="3"/>
          <w:rtl/>
        </w:rPr>
        <w:t>10-</w:t>
      </w:r>
      <w:r>
        <w:rPr>
          <w:kern w:val="3"/>
          <w:rtl/>
        </w:rPr>
        <w:tab/>
        <w:t>ما هي الخطوات التي تتخذها الدولة الطرف لتخفيف عبء الإثبات على النساء ضحايا العنف المنزل</w:t>
      </w:r>
      <w:r>
        <w:rPr>
          <w:rFonts w:hint="cs"/>
          <w:kern w:val="3"/>
          <w:rtl/>
        </w:rPr>
        <w:t>ي لتقديم التماس الطلاق بسبب الأذى الناجم عن سوء المعاملة، إذ يلزم حاليا</w:t>
      </w:r>
      <w:r w:rsidR="001C3ECE">
        <w:rPr>
          <w:rFonts w:hint="cs"/>
          <w:kern w:val="3"/>
          <w:rtl/>
        </w:rPr>
        <w:t>ً</w:t>
      </w:r>
      <w:r>
        <w:rPr>
          <w:rFonts w:hint="cs"/>
          <w:kern w:val="3"/>
          <w:rtl/>
        </w:rPr>
        <w:t xml:space="preserve"> شهادة رجلين أو رجل وامرأتين على الأذى؟ وما هو التعريف القانوني للأذى في هذا السياق؟ وهل تتاح المساعدة القانونية لغير المواطنات اللاتي يلتمسن الطلاق من رجل كويتي بسبب العنف المنزلي؟</w:t>
      </w:r>
    </w:p>
    <w:p w:rsidR="00B118BC" w:rsidRDefault="00B118BC" w:rsidP="00463EB9">
      <w:pPr>
        <w:pStyle w:val="SingleTxtGA"/>
        <w:rPr>
          <w:rFonts w:hint="cs"/>
          <w:kern w:val="3"/>
          <w:rtl/>
        </w:rPr>
      </w:pPr>
      <w:r>
        <w:rPr>
          <w:rFonts w:hint="cs"/>
          <w:kern w:val="3"/>
          <w:rtl/>
        </w:rPr>
        <w:t>11-</w:t>
      </w:r>
      <w:r>
        <w:rPr>
          <w:rFonts w:hint="cs"/>
          <w:kern w:val="3"/>
          <w:rtl/>
        </w:rPr>
        <w:tab/>
        <w:t>ويرجى بيان ما إذا كانت الدولة الطرف تنظر في تشديد العقوبات على جرائم الشرف، التي تعتبر جُنحا</w:t>
      </w:r>
      <w:r w:rsidR="00463EB9">
        <w:rPr>
          <w:rFonts w:hint="cs"/>
          <w:kern w:val="3"/>
          <w:rtl/>
        </w:rPr>
        <w:t>ً</w:t>
      </w:r>
      <w:r>
        <w:rPr>
          <w:rFonts w:hint="cs"/>
          <w:kern w:val="3"/>
          <w:rtl/>
        </w:rPr>
        <w:t xml:space="preserve"> في الوقت الراهن.</w:t>
      </w:r>
    </w:p>
    <w:p w:rsidR="00B118BC" w:rsidRPr="00C271A6" w:rsidRDefault="00463EB9" w:rsidP="00463EB9">
      <w:pPr>
        <w:pStyle w:val="H23GA"/>
        <w:rPr>
          <w:rFonts w:hint="cs"/>
          <w:rtl/>
        </w:rPr>
      </w:pPr>
      <w:r>
        <w:rPr>
          <w:rFonts w:hint="cs"/>
          <w:rtl/>
        </w:rPr>
        <w:tab/>
      </w:r>
      <w:r>
        <w:rPr>
          <w:rFonts w:hint="cs"/>
          <w:rtl/>
        </w:rPr>
        <w:tab/>
      </w:r>
      <w:r w:rsidR="00B118BC" w:rsidRPr="00C271A6">
        <w:rPr>
          <w:rFonts w:hint="cs"/>
          <w:rtl/>
        </w:rPr>
        <w:t>الاتجار بالنساء واستغلالهن في البغاء</w:t>
      </w:r>
    </w:p>
    <w:p w:rsidR="00B118BC" w:rsidRDefault="00B118BC" w:rsidP="00A236E4">
      <w:pPr>
        <w:pStyle w:val="SingleTxtGA"/>
        <w:rPr>
          <w:rFonts w:hint="cs"/>
          <w:rtl/>
        </w:rPr>
      </w:pPr>
      <w:r>
        <w:rPr>
          <w:rFonts w:hint="cs"/>
          <w:rtl/>
        </w:rPr>
        <w:t>12-</w:t>
      </w:r>
      <w:r>
        <w:rPr>
          <w:rFonts w:hint="cs"/>
          <w:rtl/>
        </w:rPr>
        <w:tab/>
        <w:t>يرجى تقديم معلومات عن التدابير المتخذة لاعتماد تشريع يجر</w:t>
      </w:r>
      <w:r w:rsidR="00463EB9">
        <w:rPr>
          <w:rFonts w:hint="cs"/>
          <w:rtl/>
        </w:rPr>
        <w:t>ّ</w:t>
      </w:r>
      <w:r>
        <w:rPr>
          <w:rFonts w:hint="cs"/>
          <w:rtl/>
        </w:rPr>
        <w:t xml:space="preserve">م على وجه الخصوص الاتجار بالبشر، ولا </w:t>
      </w:r>
      <w:proofErr w:type="spellStart"/>
      <w:r>
        <w:rPr>
          <w:rFonts w:hint="cs"/>
          <w:rtl/>
        </w:rPr>
        <w:t>سيما</w:t>
      </w:r>
      <w:proofErr w:type="spellEnd"/>
      <w:r>
        <w:rPr>
          <w:rFonts w:hint="cs"/>
          <w:rtl/>
        </w:rPr>
        <w:t xml:space="preserve"> النساء والفتيات، </w:t>
      </w:r>
      <w:r w:rsidR="00A236E4">
        <w:rPr>
          <w:rFonts w:hint="cs"/>
          <w:rtl/>
        </w:rPr>
        <w:t>ومقاضاة</w:t>
      </w:r>
      <w:r>
        <w:rPr>
          <w:rFonts w:hint="cs"/>
          <w:rtl/>
        </w:rPr>
        <w:t xml:space="preserve"> مرتكبي الجرائم المتصلة بالاتجار، واستعراض سياسات العقوبات المتساهلة، وعدم تجريم الضحايا، وتوفير الإقامة المؤقتة والمأوى والمساعدة الاجتماعية لهم (الفقرات 65-68 من التقرير). وما هي التدابير التي تُتخذ لحماية النساء والفتيات ضحايا الاتجار من مستخدميهن الذين يعتدون عليهن، ويحتجزون جوازات سفرهن أو ينتهكون حقوقهن بطرق أخرى أو يقيدون حرية تنقلهن؟</w:t>
      </w:r>
    </w:p>
    <w:p w:rsidR="00B118BC" w:rsidRDefault="00B118BC" w:rsidP="00E065EE">
      <w:pPr>
        <w:pStyle w:val="SingleTxtGA"/>
        <w:rPr>
          <w:rFonts w:hint="cs"/>
          <w:rtl/>
        </w:rPr>
      </w:pPr>
      <w:r>
        <w:rPr>
          <w:rFonts w:hint="cs"/>
          <w:rtl/>
        </w:rPr>
        <w:t>13-</w:t>
      </w:r>
      <w:r>
        <w:rPr>
          <w:rFonts w:hint="cs"/>
          <w:rtl/>
        </w:rPr>
        <w:tab/>
        <w:t xml:space="preserve">ويرجى بيان ما إذا كانت الدولة الطرف تنظر في استعراض معيار الإثبات الشديد الصرامة الذي تطبقه المحاكم والإدارة العامة للمباحث الجنائية لتحديد ما إذا كانت المرأة تُكره على البغاء، أي أدلة الإكراه من قبيل احتجاز المرأة وراء أبواب موصدة ونوافذ ذوات قضبان. وهل تُمنح للنساء غير المواطنات ضحايا البغاء </w:t>
      </w:r>
      <w:proofErr w:type="spellStart"/>
      <w:r>
        <w:rPr>
          <w:rFonts w:hint="cs"/>
          <w:rtl/>
        </w:rPr>
        <w:t>القسري</w:t>
      </w:r>
      <w:proofErr w:type="spellEnd"/>
      <w:r>
        <w:rPr>
          <w:rFonts w:hint="cs"/>
          <w:rtl/>
        </w:rPr>
        <w:t xml:space="preserve"> رخص الإقامة ويعاد </w:t>
      </w:r>
      <w:r w:rsidR="00E065EE">
        <w:rPr>
          <w:rFonts w:hint="cs"/>
          <w:rtl/>
        </w:rPr>
        <w:t xml:space="preserve">    </w:t>
      </w:r>
      <w:r>
        <w:rPr>
          <w:rFonts w:hint="cs"/>
          <w:rtl/>
        </w:rPr>
        <w:t>تأهيلهن اجتماعيا</w:t>
      </w:r>
      <w:r w:rsidR="001C3ECE">
        <w:rPr>
          <w:rFonts w:hint="cs"/>
          <w:rtl/>
        </w:rPr>
        <w:t>ً</w:t>
      </w:r>
      <w:r>
        <w:rPr>
          <w:rFonts w:hint="cs"/>
          <w:rtl/>
        </w:rPr>
        <w:t>؟</w:t>
      </w:r>
    </w:p>
    <w:p w:rsidR="00B118BC" w:rsidRPr="00C271A6" w:rsidRDefault="00E065EE" w:rsidP="00E065EE">
      <w:pPr>
        <w:pStyle w:val="H23GA"/>
        <w:rPr>
          <w:rFonts w:hint="cs"/>
          <w:rtl/>
        </w:rPr>
      </w:pPr>
      <w:r>
        <w:rPr>
          <w:rFonts w:hint="cs"/>
          <w:rtl/>
        </w:rPr>
        <w:tab/>
      </w:r>
      <w:r>
        <w:rPr>
          <w:rFonts w:hint="cs"/>
          <w:rtl/>
        </w:rPr>
        <w:tab/>
      </w:r>
      <w:r w:rsidR="00B118BC" w:rsidRPr="00C271A6">
        <w:rPr>
          <w:rFonts w:hint="cs"/>
          <w:rtl/>
        </w:rPr>
        <w:t>المشاركة في الحياة السياسية والحياة العامة وفي اتخاذ القرار</w:t>
      </w:r>
    </w:p>
    <w:p w:rsidR="00B118BC" w:rsidRDefault="00B118BC" w:rsidP="009338E4">
      <w:pPr>
        <w:pStyle w:val="SingleTxtGA"/>
        <w:rPr>
          <w:rFonts w:hint="cs"/>
          <w:rtl/>
        </w:rPr>
      </w:pPr>
      <w:r>
        <w:rPr>
          <w:rFonts w:hint="cs"/>
          <w:rtl/>
        </w:rPr>
        <w:t>14-</w:t>
      </w:r>
      <w:r>
        <w:rPr>
          <w:rFonts w:hint="cs"/>
          <w:rtl/>
        </w:rPr>
        <w:tab/>
        <w:t>ما هي التدابير، بما في ذلك التدابير الخاصة المؤقتة وفقا</w:t>
      </w:r>
      <w:r w:rsidR="001C3ECE">
        <w:rPr>
          <w:rFonts w:hint="cs"/>
          <w:kern w:val="3"/>
          <w:rtl/>
        </w:rPr>
        <w:t>ً</w:t>
      </w:r>
      <w:r>
        <w:rPr>
          <w:rFonts w:hint="cs"/>
          <w:rtl/>
        </w:rPr>
        <w:t xml:space="preserve"> للفقرة 1 من المادة 4 من الاتفاقية، التي تتخذها الدولة الطرف أو تتوخى اتخاذها لزيادة عدد النساء في مناصب صنع القرار التي تُشغل بالانتخاب والتعيين، مثل النائبات في مجلس الأمة والوزيرات والقاضيات والسفيرات (الفقرات 69 و72 و75 من التقرير؛ والفقرة 75 من الوثيقة </w:t>
      </w:r>
      <w:r>
        <w:rPr>
          <w:rFonts w:eastAsia="SimSun"/>
          <w:szCs w:val="18"/>
          <w:lang w:eastAsia="zh-CN"/>
        </w:rPr>
        <w:t>CEDAW/C/KWT/CO/2</w:t>
      </w:r>
      <w:r>
        <w:rPr>
          <w:rFonts w:hint="cs"/>
          <w:rtl/>
        </w:rPr>
        <w:t xml:space="preserve">)؟ وما هي التدابير التي تُتخذ لإنفاذ القانون الذي يحظر الانتخابات التمهيدية التي تنظمها القبائل لانتخابات مجلس الأمة في الحالات التي </w:t>
      </w:r>
      <w:r w:rsidR="009338E4">
        <w:rPr>
          <w:rFonts w:hint="cs"/>
          <w:rtl/>
        </w:rPr>
        <w:t>تستبعد</w:t>
      </w:r>
      <w:r>
        <w:rPr>
          <w:rFonts w:hint="cs"/>
          <w:rtl/>
        </w:rPr>
        <w:t xml:space="preserve"> فيها المرأة من تلك الانتخابات التمهيدية؟</w:t>
      </w:r>
    </w:p>
    <w:p w:rsidR="00B118BC" w:rsidRDefault="00B118BC" w:rsidP="009338E4">
      <w:pPr>
        <w:pStyle w:val="SingleTxtGA"/>
        <w:rPr>
          <w:rFonts w:hint="cs"/>
          <w:rtl/>
        </w:rPr>
      </w:pPr>
      <w:r>
        <w:rPr>
          <w:rFonts w:hint="cs"/>
          <w:rtl/>
        </w:rPr>
        <w:t>15-</w:t>
      </w:r>
      <w:r>
        <w:rPr>
          <w:rFonts w:hint="cs"/>
          <w:rtl/>
        </w:rPr>
        <w:tab/>
        <w:t>ويرجى تقديم معلومات عن عدد المنظمات النسائية غير الحكومية المرخص لها وغير المرخص لها التي تعمل على تعزيز المساواة في الحقوق والفرص بين المرأة والرجل، وبيان ما إذا كانت أي من تلك المنظمات قد حصلت على ترخيص منذ عام 2004 (الفقرتان 71 و74 من التقرير). وما هي الخطوات التي تُتخذ لضمان التمويل الكافي ومنح الوضع القانوني للمنظمات النسائية غير الحكومية غير المرخص لها؟</w:t>
      </w:r>
    </w:p>
    <w:p w:rsidR="00B118BC" w:rsidRDefault="00B118BC" w:rsidP="009338E4">
      <w:pPr>
        <w:pStyle w:val="SingleTxtGA"/>
        <w:rPr>
          <w:rFonts w:hint="cs"/>
          <w:rtl/>
        </w:rPr>
      </w:pPr>
      <w:r>
        <w:rPr>
          <w:rFonts w:hint="cs"/>
          <w:rtl/>
        </w:rPr>
        <w:t>16-</w:t>
      </w:r>
      <w:r>
        <w:rPr>
          <w:rFonts w:hint="cs"/>
          <w:rtl/>
        </w:rPr>
        <w:tab/>
        <w:t xml:space="preserve">ويرجى تقديم معلومات عن الفرص المتاحة للمرأة للمشاركة في التجمعات العامة (الديوانيات) لمناقشة حقوق المرأة والنهوض </w:t>
      </w:r>
      <w:proofErr w:type="spellStart"/>
      <w:r>
        <w:rPr>
          <w:rFonts w:hint="cs"/>
          <w:rtl/>
        </w:rPr>
        <w:t>بها</w:t>
      </w:r>
      <w:proofErr w:type="spellEnd"/>
      <w:r>
        <w:rPr>
          <w:rFonts w:hint="cs"/>
          <w:rtl/>
        </w:rPr>
        <w:t>.</w:t>
      </w:r>
    </w:p>
    <w:p w:rsidR="00B118BC" w:rsidRPr="00C271A6" w:rsidRDefault="009338E4" w:rsidP="009338E4">
      <w:pPr>
        <w:pStyle w:val="H23GA"/>
        <w:rPr>
          <w:rFonts w:hint="cs"/>
          <w:rtl/>
        </w:rPr>
      </w:pPr>
      <w:r>
        <w:rPr>
          <w:rFonts w:hint="cs"/>
          <w:rtl/>
        </w:rPr>
        <w:tab/>
      </w:r>
      <w:r>
        <w:rPr>
          <w:rFonts w:hint="cs"/>
          <w:rtl/>
        </w:rPr>
        <w:tab/>
      </w:r>
      <w:r w:rsidR="00B118BC" w:rsidRPr="00C271A6">
        <w:rPr>
          <w:rFonts w:hint="cs"/>
          <w:rtl/>
        </w:rPr>
        <w:t>المساواة في الحق في الجنسية</w:t>
      </w:r>
    </w:p>
    <w:p w:rsidR="00B118BC" w:rsidRDefault="00B118BC" w:rsidP="000876EE">
      <w:pPr>
        <w:pStyle w:val="SingleTxtGA"/>
        <w:rPr>
          <w:rFonts w:hint="cs"/>
          <w:rtl/>
        </w:rPr>
      </w:pPr>
      <w:r>
        <w:rPr>
          <w:rFonts w:hint="cs"/>
          <w:rtl/>
        </w:rPr>
        <w:t>17-</w:t>
      </w:r>
      <w:r>
        <w:rPr>
          <w:rFonts w:hint="cs"/>
          <w:rtl/>
        </w:rPr>
        <w:tab/>
        <w:t xml:space="preserve">يرجى بيان ما إذا كانت الدولة الطرف تنظر في سحب تحفظها على الفقرة 2 من المادة 9 من الاتفاقية، بغية كفالة السماح للمرأة الكويتية المتزوجة من </w:t>
      </w:r>
      <w:r w:rsidR="000876EE">
        <w:rPr>
          <w:rFonts w:hint="cs"/>
          <w:rtl/>
        </w:rPr>
        <w:t>رجل ليس من مواطني</w:t>
      </w:r>
      <w:r w:rsidR="004A224A">
        <w:rPr>
          <w:rFonts w:hint="cs"/>
          <w:rtl/>
        </w:rPr>
        <w:t xml:space="preserve"> </w:t>
      </w:r>
      <w:r w:rsidR="000876EE">
        <w:rPr>
          <w:rFonts w:hint="cs"/>
          <w:rtl/>
        </w:rPr>
        <w:t xml:space="preserve">الكويت </w:t>
      </w:r>
      <w:r>
        <w:rPr>
          <w:rFonts w:hint="cs"/>
          <w:rtl/>
        </w:rPr>
        <w:t xml:space="preserve">بنقل جنسيتها إلى أطفالها كقاعدة لا كحالة تطبق في ظروف استثنائية (الفقرة 76 من التقرير). وما هي الخطوات التي تُتخذ لتعديل أو إلغاء الأحكام التمييزية الأخرى </w:t>
      </w:r>
      <w:r w:rsidR="001C3ECE">
        <w:rPr>
          <w:rFonts w:hint="cs"/>
          <w:rtl/>
        </w:rPr>
        <w:t xml:space="preserve">          </w:t>
      </w:r>
      <w:r>
        <w:rPr>
          <w:rFonts w:hint="cs"/>
          <w:rtl/>
        </w:rPr>
        <w:t xml:space="preserve">فيما يتعلق بالحصول على الجنسية وتغييرها والاحتفاظ </w:t>
      </w:r>
      <w:proofErr w:type="spellStart"/>
      <w:r>
        <w:rPr>
          <w:rFonts w:hint="cs"/>
          <w:rtl/>
        </w:rPr>
        <w:t>بها</w:t>
      </w:r>
      <w:proofErr w:type="spellEnd"/>
      <w:r>
        <w:rPr>
          <w:rFonts w:hint="cs"/>
          <w:rtl/>
        </w:rPr>
        <w:t xml:space="preserve"> المنصوص عليها في قانون الجنسية رقم 15/1959، على نحو ما أوصت </w:t>
      </w:r>
      <w:proofErr w:type="spellStart"/>
      <w:r>
        <w:rPr>
          <w:rFonts w:hint="cs"/>
          <w:rtl/>
        </w:rPr>
        <w:t>به</w:t>
      </w:r>
      <w:proofErr w:type="spellEnd"/>
      <w:r>
        <w:rPr>
          <w:rFonts w:hint="cs"/>
          <w:rtl/>
        </w:rPr>
        <w:t xml:space="preserve"> اللجنة (</w:t>
      </w:r>
      <w:r w:rsidRPr="00596F50">
        <w:rPr>
          <w:rFonts w:eastAsia="SimSun"/>
        </w:rPr>
        <w:t>CEDAW/C/KWT/CO/2</w:t>
      </w:r>
      <w:r>
        <w:rPr>
          <w:rFonts w:hint="cs"/>
          <w:rtl/>
        </w:rPr>
        <w:t xml:space="preserve">، الفقرة 67)؟ وما هي الخطوات التي تُتخذ لضمان شروط متساوية لحصول غير المواطنين </w:t>
      </w:r>
      <w:r w:rsidR="000876EE">
        <w:rPr>
          <w:rFonts w:hint="cs"/>
          <w:rtl/>
        </w:rPr>
        <w:t xml:space="preserve">من النساء </w:t>
      </w:r>
      <w:r w:rsidR="00635B74">
        <w:rPr>
          <w:rFonts w:hint="cs"/>
          <w:rtl/>
        </w:rPr>
        <w:t>أ</w:t>
      </w:r>
      <w:r w:rsidR="000876EE">
        <w:rPr>
          <w:rFonts w:hint="cs"/>
          <w:rtl/>
        </w:rPr>
        <w:t>و</w:t>
      </w:r>
      <w:r w:rsidR="00635B74">
        <w:rPr>
          <w:rFonts w:hint="cs"/>
          <w:rtl/>
        </w:rPr>
        <w:t xml:space="preserve"> </w:t>
      </w:r>
      <w:r w:rsidR="000876EE">
        <w:rPr>
          <w:rFonts w:hint="cs"/>
          <w:rtl/>
        </w:rPr>
        <w:t xml:space="preserve">الرجال </w:t>
      </w:r>
      <w:r>
        <w:rPr>
          <w:rFonts w:hint="cs"/>
          <w:rtl/>
        </w:rPr>
        <w:t>المتزوجين من كويتيين أو كويتيات على الجنسية؟</w:t>
      </w:r>
    </w:p>
    <w:p w:rsidR="00B118BC" w:rsidRPr="00C271A6" w:rsidRDefault="008951DA" w:rsidP="008951DA">
      <w:pPr>
        <w:pStyle w:val="H23GA"/>
        <w:rPr>
          <w:rFonts w:hint="cs"/>
          <w:rtl/>
        </w:rPr>
      </w:pPr>
      <w:r>
        <w:rPr>
          <w:rFonts w:hint="cs"/>
          <w:rtl/>
        </w:rPr>
        <w:tab/>
      </w:r>
      <w:r>
        <w:rPr>
          <w:rFonts w:hint="cs"/>
          <w:rtl/>
        </w:rPr>
        <w:tab/>
      </w:r>
      <w:r w:rsidR="00B118BC" w:rsidRPr="00C271A6">
        <w:rPr>
          <w:rFonts w:hint="cs"/>
          <w:rtl/>
        </w:rPr>
        <w:t>التعليم</w:t>
      </w:r>
    </w:p>
    <w:p w:rsidR="00B118BC" w:rsidRDefault="00B118BC" w:rsidP="007A3AC1">
      <w:pPr>
        <w:pStyle w:val="SingleTxtGA"/>
        <w:rPr>
          <w:rFonts w:hint="cs"/>
          <w:rtl/>
        </w:rPr>
      </w:pPr>
      <w:r>
        <w:rPr>
          <w:rFonts w:hint="cs"/>
          <w:rtl/>
        </w:rPr>
        <w:t>18-</w:t>
      </w:r>
      <w:r>
        <w:rPr>
          <w:rFonts w:hint="cs"/>
          <w:rtl/>
        </w:rPr>
        <w:tab/>
        <w:t>يرجى بيان ما إذا كان التثقيف بالصحة والحقوق الجنسية والإنجابية مدرجا</w:t>
      </w:r>
      <w:r w:rsidR="007A3AC1">
        <w:rPr>
          <w:rFonts w:hint="cs"/>
          <w:rtl/>
        </w:rPr>
        <w:t>ً</w:t>
      </w:r>
      <w:r>
        <w:rPr>
          <w:rFonts w:hint="cs"/>
          <w:rtl/>
        </w:rPr>
        <w:t xml:space="preserve"> في المقررات الدراسية العادية.</w:t>
      </w:r>
    </w:p>
    <w:p w:rsidR="00B118BC" w:rsidRDefault="00B118BC" w:rsidP="007A3AC1">
      <w:pPr>
        <w:pStyle w:val="SingleTxtGA"/>
        <w:rPr>
          <w:rFonts w:hint="cs"/>
          <w:rtl/>
        </w:rPr>
      </w:pPr>
      <w:r>
        <w:rPr>
          <w:rFonts w:hint="cs"/>
          <w:rtl/>
        </w:rPr>
        <w:t>19-</w:t>
      </w:r>
      <w:r>
        <w:rPr>
          <w:rFonts w:hint="cs"/>
          <w:rtl/>
        </w:rPr>
        <w:tab/>
        <w:t xml:space="preserve">ويرجى تقديم معلومات عن عدد النساء المسجلات في الجامعات، </w:t>
      </w:r>
      <w:r w:rsidR="007A3AC1">
        <w:rPr>
          <w:rFonts w:hint="cs"/>
          <w:rtl/>
        </w:rPr>
        <w:t xml:space="preserve">بالإضافة إلى </w:t>
      </w:r>
      <w:r>
        <w:rPr>
          <w:rFonts w:hint="cs"/>
          <w:rtl/>
        </w:rPr>
        <w:t>عدد المعلمات (الفقرة 42 من التقرير)، مصنفة حسب مستوى التعليم والمواد المدرَّسة؛ وعن عدد الأستاذات الجامعيات.</w:t>
      </w:r>
    </w:p>
    <w:p w:rsidR="00B118BC" w:rsidRDefault="00B118BC" w:rsidP="007A3AC1">
      <w:pPr>
        <w:pStyle w:val="SingleTxtGA"/>
        <w:rPr>
          <w:rFonts w:hint="cs"/>
          <w:rtl/>
        </w:rPr>
      </w:pPr>
      <w:r>
        <w:rPr>
          <w:rFonts w:hint="cs"/>
          <w:rtl/>
        </w:rPr>
        <w:t>20-</w:t>
      </w:r>
      <w:r>
        <w:rPr>
          <w:rFonts w:hint="cs"/>
          <w:rtl/>
        </w:rPr>
        <w:tab/>
        <w:t>ويرجى توضيح ما إذا كانت المرأة تستفيد من التدريب المهني في جميع ميادين العمل، بما في ذلك الميادين غير التقليدية (الفقرة 81 من التقرير)، وتقديم بيانات مصنفة عن عدد النساء والفتيات المشاركات في التدريب المهني.</w:t>
      </w:r>
    </w:p>
    <w:p w:rsidR="00B118BC" w:rsidRPr="00C271A6" w:rsidRDefault="007A3AC1" w:rsidP="007A3AC1">
      <w:pPr>
        <w:pStyle w:val="H23GA"/>
        <w:rPr>
          <w:rFonts w:hint="cs"/>
          <w:rtl/>
        </w:rPr>
      </w:pPr>
      <w:r>
        <w:rPr>
          <w:rFonts w:hint="cs"/>
          <w:rtl/>
        </w:rPr>
        <w:tab/>
      </w:r>
      <w:r>
        <w:rPr>
          <w:rFonts w:hint="cs"/>
          <w:rtl/>
        </w:rPr>
        <w:tab/>
      </w:r>
      <w:r w:rsidR="00B118BC" w:rsidRPr="00C271A6">
        <w:rPr>
          <w:rFonts w:hint="cs"/>
          <w:rtl/>
        </w:rPr>
        <w:t>العمالة</w:t>
      </w:r>
    </w:p>
    <w:p w:rsidR="00B118BC" w:rsidRDefault="00B118BC" w:rsidP="007A3AC1">
      <w:pPr>
        <w:pStyle w:val="SingleTxtGA"/>
        <w:rPr>
          <w:rFonts w:hint="cs"/>
          <w:rtl/>
        </w:rPr>
      </w:pPr>
      <w:r>
        <w:rPr>
          <w:rFonts w:hint="cs"/>
          <w:rtl/>
        </w:rPr>
        <w:t>21-</w:t>
      </w:r>
      <w:r>
        <w:rPr>
          <w:rFonts w:hint="cs"/>
          <w:rtl/>
        </w:rPr>
        <w:tab/>
        <w:t>يرجى تقديم معلومات عن التدابير</w:t>
      </w:r>
      <w:r w:rsidR="007A3AC1">
        <w:rPr>
          <w:rFonts w:hint="cs"/>
          <w:rtl/>
        </w:rPr>
        <w:t xml:space="preserve"> </w:t>
      </w:r>
      <w:r>
        <w:rPr>
          <w:rFonts w:hint="cs"/>
          <w:rtl/>
        </w:rPr>
        <w:t>التي تتخذها الدولة الطرف</w:t>
      </w:r>
      <w:r w:rsidR="007A3AC1">
        <w:rPr>
          <w:rFonts w:hint="cs"/>
          <w:rtl/>
        </w:rPr>
        <w:t xml:space="preserve">، بما فيها التدابير الخاصة المؤقتة، </w:t>
      </w:r>
      <w:r>
        <w:rPr>
          <w:rFonts w:hint="cs"/>
          <w:rtl/>
        </w:rPr>
        <w:t xml:space="preserve">لتعزيز حصول المرأة على العمل، ولا </w:t>
      </w:r>
      <w:proofErr w:type="spellStart"/>
      <w:r>
        <w:rPr>
          <w:rFonts w:hint="cs"/>
          <w:rtl/>
        </w:rPr>
        <w:t>سيما</w:t>
      </w:r>
      <w:proofErr w:type="spellEnd"/>
      <w:r>
        <w:rPr>
          <w:rFonts w:hint="cs"/>
          <w:rtl/>
        </w:rPr>
        <w:t xml:space="preserve"> الوصول إلى مناصب اتخاذ القرار، بما يشمل القطاع الخاص (الفقرة 83 من التقرير)، ولوضع حد للفصل العمودي والأفقي في سوق العمل. ويرجى بيان ما إذا كانت هناك </w:t>
      </w:r>
      <w:r w:rsidR="007A3AC1">
        <w:rPr>
          <w:rFonts w:hint="cs"/>
          <w:rtl/>
        </w:rPr>
        <w:t>فوارق</w:t>
      </w:r>
      <w:r>
        <w:rPr>
          <w:rFonts w:hint="cs"/>
          <w:rtl/>
        </w:rPr>
        <w:t xml:space="preserve"> في الأجور بين الجنسين في القطاعين العام أو الخاص، ووصف أي تدابير تُتخذ لسد تلك الفجوات (</w:t>
      </w:r>
      <w:r>
        <w:rPr>
          <w:rFonts w:eastAsia="SimSun"/>
          <w:szCs w:val="18"/>
          <w:lang w:eastAsia="zh-CN"/>
        </w:rPr>
        <w:t>CEDAW/C/KWT/CO/2</w:t>
      </w:r>
      <w:r>
        <w:rPr>
          <w:rFonts w:hint="cs"/>
          <w:rtl/>
        </w:rPr>
        <w:t>، الفقرة 73).</w:t>
      </w:r>
    </w:p>
    <w:p w:rsidR="00B118BC" w:rsidRDefault="00B118BC" w:rsidP="004A224A">
      <w:pPr>
        <w:pStyle w:val="SingleTxtGA"/>
        <w:rPr>
          <w:rFonts w:hint="cs"/>
          <w:rtl/>
        </w:rPr>
      </w:pPr>
      <w:r>
        <w:rPr>
          <w:rFonts w:hint="cs"/>
          <w:rtl/>
        </w:rPr>
        <w:t>22-</w:t>
      </w:r>
      <w:r>
        <w:rPr>
          <w:rFonts w:hint="cs"/>
          <w:rtl/>
        </w:rPr>
        <w:tab/>
        <w:t xml:space="preserve">ويرجى تقديم معلومات عن التدابير المتخذة لمكافحة ظروف العمل الاستغلالية للنساء والفتيات غير المواطنات اللاتي </w:t>
      </w:r>
      <w:r w:rsidR="007A3AC1">
        <w:rPr>
          <w:rFonts w:hint="cs"/>
          <w:rtl/>
        </w:rPr>
        <w:t>يعملن</w:t>
      </w:r>
      <w:r>
        <w:rPr>
          <w:rFonts w:hint="cs"/>
          <w:rtl/>
        </w:rPr>
        <w:t xml:space="preserve"> في المنازل، ولا </w:t>
      </w:r>
      <w:proofErr w:type="spellStart"/>
      <w:r>
        <w:rPr>
          <w:rFonts w:hint="cs"/>
          <w:rtl/>
        </w:rPr>
        <w:t>سيما</w:t>
      </w:r>
      <w:proofErr w:type="spellEnd"/>
      <w:r>
        <w:rPr>
          <w:rFonts w:hint="cs"/>
          <w:rtl/>
        </w:rPr>
        <w:t xml:space="preserve"> عن التدابير المتخذة لحمايتهن من عنف مستخدميهن وأذاهم وضمان حقهن في حد أدنى كاف من الأجر، ووقت الفراغ وفترات الراحة، وظروف العمل المأمونة، وحرية الانضمام إلى نقابات والمفاوضة الجماعية، وحريتهن في تغيير رب العمل دون التماس إذن من </w:t>
      </w:r>
      <w:r w:rsidR="007A3AC1">
        <w:rPr>
          <w:rFonts w:hint="cs"/>
          <w:rtl/>
        </w:rPr>
        <w:t>كفيلهن</w:t>
      </w:r>
      <w:r>
        <w:rPr>
          <w:rFonts w:hint="cs"/>
          <w:rtl/>
        </w:rPr>
        <w:t xml:space="preserve"> الأصلي (الفقرة 64 من التقرير؛ والفقرة 77 من الوثيقة </w:t>
      </w:r>
      <w:r>
        <w:rPr>
          <w:rFonts w:eastAsia="SimSun"/>
          <w:szCs w:val="18"/>
          <w:lang w:eastAsia="zh-CN"/>
        </w:rPr>
        <w:t>CEDAW/C/KWT/CO/2</w:t>
      </w:r>
      <w:r>
        <w:rPr>
          <w:rFonts w:hint="cs"/>
          <w:rtl/>
        </w:rPr>
        <w:t>)</w:t>
      </w:r>
      <w:r w:rsidR="004A224A">
        <w:rPr>
          <w:vertAlign w:val="superscript"/>
          <w:rtl/>
        </w:rPr>
        <w:t>(</w:t>
      </w:r>
      <w:r w:rsidR="004A224A">
        <w:rPr>
          <w:rStyle w:val="FootnoteReference"/>
          <w:rtl/>
        </w:rPr>
        <w:footnoteReference w:id="5"/>
      </w:r>
      <w:r w:rsidR="004A224A">
        <w:rPr>
          <w:vertAlign w:val="superscript"/>
          <w:rtl/>
        </w:rPr>
        <w:t>)</w:t>
      </w:r>
      <w:r>
        <w:rPr>
          <w:rFonts w:hint="cs"/>
          <w:rtl/>
        </w:rPr>
        <w:t>.</w:t>
      </w:r>
    </w:p>
    <w:p w:rsidR="00B118BC" w:rsidRPr="00515E44" w:rsidRDefault="00B118BC" w:rsidP="002B63D3">
      <w:pPr>
        <w:pStyle w:val="SingleTxtGA"/>
        <w:rPr>
          <w:rFonts w:hint="cs"/>
          <w:spacing w:val="-6"/>
          <w:rtl/>
        </w:rPr>
      </w:pPr>
      <w:r w:rsidRPr="00515E44">
        <w:rPr>
          <w:rFonts w:hint="cs"/>
          <w:spacing w:val="-6"/>
          <w:rtl/>
        </w:rPr>
        <w:t>23-</w:t>
      </w:r>
      <w:r w:rsidRPr="00515E44">
        <w:rPr>
          <w:rFonts w:hint="cs"/>
          <w:spacing w:val="-6"/>
          <w:rtl/>
        </w:rPr>
        <w:tab/>
        <w:t>وهل تنظر الدولة الطرف في اعتماد تشريع محدد بشأن التحرش الجنسي في مكان العمل؟</w:t>
      </w:r>
    </w:p>
    <w:p w:rsidR="00B118BC" w:rsidRPr="00C271A6" w:rsidRDefault="002B63D3" w:rsidP="002B63D3">
      <w:pPr>
        <w:pStyle w:val="H23GA"/>
        <w:rPr>
          <w:rFonts w:hint="cs"/>
          <w:rtl/>
        </w:rPr>
      </w:pPr>
      <w:r>
        <w:rPr>
          <w:rFonts w:hint="cs"/>
          <w:rtl/>
        </w:rPr>
        <w:tab/>
      </w:r>
      <w:r>
        <w:rPr>
          <w:rFonts w:hint="cs"/>
          <w:rtl/>
        </w:rPr>
        <w:tab/>
      </w:r>
      <w:r w:rsidR="00B118BC" w:rsidRPr="00C271A6">
        <w:rPr>
          <w:rFonts w:hint="cs"/>
          <w:rtl/>
        </w:rPr>
        <w:t>الصحة</w:t>
      </w:r>
    </w:p>
    <w:p w:rsidR="00B118BC" w:rsidRDefault="00B118BC" w:rsidP="002B63D3">
      <w:pPr>
        <w:pStyle w:val="SingleTxtGA"/>
        <w:rPr>
          <w:rFonts w:hint="cs"/>
          <w:rtl/>
        </w:rPr>
      </w:pPr>
      <w:r>
        <w:rPr>
          <w:rFonts w:hint="cs"/>
          <w:rtl/>
        </w:rPr>
        <w:t>24-</w:t>
      </w:r>
      <w:r>
        <w:rPr>
          <w:rFonts w:hint="cs"/>
          <w:rtl/>
        </w:rPr>
        <w:tab/>
        <w:t>يرجى بيان ما إذا كانت الدولة الطرف قد اتخذت خطوات لاستعراض تشريعها المتعلق بالإجهاض، بغية تضمينه أسبابا</w:t>
      </w:r>
      <w:r w:rsidR="001C3ECE">
        <w:rPr>
          <w:rFonts w:hint="cs"/>
          <w:rtl/>
        </w:rPr>
        <w:t>ً</w:t>
      </w:r>
      <w:r>
        <w:rPr>
          <w:rFonts w:hint="cs"/>
          <w:rtl/>
        </w:rPr>
        <w:t xml:space="preserve"> أخرى لإجراء عمليات إجهاض قانونية، فضلا</w:t>
      </w:r>
      <w:r w:rsidR="001C3ECE">
        <w:rPr>
          <w:rFonts w:hint="cs"/>
          <w:rtl/>
        </w:rPr>
        <w:t>ً</w:t>
      </w:r>
      <w:r>
        <w:rPr>
          <w:rFonts w:hint="cs"/>
          <w:rtl/>
        </w:rPr>
        <w:t xml:space="preserve"> عن الأخطار التي تهدد حياة الأم، مثل الاغتصاب أو وجود أسباب طبية أو اجتماعية تبرر ذلك. وما هي التدابير الملموسة التي اتُّخذت لوضع برنامج بشأن الصحة الجنسية والإنجابية، بما في ذلك برنامج رسمي لتنظيم الأسرة؟</w:t>
      </w:r>
    </w:p>
    <w:p w:rsidR="00B118BC" w:rsidRPr="00C271A6" w:rsidRDefault="002B63D3" w:rsidP="00515E44">
      <w:pPr>
        <w:pStyle w:val="H23GA"/>
        <w:rPr>
          <w:rFonts w:hint="cs"/>
          <w:rtl/>
        </w:rPr>
      </w:pPr>
      <w:r>
        <w:rPr>
          <w:rFonts w:hint="cs"/>
          <w:rtl/>
        </w:rPr>
        <w:tab/>
      </w:r>
      <w:r>
        <w:rPr>
          <w:rFonts w:hint="cs"/>
          <w:rtl/>
        </w:rPr>
        <w:tab/>
      </w:r>
      <w:r w:rsidR="00B118BC" w:rsidRPr="00C271A6">
        <w:rPr>
          <w:rFonts w:hint="cs"/>
          <w:rtl/>
        </w:rPr>
        <w:t>الفئات النسائية المحرومة</w:t>
      </w:r>
    </w:p>
    <w:p w:rsidR="00B118BC" w:rsidRDefault="00B118BC" w:rsidP="00515E44">
      <w:pPr>
        <w:pStyle w:val="SingleTxtGA"/>
        <w:rPr>
          <w:rFonts w:hint="cs"/>
          <w:rtl/>
        </w:rPr>
      </w:pPr>
      <w:r>
        <w:rPr>
          <w:rFonts w:hint="cs"/>
          <w:rtl/>
        </w:rPr>
        <w:t>25-</w:t>
      </w:r>
      <w:r>
        <w:rPr>
          <w:rFonts w:hint="cs"/>
          <w:rtl/>
        </w:rPr>
        <w:tab/>
        <w:t>يرجى بيان ما إذا كانت الدولة الطرف تتخذ أي تدابير، بما فيها التدابير الخاصة المؤقتة، لضمان حصول النساء والفتيات عديمات الجنسية (</w:t>
      </w:r>
      <w:proofErr w:type="spellStart"/>
      <w:r>
        <w:rPr>
          <w:rFonts w:hint="cs"/>
          <w:rtl/>
        </w:rPr>
        <w:t>البدون</w:t>
      </w:r>
      <w:proofErr w:type="spellEnd"/>
      <w:r>
        <w:rPr>
          <w:rFonts w:hint="cs"/>
          <w:rtl/>
        </w:rPr>
        <w:t>) مجانا</w:t>
      </w:r>
      <w:r w:rsidR="005E096E">
        <w:rPr>
          <w:rFonts w:hint="cs"/>
          <w:rtl/>
        </w:rPr>
        <w:t>ً</w:t>
      </w:r>
      <w:r>
        <w:rPr>
          <w:rFonts w:hint="cs"/>
          <w:rtl/>
        </w:rPr>
        <w:t xml:space="preserve"> على التعليم والرعاية الصحية </w:t>
      </w:r>
      <w:r w:rsidR="002B63D3">
        <w:rPr>
          <w:rFonts w:hint="cs"/>
          <w:rtl/>
        </w:rPr>
        <w:t>وشهادات</w:t>
      </w:r>
      <w:r>
        <w:rPr>
          <w:rFonts w:hint="cs"/>
          <w:rtl/>
        </w:rPr>
        <w:t xml:space="preserve"> الميلاد (الفقرات 7-8 و24 من التقرير).</w:t>
      </w:r>
    </w:p>
    <w:p w:rsidR="00B118BC" w:rsidRDefault="00B118BC" w:rsidP="005E096E">
      <w:pPr>
        <w:pStyle w:val="SingleTxtGA"/>
        <w:rPr>
          <w:rFonts w:hint="cs"/>
          <w:rtl/>
        </w:rPr>
      </w:pPr>
      <w:r>
        <w:rPr>
          <w:rFonts w:hint="cs"/>
          <w:rtl/>
        </w:rPr>
        <w:t>26-</w:t>
      </w:r>
      <w:r>
        <w:rPr>
          <w:rFonts w:hint="cs"/>
          <w:rtl/>
        </w:rPr>
        <w:tab/>
        <w:t>وما هي التدابير الملموسة</w:t>
      </w:r>
      <w:r w:rsidR="005E096E">
        <w:rPr>
          <w:rFonts w:hint="cs"/>
          <w:rtl/>
        </w:rPr>
        <w:t xml:space="preserve"> </w:t>
      </w:r>
      <w:r>
        <w:rPr>
          <w:rFonts w:hint="cs"/>
          <w:rtl/>
        </w:rPr>
        <w:t>التي تتخذها الدولة الطرف</w:t>
      </w:r>
      <w:r w:rsidR="005E096E">
        <w:rPr>
          <w:rFonts w:hint="cs"/>
          <w:rtl/>
        </w:rPr>
        <w:t xml:space="preserve">، بما في ذلك التدابير الخاصة المؤقَتة، </w:t>
      </w:r>
      <w:r>
        <w:rPr>
          <w:rFonts w:hint="cs"/>
          <w:rtl/>
        </w:rPr>
        <w:t>لتعزيز وصول النساء والفتيات المعوقات إلى التعليم العام (الفقرة 8 من التقرير) والعمل والأنشطة الثقافية؟</w:t>
      </w:r>
    </w:p>
    <w:p w:rsidR="00B118BC" w:rsidRPr="0002793C" w:rsidRDefault="00B118BC" w:rsidP="005E096E">
      <w:pPr>
        <w:pStyle w:val="SingleTxtGA"/>
        <w:rPr>
          <w:rFonts w:hint="cs"/>
          <w:rtl/>
        </w:rPr>
      </w:pPr>
      <w:r>
        <w:rPr>
          <w:rFonts w:hint="cs"/>
          <w:rtl/>
        </w:rPr>
        <w:t>27-</w:t>
      </w:r>
      <w:r>
        <w:rPr>
          <w:rFonts w:hint="cs"/>
          <w:rtl/>
        </w:rPr>
        <w:tab/>
        <w:t xml:space="preserve">ويرجى تقديم معلومات عن أي تدابير تُتخذ أو يعتزم اتخاذها لتسوية وضعية اللاجئين المعترف بهم بموجب ولاية المفوضية السامية لشؤون اللاجئين لتتاح لهم إمكانية الحصول على الحقوق الأساسية، بما فيها التعليم والرعاية الصحية للنساء والفتيات اللاجئات. وفي هذا الصدد، يرجى بيان ما إذا كانت الدولة الطرف تنظر في الانضمام إلى اتفاقية </w:t>
      </w:r>
      <w:r w:rsidR="005E096E">
        <w:rPr>
          <w:rFonts w:hint="cs"/>
          <w:rtl/>
        </w:rPr>
        <w:t xml:space="preserve">        </w:t>
      </w:r>
      <w:r>
        <w:rPr>
          <w:rFonts w:hint="cs"/>
          <w:rtl/>
        </w:rPr>
        <w:t>عام</w:t>
      </w:r>
      <w:r w:rsidRPr="0002793C">
        <w:rPr>
          <w:rFonts w:hint="cs"/>
          <w:rtl/>
        </w:rPr>
        <w:t xml:space="preserve"> 1951 الخاصة بوضع اللاجئين وبروتوكول عام 1967 الملحق </w:t>
      </w:r>
      <w:proofErr w:type="spellStart"/>
      <w:r w:rsidRPr="0002793C">
        <w:rPr>
          <w:rFonts w:hint="cs"/>
          <w:rtl/>
        </w:rPr>
        <w:t>بها</w:t>
      </w:r>
      <w:proofErr w:type="spellEnd"/>
      <w:r w:rsidRPr="0002793C">
        <w:rPr>
          <w:rFonts w:hint="cs"/>
          <w:rtl/>
        </w:rPr>
        <w:t>.</w:t>
      </w:r>
    </w:p>
    <w:p w:rsidR="00B118BC" w:rsidRPr="00C271A6" w:rsidRDefault="005E096E" w:rsidP="005E096E">
      <w:pPr>
        <w:pStyle w:val="H23GA"/>
        <w:rPr>
          <w:rFonts w:hint="cs"/>
          <w:rtl/>
        </w:rPr>
      </w:pPr>
      <w:r>
        <w:rPr>
          <w:rFonts w:hint="cs"/>
          <w:rtl/>
        </w:rPr>
        <w:tab/>
      </w:r>
      <w:r>
        <w:rPr>
          <w:rFonts w:hint="cs"/>
          <w:rtl/>
        </w:rPr>
        <w:tab/>
      </w:r>
      <w:r w:rsidR="00B118BC" w:rsidRPr="00C271A6">
        <w:rPr>
          <w:rFonts w:hint="cs"/>
          <w:rtl/>
        </w:rPr>
        <w:t>المساواة أمام القانون</w:t>
      </w:r>
    </w:p>
    <w:p w:rsidR="00B118BC" w:rsidRDefault="00B118BC" w:rsidP="005E096E">
      <w:pPr>
        <w:pStyle w:val="SingleTxtGA"/>
        <w:rPr>
          <w:rFonts w:hint="cs"/>
          <w:rtl/>
        </w:rPr>
      </w:pPr>
      <w:r>
        <w:rPr>
          <w:rFonts w:hint="cs"/>
          <w:rtl/>
        </w:rPr>
        <w:t>28-</w:t>
      </w:r>
      <w:r>
        <w:rPr>
          <w:rFonts w:hint="cs"/>
          <w:rtl/>
        </w:rPr>
        <w:tab/>
        <w:t>ما هي التدابير التي تتخذها الدولة الطرف لضمان تساوي شهادة المرأة مع شهادة الرجل في الدعاوى المرفوعة إلى محاكم الأسرة، حيث تساوي شهادة رجل شهادة امرأتين؟</w:t>
      </w:r>
    </w:p>
    <w:p w:rsidR="00B118BC" w:rsidRPr="00C271A6" w:rsidRDefault="005E096E" w:rsidP="005E096E">
      <w:pPr>
        <w:pStyle w:val="H23GA"/>
        <w:rPr>
          <w:rFonts w:hint="cs"/>
          <w:rtl/>
        </w:rPr>
      </w:pPr>
      <w:r>
        <w:rPr>
          <w:rFonts w:hint="cs"/>
          <w:rtl/>
        </w:rPr>
        <w:tab/>
      </w:r>
      <w:r>
        <w:rPr>
          <w:rFonts w:hint="cs"/>
          <w:rtl/>
        </w:rPr>
        <w:tab/>
      </w:r>
      <w:r w:rsidR="00B118BC" w:rsidRPr="00C271A6">
        <w:rPr>
          <w:rFonts w:hint="cs"/>
          <w:rtl/>
        </w:rPr>
        <w:t>الزواج والأسرة</w:t>
      </w:r>
    </w:p>
    <w:p w:rsidR="00B118BC" w:rsidRDefault="00B118BC" w:rsidP="005910D8">
      <w:pPr>
        <w:pStyle w:val="SingleTxtGA"/>
        <w:rPr>
          <w:rFonts w:hint="cs"/>
          <w:rtl/>
        </w:rPr>
      </w:pPr>
      <w:r>
        <w:rPr>
          <w:rFonts w:hint="cs"/>
          <w:rtl/>
        </w:rPr>
        <w:t>29-</w:t>
      </w:r>
      <w:r>
        <w:rPr>
          <w:rFonts w:hint="cs"/>
          <w:rtl/>
        </w:rPr>
        <w:tab/>
        <w:t>ما هي التدابير التي تتخذها الدولة الطرف لمواءمة الأحكام التمييزية الواردة في قانون الأحوال الشخصية مع الاتفاقية، بما في ذلك منع زواج المسلمات من غير المسلمين، والقيود المفروضة على حق المرأة في الطلاق (انظر الفقرة 112 من التقرير)، وعلى حقوق الإرث للمرأة السُّنية التي تلزم باقتسام ممتلكات زوجها المتوفى مع أقاربه الذكور، وإمكانية طلب الأزواج فرض حظر السفر على زوجاتهم (</w:t>
      </w:r>
      <w:r>
        <w:rPr>
          <w:rFonts w:eastAsia="SimSun"/>
          <w:szCs w:val="18"/>
          <w:lang w:eastAsia="zh-CN"/>
        </w:rPr>
        <w:t>CEDAW/C/KWT/CO/2</w:t>
      </w:r>
      <w:r>
        <w:rPr>
          <w:rFonts w:hint="cs"/>
          <w:rtl/>
        </w:rPr>
        <w:t>، الفقرتان 66-67)؟</w:t>
      </w:r>
    </w:p>
    <w:p w:rsidR="00B118BC" w:rsidRPr="005910D8" w:rsidRDefault="00B118BC" w:rsidP="005910D8">
      <w:pPr>
        <w:pStyle w:val="SingleTxtGA"/>
        <w:rPr>
          <w:rFonts w:hint="cs"/>
          <w:spacing w:val="-4"/>
          <w:rtl/>
        </w:rPr>
      </w:pPr>
      <w:r w:rsidRPr="005910D8">
        <w:rPr>
          <w:rFonts w:hint="cs"/>
          <w:spacing w:val="-4"/>
          <w:rtl/>
        </w:rPr>
        <w:t>30-</w:t>
      </w:r>
      <w:r w:rsidRPr="005910D8">
        <w:rPr>
          <w:rFonts w:hint="cs"/>
          <w:spacing w:val="-4"/>
          <w:rtl/>
        </w:rPr>
        <w:tab/>
        <w:t xml:space="preserve">ويرجى بيان ما إذا كانت الدولة الطرف تنظر في سحب تحفظها على الفقرة 1(و) من المادة 16 من الاتفاقية، على نحو ما أوصت </w:t>
      </w:r>
      <w:proofErr w:type="spellStart"/>
      <w:r w:rsidRPr="005910D8">
        <w:rPr>
          <w:rFonts w:hint="cs"/>
          <w:spacing w:val="-4"/>
          <w:rtl/>
        </w:rPr>
        <w:t>به</w:t>
      </w:r>
      <w:proofErr w:type="spellEnd"/>
      <w:r w:rsidRPr="005910D8">
        <w:rPr>
          <w:rFonts w:hint="cs"/>
          <w:spacing w:val="-4"/>
          <w:rtl/>
        </w:rPr>
        <w:t xml:space="preserve"> اللجنة (</w:t>
      </w:r>
      <w:r w:rsidRPr="005910D8">
        <w:rPr>
          <w:rFonts w:eastAsia="SimSun"/>
          <w:spacing w:val="-4"/>
        </w:rPr>
        <w:t>CEDAW/C/KWT/CO/2</w:t>
      </w:r>
      <w:r w:rsidRPr="005910D8">
        <w:rPr>
          <w:rFonts w:hint="cs"/>
          <w:spacing w:val="-4"/>
          <w:rtl/>
        </w:rPr>
        <w:t>، الفقرة 61).</w:t>
      </w:r>
    </w:p>
    <w:p w:rsidR="00B118BC" w:rsidRDefault="00B118BC" w:rsidP="005910D8">
      <w:pPr>
        <w:pStyle w:val="SingleTxtGA"/>
        <w:rPr>
          <w:rFonts w:hint="cs"/>
          <w:rtl/>
        </w:rPr>
      </w:pPr>
      <w:r>
        <w:rPr>
          <w:rFonts w:hint="cs"/>
          <w:rtl/>
        </w:rPr>
        <w:t>31-</w:t>
      </w:r>
      <w:r>
        <w:rPr>
          <w:rFonts w:hint="cs"/>
          <w:rtl/>
        </w:rPr>
        <w:tab/>
        <w:t>ويرجى بيان ما إذا كانت الدولة الطرف تتخذ خطوات لرفع الحد الأدنى لسن الزواج بالنسبة إلى النساء والرجال من 15 عاما</w:t>
      </w:r>
      <w:r w:rsidR="005910D8">
        <w:rPr>
          <w:rFonts w:hint="cs"/>
          <w:rtl/>
        </w:rPr>
        <w:t>ً</w:t>
      </w:r>
      <w:r>
        <w:rPr>
          <w:rFonts w:hint="cs"/>
          <w:rtl/>
        </w:rPr>
        <w:t xml:space="preserve"> و17 عاما</w:t>
      </w:r>
      <w:r w:rsidR="005910D8">
        <w:rPr>
          <w:rFonts w:hint="cs"/>
          <w:rtl/>
        </w:rPr>
        <w:t>ً</w:t>
      </w:r>
      <w:r>
        <w:rPr>
          <w:rFonts w:hint="cs"/>
          <w:rtl/>
        </w:rPr>
        <w:t>، على التوالي (الفقرة 110 من التقرير)، إلى 18 ع</w:t>
      </w:r>
      <w:r w:rsidR="001C3ECE">
        <w:rPr>
          <w:rFonts w:hint="cs"/>
          <w:rtl/>
        </w:rPr>
        <w:t>ا</w:t>
      </w:r>
      <w:r>
        <w:rPr>
          <w:rFonts w:hint="cs"/>
          <w:rtl/>
        </w:rPr>
        <w:t>ما</w:t>
      </w:r>
      <w:r w:rsidR="001C3ECE">
        <w:rPr>
          <w:rFonts w:hint="cs"/>
          <w:rtl/>
        </w:rPr>
        <w:t>ً</w:t>
      </w:r>
      <w:r>
        <w:rPr>
          <w:rFonts w:hint="cs"/>
          <w:rtl/>
        </w:rPr>
        <w:t>، وفقا</w:t>
      </w:r>
      <w:r w:rsidR="001C3ECE">
        <w:rPr>
          <w:rFonts w:hint="cs"/>
          <w:rtl/>
        </w:rPr>
        <w:t>ً</w:t>
      </w:r>
      <w:r>
        <w:rPr>
          <w:rFonts w:hint="cs"/>
          <w:rtl/>
        </w:rPr>
        <w:t xml:space="preserve"> لما أوصت </w:t>
      </w:r>
      <w:proofErr w:type="spellStart"/>
      <w:r>
        <w:rPr>
          <w:rFonts w:hint="cs"/>
          <w:rtl/>
        </w:rPr>
        <w:t>به</w:t>
      </w:r>
      <w:proofErr w:type="spellEnd"/>
      <w:r>
        <w:rPr>
          <w:rFonts w:hint="cs"/>
          <w:rtl/>
        </w:rPr>
        <w:t xml:space="preserve"> اللجنة. وما هي التدابير التي تُتخذ لمنع حالات الزواج في سن أدنى مما ورد ذكره</w:t>
      </w:r>
      <w:r w:rsidR="005910D8">
        <w:rPr>
          <w:rFonts w:hint="cs"/>
          <w:rtl/>
        </w:rPr>
        <w:t xml:space="preserve"> من الأوساط القبلية</w:t>
      </w:r>
      <w:r>
        <w:rPr>
          <w:rFonts w:hint="cs"/>
          <w:rtl/>
        </w:rPr>
        <w:t>؟</w:t>
      </w:r>
    </w:p>
    <w:p w:rsidR="00B118BC" w:rsidRPr="00C271A6" w:rsidRDefault="005910D8" w:rsidP="005910D8">
      <w:pPr>
        <w:pStyle w:val="H23GA"/>
        <w:rPr>
          <w:rFonts w:hint="cs"/>
          <w:rtl/>
        </w:rPr>
      </w:pPr>
      <w:r>
        <w:rPr>
          <w:rFonts w:hint="cs"/>
          <w:rtl/>
        </w:rPr>
        <w:tab/>
      </w:r>
      <w:r>
        <w:rPr>
          <w:rFonts w:hint="cs"/>
          <w:rtl/>
        </w:rPr>
        <w:tab/>
      </w:r>
      <w:r w:rsidR="00B118BC" w:rsidRPr="00C271A6">
        <w:rPr>
          <w:rFonts w:hint="cs"/>
          <w:rtl/>
        </w:rPr>
        <w:t>تعديل الفقرة 1 من المادة 20 من الاتفاقية</w:t>
      </w:r>
    </w:p>
    <w:p w:rsidR="00B118BC" w:rsidRDefault="00B118BC" w:rsidP="00AC7D69">
      <w:pPr>
        <w:pStyle w:val="SingleTxtGA"/>
        <w:rPr>
          <w:rFonts w:hint="cs"/>
          <w:rtl/>
        </w:rPr>
      </w:pPr>
      <w:r>
        <w:rPr>
          <w:rFonts w:hint="cs"/>
          <w:rtl/>
        </w:rPr>
        <w:t>32-</w:t>
      </w:r>
      <w:r>
        <w:rPr>
          <w:rFonts w:hint="cs"/>
          <w:rtl/>
        </w:rPr>
        <w:tab/>
        <w:t>يرجى شرح أي تقدم أُحرز في سبيل قبول تعديل الفقرة 1 من المادة 20 من الاتفاقية، المتعلقة بموعد اجتماع اللجنة.</w:t>
      </w:r>
    </w:p>
    <w:p w:rsidR="00AC7D69" w:rsidRPr="00AC7D69" w:rsidRDefault="00AC7D69" w:rsidP="00AC7D69">
      <w:pPr>
        <w:spacing w:before="120"/>
        <w:jc w:val="center"/>
        <w:rPr>
          <w:rFonts w:hint="cs"/>
          <w:u w:val="single"/>
          <w:rtl/>
        </w:rPr>
      </w:pPr>
      <w:r>
        <w:rPr>
          <w:u w:val="single"/>
          <w:rtl/>
        </w:rPr>
        <w:tab/>
      </w:r>
      <w:r>
        <w:rPr>
          <w:u w:val="single"/>
          <w:rtl/>
        </w:rPr>
        <w:tab/>
      </w:r>
      <w:r>
        <w:rPr>
          <w:u w:val="single"/>
          <w:rtl/>
        </w:rPr>
        <w:tab/>
      </w:r>
    </w:p>
    <w:sectPr w:rsidR="00AC7D69" w:rsidRPr="00AC7D6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9E9" w:rsidRPr="00FE6865" w:rsidRDefault="008F09E9" w:rsidP="00FE6865">
      <w:pPr>
        <w:pStyle w:val="Footer"/>
      </w:pPr>
    </w:p>
  </w:endnote>
  <w:endnote w:type="continuationSeparator" w:id="0">
    <w:p w:rsidR="008F09E9" w:rsidRDefault="008F0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92C" w:rsidRPr="001F592C" w:rsidRDefault="001F592C" w:rsidP="001F592C">
    <w:pPr>
      <w:pStyle w:val="Footer"/>
      <w:tabs>
        <w:tab w:val="right" w:pos="9598"/>
      </w:tabs>
    </w:pPr>
    <w:r>
      <w:t>GE.11-41483</w:t>
    </w:r>
    <w:r>
      <w:tab/>
    </w:r>
    <w:r w:rsidRPr="001F592C">
      <w:rPr>
        <w:b/>
        <w:sz w:val="18"/>
      </w:rPr>
      <w:fldChar w:fldCharType="begin"/>
    </w:r>
    <w:r w:rsidRPr="001F592C">
      <w:rPr>
        <w:b/>
        <w:sz w:val="18"/>
      </w:rPr>
      <w:instrText xml:space="preserve"> PAGE  \* MERGEFORMAT </w:instrText>
    </w:r>
    <w:r w:rsidRPr="001F592C">
      <w:rPr>
        <w:b/>
        <w:sz w:val="18"/>
      </w:rPr>
      <w:fldChar w:fldCharType="separate"/>
    </w:r>
    <w:r w:rsidR="00356D51">
      <w:rPr>
        <w:b/>
        <w:noProof/>
        <w:sz w:val="18"/>
      </w:rPr>
      <w:t>6</w:t>
    </w:r>
    <w:r w:rsidRPr="001F592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92C" w:rsidRPr="001F592C" w:rsidRDefault="001F592C" w:rsidP="001F592C">
    <w:pPr>
      <w:pStyle w:val="Footer"/>
      <w:tabs>
        <w:tab w:val="right" w:pos="9598"/>
      </w:tabs>
      <w:rPr>
        <w:b/>
        <w:sz w:val="18"/>
      </w:rPr>
    </w:pPr>
    <w:r w:rsidRPr="001F592C">
      <w:rPr>
        <w:b/>
        <w:sz w:val="18"/>
      </w:rPr>
      <w:fldChar w:fldCharType="begin"/>
    </w:r>
    <w:r w:rsidRPr="001F592C">
      <w:rPr>
        <w:b/>
        <w:sz w:val="18"/>
      </w:rPr>
      <w:instrText xml:space="preserve"> PAGE  \* MERGEFORMAT </w:instrText>
    </w:r>
    <w:r w:rsidRPr="001F592C">
      <w:rPr>
        <w:b/>
        <w:sz w:val="18"/>
      </w:rPr>
      <w:fldChar w:fldCharType="separate"/>
    </w:r>
    <w:r w:rsidR="00356D51">
      <w:rPr>
        <w:b/>
        <w:noProof/>
        <w:sz w:val="18"/>
      </w:rPr>
      <w:t>5</w:t>
    </w:r>
    <w:r w:rsidRPr="001F592C">
      <w:rPr>
        <w:b/>
        <w:sz w:val="18"/>
      </w:rPr>
      <w:fldChar w:fldCharType="end"/>
    </w:r>
    <w:r>
      <w:rPr>
        <w:b/>
        <w:sz w:val="18"/>
      </w:rPr>
      <w:tab/>
    </w:r>
    <w:r>
      <w:t>GE.11-41483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F75" w:rsidRDefault="001F592C" w:rsidP="00B118BC">
    <w:pPr>
      <w:pStyle w:val="Footer"/>
      <w:jc w:val="right"/>
    </w:pPr>
    <w:r>
      <w:rPr>
        <w:sz w:val="20"/>
      </w:rPr>
      <w:t>(A)   GE.11-4148</w:t>
    </w:r>
    <w:r w:rsidR="00056F7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118BC">
      <w:rPr>
        <w:sz w:val="20"/>
      </w:rPr>
      <w:t>3    220311    230311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9E9" w:rsidRDefault="008F09E9" w:rsidP="00834FF4">
      <w:pPr>
        <w:pStyle w:val="Footer"/>
        <w:bidi/>
        <w:spacing w:after="80" w:line="200" w:lineRule="exact"/>
        <w:ind w:left="680"/>
      </w:pPr>
      <w:r>
        <w:rPr>
          <w:rFonts w:hint="cs"/>
          <w:rtl/>
        </w:rPr>
        <w:t>__________</w:t>
      </w:r>
    </w:p>
  </w:footnote>
  <w:footnote w:type="continuationSeparator" w:id="0">
    <w:p w:rsidR="008F09E9" w:rsidRDefault="008F09E9" w:rsidP="00834FF4">
      <w:pPr>
        <w:pStyle w:val="Footer"/>
        <w:bidi/>
        <w:spacing w:after="80" w:line="200" w:lineRule="exact"/>
        <w:ind w:left="680"/>
      </w:pPr>
      <w:r>
        <w:rPr>
          <w:rFonts w:hint="cs"/>
          <w:rtl/>
        </w:rPr>
        <w:t>__________</w:t>
      </w:r>
    </w:p>
  </w:footnote>
  <w:footnote w:id="1">
    <w:p w:rsidR="003A3F83" w:rsidRPr="0066703E" w:rsidRDefault="003A3F83" w:rsidP="00900E6B">
      <w:pPr>
        <w:pStyle w:val="FootnoteText"/>
        <w:numPr>
          <w:ilvl w:val="0"/>
          <w:numId w:val="40"/>
        </w:numPr>
        <w:tabs>
          <w:tab w:val="clear" w:pos="1293"/>
          <w:tab w:val="left" w:pos="1183"/>
        </w:tabs>
        <w:spacing w:after="60" w:line="300" w:lineRule="exact"/>
        <w:ind w:left="1178" w:right="1247" w:hanging="158"/>
        <w:rPr>
          <w:rFonts w:hint="cs"/>
          <w:sz w:val="18"/>
          <w:szCs w:val="26"/>
        </w:rPr>
      </w:pPr>
      <w:r w:rsidRPr="0066703E">
        <w:rPr>
          <w:rFonts w:hint="cs"/>
          <w:sz w:val="18"/>
          <w:szCs w:val="26"/>
          <w:rtl/>
        </w:rPr>
        <w:t>تقرير الفريق العامل المعني بالاستعراض الدوري الشامل: الكويت (</w:t>
      </w:r>
      <w:r w:rsidRPr="0066703E">
        <w:rPr>
          <w:sz w:val="18"/>
          <w:szCs w:val="26"/>
        </w:rPr>
        <w:t>A/HRC/15/15</w:t>
      </w:r>
      <w:r w:rsidRPr="0066703E">
        <w:rPr>
          <w:rFonts w:hint="cs"/>
          <w:sz w:val="18"/>
          <w:szCs w:val="26"/>
          <w:rtl/>
        </w:rPr>
        <w:t>)، الفقرة 80.</w:t>
      </w:r>
    </w:p>
  </w:footnote>
  <w:footnote w:id="2">
    <w:p w:rsidR="00B24212" w:rsidRPr="0066703E" w:rsidRDefault="00B24212" w:rsidP="00900E6B">
      <w:pPr>
        <w:pStyle w:val="FootnoteText"/>
        <w:numPr>
          <w:ilvl w:val="0"/>
          <w:numId w:val="40"/>
        </w:numPr>
        <w:tabs>
          <w:tab w:val="clear" w:pos="1293"/>
          <w:tab w:val="left" w:pos="1183"/>
        </w:tabs>
        <w:spacing w:after="60" w:line="300" w:lineRule="exact"/>
        <w:ind w:left="1178" w:right="1247" w:hanging="158"/>
        <w:rPr>
          <w:rFonts w:hint="cs"/>
          <w:sz w:val="18"/>
          <w:szCs w:val="26"/>
        </w:rPr>
      </w:pPr>
      <w:r w:rsidRPr="0066703E">
        <w:rPr>
          <w:rFonts w:hint="cs"/>
          <w:sz w:val="18"/>
          <w:szCs w:val="26"/>
          <w:rtl/>
        </w:rPr>
        <w:t>المرجع نفسه، الفقرات 79-13 و79-17 إلى 79-20.</w:t>
      </w:r>
    </w:p>
  </w:footnote>
  <w:footnote w:id="3">
    <w:p w:rsidR="00F471E6" w:rsidRPr="00900E6B" w:rsidRDefault="00F471E6" w:rsidP="00900E6B">
      <w:pPr>
        <w:pStyle w:val="FootnoteText"/>
        <w:numPr>
          <w:ilvl w:val="0"/>
          <w:numId w:val="40"/>
        </w:numPr>
        <w:tabs>
          <w:tab w:val="clear" w:pos="1293"/>
          <w:tab w:val="left" w:pos="1183"/>
        </w:tabs>
        <w:spacing w:after="60" w:line="300" w:lineRule="exact"/>
        <w:ind w:left="1178" w:right="1247" w:hanging="158"/>
        <w:rPr>
          <w:rFonts w:hint="cs"/>
          <w:spacing w:val="-4"/>
          <w:sz w:val="18"/>
          <w:szCs w:val="26"/>
        </w:rPr>
      </w:pPr>
      <w:r w:rsidRPr="00900E6B">
        <w:rPr>
          <w:rFonts w:hint="cs"/>
          <w:spacing w:val="-4"/>
          <w:sz w:val="18"/>
          <w:szCs w:val="26"/>
          <w:rtl/>
        </w:rPr>
        <w:t>المرجع نفسه، الفقرتان 79-4 و79-45. انظر أيضا</w:t>
      </w:r>
      <w:r w:rsidR="00356D51">
        <w:rPr>
          <w:rFonts w:hint="cs"/>
          <w:spacing w:val="-4"/>
          <w:sz w:val="18"/>
          <w:szCs w:val="26"/>
          <w:rtl/>
        </w:rPr>
        <w:t>ً</w:t>
      </w:r>
      <w:r w:rsidRPr="00900E6B">
        <w:rPr>
          <w:rFonts w:hint="cs"/>
          <w:spacing w:val="-4"/>
          <w:sz w:val="18"/>
          <w:szCs w:val="26"/>
          <w:rtl/>
        </w:rPr>
        <w:t xml:space="preserve"> آراء بشأن الاستنتاجات و/أو التوصيات، والالتزامات الطوعية، والردود المقدمة من الدولة موضوع الاستعراض (</w:t>
      </w:r>
      <w:r w:rsidRPr="00900E6B">
        <w:rPr>
          <w:spacing w:val="-4"/>
          <w:sz w:val="18"/>
          <w:szCs w:val="26"/>
        </w:rPr>
        <w:t>A/HRC/15/15/Add.1</w:t>
      </w:r>
      <w:r w:rsidRPr="00900E6B">
        <w:rPr>
          <w:rFonts w:hint="cs"/>
          <w:spacing w:val="-4"/>
          <w:sz w:val="18"/>
          <w:szCs w:val="26"/>
          <w:rtl/>
        </w:rPr>
        <w:t>)، الفقرة 82-14.</w:t>
      </w:r>
    </w:p>
  </w:footnote>
  <w:footnote w:id="4">
    <w:p w:rsidR="009465CB" w:rsidRPr="00DD0F6F" w:rsidRDefault="009465CB" w:rsidP="00900E6B">
      <w:pPr>
        <w:pStyle w:val="FootnoteText"/>
        <w:numPr>
          <w:ilvl w:val="0"/>
          <w:numId w:val="40"/>
        </w:numPr>
        <w:tabs>
          <w:tab w:val="clear" w:pos="1293"/>
          <w:tab w:val="left" w:pos="1183"/>
        </w:tabs>
        <w:spacing w:after="60" w:line="300" w:lineRule="exact"/>
        <w:ind w:left="1178" w:right="1247" w:hanging="158"/>
        <w:rPr>
          <w:rFonts w:hint="cs"/>
          <w:spacing w:val="-4"/>
          <w:sz w:val="18"/>
          <w:szCs w:val="26"/>
        </w:rPr>
      </w:pPr>
      <w:r w:rsidRPr="00DD0F6F">
        <w:rPr>
          <w:rFonts w:hint="cs"/>
          <w:spacing w:val="-4"/>
          <w:sz w:val="18"/>
          <w:szCs w:val="26"/>
          <w:rtl/>
        </w:rPr>
        <w:t>تقرير الفريق العامل المعني بالاستعراض الدوري الشامل: الكويت (</w:t>
      </w:r>
      <w:r w:rsidRPr="00DD0F6F">
        <w:rPr>
          <w:spacing w:val="-4"/>
          <w:sz w:val="18"/>
          <w:szCs w:val="26"/>
        </w:rPr>
        <w:t>A/HRC/15/15</w:t>
      </w:r>
      <w:r w:rsidRPr="00DD0F6F">
        <w:rPr>
          <w:rFonts w:hint="cs"/>
          <w:spacing w:val="-4"/>
          <w:sz w:val="18"/>
          <w:szCs w:val="26"/>
          <w:rtl/>
        </w:rPr>
        <w:t>)، الفقرتان 79-7 و79-56.</w:t>
      </w:r>
    </w:p>
  </w:footnote>
  <w:footnote w:id="5">
    <w:p w:rsidR="004A224A" w:rsidRPr="0066703E" w:rsidRDefault="004A224A" w:rsidP="00900E6B">
      <w:pPr>
        <w:pStyle w:val="FootnoteText"/>
        <w:numPr>
          <w:ilvl w:val="0"/>
          <w:numId w:val="40"/>
        </w:numPr>
        <w:tabs>
          <w:tab w:val="clear" w:pos="1293"/>
          <w:tab w:val="left" w:pos="1183"/>
        </w:tabs>
        <w:spacing w:after="60" w:line="300" w:lineRule="exact"/>
        <w:ind w:left="1178" w:right="1247" w:hanging="158"/>
        <w:rPr>
          <w:rFonts w:hint="cs"/>
          <w:sz w:val="18"/>
          <w:szCs w:val="26"/>
        </w:rPr>
      </w:pPr>
      <w:r w:rsidRPr="0066703E">
        <w:rPr>
          <w:rFonts w:hint="cs"/>
          <w:sz w:val="18"/>
          <w:szCs w:val="26"/>
          <w:rtl/>
        </w:rPr>
        <w:t>انظر أيضا</w:t>
      </w:r>
      <w:r w:rsidR="005E096E" w:rsidRPr="0066703E">
        <w:rPr>
          <w:rFonts w:hint="cs"/>
          <w:sz w:val="18"/>
          <w:szCs w:val="26"/>
          <w:rtl/>
        </w:rPr>
        <w:t>ً</w:t>
      </w:r>
      <w:r w:rsidRPr="0066703E">
        <w:rPr>
          <w:rFonts w:hint="cs"/>
          <w:sz w:val="18"/>
          <w:szCs w:val="26"/>
          <w:rtl/>
        </w:rPr>
        <w:t xml:space="preserve"> الآراء المتعلقة </w:t>
      </w:r>
      <w:r w:rsidR="002B63D3" w:rsidRPr="0066703E">
        <w:rPr>
          <w:rFonts w:hint="cs"/>
          <w:sz w:val="18"/>
          <w:szCs w:val="26"/>
          <w:rtl/>
        </w:rPr>
        <w:t>ب</w:t>
      </w:r>
      <w:r w:rsidRPr="0066703E">
        <w:rPr>
          <w:rFonts w:hint="cs"/>
          <w:sz w:val="18"/>
          <w:szCs w:val="26"/>
          <w:rtl/>
        </w:rPr>
        <w:t>الاستنتاجات و/أو التوصيات، والالتزامات الطوعية، والردود المقدمة من الدولة موضوع الاستعراض (</w:t>
      </w:r>
      <w:r w:rsidRPr="0066703E">
        <w:rPr>
          <w:sz w:val="18"/>
          <w:szCs w:val="26"/>
        </w:rPr>
        <w:t>A/HRC/15/15/Add.1</w:t>
      </w:r>
      <w:r w:rsidRPr="0066703E">
        <w:rPr>
          <w:rFonts w:hint="cs"/>
          <w:sz w:val="18"/>
          <w:szCs w:val="26"/>
          <w:rtl/>
        </w:rPr>
        <w:t>)، الفقرتان 82-18 و82-19.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92C" w:rsidRPr="001F592C" w:rsidRDefault="001F592C" w:rsidP="001F592C">
    <w:pPr>
      <w:pStyle w:val="Header"/>
      <w:jc w:val="right"/>
    </w:pPr>
    <w:r w:rsidRPr="001F592C">
      <w:t>CEDAW/C/KWT/Q/3-4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F75" w:rsidRPr="001F592C" w:rsidRDefault="001F592C" w:rsidP="001F592C">
    <w:pPr>
      <w:pStyle w:val="Header"/>
      <w:jc w:val="left"/>
    </w:pPr>
    <w:r w:rsidRPr="001F592C">
      <w:t>CEDAW/C/KWT/Q/3-4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F75" w:rsidRDefault="00056F7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056F75" w:rsidRPr="00460CB7" w:rsidRDefault="00056F75"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F4F7D2F"/>
    <w:multiLevelType w:val="hybridMultilevel"/>
    <w:tmpl w:val="3B2094AE"/>
    <w:lvl w:ilvl="0" w:tplc="8CE00F88">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86B8D22C">
      <w:start w:val="1"/>
      <w:numFmt w:val="decimal"/>
      <w:lvlRestart w:val="0"/>
      <w:lvlText w:val="(%2)"/>
      <w:lvlJc w:val="right"/>
      <w:pPr>
        <w:tabs>
          <w:tab w:val="num" w:pos="1353"/>
        </w:tabs>
        <w:ind w:left="1353" w:hanging="227"/>
      </w:pPr>
      <w:rPr>
        <w:rFonts w:hint="default"/>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4"/>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6F75"/>
    <w:rsid w:val="00040E25"/>
    <w:rsid w:val="00042149"/>
    <w:rsid w:val="000448E5"/>
    <w:rsid w:val="00056F75"/>
    <w:rsid w:val="000648EA"/>
    <w:rsid w:val="000876EE"/>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3370"/>
    <w:rsid w:val="001455A0"/>
    <w:rsid w:val="001602A3"/>
    <w:rsid w:val="001A5161"/>
    <w:rsid w:val="001A60BD"/>
    <w:rsid w:val="001C3ECE"/>
    <w:rsid w:val="001E5A60"/>
    <w:rsid w:val="001F592C"/>
    <w:rsid w:val="002225D3"/>
    <w:rsid w:val="002244FB"/>
    <w:rsid w:val="00232277"/>
    <w:rsid w:val="0023736D"/>
    <w:rsid w:val="00257225"/>
    <w:rsid w:val="002B63D3"/>
    <w:rsid w:val="003057C8"/>
    <w:rsid w:val="00310160"/>
    <w:rsid w:val="00341A8C"/>
    <w:rsid w:val="003519E6"/>
    <w:rsid w:val="00356D51"/>
    <w:rsid w:val="003A3F83"/>
    <w:rsid w:val="003B4356"/>
    <w:rsid w:val="003F08A8"/>
    <w:rsid w:val="004250E3"/>
    <w:rsid w:val="00460CB7"/>
    <w:rsid w:val="00463EB9"/>
    <w:rsid w:val="00472A81"/>
    <w:rsid w:val="004A20A6"/>
    <w:rsid w:val="004A224A"/>
    <w:rsid w:val="004B2C92"/>
    <w:rsid w:val="004D6A3A"/>
    <w:rsid w:val="004F4AD7"/>
    <w:rsid w:val="00515E44"/>
    <w:rsid w:val="00531A69"/>
    <w:rsid w:val="00557CD3"/>
    <w:rsid w:val="00571432"/>
    <w:rsid w:val="005732A2"/>
    <w:rsid w:val="005762A5"/>
    <w:rsid w:val="00590BA3"/>
    <w:rsid w:val="005910D8"/>
    <w:rsid w:val="005B46D9"/>
    <w:rsid w:val="005B7AE0"/>
    <w:rsid w:val="005E096E"/>
    <w:rsid w:val="005F146F"/>
    <w:rsid w:val="005F71B6"/>
    <w:rsid w:val="00635B74"/>
    <w:rsid w:val="00654786"/>
    <w:rsid w:val="00660FD4"/>
    <w:rsid w:val="0066703E"/>
    <w:rsid w:val="006A4425"/>
    <w:rsid w:val="006B00A4"/>
    <w:rsid w:val="006B4669"/>
    <w:rsid w:val="006F6BF8"/>
    <w:rsid w:val="00707BDF"/>
    <w:rsid w:val="00710727"/>
    <w:rsid w:val="00715F45"/>
    <w:rsid w:val="00731815"/>
    <w:rsid w:val="00731B84"/>
    <w:rsid w:val="00734AE7"/>
    <w:rsid w:val="0079344E"/>
    <w:rsid w:val="007A3AC1"/>
    <w:rsid w:val="007E197F"/>
    <w:rsid w:val="007F68C4"/>
    <w:rsid w:val="008153DE"/>
    <w:rsid w:val="00834FF4"/>
    <w:rsid w:val="00852A10"/>
    <w:rsid w:val="00862634"/>
    <w:rsid w:val="00866C59"/>
    <w:rsid w:val="00877306"/>
    <w:rsid w:val="008951DA"/>
    <w:rsid w:val="008A6242"/>
    <w:rsid w:val="008B4BC6"/>
    <w:rsid w:val="008F09E9"/>
    <w:rsid w:val="00900E6B"/>
    <w:rsid w:val="00901E57"/>
    <w:rsid w:val="009070DF"/>
    <w:rsid w:val="00922026"/>
    <w:rsid w:val="009338E4"/>
    <w:rsid w:val="00935F0E"/>
    <w:rsid w:val="009465CB"/>
    <w:rsid w:val="0095208F"/>
    <w:rsid w:val="00977B3F"/>
    <w:rsid w:val="009814AE"/>
    <w:rsid w:val="009901D3"/>
    <w:rsid w:val="00996BBE"/>
    <w:rsid w:val="009B2C03"/>
    <w:rsid w:val="009D1DD5"/>
    <w:rsid w:val="009F722C"/>
    <w:rsid w:val="00A236E4"/>
    <w:rsid w:val="00A26157"/>
    <w:rsid w:val="00A265C3"/>
    <w:rsid w:val="00A43F9A"/>
    <w:rsid w:val="00A53F38"/>
    <w:rsid w:val="00A543D4"/>
    <w:rsid w:val="00AC7D69"/>
    <w:rsid w:val="00AD0014"/>
    <w:rsid w:val="00AD4CF2"/>
    <w:rsid w:val="00AF0BBA"/>
    <w:rsid w:val="00B118BC"/>
    <w:rsid w:val="00B24212"/>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3D94"/>
    <w:rsid w:val="00D960AD"/>
    <w:rsid w:val="00DA0E0E"/>
    <w:rsid w:val="00DB0C39"/>
    <w:rsid w:val="00DB6C86"/>
    <w:rsid w:val="00DB7679"/>
    <w:rsid w:val="00DC230B"/>
    <w:rsid w:val="00DD0F6F"/>
    <w:rsid w:val="00DF1702"/>
    <w:rsid w:val="00DF4DD8"/>
    <w:rsid w:val="00DF668E"/>
    <w:rsid w:val="00E04826"/>
    <w:rsid w:val="00E065EE"/>
    <w:rsid w:val="00E14D2B"/>
    <w:rsid w:val="00E20DBA"/>
    <w:rsid w:val="00E6524A"/>
    <w:rsid w:val="00E660D6"/>
    <w:rsid w:val="00E771AB"/>
    <w:rsid w:val="00EA796F"/>
    <w:rsid w:val="00EB077B"/>
    <w:rsid w:val="00EC50B9"/>
    <w:rsid w:val="00ED26A0"/>
    <w:rsid w:val="00EE3131"/>
    <w:rsid w:val="00F1727A"/>
    <w:rsid w:val="00F34764"/>
    <w:rsid w:val="00F471E6"/>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1758</Words>
  <Characters>8778</Characters>
  <Application>Microsoft Office Word</Application>
  <DocSecurity>4</DocSecurity>
  <Lines>154</Lines>
  <Paragraphs>35</Paragraphs>
  <ScaleCrop>false</ScaleCrop>
  <HeadingPairs>
    <vt:vector size="2" baseType="variant">
      <vt:variant>
        <vt:lpstr>العنوان</vt:lpstr>
      </vt:variant>
      <vt:variant>
        <vt:i4>1</vt:i4>
      </vt:variant>
    </vt:vector>
  </HeadingPairs>
  <TitlesOfParts>
    <vt:vector size="1" baseType="lpstr">
      <vt:lpstr>CEDAW/C/KWT/Q/3-4</vt:lpstr>
    </vt:vector>
  </TitlesOfParts>
  <Company>CSD</Company>
  <LinksUpToDate>false</LinksUpToDate>
  <CharactersWithSpaces>10501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CEDAW/C/KWT/Q/3-4</dc:title>
  <dc:subject>Oussar-el-alaoui</dc:subject>
  <dc:creator>Mervat</dc:creator>
  <cp:keywords/>
  <dc:description/>
  <cp:lastModifiedBy>Mervat</cp:lastModifiedBy>
  <cp:revision>2</cp:revision>
  <cp:lastPrinted>2011-03-23T09:24:00Z</cp:lastPrinted>
  <dcterms:created xsi:type="dcterms:W3CDTF">2011-03-23T09:26:00Z</dcterms:created>
  <dcterms:modified xsi:type="dcterms:W3CDTF">2011-03-23T09:26:00Z</dcterms:modified>
</cp:coreProperties>
</file>