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F420538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78D28DB" w14:textId="77777777" w:rsidR="002D5AAC" w:rsidRDefault="002D5AAC" w:rsidP="002508D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D650ACA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85BA7D2" w14:textId="0C66C34F" w:rsidR="002D5AAC" w:rsidRDefault="002508DC" w:rsidP="002508DC">
            <w:pPr>
              <w:jc w:val="right"/>
            </w:pPr>
            <w:r w:rsidRPr="002508DC">
              <w:rPr>
                <w:sz w:val="40"/>
              </w:rPr>
              <w:t>E</w:t>
            </w:r>
            <w:r>
              <w:t>/C.12/RUS/CO/7</w:t>
            </w:r>
          </w:p>
        </w:tc>
      </w:tr>
      <w:tr w:rsidR="002D5AAC" w:rsidRPr="00D32E71" w14:paraId="0713ED6D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CF1EB2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A7038A" wp14:editId="313FA3E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D9551F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2371CF7" w14:textId="77777777" w:rsidR="002D5AAC" w:rsidRDefault="002508DC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4A870AC" w14:textId="7262C6A9" w:rsidR="002508DC" w:rsidRDefault="002508DC" w:rsidP="002508D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October 2025</w:t>
            </w:r>
          </w:p>
          <w:p w14:paraId="7E5346D8" w14:textId="77777777" w:rsidR="002508DC" w:rsidRDefault="002508DC" w:rsidP="002508D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2A38AE2" w14:textId="1727BC61" w:rsidR="002508DC" w:rsidRPr="00D62A45" w:rsidRDefault="002508DC" w:rsidP="002508D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515630E" w14:textId="013AE2FB" w:rsidR="002508DC" w:rsidRPr="002508DC" w:rsidRDefault="002508DC" w:rsidP="002508DC">
      <w:pPr>
        <w:spacing w:before="120"/>
        <w:rPr>
          <w:b/>
          <w:bCs/>
          <w:sz w:val="24"/>
          <w:szCs w:val="24"/>
        </w:rPr>
      </w:pPr>
      <w:r w:rsidRPr="002508DC">
        <w:rPr>
          <w:b/>
          <w:bCs/>
          <w:sz w:val="24"/>
          <w:szCs w:val="24"/>
        </w:rPr>
        <w:t xml:space="preserve">Комитет по экономическим, социальным </w:t>
      </w:r>
      <w:r w:rsidR="00F823D4" w:rsidRPr="00D32E71">
        <w:rPr>
          <w:b/>
          <w:bCs/>
          <w:sz w:val="24"/>
          <w:szCs w:val="24"/>
        </w:rPr>
        <w:br/>
      </w:r>
      <w:r w:rsidRPr="002508DC">
        <w:rPr>
          <w:b/>
          <w:bCs/>
          <w:sz w:val="24"/>
          <w:szCs w:val="24"/>
        </w:rPr>
        <w:t>и культурным правам</w:t>
      </w:r>
    </w:p>
    <w:p w14:paraId="00860DF8" w14:textId="77777777" w:rsidR="002508DC" w:rsidRPr="007A5F6A" w:rsidRDefault="002508DC" w:rsidP="002508DC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Российской Федерации</w:t>
      </w:r>
      <w:r w:rsidRPr="00883933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31D29C91" w14:textId="350545B3" w:rsidR="002508DC" w:rsidRPr="00883933" w:rsidRDefault="002508DC" w:rsidP="002508DC">
      <w:pPr>
        <w:pStyle w:val="SingleTxtG"/>
      </w:pPr>
      <w:r>
        <w:t>1.</w:t>
      </w:r>
      <w:r>
        <w:tab/>
        <w:t>Комитет рассмотрел седьмой периодический доклад Российской Федерации</w:t>
      </w:r>
      <w:r w:rsidR="00883933" w:rsidRPr="00DC0174">
        <w:rPr>
          <w:rStyle w:val="a8"/>
        </w:rPr>
        <w:footnoteReference w:id="2"/>
      </w:r>
      <w:r>
        <w:t xml:space="preserve"> на своих 34-м и 35-м заседаниях</w:t>
      </w:r>
      <w:r w:rsidR="00F823D4" w:rsidRPr="00DC0174">
        <w:rPr>
          <w:rStyle w:val="a8"/>
        </w:rPr>
        <w:footnoteReference w:id="3"/>
      </w:r>
      <w:r>
        <w:t>, состоявшихся 9 и 10 сентября 2025 года, и принял настоящие заключительные замечания на своем 58-м заседании, состоявшемся 26</w:t>
      </w:r>
      <w:r w:rsidR="00407F8D">
        <w:rPr>
          <w:lang w:val="en-US"/>
        </w:rPr>
        <w:t> </w:t>
      </w:r>
      <w:r>
        <w:t>сентября 2025 года</w:t>
      </w:r>
      <w:r w:rsidR="00883933" w:rsidRPr="00883933">
        <w:t>.</w:t>
      </w:r>
    </w:p>
    <w:p w14:paraId="77CD265D" w14:textId="77777777" w:rsidR="002508DC" w:rsidRPr="007A5F6A" w:rsidRDefault="002508DC" w:rsidP="002508DC">
      <w:pPr>
        <w:pStyle w:val="H1G"/>
      </w:pPr>
      <w:r w:rsidRPr="002508DC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1445B244" w14:textId="77777777" w:rsidR="002508DC" w:rsidRPr="007A5F6A" w:rsidRDefault="002508DC" w:rsidP="002508DC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государством-участником седьмого периодического доклада и дополнительную информацию, содержащуюся в ответах на перечень вопросов</w:t>
      </w:r>
      <w:r w:rsidRPr="00DC0174">
        <w:rPr>
          <w:rStyle w:val="a8"/>
        </w:rPr>
        <w:footnoteReference w:id="4"/>
      </w:r>
      <w:r>
        <w:t>. Комитет высоко оценивает конструктивный характер диалога, состоявшегося с делегацией государства-участника, и приветствует ее активное участие в обсуждении.</w:t>
      </w:r>
    </w:p>
    <w:p w14:paraId="50D488EF" w14:textId="77777777" w:rsidR="002508DC" w:rsidRPr="007A5F6A" w:rsidRDefault="002508DC" w:rsidP="002508DC">
      <w:pPr>
        <w:pStyle w:val="H1G"/>
      </w:pPr>
      <w:r w:rsidRPr="002508DC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04961571" w14:textId="2381076F" w:rsidR="002508DC" w:rsidRPr="007A5F6A" w:rsidRDefault="002508DC" w:rsidP="002508DC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 принятие Федерального закона № 565-ФЗ от 12</w:t>
      </w:r>
      <w:r w:rsidR="00F823D4">
        <w:rPr>
          <w:lang w:val="en-US"/>
        </w:rPr>
        <w:t> </w:t>
      </w:r>
      <w:r>
        <w:t>декабря 2023 года и последующих поправок к нему, направленных на улучшение возможностей трудоустройства инвалидов, принятие в 2023 году Национального плана мероприятий второго этапа адаптации к изменениям климата, ратификация в 2019 году Конвенции Международной организации труда (МОТ) 1952 года о минимальных нормах социального обеспечения (№ 102) и другие меры, упомянутые в настоящих заключительных замечаниях.</w:t>
      </w:r>
    </w:p>
    <w:p w14:paraId="0CC130A6" w14:textId="13CC17A2" w:rsidR="002508DC" w:rsidRPr="007A5F6A" w:rsidRDefault="002508DC" w:rsidP="002508DC">
      <w:pPr>
        <w:pStyle w:val="H1G"/>
      </w:pPr>
      <w:r w:rsidRPr="002508DC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883933" w:rsidRPr="00D32E71">
        <w:rPr>
          <w:bCs/>
        </w:rPr>
        <w:br/>
      </w:r>
      <w:r>
        <w:rPr>
          <w:bCs/>
        </w:rPr>
        <w:t>и рекомендации</w:t>
      </w:r>
    </w:p>
    <w:p w14:paraId="6A74044D" w14:textId="17B36584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 xml:space="preserve">Применение Международного пакта об экономических, социальных </w:t>
      </w:r>
      <w:r w:rsidR="00883933" w:rsidRPr="00D32E71">
        <w:rPr>
          <w:bCs/>
        </w:rPr>
        <w:br/>
      </w:r>
      <w:r>
        <w:rPr>
          <w:bCs/>
        </w:rPr>
        <w:t>и культурных правах в контексте вооруженного конфликта</w:t>
      </w:r>
    </w:p>
    <w:p w14:paraId="7FD6006B" w14:textId="2806E825" w:rsidR="002508DC" w:rsidRPr="007A5F6A" w:rsidRDefault="002508DC" w:rsidP="002508DC">
      <w:pPr>
        <w:pStyle w:val="SingleTxtG"/>
        <w:rPr>
          <w:rFonts w:eastAsia="Malgun Gothic"/>
        </w:rPr>
      </w:pPr>
      <w:r>
        <w:t>4.</w:t>
      </w:r>
      <w:r>
        <w:tab/>
        <w:t xml:space="preserve">Комитет выражает глубокую озабоченность в связи с последствиями продолжающегося вооруженного конфликта между государством-участником и Украиной для осуществления экономических, социальных и культурных прав. </w:t>
      </w:r>
      <w:r w:rsidR="00F823D4" w:rsidRPr="00D32E71">
        <w:br/>
      </w:r>
      <w:r>
        <w:lastRenderedPageBreak/>
        <w:t>Он с особой озабоченностью отмечает сообщения о разрушении гражданской инфраструктуры и уничтожении средств к существованию, нехватке основных услуг, продовольствия и воды, а также о нанесении ущерба культурному наследию в районах, затронутых боевыми действиями. Комитет также обеспокоен сообщениями о нарушениях прав, предусмотренных Международным пактом об экономических, социальных и культурных правах, на территориях, находящихся под фактическим контролем государства-участника.</w:t>
      </w:r>
    </w:p>
    <w:p w14:paraId="4FDB1224" w14:textId="621257DD" w:rsidR="002508DC" w:rsidRPr="007A5F6A" w:rsidRDefault="002508DC" w:rsidP="002508DC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напоминает, что в соответствии с пунктом 1 статьи 2 Пакта государство-участник обязано принимать меры для постепенного осуществления прав, закрепленных в Пакте, в отношении всех лиц, находящихся под его юрисдикцией, в том числе на территориях, находящихся под его эффективным контролем.</w:t>
      </w:r>
      <w:r>
        <w:t xml:space="preserve"> </w:t>
      </w:r>
      <w:r>
        <w:rPr>
          <w:b/>
          <w:bCs/>
        </w:rPr>
        <w:t>Комитет напоминает государству-участнику, что Пакт применяется в контексте вооруженного конфликта одновременно с международным гуманитарным правом.</w:t>
      </w:r>
      <w:r>
        <w:t xml:space="preserve"> </w:t>
      </w:r>
      <w:r>
        <w:rPr>
          <w:b/>
          <w:bCs/>
        </w:rPr>
        <w:t>Комитет также напоминает государству-участнику, что отступления от Пакта не допускаются и что ограничения прав, предусмотренных Пактом, должны соответствовать требованиям, установленным в статье 4.</w:t>
      </w:r>
      <w:r>
        <w:t xml:space="preserve"> </w:t>
      </w:r>
      <w:r w:rsidR="007E18A3">
        <w:br/>
      </w:r>
      <w:r>
        <w:rPr>
          <w:b/>
          <w:bCs/>
        </w:rPr>
        <w:t>В связи с этим Комитет рекомендует государству-участнику:</w:t>
      </w:r>
    </w:p>
    <w:p w14:paraId="2253BFEE" w14:textId="536FBCD6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 xml:space="preserve">обеспечить, чтобы любые действия властей или представителей государства-участника полностью соответствовали его обязательствам по Пакту; </w:t>
      </w:r>
    </w:p>
    <w:p w14:paraId="01F6C091" w14:textId="00AC3929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>
        <w:tab/>
      </w:r>
      <w:r w:rsidR="002508DC">
        <w:rPr>
          <w:b/>
          <w:bCs/>
        </w:rPr>
        <w:t>принять все необходимые меры для выполнения в полном объеме своих обязательств уважать, защищать и осуществлять экономические, социальные и культурные права, в том числе в условиях вооруженного конфликта.</w:t>
      </w:r>
    </w:p>
    <w:p w14:paraId="72462981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  <w:r>
        <w:t xml:space="preserve"> </w:t>
      </w:r>
    </w:p>
    <w:p w14:paraId="08B327DD" w14:textId="77777777" w:rsidR="002508DC" w:rsidRPr="007A5F6A" w:rsidRDefault="002508DC" w:rsidP="002508DC">
      <w:pPr>
        <w:pStyle w:val="SingleTxtG"/>
      </w:pPr>
      <w:r>
        <w:t>6.</w:t>
      </w:r>
      <w:r>
        <w:tab/>
        <w:t>Приветствуя представленную государством-участником информацию о месте Пакта во внутренней правовой системе, Комитет по-прежнему обеспокоен ограниченным числом документально подтвержденных случаев, когда на его положения непосредственно ссылались или когда их применяли внутренние суды, что заставляет усомниться в возможности защитить права, закрепленные в Пакте, в судебном порядке и в реальном наличие средств правовой защиты.</w:t>
      </w:r>
    </w:p>
    <w:p w14:paraId="5C0D065A" w14:textId="77777777" w:rsidR="002508DC" w:rsidRPr="007A5F6A" w:rsidRDefault="002508DC" w:rsidP="002508DC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напоминает о своей предыдущей рекомендации государству-участнику расширить подготовку судей, адвокатов и государственных должностных лиц по вопросам Пакта и проводить среди них информационно-просветительские кампании относительно обязанности осуществления закрепленных в Пакте прав. В связи с этим Комитет напоминает о своем замечании общего порядка № 9 (1998) о применении Пакта во внутреннем праве</w:t>
      </w:r>
      <w:r w:rsidRPr="00DC0174">
        <w:rPr>
          <w:rStyle w:val="a8"/>
        </w:rPr>
        <w:footnoteReference w:id="5"/>
      </w:r>
      <w:r>
        <w:rPr>
          <w:b/>
          <w:bCs/>
        </w:rPr>
        <w:t>.</w:t>
      </w:r>
    </w:p>
    <w:p w14:paraId="7AB985F4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A54EAFC" w14:textId="77777777" w:rsidR="002508DC" w:rsidRPr="007A5F6A" w:rsidRDefault="002508DC" w:rsidP="002508DC">
      <w:pPr>
        <w:pStyle w:val="SingleTxtG"/>
      </w:pPr>
      <w:r>
        <w:t>8.</w:t>
      </w:r>
      <w:r>
        <w:tab/>
        <w:t>Комитет обеспокоен сообщениями о том, что институциональные механизмы, регулирующие деятельность аппарата Уполномоченного по правам человека в Российской Федерации, не обеспечивают полных гарантий функциональной независимости (статья 2 (1)).</w:t>
      </w:r>
    </w:p>
    <w:p w14:paraId="66C79D70" w14:textId="77777777" w:rsidR="002508DC" w:rsidRPr="007A5F6A" w:rsidRDefault="002508DC" w:rsidP="002508DC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принимать меры для приведения аппарата Уполномоченного по правам человека в Российской Федерации в полное соответствие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</w:p>
    <w:p w14:paraId="12EFAE01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0FF30773" w14:textId="77777777" w:rsidR="002508DC" w:rsidRPr="007A5F6A" w:rsidRDefault="002508DC" w:rsidP="002508DC">
      <w:pPr>
        <w:pStyle w:val="SingleTxtG"/>
      </w:pPr>
      <w:r>
        <w:t>10.</w:t>
      </w:r>
      <w:r>
        <w:tab/>
        <w:t xml:space="preserve">Комитет обеспокоен сообщениями о том, что процедуры назначения, продвижения по службе, наложения дисциплинарных взысканий и увольнения судей </w:t>
      </w:r>
      <w:r>
        <w:lastRenderedPageBreak/>
        <w:t>не в полной мере обеспечивают их институциональную и функциональную независимость, которая необходима для обеспечения судебной защиты экономических, социальных и культурных прав.</w:t>
      </w:r>
    </w:p>
    <w:p w14:paraId="79718B42" w14:textId="77777777" w:rsidR="002508DC" w:rsidRPr="007A5F6A" w:rsidRDefault="002508DC" w:rsidP="002508DC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В связи с этим Комитет рекомендует государству-участнику:</w:t>
      </w:r>
    </w:p>
    <w:p w14:paraId="13F863EE" w14:textId="6A197E15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принять все необходимые законодательные и институциональные меры для обеспечения как в законодательстве, так и на практике независимости и беспристрастности судей и прокуроров, а также для обеспечения их защиты от неправомерного влияния, в том числе от давления или дисциплинарных мер с чьей бы то ни было стороны, несовместимых с принципами независимости судебной власти;</w:t>
      </w:r>
    </w:p>
    <w:p w14:paraId="3B1E6C2A" w14:textId="69B1B8FB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>
        <w:tab/>
      </w:r>
      <w:r w:rsidR="002508DC">
        <w:rPr>
          <w:b/>
          <w:bCs/>
        </w:rPr>
        <w:t>обеспечить, чтобы процедуры назначения, избрания, продвижения по службе или снятия с должности судей и прокуроров были транспарентными и в полной мере соответствовали положениям Пакта и соответствующим международно-правовым стандартам, в том числе Основным принципам независимости судебных органов и Руководящим принципам, касающимся роли лиц, осуществляющих судебное преследование</w:t>
      </w:r>
      <w:r w:rsidR="007E18A3">
        <w:rPr>
          <w:b/>
          <w:bCs/>
        </w:rPr>
        <w:t>.</w:t>
      </w:r>
    </w:p>
    <w:p w14:paraId="192864C5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Правозащитники, журналисты и адвокаты, занимающиеся экономическими, социальными и культурными правами</w:t>
      </w:r>
    </w:p>
    <w:p w14:paraId="3DAEA76B" w14:textId="1DEC952A" w:rsidR="002508DC" w:rsidRPr="007A5F6A" w:rsidRDefault="002508DC" w:rsidP="002508DC">
      <w:pPr>
        <w:pStyle w:val="SingleTxtG"/>
        <w:rPr>
          <w:b/>
        </w:rPr>
      </w:pPr>
      <w:r>
        <w:t>12.</w:t>
      </w:r>
      <w:r>
        <w:tab/>
        <w:t>Комитет обеспокоен сообщениями о том, что правозащитники, в том числе занимающиеся вопросами окружающей среды, правами коренных народов, экономическими, социальными и культурными правами, а также журналисты и адвокаты, подвергаются различным формам давления и репрессивным мерам, в том числе произвольному задержанию и насильственным исчезновениям, в связи с их профессиональной или правозащитной деятельностью. Комитет также обеспокоен тем, что Федеральный закон № 121-ФЗ от 20 июля 2012 года (</w:t>
      </w:r>
      <w:r w:rsidR="007E18A3">
        <w:t>«</w:t>
      </w:r>
      <w:r>
        <w:t>Закон об иностранных агентах</w:t>
      </w:r>
      <w:r w:rsidR="007E18A3">
        <w:t>»</w:t>
      </w:r>
      <w:r>
        <w:t>) и последующие поправки к нему, как сообщается, используются таким образом, что это неоправданно ограничивает деятельность представителей гражданского общества.</w:t>
      </w:r>
    </w:p>
    <w:p w14:paraId="70598325" w14:textId="77777777" w:rsidR="002508DC" w:rsidRPr="007A5F6A" w:rsidRDefault="002508DC" w:rsidP="002508DC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заявление о правозащитниках и экономических, социальных и культурных правах, Комитет рекомендует государству-участнику</w:t>
      </w:r>
      <w:r w:rsidRPr="00DC0174">
        <w:rPr>
          <w:rStyle w:val="a8"/>
        </w:rPr>
        <w:footnoteReference w:id="6"/>
      </w:r>
      <w:r>
        <w:rPr>
          <w:b/>
          <w:bCs/>
        </w:rPr>
        <w:t>:</w:t>
      </w:r>
      <w:r>
        <w:t xml:space="preserve"> </w:t>
      </w:r>
    </w:p>
    <w:p w14:paraId="35090306" w14:textId="7608593B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усилить защиту правозащитников, журналистов и адвокатов, занимающихся экономическими, социальными и культурными правами человека, а также членов их семей;</w:t>
      </w:r>
    </w:p>
    <w:p w14:paraId="35C5DC44" w14:textId="39541974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чтобы не допускать безнаказанности, обеспечить оперативное, эффективное и беспристрастное расследование всех нарушений, привлечение к ответственности и наказание виновных, и устранение последствий;</w:t>
      </w:r>
    </w:p>
    <w:p w14:paraId="029FE371" w14:textId="6A615C11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>
        <w:tab/>
      </w:r>
      <w:r w:rsidR="002508DC">
        <w:rPr>
          <w:b/>
          <w:bCs/>
        </w:rPr>
        <w:t>обеспечить, чтобы законодательство не использовалось для необоснованного ограничения и подавления деятельности критиков правительства, правозащитников и журналистов, которые необходимы для реализации экономических, социальных и культурных прав.</w:t>
      </w:r>
    </w:p>
    <w:p w14:paraId="4AE50525" w14:textId="2C049D79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 xml:space="preserve">Предпринимательская деятельность и экономические, социальные </w:t>
      </w:r>
      <w:r w:rsidR="00F823D4" w:rsidRPr="00D32E71">
        <w:rPr>
          <w:bCs/>
        </w:rPr>
        <w:br/>
      </w:r>
      <w:r>
        <w:rPr>
          <w:bCs/>
        </w:rPr>
        <w:t>и культурные права</w:t>
      </w:r>
      <w:r>
        <w:t xml:space="preserve"> </w:t>
      </w:r>
    </w:p>
    <w:p w14:paraId="4F0344E5" w14:textId="29B70A64" w:rsidR="002508DC" w:rsidRPr="007A5F6A" w:rsidRDefault="002508DC" w:rsidP="002508DC">
      <w:pPr>
        <w:pStyle w:val="SingleTxtG"/>
        <w:rPr>
          <w:rFonts w:eastAsiaTheme="minorEastAsia"/>
        </w:rPr>
      </w:pPr>
      <w:r>
        <w:t>14.</w:t>
      </w:r>
      <w:r>
        <w:tab/>
        <w:t xml:space="preserve">Комитет с обеспокоенностью отмечает отсутствие всеобъемлющего национального плана действий по вопросам бизнеса и прав человека, а также ограниченный объем юридических обязательств компаний, находящихся под юрисдикцией государства-участника, проводить эффективную экспертизу на предмет соблюдения прав человека. Комитет также обеспокоен сообщениями о том, что оценки экологических и социальных последствий, а также процессы консультаций с затрагиваемыми местными общинами, в частности с коренными народами, в том числе </w:t>
      </w:r>
      <w:r>
        <w:lastRenderedPageBreak/>
        <w:t>в контексте добычи полезных ископаемых, не всегда проводятся таким образом, чтобы эффективно предотвращать неблагоприятное воздействие на осуществление прав, предусмотренных Пактом. Комитет также обеспокоен сообщениями о том, что зарубежная деятельность компаний, находящиеся под юрисдикцией государства-участника, имеет серьезные негативные последствия для осуществления экономических, социальных и культурных прав (статьи 2 (1) и 11</w:t>
      </w:r>
      <w:r w:rsidR="007E18A3">
        <w:t>–</w:t>
      </w:r>
      <w:r>
        <w:t>15).</w:t>
      </w:r>
    </w:p>
    <w:p w14:paraId="4B76D79D" w14:textId="369421AE" w:rsidR="002508DC" w:rsidRPr="007A5F6A" w:rsidRDefault="002508DC" w:rsidP="002508DC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напоминает, что в соответствии с пунктом 1 статьи 2 Пакта государство-участник обязано принимать надлежащие законодательные, административные и другие меры для обеспечения того, чтобы негосударственные субъекты, действующие под его юрисдикцией или эффективным контролем, не подрывали осуществление экономических, социальных и культурных прав.</w:t>
      </w:r>
      <w:r>
        <w:t xml:space="preserve"> </w:t>
      </w:r>
      <w:r>
        <w:rPr>
          <w:b/>
          <w:bCs/>
        </w:rPr>
        <w:t>Речь идет, в частности, о том, чтобы деятельность компаний, домицилированных в государстве-участнике и/или действующих под его юрисдикцией, подлежала эффективному регулированию и надзору, в частности, когда она оказывает предсказуемое воздействие на осуществление экономических, социальных и культурных прав, в том числе в ситуациях, когда такое воздействие происходит за пределами территории государства-участника.</w:t>
      </w:r>
      <w:r>
        <w:t xml:space="preserve"> </w:t>
      </w:r>
      <w:r>
        <w:rPr>
          <w:b/>
          <w:bCs/>
        </w:rPr>
        <w:t>Ссылаясь на свое замечание общего порядка № 24 (2017) об обязательствах государств по Пакту в контексте предпринимательской деятельности и свои предыдущие рекомендации</w:t>
      </w:r>
      <w:r w:rsidR="00F823D4" w:rsidRPr="00DC0174">
        <w:rPr>
          <w:rStyle w:val="a8"/>
        </w:rPr>
        <w:footnoteReference w:id="7"/>
      </w:r>
      <w:r>
        <w:rPr>
          <w:b/>
          <w:bCs/>
        </w:rPr>
        <w:t>, Комитет рекомендует государству-участнику:</w:t>
      </w:r>
    </w:p>
    <w:p w14:paraId="293A7462" w14:textId="3415EBB7" w:rsidR="002508DC" w:rsidRPr="00883933" w:rsidRDefault="00883933" w:rsidP="002508DC">
      <w:pPr>
        <w:pStyle w:val="SingleTxtG"/>
        <w:rPr>
          <w:b/>
          <w:bCs/>
        </w:rPr>
      </w:pPr>
      <w:r w:rsidRPr="00F823D4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 xml:space="preserve">принять национальный план действий по вопросам предпринимательской деятельности и прав человека; </w:t>
      </w:r>
    </w:p>
    <w:p w14:paraId="428F9EFB" w14:textId="4800A8C4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обеспечить привлечение коммерческих предприятий, включая их поставщиков, к ответственности за нарушение экономических, социальных и культурных прав, уделяя особое внимание правам коренных народов, воздействию на окружающую среду и произвольной экспроприации, в том числе в контексте проектов по добыче полезных ископаемых;</w:t>
      </w:r>
    </w:p>
    <w:p w14:paraId="1AD2D2AF" w14:textId="5C574683" w:rsidR="002508DC" w:rsidRPr="00883933" w:rsidRDefault="00883933" w:rsidP="002508DC">
      <w:pPr>
        <w:pStyle w:val="SingleTxtG"/>
        <w:keepNext/>
        <w:keepLines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обеспечить, чтобы хозяйствующие субъекты, домицилированные в государстве-участнике и/или действующие под его юрисдикцией, в том числе ведущие деятельность за рубежом, привлекались к ответственности за нарушения ими экономических, социальных и культурных прав, в том числе рассмотрев возможность утверждения комплекса обязательных для применения правовых норм, требующих от компаний должной заботы о правах человека, и создать механизмы, обеспечивающие привлечение к гражданской, административной или уголовной ответственности за нарушения прав, закрепленных в Пакте, в том числе экстерриториальные;</w:t>
      </w:r>
    </w:p>
    <w:p w14:paraId="24E952B3" w14:textId="1B38EB3B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 w:rsidRPr="00883933">
        <w:rPr>
          <w:b/>
          <w:bCs/>
        </w:rPr>
        <w:tab/>
        <w:t>обеспечить</w:t>
      </w:r>
      <w:r w:rsidR="002508DC">
        <w:rPr>
          <w:b/>
          <w:bCs/>
        </w:rPr>
        <w:t>, чтобы жертвы таких нарушений имели доступ к эффективным механизмам подачи жалоб и доступным и эффективным средствам правовой защиты, включая судебные средства правовой защиты и адекватное возмещение ущерба.</w:t>
      </w:r>
    </w:p>
    <w:p w14:paraId="26166FAD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</w:p>
    <w:p w14:paraId="45C700BC" w14:textId="77777777" w:rsidR="002508DC" w:rsidRPr="007A5F6A" w:rsidRDefault="002508DC" w:rsidP="002508DC">
      <w:pPr>
        <w:pStyle w:val="SingleTxtG"/>
      </w:pPr>
      <w:r>
        <w:t>16.</w:t>
      </w:r>
      <w:r>
        <w:tab/>
        <w:t xml:space="preserve">Принимая к сведению представленную государством-участником информацию о мерах, принятых со времени последнего обзора государства-участника в 2017 году, Комитет по-прежнему обеспокоен следующими фактами: </w:t>
      </w:r>
    </w:p>
    <w:p w14:paraId="7E7411AC" w14:textId="71A4EF87" w:rsidR="002508DC" w:rsidRPr="007A5F6A" w:rsidRDefault="00883933" w:rsidP="002508DC">
      <w:pPr>
        <w:pStyle w:val="SingleTxtG"/>
      </w:pPr>
      <w:r w:rsidRPr="00D32E71">
        <w:tab/>
      </w:r>
      <w:r w:rsidR="002508DC">
        <w:t>a)</w:t>
      </w:r>
      <w:r w:rsidR="002508DC">
        <w:tab/>
        <w:t>недостаточной поддержкой права коренных народов на свободное, предварительное и осознанное согласие на любые изменения в характере использовании их земель и территорий и недостаточным представительством коренных народов в местных органах, ответственных за принятие решений;</w:t>
      </w:r>
    </w:p>
    <w:p w14:paraId="45D6EA78" w14:textId="5F85F79E" w:rsidR="002508DC" w:rsidRPr="007A5F6A" w:rsidRDefault="00883933" w:rsidP="002508DC">
      <w:pPr>
        <w:pStyle w:val="SingleTxtG"/>
      </w:pPr>
      <w:r w:rsidRPr="00D32E71">
        <w:tab/>
      </w:r>
      <w:r w:rsidR="002508DC">
        <w:t>b)</w:t>
      </w:r>
      <w:r w:rsidR="002508DC">
        <w:tab/>
        <w:t>ограниченностью доступа коренных народов к здравоохранению, образованию и другим базовым услугам (статьи 1, 2 (1), 12 и 13).</w:t>
      </w:r>
    </w:p>
    <w:p w14:paraId="60EDE884" w14:textId="51E297CB" w:rsidR="002508DC" w:rsidRPr="007A5F6A" w:rsidRDefault="002508DC" w:rsidP="002508DC">
      <w:pPr>
        <w:pStyle w:val="SingleTxtG"/>
        <w:rPr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>Ссылаясь на свое замечание общего порядка № 26 (2022) о земле и экономических, социальных и культурных правах, свои предыдущие рекомендации</w:t>
      </w:r>
      <w:r w:rsidR="00F823D4" w:rsidRPr="00DC0174">
        <w:rPr>
          <w:rStyle w:val="a8"/>
        </w:rPr>
        <w:footnoteReference w:id="8"/>
      </w:r>
      <w:r>
        <w:rPr>
          <w:b/>
          <w:bCs/>
        </w:rPr>
        <w:t xml:space="preserve"> и Декларацию Организации Объединенных Наций о правах коренных народов, Комитет рекомендует государству-участнику:</w:t>
      </w:r>
    </w:p>
    <w:p w14:paraId="21FDF183" w14:textId="31793FB1" w:rsidR="002508DC" w:rsidRPr="00883933" w:rsidRDefault="00883933" w:rsidP="002508DC">
      <w:pPr>
        <w:pStyle w:val="SingleTxtG"/>
        <w:rPr>
          <w:b/>
          <w:bCs/>
        </w:rPr>
      </w:pPr>
      <w:r w:rsidRPr="00F823D4">
        <w:rPr>
          <w:b/>
          <w:bCs/>
        </w:rPr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ускорить работу по обеспечению права коренных народов иметь в собственности, использовать, контролировать и разрабатывать земли, территории и ресурсы, которые традиционно принадлежали им, которые они занимали или иным образом использовали или приобрели;</w:t>
      </w:r>
      <w:bookmarkStart w:id="0" w:name="_Hlk211943049"/>
      <w:bookmarkEnd w:id="0"/>
    </w:p>
    <w:p w14:paraId="2626F519" w14:textId="37B0BB8D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принять все меры к тому, чтобы гарантировать проведение с коренными народами предварительных, систематических и транспарентных консультаций с целью получения их свободного, предварительного и осознанного согласия в контексте принятия решений, которые могут затрагивать их интересы, особенно перед выдачей лицензий на ведение</w:t>
      </w:r>
      <w:r w:rsidR="00F823D4">
        <w:rPr>
          <w:b/>
          <w:bCs/>
        </w:rPr>
        <w:t xml:space="preserve"> </w:t>
      </w:r>
      <w:r w:rsidR="002508DC" w:rsidRPr="00883933">
        <w:rPr>
          <w:b/>
          <w:bCs/>
        </w:rPr>
        <w:t xml:space="preserve">предпринимательской деятельности на землях и территориях, традиционно находящихся в их владении, занимаемых или используемых ими; </w:t>
      </w:r>
    </w:p>
    <w:p w14:paraId="3F959700" w14:textId="2B19877D" w:rsidR="002508DC" w:rsidRPr="00883933" w:rsidRDefault="00883933" w:rsidP="002508DC">
      <w:pPr>
        <w:pStyle w:val="SingleTxtG"/>
        <w:rPr>
          <w:b/>
          <w:bCs/>
        </w:rPr>
      </w:pPr>
      <w:r w:rsidRPr="00F823D4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принять все необходимые меры для обеспечения полного доступа коренных народов к здравоохранению, образованию и другим базовым услугам;</w:t>
      </w:r>
    </w:p>
    <w:p w14:paraId="68CEA973" w14:textId="0001DA3B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 w:rsidRPr="00883933">
        <w:rPr>
          <w:b/>
          <w:bCs/>
        </w:rPr>
        <w:tab/>
      </w:r>
      <w:r w:rsidR="002508DC">
        <w:rPr>
          <w:b/>
          <w:bCs/>
        </w:rPr>
        <w:t>рассмотреть вопрос о ратификации Конвенции МОТ 1989 года о коренных народах и народах, ведущих племенной образ жизни (№ 169)</w:t>
      </w:r>
      <w:r w:rsidR="007E18A3">
        <w:rPr>
          <w:b/>
          <w:bCs/>
        </w:rPr>
        <w:t>.</w:t>
      </w:r>
    </w:p>
    <w:p w14:paraId="5B47816F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Предотвращение изменения климата</w:t>
      </w:r>
    </w:p>
    <w:p w14:paraId="613D654D" w14:textId="77777777" w:rsidR="002508DC" w:rsidRPr="007A5F6A" w:rsidRDefault="002508DC" w:rsidP="002508DC">
      <w:pPr>
        <w:pStyle w:val="SingleTxtG"/>
      </w:pPr>
      <w:r>
        <w:t>18.</w:t>
      </w:r>
      <w:r>
        <w:tab/>
        <w:t>Комитет обеспокоен тем, что сохраняющаяся зависимость государства-участника от экспорта природного газа и нефти как основных источников дохода может создать проблемы для выполнения им своим своих обязательств по определяемому на национальном уровне вкладу в рамках Парижского соглашения. Комитет также обеспокоен потенциально серьезными и непропорциональными последствиями изменения климата в Арктическом регионе, которые могут затронуть другие части территории государства-участника и повлечь за собой серьезные последствия для пользования закрепленными в Пакте правами, в частности коренными народами и другими затрагиваемыми общинами (статья 1).</w:t>
      </w:r>
    </w:p>
    <w:p w14:paraId="0B641CFB" w14:textId="77777777" w:rsidR="002508DC" w:rsidRPr="007A5F6A" w:rsidRDefault="002508DC" w:rsidP="002508DC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принять меры для достижения своего определяемого на национальном уровне вклада в рамках Парижского соглашения, в том числе пересмотрев Климатическую доктрину Российской Федерации 2023 года;</w:t>
      </w:r>
      <w:r>
        <w:t xml:space="preserve"> </w:t>
      </w:r>
      <w:r>
        <w:rPr>
          <w:b/>
          <w:bCs/>
        </w:rPr>
        <w:t>приведя свою политику по предотвращению изменения климата в соответствие с температурной динамикой, необходимой для достижения целей Парижского соглашения;</w:t>
      </w:r>
      <w:r>
        <w:t xml:space="preserve"> </w:t>
      </w:r>
      <w:r>
        <w:rPr>
          <w:b/>
          <w:bCs/>
        </w:rPr>
        <w:t>внедряя инструменты тарификации выбросов углерода, такие как налогообложение выбросов;</w:t>
      </w:r>
      <w:r>
        <w:t xml:space="preserve"> </w:t>
      </w:r>
      <w:r>
        <w:rPr>
          <w:b/>
          <w:bCs/>
        </w:rPr>
        <w:t>и расширяя производство и использование возобновляемых источников энергии.</w:t>
      </w:r>
      <w:r>
        <w:t xml:space="preserve"> </w:t>
      </w:r>
      <w:r>
        <w:rPr>
          <w:b/>
          <w:bCs/>
        </w:rPr>
        <w:t>Он также рекомендует государству-участнику как можно быстрее сократить выбросы углерода от использования ископаемого топлива, чтобы достичь целей Парижского соглашения.</w:t>
      </w:r>
      <w:r>
        <w:t xml:space="preserve"> </w:t>
      </w:r>
      <w:r>
        <w:rPr>
          <w:b/>
          <w:bCs/>
        </w:rPr>
        <w:t>В связи с этим Комитет ссылается на свое заявление по вопросу об изменении климата и Пакте</w:t>
      </w:r>
      <w:r w:rsidRPr="00DC0174">
        <w:rPr>
          <w:rStyle w:val="a8"/>
        </w:rPr>
        <w:footnoteReference w:id="9"/>
      </w:r>
      <w:r>
        <w:rPr>
          <w:b/>
          <w:bCs/>
        </w:rPr>
        <w:t>.</w:t>
      </w:r>
      <w:r>
        <w:t xml:space="preserve"> </w:t>
      </w:r>
    </w:p>
    <w:p w14:paraId="1AB89324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Максимальные имеющиеся ресурсы</w:t>
      </w:r>
    </w:p>
    <w:p w14:paraId="35F18A45" w14:textId="77777777" w:rsidR="002508DC" w:rsidRPr="007A5F6A" w:rsidRDefault="002508DC" w:rsidP="002508DC">
      <w:pPr>
        <w:pStyle w:val="SingleTxtG"/>
      </w:pPr>
      <w:r>
        <w:t>20.</w:t>
      </w:r>
      <w:r>
        <w:tab/>
        <w:t xml:space="preserve">Комитет обеспокоен сообщениями о том, что увеличение доли государственных расходов на оборону и внутреннюю безопасность в последние годы, как представляется, совпало с сокращением государственных расходов на ключевые социальные сектора, такие как социальная защита, жилье, здравоохранение и образование. Комитет обеспокоен тем, что эта тенденция может сказаться на способности государства-участника выполнять свои обязательства по статье 2 (1) Пакта, максимально используя на эти цели имеющиеся у него ресурсы, что усугубляет </w:t>
      </w:r>
      <w:r>
        <w:lastRenderedPageBreak/>
        <w:t>неравенство и непропорционально сильно сказывается на отдельных лицах и группах, находящихся в неблагоприятном или маргинальном положении (статья 2 (1)).</w:t>
      </w:r>
    </w:p>
    <w:p w14:paraId="0E5249C4" w14:textId="77777777" w:rsidR="002508DC" w:rsidRPr="007A5F6A" w:rsidRDefault="002508DC" w:rsidP="002508DC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провести всеобъемлющий обзор приоритетов в области государственных расходов, чтобы не поставить под угрозу реализацию экономических, социальных и культурных прав.</w:t>
      </w:r>
      <w:r>
        <w:t xml:space="preserve"> </w:t>
      </w:r>
      <w:r>
        <w:rPr>
          <w:b/>
          <w:bCs/>
        </w:rPr>
        <w:t>Он также рекомендует государству-участнику увеличить бюджетные ассигнования на здравоохранение, образование, жилье и социальную защиту и систематически оценивать влияние своей фискальной и макроэкономической политики на права человека в соответствии со статьей 2 (1) Пакта и Целями в области устойчивого развития.</w:t>
      </w:r>
    </w:p>
    <w:p w14:paraId="05E4AFBC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136765F" w14:textId="77777777" w:rsidR="002508DC" w:rsidRPr="007A5F6A" w:rsidRDefault="002508DC" w:rsidP="002508DC">
      <w:pPr>
        <w:pStyle w:val="SingleTxtG"/>
        <w:rPr>
          <w:rFonts w:eastAsiaTheme="minorEastAsia"/>
        </w:rPr>
      </w:pPr>
      <w:r>
        <w:t>22.</w:t>
      </w:r>
      <w:r>
        <w:tab/>
        <w:t xml:space="preserve">Принимая к сведению представленную государством-участником информацию об органах по борьбе с коррупцией в государстве-участнике, Комитет выражает обеспокоенность сообщениями о коррупции в государстве-участнике и тем, что она, как утверждается, превратилась в норму на всех уровнях власти и государственного управления (статья 2 (1)). </w:t>
      </w:r>
    </w:p>
    <w:p w14:paraId="1167E166" w14:textId="77777777" w:rsidR="002508DC" w:rsidRPr="007A5F6A" w:rsidRDefault="002508DC" w:rsidP="002508DC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повторяет свою предыдущую рекомендацию государству-участнику активизировать меры по борьбе с коррупцией, принять все необходимые законодательные и административные меры для обеспечения транспарентности в работе органов государственного управления и обеспечить эффективную защиту жертв коррупции, информаторов и их адвокатов</w:t>
      </w:r>
      <w:r w:rsidRPr="00DC0174">
        <w:rPr>
          <w:rStyle w:val="a8"/>
        </w:rPr>
        <w:footnoteReference w:id="10"/>
      </w:r>
      <w:r>
        <w:rPr>
          <w:b/>
          <w:bCs/>
        </w:rPr>
        <w:t>.</w:t>
      </w:r>
    </w:p>
    <w:p w14:paraId="593EB316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5693333" w14:textId="1166002D" w:rsidR="002508DC" w:rsidRPr="007A5F6A" w:rsidRDefault="002508DC" w:rsidP="002508DC">
      <w:pPr>
        <w:pStyle w:val="SingleTxtG"/>
      </w:pPr>
      <w:r>
        <w:t>24.</w:t>
      </w:r>
      <w:r>
        <w:tab/>
        <w:t>Комитет обеспокоен отсутствием всеобъемлющего антидискриминационного законодательства, а также тем, что Федеральный закон № 135-ФЗ от 29 июня 2013</w:t>
      </w:r>
      <w:r w:rsidR="009B5AA3">
        <w:rPr>
          <w:lang w:val="en-US"/>
        </w:rPr>
        <w:t> </w:t>
      </w:r>
      <w:r>
        <w:t xml:space="preserve">года, вносящий изменения в отдельные законодательные акты </w:t>
      </w:r>
      <w:r w:rsidR="007E18A3">
        <w:t>«</w:t>
      </w:r>
      <w:r>
        <w:t>в целях защиты детей от информации, пропагандирующей отрицание традиционных семейных ценностей</w:t>
      </w:r>
      <w:r w:rsidR="007E18A3">
        <w:t>»</w:t>
      </w:r>
      <w:r>
        <w:t>, и Федеральный закон № 478-ФЗ от 5 декабря 2022 года применяются таким образом, что это дискриминирует людей по признаку их сексуальной ориентации и/или гендерной идентичности. Комитет также обеспокоен сообщениями о широко распространенном и превратившемся в норму насилии по признаку сексуальной ориентации и/или гендерной идентичности людей, особенно в северокавказском регионе государства-участника (статья 2 (2)).</w:t>
      </w:r>
    </w:p>
    <w:p w14:paraId="3FDE0E0F" w14:textId="77777777" w:rsidR="002508DC" w:rsidRPr="007A5F6A" w:rsidRDefault="002508DC" w:rsidP="002508DC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4CE29D2" w14:textId="0ABD52F5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пересмотреть положения действующих законов и обеспечить их соответствие международным обязательствам государства-участника в области прав человека</w:t>
      </w:r>
      <w:r w:rsidR="002508DC" w:rsidRPr="00883933">
        <w:rPr>
          <w:rStyle w:val="a8"/>
        </w:rPr>
        <w:footnoteReference w:id="11"/>
      </w:r>
      <w:r w:rsidR="002508DC" w:rsidRPr="00883933">
        <w:rPr>
          <w:b/>
          <w:bCs/>
        </w:rPr>
        <w:t>;</w:t>
      </w:r>
    </w:p>
    <w:p w14:paraId="342724FF" w14:textId="1C2430A9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рассмотреть возможность принятия всеобъемлющего антидискриминационного закона, прямо запрещающего дискриминацию по всем признакам, и обеспечить наличие доступных, независимых и эффективных механизмов рассмотрения жалоб;</w:t>
      </w:r>
    </w:p>
    <w:p w14:paraId="5CC31DF5" w14:textId="336B8AF4" w:rsidR="002508DC" w:rsidRPr="00883933" w:rsidRDefault="00883933" w:rsidP="002508DC">
      <w:pPr>
        <w:pStyle w:val="SingleTxtG"/>
        <w:keepNext/>
        <w:keepLines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принять все необходимые меры как в законодательстве, так и на практике для предотвращения дискриминации, стигматизации, разжигания ненависти, насилия и других нарушений прав человека, а также преследований, в том числе по признаку сексуальной ориентации и гендерной идентичности;</w:t>
      </w:r>
    </w:p>
    <w:p w14:paraId="4461193E" w14:textId="3FBE7806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>
        <w:tab/>
      </w:r>
      <w:r w:rsidR="002508DC">
        <w:rPr>
          <w:b/>
          <w:bCs/>
        </w:rPr>
        <w:t xml:space="preserve">систематически собирать дезагрегированные данные о доступе меньшинств и маргинализированных групп к образованию, здравоохранению, жилью и занятости и регулярно публиковать эти данные, а также принимать все </w:t>
      </w:r>
      <w:r w:rsidR="002508DC">
        <w:rPr>
          <w:b/>
          <w:bCs/>
        </w:rPr>
        <w:lastRenderedPageBreak/>
        <w:t>необходимые меры к тому, чтобы они могли пользоваться своими правами на образование, охрану здоровья, жилье и занятость наравне с другими.</w:t>
      </w:r>
    </w:p>
    <w:p w14:paraId="5C12462C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Равные права мужчин и женщин</w:t>
      </w:r>
    </w:p>
    <w:p w14:paraId="441B0058" w14:textId="4E8535E1" w:rsidR="002508DC" w:rsidRPr="007A5F6A" w:rsidRDefault="002508DC" w:rsidP="002508DC">
      <w:pPr>
        <w:pStyle w:val="SingleTxtG"/>
        <w:rPr>
          <w:b/>
        </w:rPr>
      </w:pPr>
      <w:r>
        <w:t>26.</w:t>
      </w:r>
      <w:r>
        <w:tab/>
        <w:t>Приветствуя представленную государством-участником информацию о Национальной стратегии действий в интересах женщин на 2023</w:t>
      </w:r>
      <w:r w:rsidR="009B5AA3" w:rsidRPr="009B5AA3">
        <w:t>–</w:t>
      </w:r>
      <w:r>
        <w:t>2030 годы, Комитет выражает озабоченность по поводу сохраняющегося гендерного неравенства, в частности разрыва в оплате труда мужчин и женщин, непропорционально тяжелого бремени неоплачиваемой работы по дому и уходу, которое ложится на женщин, а также того, что ряд профессий по-прежнему запрещен для женщин. Комитет также обеспокоен недостаточным уровнем представленности женщин на руководящих должностях в государственном и частном секторах (статьи 3, 6, 7 и 10).</w:t>
      </w:r>
    </w:p>
    <w:p w14:paraId="5AE8FB32" w14:textId="77777777" w:rsidR="002508DC" w:rsidRPr="007A5F6A" w:rsidRDefault="002508DC" w:rsidP="002508DC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напоминает о своем замечании общего порядка № 16 (2005) о равном для мужчин и женщин праве пользования всеми экономическими, социальными и культурными правами и рекомендует государству-участнику:</w:t>
      </w:r>
    </w:p>
    <w:p w14:paraId="36F99517" w14:textId="3581B197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активизировать усилия для устранения гендерного разрыва в оплате труда, в том числе путем решения проблемы гендерной сегрегации на рынке труда, пересмотра социальной и налоговой политики и устранения факторов, мешающих женщинам продолжать карьеру или работать полный рабочий день;</w:t>
      </w:r>
    </w:p>
    <w:p w14:paraId="1FD96AB9" w14:textId="4B86B09E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рассмотреть возможность разработки и реализации комплексной национальной политики в области ухода, направленной на перераспределение обязанностей по неоплачиваемому уходу, с тем чтобы облегчить непропорционально тяжелое бремя по уходу, лежащее на женщинах. Такая система должна обеспечивать адекватную поддержку детей, инвалидов и пожилых людей, а также помогать им самим заботиться о себе в соответствии с принципами гендерного равенства и социальной защиты;</w:t>
      </w:r>
    </w:p>
    <w:p w14:paraId="72E00D1A" w14:textId="0932712C" w:rsidR="002508DC" w:rsidRPr="00883933" w:rsidRDefault="00883933" w:rsidP="00883933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пересмотреть положения Трудового кодекса, запрещающие женщинам доступ к ряду профессий, с тем чтобы предоставить женщинам равные с мужчинами возможности для трудовой деятельности;</w:t>
      </w:r>
    </w:p>
    <w:p w14:paraId="18638CBE" w14:textId="28C8105B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 w:rsidRPr="00883933">
        <w:rPr>
          <w:b/>
          <w:bCs/>
        </w:rPr>
        <w:tab/>
        <w:t>повысить представленность женщин на руководящих должностях в государственном</w:t>
      </w:r>
      <w:r w:rsidR="002508DC">
        <w:rPr>
          <w:b/>
          <w:bCs/>
        </w:rPr>
        <w:t xml:space="preserve"> и частном секторах, в том числе путем рассмотрения возможности введения квот.</w:t>
      </w:r>
    </w:p>
    <w:p w14:paraId="3E1B16E3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3049CF58" w14:textId="77777777" w:rsidR="002508DC" w:rsidRPr="007A5F6A" w:rsidRDefault="002508DC" w:rsidP="002508DC">
      <w:pPr>
        <w:pStyle w:val="SingleTxtG"/>
      </w:pPr>
      <w:r>
        <w:t>28.</w:t>
      </w:r>
      <w:r>
        <w:tab/>
        <w:t>Приветствуя исторически низкий уровень безработицы в государстве-участнике, Комитет вместе с тем обеспокоен тем, что значительная часть рабочей силы по-прежнему занята в неформальном секторе экономики или в сферах с нестандартными формами занятости, в частности в сельских и периферийных районах (статья 6).</w:t>
      </w:r>
    </w:p>
    <w:p w14:paraId="1AA42462" w14:textId="77777777" w:rsidR="002508DC" w:rsidRPr="007A5F6A" w:rsidRDefault="002508DC" w:rsidP="002508DC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облегчения перехода работников из неформального сектора в формальный, уделяя особое внимание сельским и периферийным районам.</w:t>
      </w:r>
    </w:p>
    <w:p w14:paraId="26148D08" w14:textId="77777777" w:rsidR="002508DC" w:rsidRPr="007A5F6A" w:rsidRDefault="002508DC" w:rsidP="002508DC">
      <w:pPr>
        <w:pStyle w:val="SingleTxtG"/>
      </w:pPr>
      <w:r>
        <w:t>30.</w:t>
      </w:r>
      <w:r>
        <w:tab/>
        <w:t>Комитет обеспокоен сообщениями о том, что в районах, находящихся под эффективным контролем государства-участника, людям запрещено работать в государственном секторе, регистрировать и открывать предприятия, если они не приняли российское гражданство (статьи 2 (2) и 6).</w:t>
      </w:r>
    </w:p>
    <w:p w14:paraId="7D73460B" w14:textId="77777777" w:rsidR="002508DC" w:rsidRPr="007A5F6A" w:rsidRDefault="002508DC" w:rsidP="002508DC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воздерживаться от того, чтобы на практике требовать наличия российского гражданства в качестве необходимого условия для работы государственным служащим или получения лицензии на ведение бизнеса в районах, находящихся под его эффективным контролем.</w:t>
      </w:r>
      <w:r>
        <w:t xml:space="preserve"> </w:t>
      </w:r>
    </w:p>
    <w:p w14:paraId="4A53018A" w14:textId="77777777" w:rsidR="002508DC" w:rsidRPr="007A5F6A" w:rsidRDefault="002508DC" w:rsidP="002508DC">
      <w:pPr>
        <w:pStyle w:val="SingleTxtG"/>
        <w:rPr>
          <w:b/>
          <w:bCs/>
        </w:rPr>
      </w:pPr>
      <w:r>
        <w:t>32.</w:t>
      </w:r>
      <w:r>
        <w:tab/>
        <w:t xml:space="preserve">Комитет обеспокоен сообщениями о том, что сотрудники правоохранительных органов и других органов власти путем принуждения и/или введения в заблуждение добиваются от иностранных граждан, мигрантов, заключенных и других людей, </w:t>
      </w:r>
      <w:r>
        <w:lastRenderedPageBreak/>
        <w:t xml:space="preserve">находящиеся в уязвимом положении, подписания контрактов на военную службу (статьи 2 (2) и 6). </w:t>
      </w:r>
    </w:p>
    <w:p w14:paraId="6D6EFA8C" w14:textId="77777777" w:rsidR="002508DC" w:rsidRPr="007A5F6A" w:rsidRDefault="002508DC" w:rsidP="002508DC">
      <w:pPr>
        <w:pStyle w:val="SingleTxtG"/>
        <w:keepNext/>
        <w:keepLines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58ED0E2" w14:textId="1E283599" w:rsidR="002508DC" w:rsidRPr="00883933" w:rsidRDefault="00883933" w:rsidP="00883933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принять меры к тому, чтобы практика набора в вооруженные силы соответствовала статье 6 Пакта;</w:t>
      </w:r>
    </w:p>
    <w:p w14:paraId="62F04A09" w14:textId="35FBA669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>
        <w:tab/>
      </w:r>
      <w:r w:rsidR="002508DC">
        <w:rPr>
          <w:b/>
          <w:bCs/>
        </w:rPr>
        <w:t>пересмотр</w:t>
      </w:r>
      <w:r w:rsidR="009B5AA3">
        <w:rPr>
          <w:b/>
          <w:bCs/>
        </w:rPr>
        <w:t>еть</w:t>
      </w:r>
      <w:r w:rsidR="002508DC">
        <w:rPr>
          <w:b/>
          <w:bCs/>
        </w:rPr>
        <w:t xml:space="preserve"> политику выплаты денежных премий сотрудникам правоохранительных органов за каждого задержанного, которого они вербуют на военную службу.</w:t>
      </w:r>
    </w:p>
    <w:p w14:paraId="3755369A" w14:textId="77777777" w:rsidR="002508DC" w:rsidRPr="007A5F6A" w:rsidRDefault="002508DC" w:rsidP="002508DC">
      <w:pPr>
        <w:pStyle w:val="SingleTxtG"/>
      </w:pPr>
      <w:r>
        <w:t>34.</w:t>
      </w:r>
      <w:r>
        <w:tab/>
        <w:t>Комитет обеспокоен сообщениями о сохраняющейся дискриминации и ксенофобии в отношении этнических и религиозных меньшинств, в том числе с Северного Кавказа, в вопросах доступа к занятости. Он также обеспокоен ограниченной доступностью эффективных средств правовой защиты для жертв такой дискриминации (статьи 2 (2) и 6).</w:t>
      </w:r>
    </w:p>
    <w:p w14:paraId="5B1C8B09" w14:textId="77777777" w:rsidR="002508DC" w:rsidRPr="007A5F6A" w:rsidRDefault="002508DC" w:rsidP="002508DC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предотвращать и искоренять дискриминацию и ксенофобию в доступе к занятости для этнических и религиозных меньшинств, в том числе с Северного Кавказа, в том числе путем укрепления всеобъемлющего антидискриминационного законодательства и его применения, а также обеспечения доступных средств правовой защиты и санкций за нарушения.</w:t>
      </w:r>
    </w:p>
    <w:p w14:paraId="710EB0FB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5BA88FC8" w14:textId="122BEA48" w:rsidR="002508DC" w:rsidRPr="007A5F6A" w:rsidRDefault="002508DC" w:rsidP="002508DC">
      <w:pPr>
        <w:pStyle w:val="SingleTxtG"/>
      </w:pPr>
      <w:r>
        <w:t>36.</w:t>
      </w:r>
      <w:r>
        <w:tab/>
        <w:t>Комитет обеспокоен сообщениями о чрезмерной продолжительности рабочего дня трудящихся-мигрантов, нарушениях условий оплаты их труда, притеснениях и дискриминации, которым они подвергаются, а также о том, что эффективные механизмы рассмотрения жалоб, трудовые инспекции и средства правовой защиты остаются ограниченными (статьи 2</w:t>
      </w:r>
      <w:r w:rsidR="009B5AA3">
        <w:t xml:space="preserve"> </w:t>
      </w:r>
      <w:r>
        <w:t>(2), 6 и 7).</w:t>
      </w:r>
    </w:p>
    <w:p w14:paraId="6CA0DC92" w14:textId="77777777" w:rsidR="002508DC" w:rsidRPr="007A5F6A" w:rsidRDefault="002508DC" w:rsidP="002508DC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усилить законодательные и правоприменительные меры для предотвращения эксплуатации трудящихся-мигрантов;</w:t>
      </w:r>
      <w:r>
        <w:t xml:space="preserve"> </w:t>
      </w:r>
      <w:r>
        <w:rPr>
          <w:b/>
          <w:bCs/>
        </w:rPr>
        <w:t>активнее проводить трудовые инспекции в секторах, где они работают;</w:t>
      </w:r>
      <w:r>
        <w:t xml:space="preserve"> </w:t>
      </w:r>
      <w:r>
        <w:rPr>
          <w:b/>
          <w:bCs/>
        </w:rPr>
        <w:t>обеспечить наличие доступных механизмов подачи жалоб с предоставлением услуг переводчика, юридической помощи и защиты от преследований;</w:t>
      </w:r>
      <w:r>
        <w:t xml:space="preserve"> </w:t>
      </w:r>
      <w:r>
        <w:rPr>
          <w:b/>
          <w:bCs/>
        </w:rPr>
        <w:t>и гарантировать равное обращение с трудящимися-мигрантами и гражданами страны в том, что касается оплаты труда, продолжительности рабочего дня, безопасности и гигиены труда.</w:t>
      </w:r>
    </w:p>
    <w:p w14:paraId="723AC2F9" w14:textId="77777777" w:rsidR="002508DC" w:rsidRPr="007A5F6A" w:rsidRDefault="002508DC" w:rsidP="002508DC">
      <w:pPr>
        <w:pStyle w:val="SingleTxtG"/>
        <w:rPr>
          <w:strike/>
        </w:rPr>
      </w:pPr>
      <w:r>
        <w:t>38.</w:t>
      </w:r>
      <w:r>
        <w:tab/>
        <w:t>Комитет обеспокоен плохими и не отвечающими стандартам условиями труда в некоторых секторах и в неформальной экономике, в частности сообщениями о распространенности производственного травматизма и смертельных случаев в строительстве и обрабатывающих отраслях из-за небезопасных условий труда. Комитет также обеспокоен сообщениями о том, что работодатели заставляют работников предприятий, выпускающих вооружение, работать сверхурочно, в ночные смены, в выходные и праздничные дни, а также пренебрегают законами об охране труда, чтобы увеличить производство (статья 7).</w:t>
      </w:r>
    </w:p>
    <w:p w14:paraId="5356C710" w14:textId="77777777" w:rsidR="002508DC" w:rsidRPr="007A5F6A" w:rsidRDefault="002508DC" w:rsidP="002508DC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23 (2016) о праве на справедливые и благоприятные условия труда, Комитет рекомендует государству-участнику:</w:t>
      </w:r>
    </w:p>
    <w:p w14:paraId="431F8D59" w14:textId="02185A56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 xml:space="preserve">активизировать усилия по проведению трудовых инспекций, направленных на контроль соблюдения трудового законодательства, в частности норм гигиены и безопасности труда, режима рабочего времени и правил справедливого вознаграждения, а также обеспечить оперативное расследование жалоб, поданных работниками; </w:t>
      </w:r>
    </w:p>
    <w:p w14:paraId="2C7E75B0" w14:textId="7B4E583A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применять действенные меры наказания к работодателям, которые не гарантируют</w:t>
      </w:r>
      <w:r w:rsidR="002508DC">
        <w:rPr>
          <w:b/>
          <w:bCs/>
        </w:rPr>
        <w:t xml:space="preserve"> условия труда, соответствующие нормативам, в том числе в отношении гигиены и безопасности труда, и обеспечить всем жертвам эффективный доступ к средствам правовой защиты;</w:t>
      </w:r>
      <w:r w:rsidR="002508DC">
        <w:t xml:space="preserve"> </w:t>
      </w:r>
    </w:p>
    <w:p w14:paraId="0A759910" w14:textId="3A01F7EB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lastRenderedPageBreak/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</w:r>
      <w:r w:rsidR="002508DC">
        <w:rPr>
          <w:b/>
          <w:bCs/>
        </w:rPr>
        <w:t xml:space="preserve">рассмотреть возможность ратификации Конвенции МОТ 1964 года о пособиях в случае производственного травматизма (№ 121), Конвенции 1981 года о безопасности и гигиене труда (№ 155), Конвенции 1990 года о ночном </w:t>
      </w:r>
      <w:r w:rsidR="009B5AA3">
        <w:rPr>
          <w:b/>
          <w:bCs/>
        </w:rPr>
        <w:br/>
      </w:r>
      <w:r w:rsidR="002508DC">
        <w:rPr>
          <w:b/>
          <w:bCs/>
        </w:rPr>
        <w:t xml:space="preserve">труде (№ 171) и Конвенции 2011 года о достойном труде домашних работников </w:t>
      </w:r>
      <w:r w:rsidR="00D10C8D">
        <w:rPr>
          <w:b/>
          <w:bCs/>
        </w:rPr>
        <w:br/>
      </w:r>
      <w:r w:rsidR="002508DC">
        <w:rPr>
          <w:b/>
          <w:bCs/>
        </w:rPr>
        <w:t>(№ 189).</w:t>
      </w:r>
    </w:p>
    <w:p w14:paraId="5C7DB029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5CDBFB52" w14:textId="77777777" w:rsidR="002508DC" w:rsidRPr="007A5F6A" w:rsidRDefault="002508DC" w:rsidP="002508DC">
      <w:pPr>
        <w:pStyle w:val="SingleTxtG"/>
      </w:pPr>
      <w:r>
        <w:t>40.</w:t>
      </w:r>
      <w:r>
        <w:tab/>
        <w:t>Приветствуя представленную государством-участником информацию о конституционном праве на забастовку, Комитет обеспокоен сообщениями о том, что регистрация профсоюза в федеральной регистрационной службе в соответствии с требованием законодательства зачастую представляет собой длительный и обременительный процесс и что профсоюзные права по-прежнему ущемляются в условиях, когда занимающиеся профсоюзной деятельностью работники подвергаются запугиванию и преследованиям (статья 8).</w:t>
      </w:r>
    </w:p>
    <w:p w14:paraId="7E455E3D" w14:textId="77777777" w:rsidR="002508DC" w:rsidRPr="007A5F6A" w:rsidRDefault="002508DC" w:rsidP="002508DC">
      <w:pPr>
        <w:pStyle w:val="SingleTxtG"/>
        <w:keepNext/>
        <w:keepLines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пересмотреть свою внутреннюю законодательную и административную базу, регулирующую профсоюзные права, с тем чтобы привести ее в полное соответствие с Пактом, а также с соответствующими стандартами МОТ, в том числе путем упрощения процедур регистрации и защиты трудящихся от запугивания и преследований.</w:t>
      </w:r>
    </w:p>
    <w:p w14:paraId="463D481D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3804676A" w14:textId="77777777" w:rsidR="002508DC" w:rsidRPr="007A5F6A" w:rsidRDefault="002508DC" w:rsidP="002508DC">
      <w:pPr>
        <w:pStyle w:val="SingleTxtG"/>
      </w:pPr>
      <w:r>
        <w:t>42.</w:t>
      </w:r>
      <w:r>
        <w:tab/>
        <w:t>Приветствуя представленную государством-участником информацию об увеличении расходов на социальные нужды, Комитет вновь выражает обеспокоенность сообщениями о выделении недостаточных государственных средств на социальное обеспечение, а также сообщениями о том, что некоторые представители трудоспособного населения в государстве-участнике не могут претендовать ни на права, которые дает статус занятого, ни на социальную помощь, поскольку они либо не могут участвовать в системах социального обеспечения, существующих за счет взносов, в силу своего правового статуса (мигранты, просители убежища и лица без гражданства) или отсутствия официальной занятости, либо не охвачены системой социального обеспечения, не требующей уплаты взносов участниками (статья 9).</w:t>
      </w:r>
    </w:p>
    <w:p w14:paraId="1C00100C" w14:textId="3F877F3A" w:rsidR="002508DC" w:rsidRPr="007E18A3" w:rsidRDefault="002508DC" w:rsidP="002508DC">
      <w:pPr>
        <w:pStyle w:val="SingleTxtG"/>
        <w:rPr>
          <w:b/>
        </w:rPr>
      </w:pPr>
      <w:r>
        <w:t>43.</w:t>
      </w:r>
      <w:r>
        <w:tab/>
      </w:r>
      <w:r w:rsidR="00D10C8D">
        <w:rPr>
          <w:b/>
          <w:bCs/>
        </w:rPr>
        <w:t xml:space="preserve">Ссылаясь </w:t>
      </w:r>
      <w:r>
        <w:rPr>
          <w:b/>
          <w:bCs/>
        </w:rPr>
        <w:t>на свое замечание общего порядка № 19 (2007) о праве на социальное обеспечение и свое заявление о минимальных уровнях социальной защиты как важнейшем элементе права на социальное обеспечение, а также на Цели в области устойчивого развития</w:t>
      </w:r>
      <w:r w:rsidR="00D10C8D" w:rsidRPr="00DC0174">
        <w:rPr>
          <w:rStyle w:val="a8"/>
        </w:rPr>
        <w:footnoteReference w:id="12"/>
      </w:r>
      <w:r>
        <w:rPr>
          <w:b/>
          <w:bCs/>
        </w:rPr>
        <w:t>, Комитет рекомендует государству-участнику</w:t>
      </w:r>
      <w:r w:rsidR="007E18A3" w:rsidRPr="007E18A3">
        <w:rPr>
          <w:b/>
          <w:bCs/>
        </w:rPr>
        <w:t>:</w:t>
      </w:r>
    </w:p>
    <w:p w14:paraId="49745B39" w14:textId="763333B6" w:rsidR="002508DC" w:rsidRPr="00883933" w:rsidRDefault="00883933" w:rsidP="002508DC">
      <w:pPr>
        <w:pStyle w:val="SingleTxtG"/>
        <w:rPr>
          <w:b/>
          <w:bCs/>
        </w:rPr>
      </w:pPr>
      <w:r w:rsidRPr="007E18A3">
        <w:rPr>
          <w:b/>
          <w:bCs/>
        </w:rPr>
        <w:tab/>
      </w:r>
      <w:r w:rsidR="002508DC" w:rsidRPr="007E18A3">
        <w:rPr>
          <w:b/>
          <w:bCs/>
        </w:rPr>
        <w:t>a)</w:t>
      </w:r>
      <w:r w:rsidR="002508DC" w:rsidRPr="007E18A3">
        <w:rPr>
          <w:b/>
          <w:bCs/>
        </w:rPr>
        <w:tab/>
      </w:r>
      <w:r w:rsidR="002508DC">
        <w:rPr>
          <w:b/>
          <w:bCs/>
        </w:rPr>
        <w:t xml:space="preserve">выделять достаточный объем бюджетных ресурсов на социальное </w:t>
      </w:r>
      <w:r w:rsidR="002508DC" w:rsidRPr="00883933">
        <w:rPr>
          <w:b/>
          <w:bCs/>
        </w:rPr>
        <w:t>обеспечение;</w:t>
      </w:r>
    </w:p>
    <w:p w14:paraId="0FDC82C2" w14:textId="2553B977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>
        <w:tab/>
      </w:r>
      <w:r w:rsidR="002508DC">
        <w:rPr>
          <w:b/>
          <w:bCs/>
        </w:rPr>
        <w:t>гарантировать всеобщий охват, а также достаточность и справедливость социальной защиты всем людям, в том числе занятым в неформальном секторе экономики, занимающимся нестандартными видами трудовой деятельности и принадлежащим к наиболее обездоленным и маргинализированным группам, включая семьи с низкими доходами, людей с инвалидностью, детей, беженцев, просителей убежища и лиц без гражданства.</w:t>
      </w:r>
    </w:p>
    <w:p w14:paraId="19911948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6E839999" w14:textId="77777777" w:rsidR="002508DC" w:rsidRPr="007A5F6A" w:rsidRDefault="002508DC" w:rsidP="002508DC">
      <w:pPr>
        <w:pStyle w:val="SingleTxtG"/>
      </w:pPr>
      <w:r>
        <w:t>44.</w:t>
      </w:r>
      <w:r>
        <w:tab/>
        <w:t>Комитет обеспокоен отсутствием комплексной системы для удовлетворения потребностей жертв домашнего насилия. Комитет также обеспокоен тем, что побои членов семьи или домохозяйства без отягчающих обстоятельств были декриминализированы и переведены в разряд административных правонарушений в 2017 году (статья 10).</w:t>
      </w:r>
    </w:p>
    <w:p w14:paraId="49A8767F" w14:textId="77777777" w:rsidR="002508DC" w:rsidRPr="007A5F6A" w:rsidRDefault="002508DC" w:rsidP="002508DC">
      <w:pPr>
        <w:pStyle w:val="SingleTxtG"/>
        <w:rPr>
          <w:b/>
          <w:bCs/>
        </w:rPr>
      </w:pPr>
      <w:r>
        <w:lastRenderedPageBreak/>
        <w:t>45.</w:t>
      </w:r>
      <w:r>
        <w:tab/>
      </w:r>
      <w:r>
        <w:rPr>
          <w:b/>
          <w:bCs/>
        </w:rPr>
        <w:t>Комитет рекомендует государству-участнику</w:t>
      </w:r>
      <w:r w:rsidRPr="00DC0174">
        <w:rPr>
          <w:rStyle w:val="a8"/>
        </w:rPr>
        <w:footnoteReference w:id="13"/>
      </w:r>
      <w:r>
        <w:rPr>
          <w:b/>
          <w:bCs/>
        </w:rPr>
        <w:t>:</w:t>
      </w:r>
    </w:p>
    <w:p w14:paraId="5ED6BFF9" w14:textId="17FED6E3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вновь ввести уголовную ответственность за побои членов семьи или домохозяйства без отягчающих обстоятельств;</w:t>
      </w:r>
    </w:p>
    <w:p w14:paraId="6F8FAB7D" w14:textId="26866EF9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обеспечить доступность процедуры подачи жалоб для жертв, расследование всех случаев домашнего насилия, а также привлечение виновных к ответственности и, в случае осуждения, их наказание соразмерно тяжести совершенного преступления;</w:t>
      </w:r>
    </w:p>
    <w:p w14:paraId="75B2DA29" w14:textId="0E5C1C41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предоставить жертвам доступ к эффективным инструментам восстановления в правах, защите и услугам поддержки, таким как приюты;</w:t>
      </w:r>
    </w:p>
    <w:p w14:paraId="69684B8E" w14:textId="7EB49C43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 w:rsidRPr="00883933">
        <w:rPr>
          <w:b/>
          <w:bCs/>
        </w:rPr>
        <w:tab/>
      </w:r>
      <w:r w:rsidR="002508DC">
        <w:rPr>
          <w:b/>
          <w:bCs/>
        </w:rPr>
        <w:t>усилить подготовку соответствующих государственных служащих, включая сотрудников правоохранительных органов, судей, адвокатов и прокуроров, по вопросам домашнего насилия.</w:t>
      </w:r>
    </w:p>
    <w:p w14:paraId="61277FBE" w14:textId="1FBE8697" w:rsidR="002508DC" w:rsidRPr="007A5F6A" w:rsidRDefault="002508DC" w:rsidP="002508DC">
      <w:pPr>
        <w:pStyle w:val="SingleTxtG"/>
      </w:pPr>
      <w:r>
        <w:t>46.</w:t>
      </w:r>
      <w:r>
        <w:tab/>
        <w:t xml:space="preserve">Комитет обеспокоен сообщениями о сохраняющейся практике так называемых </w:t>
      </w:r>
      <w:r w:rsidR="007E18A3">
        <w:t>«</w:t>
      </w:r>
      <w:r>
        <w:t>убийств чести</w:t>
      </w:r>
      <w:r w:rsidR="007E18A3">
        <w:t>»</w:t>
      </w:r>
      <w:r>
        <w:t xml:space="preserve">, когда женщин убивают родственники-мужчины, чтобы </w:t>
      </w:r>
      <w:r w:rsidR="007E18A3">
        <w:t>«</w:t>
      </w:r>
      <w:r>
        <w:t>восстановить честь семьи</w:t>
      </w:r>
      <w:r w:rsidR="007E18A3">
        <w:t>»</w:t>
      </w:r>
      <w:r>
        <w:t xml:space="preserve">, особенно на Северном Кавказе, а также сообщениями о широко распространенной безнаказанности, когда преступники, как утверждается, часто получают мягкие или оправдательные приговоры в связи с предполагаемой </w:t>
      </w:r>
      <w:r w:rsidR="007E18A3">
        <w:t>«</w:t>
      </w:r>
      <w:r>
        <w:t>аморальностью</w:t>
      </w:r>
      <w:r w:rsidR="007E18A3">
        <w:t>»</w:t>
      </w:r>
      <w:r>
        <w:t xml:space="preserve"> поведения жертвы (статьи 2 (2), 3 и 10</w:t>
      </w:r>
      <w:r w:rsidR="00D10C8D">
        <w:t>–</w:t>
      </w:r>
      <w:r>
        <w:t xml:space="preserve">12). </w:t>
      </w:r>
    </w:p>
    <w:p w14:paraId="435C9136" w14:textId="77777777" w:rsidR="002508DC" w:rsidRPr="007A5F6A" w:rsidRDefault="002508DC" w:rsidP="002508DC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13BA1C1" w14:textId="71DBAE72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обеспечить быстрое и тщательное расследование всех случаев преступлений против личности на почве так называемой защиты чести, привлечение к ответственности виновных и соучастников и, в случае осуждения, наказание, соразмерное тяжести преступления, а также полное возмещение причиненного жертвам вреда;</w:t>
      </w:r>
      <w:bookmarkStart w:id="1" w:name="_Hlk140088457"/>
      <w:bookmarkEnd w:id="1"/>
    </w:p>
    <w:p w14:paraId="77B93A7B" w14:textId="1E652FBD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</w:r>
      <w:r w:rsidR="002508DC">
        <w:rPr>
          <w:b/>
          <w:bCs/>
        </w:rPr>
        <w:t xml:space="preserve">проводить информационно-просветительские программы о вредной практике, гендерных стереотипах, нормах и убеждениях для государственных служащих, включая судей, прокуроров и сотрудников правоохранительных органов, СМИ и широкой общественности, включая комплексные информационно-просветительские мероприятия с целью борьбы с так называемыми </w:t>
      </w:r>
      <w:r w:rsidR="007E18A3">
        <w:rPr>
          <w:b/>
          <w:bCs/>
        </w:rPr>
        <w:t>«</w:t>
      </w:r>
      <w:r w:rsidR="002508DC">
        <w:rPr>
          <w:b/>
          <w:bCs/>
        </w:rPr>
        <w:t>убийствами чести</w:t>
      </w:r>
      <w:r w:rsidR="007E18A3">
        <w:rPr>
          <w:b/>
          <w:bCs/>
        </w:rPr>
        <w:t>»</w:t>
      </w:r>
      <w:r w:rsidR="002508DC">
        <w:rPr>
          <w:b/>
          <w:bCs/>
        </w:rPr>
        <w:t>.</w:t>
      </w:r>
    </w:p>
    <w:p w14:paraId="18058AEE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Бедность</w:t>
      </w:r>
    </w:p>
    <w:p w14:paraId="27AF84E2" w14:textId="0287B1F3" w:rsidR="002508DC" w:rsidRPr="007A5F6A" w:rsidRDefault="002508DC" w:rsidP="002508DC">
      <w:pPr>
        <w:pStyle w:val="SingleTxtG"/>
      </w:pPr>
      <w:r>
        <w:t>48.</w:t>
      </w:r>
      <w:r>
        <w:tab/>
        <w:t>Комитет обеспокоен сохранением бедности в государстве-участнике и тем, что уровень бедности и крайней нищеты остается особенно высоким среди коренных народов и среди обездоленных и маргинализированных групп населения, а также неравенством в уровне жизни между городскими и сельскими и/или отдаленными районами (статьи 2 (2), 9 и 11).</w:t>
      </w:r>
      <w:bookmarkStart w:id="2" w:name="_Hlk156986004"/>
      <w:bookmarkStart w:id="3" w:name="_Hlk187402601"/>
      <w:bookmarkEnd w:id="2"/>
      <w:bookmarkEnd w:id="3"/>
    </w:p>
    <w:p w14:paraId="1389A354" w14:textId="6B3E229F" w:rsidR="002508DC" w:rsidRPr="007A5F6A" w:rsidRDefault="002508DC" w:rsidP="002508DC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борьбе с бедностью, в особенности с крайней нищетой, путем, в частности, увеличения объема ресурсов, выделяемых на проведение тщательной оценки существующих программ и стратегий с целью выявления препятствий и внесения изменений, которые необходимы для достижения поставленных целей сокращения бедности в первую очередь среди коренных народов, жителей сельских и бедных городских районов, женщин и девочек, людей с инвалидностью и этнических и религиозных меньшинств на основе подхода, основанного на уважении прав человека.</w:t>
      </w:r>
      <w:r>
        <w:t xml:space="preserve"> </w:t>
      </w:r>
      <w:r>
        <w:rPr>
          <w:b/>
          <w:bCs/>
        </w:rPr>
        <w:t>В связи с этим Комитет ссылается на свое заявление по вопросу о нищете и Пакте</w:t>
      </w:r>
      <w:r w:rsidRPr="00DC0174">
        <w:rPr>
          <w:rStyle w:val="a8"/>
        </w:rPr>
        <w:footnoteReference w:id="14"/>
      </w:r>
      <w:r>
        <w:rPr>
          <w:b/>
          <w:bCs/>
        </w:rPr>
        <w:t>.</w:t>
      </w:r>
    </w:p>
    <w:p w14:paraId="224B7D19" w14:textId="77777777" w:rsidR="002508DC" w:rsidRPr="007A5F6A" w:rsidRDefault="002508DC" w:rsidP="002508DC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жилище</w:t>
      </w:r>
    </w:p>
    <w:p w14:paraId="450AE8AC" w14:textId="77777777" w:rsidR="002508DC" w:rsidRPr="007A5F6A" w:rsidRDefault="002508DC" w:rsidP="002508DC">
      <w:pPr>
        <w:pStyle w:val="SingleTxtG"/>
      </w:pPr>
      <w:r>
        <w:t>50.</w:t>
      </w:r>
      <w:r>
        <w:tab/>
        <w:t>Принимая к сведению представленную государством-участником информацию о масштабах жилищного строительства, Комитет по-прежнему обеспокоен нехваткой социального и доступного жилья. Комитет также по-прежнему обеспокоен плохими жилищными условиями рома, большинство из которых проживает в незаконных поселениях, не имея доступа к базовым услугам, а также карательным подходом, который государство-участник продолжает применять к незаконным поселениям рома и который выражается в сносе домов и принудительных выселениях (статьи 2 (2) и 11).</w:t>
      </w:r>
    </w:p>
    <w:p w14:paraId="4E8CD7FD" w14:textId="77777777" w:rsidR="002508DC" w:rsidRPr="007A5F6A" w:rsidRDefault="002508DC" w:rsidP="002508DC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Ссылаясь на свои замечания общего порядка № 4 (1991) о праве на достаточное жилище и № 7 (1997) о принудительных выселениях, Комитет повторяет свои предыдущие рекомендации государству-участнику продолжать и активизировать свои усилия, направленные на расширение предложения доступного жилья, уделяя особое внимание малоимущим семьям, и выделять необходимые ресурсы на цели эффективного осуществления программы строительства семейного жилья; и применять всеобъемлющий подход, руководствуясь международным правом прав человека, в целях создания надлежащих жилищных условий для рома</w:t>
      </w:r>
      <w:r w:rsidRPr="00DC0174">
        <w:rPr>
          <w:rStyle w:val="a8"/>
        </w:rPr>
        <w:footnoteReference w:id="15"/>
      </w:r>
      <w:r>
        <w:rPr>
          <w:b/>
          <w:bCs/>
        </w:rPr>
        <w:t>.</w:t>
      </w:r>
      <w:r>
        <w:t xml:space="preserve"> </w:t>
      </w:r>
    </w:p>
    <w:p w14:paraId="0C46E605" w14:textId="26C22EBC" w:rsidR="002508DC" w:rsidRPr="007A5F6A" w:rsidRDefault="002508DC" w:rsidP="002508DC">
      <w:pPr>
        <w:pStyle w:val="SingleTxtG"/>
        <w:rPr>
          <w:b/>
          <w:bCs/>
        </w:rPr>
      </w:pPr>
      <w:r>
        <w:t>52.</w:t>
      </w:r>
      <w:r>
        <w:tab/>
        <w:t>Комитет обеспокоен сообщениями о захвате частной собственности и принудительных выселениях этнических украинцев в районах, находящихся под эффективным контролем государства-участника (статьи 2 (2) и 11).</w:t>
      </w:r>
    </w:p>
    <w:p w14:paraId="16F310E1" w14:textId="77777777" w:rsidR="002508DC" w:rsidRPr="007A5F6A" w:rsidRDefault="002508DC" w:rsidP="002508DC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оперативно расследовать сообщения о конфискации частной собственности и принудительных выселениях этнических украинцев в районах, находящихся под его эффективным контролем, и, если будет установлено, что такие действия имели место, вернуть жертвам конфискованную собственность, а в случае сноса жилья выплатить адекватную компенсацию.</w:t>
      </w:r>
    </w:p>
    <w:p w14:paraId="05DB5106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49BFF905" w14:textId="37C678A7" w:rsidR="002508DC" w:rsidRPr="007A5F6A" w:rsidRDefault="002508DC" w:rsidP="002508DC">
      <w:pPr>
        <w:pStyle w:val="SingleTxtG"/>
      </w:pPr>
      <w:r>
        <w:t>54.</w:t>
      </w:r>
      <w:r>
        <w:tab/>
        <w:t>Приветствуя представленную государством-участником информацию о различных мерах по адаптации к изменению климата, таких как создание Единой национальной системы мониторинга климатически активных веществ, а также проекты лесовосстановления, Комитет выражает</w:t>
      </w:r>
      <w:r w:rsidR="00F823D4">
        <w:t xml:space="preserve"> </w:t>
      </w:r>
      <w:r>
        <w:t>обеспокоенность тем, что принимаемые государством-участником меры могут оказаться недостаточными для преодоления его уязвимости перед последствиями изменения климата, включая экстремальные погодные явления, такие как наводнения, засухи и лесные пожары, долгосрочные изменения, связанные с изменением режима выпадения осадков, таяние вечной мерзлоты и повышение температуры, в частности в Арктическом регионе, которые несоразмерно сильно сказываются на коренных народах, а также других жителях Севера, Сибири и Дальнего Востока (статьи 1 и 11).</w:t>
      </w:r>
      <w:bookmarkStart w:id="4" w:name="_Hlk187402703"/>
      <w:bookmarkEnd w:id="4"/>
    </w:p>
    <w:p w14:paraId="64C1043D" w14:textId="77777777" w:rsidR="002508DC" w:rsidRPr="007A5F6A" w:rsidRDefault="002508DC" w:rsidP="002508DC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обеспечить, чтобы принимаемые им различные меры адаптации к изменению климата адекватно учитывали потребности маргинализированных и обездоленных групп, в частности коренных народов, жителей Севера, Сибири и Дальнего Востока и других затронутых общин, и уважали их экономические, социальные и культурные права.</w:t>
      </w:r>
    </w:p>
    <w:p w14:paraId="5BCC86AE" w14:textId="77777777" w:rsidR="002508DC" w:rsidRPr="007A5F6A" w:rsidRDefault="002508DC" w:rsidP="002508DC">
      <w:pPr>
        <w:pStyle w:val="H23G"/>
      </w:pPr>
      <w:bookmarkStart w:id="5" w:name="_Hlk209517988"/>
      <w:r>
        <w:tab/>
      </w:r>
      <w:r>
        <w:tab/>
      </w:r>
      <w:r>
        <w:rPr>
          <w:bCs/>
        </w:rPr>
        <w:t>Право на здоровье</w:t>
      </w:r>
    </w:p>
    <w:bookmarkEnd w:id="5"/>
    <w:p w14:paraId="505797FA" w14:textId="76437747" w:rsidR="002508DC" w:rsidRPr="007A5F6A" w:rsidRDefault="002508DC" w:rsidP="002508DC">
      <w:pPr>
        <w:pStyle w:val="SingleTxtG"/>
        <w:rPr>
          <w:strike/>
        </w:rPr>
      </w:pPr>
      <w:r>
        <w:t>56.</w:t>
      </w:r>
      <w:r>
        <w:tab/>
        <w:t xml:space="preserve">Комитет обеспокоен относительно низким уровнем бюджетных ассигнований на здравоохранение по сравнению с валовым внутренним продуктом государства-участника, неравенством в качестве и доступности услуг здравоохранения между городскими и сельскими районами, между коренными народами и населением в целом, значительным гендерным разрывом в продолжительности жизни и в целом неадекватной инфраструктурой здравоохранения. Комитет также обеспокоен </w:t>
      </w:r>
      <w:r>
        <w:lastRenderedPageBreak/>
        <w:t xml:space="preserve">сообщениями о том, что условием получения доступа к услугам здравоохранения в районах, находящихся под его эффективным контролем, часто является получение российского гражданства (статьи 1, 2 (2) и 12). </w:t>
      </w:r>
      <w:bookmarkStart w:id="6" w:name="_Hlk187402827"/>
      <w:bookmarkEnd w:id="6"/>
    </w:p>
    <w:p w14:paraId="4B6E38B2" w14:textId="77777777" w:rsidR="002508DC" w:rsidRPr="007A5F6A" w:rsidRDefault="002508DC" w:rsidP="002508DC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Ссылаясь на свое замечание общего порядка № 14 (2000) о праве на наивысший достижимый уровень здоровья, Комитет рекомендует государству-участнику:</w:t>
      </w:r>
    </w:p>
    <w:p w14:paraId="5E81ED90" w14:textId="541EB2C3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 xml:space="preserve">сократить неравенство в сфере здравоохранения, улучшая охват и повышая качество основных медицинских услуг, в частности для находящихся в неблагоприятном положении и маргинализированных лиц и групп населения, проживающих в сельских и отдаленных районах, а также уделяя особое внимание причинам смертности среди мужчин; </w:t>
      </w:r>
    </w:p>
    <w:p w14:paraId="3983928B" w14:textId="38BCD82E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 xml:space="preserve">принять меры для увеличения бюджета и улучшения инфраструктуры здравоохранения, особенно в сельских и отдаленных регионах, в том числе путем ее обновления, модернизации и последующего текущего обслуживания; </w:t>
      </w:r>
    </w:p>
    <w:p w14:paraId="0799A130" w14:textId="3FBE216C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обеспечить нормативно-правовую и институциональную базу, гарантирующую адекватные медицинские услуги для представителей ЛГБТИ+, включая гендерно-утверждающий уход;</w:t>
      </w:r>
    </w:p>
    <w:p w14:paraId="2BC954E1" w14:textId="7C14F55C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d)</w:t>
      </w:r>
      <w:r w:rsidR="002508DC" w:rsidRPr="00883933">
        <w:rPr>
          <w:b/>
          <w:bCs/>
        </w:rPr>
        <w:tab/>
      </w:r>
      <w:r w:rsidR="002508DC">
        <w:rPr>
          <w:b/>
          <w:bCs/>
        </w:rPr>
        <w:t>незамедлительно принять меры для прекращения практики, когда доступ к услугам здравоохранения на территориях, находящихся под эффективным контролем государства-участника, зависит от принятия российского гражданства.</w:t>
      </w:r>
      <w:r w:rsidR="002508DC">
        <w:t xml:space="preserve"> </w:t>
      </w:r>
    </w:p>
    <w:p w14:paraId="65C9F62E" w14:textId="77777777" w:rsidR="002508DC" w:rsidRPr="007A5F6A" w:rsidRDefault="002508DC" w:rsidP="002508DC">
      <w:pPr>
        <w:pStyle w:val="SingleTxtG"/>
      </w:pPr>
      <w:bookmarkStart w:id="7" w:name="_Hlk209517839"/>
      <w:r>
        <w:t>58.</w:t>
      </w:r>
      <w:r>
        <w:tab/>
        <w:t>Принимая к сведению представленную государством-участником информацию о Стратегии государственной антинаркотической политики на период до 2030 года, Комитет обеспокоен теми негативными последствиями для права на здоровье, которые может повлечь за собой карательный подход к употреблению наркотиков и отсутствие программ снижения вреда (статья 12).</w:t>
      </w:r>
    </w:p>
    <w:p w14:paraId="0FF636A1" w14:textId="25672175" w:rsidR="002508DC" w:rsidRPr="007A5F6A" w:rsidRDefault="002508DC" w:rsidP="002508DC">
      <w:pPr>
        <w:pStyle w:val="SingleTxtG"/>
        <w:rPr>
          <w:rFonts w:eastAsia="Malgun Gothic"/>
          <w:b/>
          <w:bCs/>
        </w:rPr>
      </w:pPr>
      <w:r>
        <w:t>59.</w:t>
      </w:r>
      <w:r>
        <w:tab/>
      </w:r>
      <w:r>
        <w:rPr>
          <w:b/>
          <w:bCs/>
        </w:rPr>
        <w:t>Ссылаясь на свои предыдущие рекомендации</w:t>
      </w:r>
      <w:r w:rsidR="00D32E71" w:rsidRPr="00DC0174">
        <w:rPr>
          <w:rStyle w:val="a8"/>
        </w:rPr>
        <w:footnoteReference w:id="16"/>
      </w:r>
      <w:r>
        <w:rPr>
          <w:b/>
          <w:bCs/>
        </w:rPr>
        <w:t>, Комитет рекомендует государству-участнику пересмотреть свою политику и законодательство в сфере оборота наркотических средств, с тем чтобы взять на вооружение основанный на уважении прав человека подход к проблеме потребления наркотиков, в том числе путем:</w:t>
      </w:r>
      <w:r>
        <w:t xml:space="preserve"> </w:t>
      </w:r>
    </w:p>
    <w:p w14:paraId="739A71E3" w14:textId="4B15D56A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>проведения профилактической просветительской работы в целях привлечения внимания к серьезным рискам для здоровья, связанным с употреблением наркотиков, особенно среди молодежи;</w:t>
      </w:r>
    </w:p>
    <w:p w14:paraId="07100289" w14:textId="1FA91B40" w:rsidR="002508DC" w:rsidRPr="007A5F6A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>
        <w:tab/>
      </w:r>
      <w:r w:rsidR="002508DC">
        <w:rPr>
          <w:b/>
          <w:bCs/>
        </w:rPr>
        <w:t>обеспечения лечения наркомании и предоставления лицам, употребляющим наркотики, медицинской помощи, психологической поддержки, реабилитационных услуг и доступа к программам снижения вреда, а также рассмотрения возможности использования альтернатив карательному подходу и уголовным наказаниям за употребление наркотиков.</w:t>
      </w:r>
      <w:r w:rsidR="002508DC">
        <w:t xml:space="preserve"> </w:t>
      </w:r>
    </w:p>
    <w:p w14:paraId="0C3DF8FF" w14:textId="77777777" w:rsidR="002508DC" w:rsidRPr="007A5F6A" w:rsidRDefault="002508DC" w:rsidP="002508DC">
      <w:pPr>
        <w:pStyle w:val="SingleTxtG"/>
        <w:rPr>
          <w:b/>
          <w:bCs/>
        </w:rPr>
      </w:pPr>
      <w:r>
        <w:t>60.</w:t>
      </w:r>
      <w:r>
        <w:tab/>
        <w:t xml:space="preserve">Комитет обеспокоен сообщениями о том, что доступ к информации и услугам в области сексуального и репродуктивного здоровья остается ограниченным в сельских районах, в том числе вследствие отсутствия инфраструктуры и нехватки медицинских работников, а также сообщениями о случаях калечащих операций на женских половых органах в Дагестане (статьи 3 и 12). </w:t>
      </w:r>
    </w:p>
    <w:p w14:paraId="4085FD18" w14:textId="77777777" w:rsidR="002508DC" w:rsidRPr="007A5F6A" w:rsidRDefault="002508DC" w:rsidP="002508DC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 xml:space="preserve">Ссылаясь на свое замечание общего порядка № 22 (2016) о праве на сексуальное и репродуктивное здоровье, Комитет рекомендует государству-участнику повысить доступность, наличие и качество услуг в области сексуального и репродуктивного здоровья, включая доступ к недорогой, безопасной и эффективной контрацепции и средствам экстренной контрацепции, в том числе для подростков, особенно в сельских районах, и активизировать </w:t>
      </w:r>
      <w:r>
        <w:rPr>
          <w:b/>
          <w:bCs/>
        </w:rPr>
        <w:lastRenderedPageBreak/>
        <w:t>работу по привлечению к ответственности виновных в калечащих операциях на женских половых органах.</w:t>
      </w:r>
    </w:p>
    <w:bookmarkEnd w:id="7"/>
    <w:p w14:paraId="6F4B4CDF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36D0E7F8" w14:textId="1543D0C3" w:rsidR="002508DC" w:rsidRPr="007A5F6A" w:rsidRDefault="002508DC" w:rsidP="002508DC">
      <w:pPr>
        <w:pStyle w:val="SingleTxtG"/>
      </w:pPr>
      <w:r>
        <w:t>62.</w:t>
      </w:r>
      <w:r>
        <w:tab/>
        <w:t xml:space="preserve">Принимая к сведению информацию, представленную государством-участником, Комитет выражает обеспокоенность сообщениями о том, что показатели доступа к школьному образованию, посещаемости, отсева и успешного завершения образовательной программы на всех уровнях, включая среднее общее и среднее профессиональное образование, значительно ниже у детей рома, детей из других меньшинств и детей коренных народов по сравнению с населением в целом (статьи 2 (2), 13 и 14). </w:t>
      </w:r>
    </w:p>
    <w:p w14:paraId="075FF0BC" w14:textId="77777777" w:rsidR="002508DC" w:rsidRPr="007A5F6A" w:rsidRDefault="002508DC" w:rsidP="002508DC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Ссылаясь на свое замечание общего порядка № 13 (1999) о праве на образование, Комитет рекомендует государству-участнику активизировать усилия для снижения показателей выбытия учащихся и расширения доступа к школьному образованию, уделяя особое внимание обеспечению того, чтобы дети рома, дети из числа меньшинств и дети коренных народов имели равные возможности для получения качественного образования.</w:t>
      </w:r>
      <w:r>
        <w:t xml:space="preserve"> </w:t>
      </w:r>
      <w:r>
        <w:rPr>
          <w:b/>
          <w:bCs/>
        </w:rPr>
        <w:t>Комитет также рекомендует государству-участнику пересмотреть образовательные материалы, практику и учебные программы, с тем чтобы они способствовали улучшению взаимопонимания и полностью соответствовали положениям Пакта.</w:t>
      </w:r>
      <w:r>
        <w:t xml:space="preserve"> </w:t>
      </w:r>
    </w:p>
    <w:p w14:paraId="06A31565" w14:textId="77777777" w:rsidR="002508DC" w:rsidRPr="007A5F6A" w:rsidRDefault="002508DC" w:rsidP="002508DC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397886E7" w14:textId="56B2EB88" w:rsidR="002508DC" w:rsidRPr="007A5F6A" w:rsidRDefault="002508DC" w:rsidP="002508DC">
      <w:pPr>
        <w:pStyle w:val="SingleTxtG"/>
      </w:pPr>
      <w:r>
        <w:t>64.</w:t>
      </w:r>
      <w:r>
        <w:tab/>
        <w:t>Принимая к сведению информацию, представленную государством-участником, Комитет выражает обеспокоенность сообщениями о том, что жители районов, находящихся под эффективным контролем государства-участника, продолжают сталкиваться с серьезными ограничениями в реализации своего права на участие в культурной жизни, включая право на использование и преподавание языков меньшинств, а также на изучение своей истории и культуры. Комитет также обеспокоен сообщениями о широкомасштабной кампании по систематическому уничтожению украинской истории, культуры и культурной самобытности и украинского языка, переписыванию учебных программ по истории и борьбе с местными культурными символами, а также об общем подрыве языковой самобытности этнических меньшинств в районах, находящихся под эффективным контролем государства-участника (статьи 2 (2) и 13</w:t>
      </w:r>
      <w:r w:rsidR="00D32E71" w:rsidRPr="00D32E71">
        <w:t>–</w:t>
      </w:r>
      <w:r>
        <w:t xml:space="preserve">15). </w:t>
      </w:r>
    </w:p>
    <w:p w14:paraId="5FDC2322" w14:textId="77777777" w:rsidR="002508DC" w:rsidRPr="007A5F6A" w:rsidRDefault="002508DC" w:rsidP="002508DC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Ссылаясь на свое замечание общего порядка № 21 (2009) о праве каждого человека на участие в культурной жизни, Комитет рекомендует государству-участнику принять следующие меры в районах, находящихся под его эффективным контролем:</w:t>
      </w:r>
      <w:r>
        <w:t xml:space="preserve"> </w:t>
      </w:r>
    </w:p>
    <w:p w14:paraId="1B3CB9AD" w14:textId="358734A0" w:rsidR="002508DC" w:rsidRPr="00883933" w:rsidRDefault="00883933" w:rsidP="002508DC">
      <w:pPr>
        <w:pStyle w:val="SingleTxtG"/>
        <w:rPr>
          <w:b/>
          <w:bCs/>
        </w:rPr>
      </w:pPr>
      <w:r w:rsidRPr="00D32E71">
        <w:tab/>
      </w:r>
      <w:r w:rsidR="002508DC" w:rsidRPr="00883933">
        <w:rPr>
          <w:b/>
          <w:bCs/>
        </w:rPr>
        <w:t>a)</w:t>
      </w:r>
      <w:r w:rsidR="002508DC" w:rsidRPr="00883933">
        <w:rPr>
          <w:b/>
          <w:bCs/>
        </w:rPr>
        <w:tab/>
        <w:t xml:space="preserve">не допускать принудительной культурной ассимиляции, обеспечивать доступ людей к образованию на их родных языках, включая украинский, и поддерживать право на участие в культурной жизни; </w:t>
      </w:r>
    </w:p>
    <w:p w14:paraId="03ABF206" w14:textId="1EFAB7D1" w:rsidR="002508DC" w:rsidRPr="00883933" w:rsidRDefault="00883933" w:rsidP="002508DC">
      <w:pPr>
        <w:pStyle w:val="SingleTxtG"/>
        <w:rPr>
          <w:b/>
          <w:bCs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b)</w:t>
      </w:r>
      <w:r w:rsidR="002508DC" w:rsidRPr="00883933">
        <w:rPr>
          <w:b/>
          <w:bCs/>
        </w:rPr>
        <w:tab/>
        <w:t>принять все необходимые меры к тому, чтобы все народы, включая меньшинства, могли в полной мере и без каких-либо ограничений пользоваться своим правом на культурную самобытность и участие в культурной жизни, а также пользоваться своим языком и своей культурой;</w:t>
      </w:r>
    </w:p>
    <w:p w14:paraId="7670914A" w14:textId="377D6333" w:rsidR="002508DC" w:rsidRPr="007A5F6A" w:rsidRDefault="00883933" w:rsidP="00883933">
      <w:pPr>
        <w:pStyle w:val="SingleTxtG"/>
        <w:rPr>
          <w:b/>
          <w:bCs/>
          <w:strike/>
        </w:rPr>
      </w:pPr>
      <w:r w:rsidRPr="00D32E71">
        <w:rPr>
          <w:b/>
          <w:bCs/>
        </w:rPr>
        <w:tab/>
      </w:r>
      <w:r w:rsidR="002508DC" w:rsidRPr="00883933">
        <w:rPr>
          <w:b/>
          <w:bCs/>
        </w:rPr>
        <w:t>c)</w:t>
      </w:r>
      <w:r w:rsidR="002508DC" w:rsidRPr="00883933">
        <w:rPr>
          <w:b/>
          <w:bCs/>
        </w:rPr>
        <w:tab/>
        <w:t>воздерживаться от мер, которые могут негативно отразиться на праве всех слоев</w:t>
      </w:r>
      <w:r w:rsidR="002508DC">
        <w:rPr>
          <w:b/>
          <w:bCs/>
        </w:rPr>
        <w:t xml:space="preserve"> населения на участие в культурной жизни.</w:t>
      </w:r>
      <w:r w:rsidR="002508DC">
        <w:t xml:space="preserve"> </w:t>
      </w:r>
    </w:p>
    <w:p w14:paraId="5782BE2A" w14:textId="65AC86F4" w:rsidR="002508DC" w:rsidRPr="007A5F6A" w:rsidRDefault="002508DC" w:rsidP="002508DC">
      <w:pPr>
        <w:pStyle w:val="SingleTxtG"/>
      </w:pPr>
      <w:r>
        <w:t>66.</w:t>
      </w:r>
      <w:r>
        <w:tab/>
        <w:t>Комитет по-прежнему обеспокоен опасностью исчезновения многих языков коренных народов. Кроме того, его обеспокоенность по-прежнему вызывают сообщения о произвольных ограничениях, налагаемых на традиционные и укоренившиеся в культуре коренных народов виды деятельности по добыче средств к существованию, такие как охота и рыболовство (статьи 1, 2 (1) и (2) и 15).</w:t>
      </w:r>
    </w:p>
    <w:p w14:paraId="4DC63BE1" w14:textId="2902A899" w:rsidR="002508DC" w:rsidRPr="007A5F6A" w:rsidRDefault="002508DC" w:rsidP="002508DC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 xml:space="preserve">Комитет повторяет свою предыдущую рекомендацию государству-участнику активизировать усилия по поощрению и сохранению языков коренных народов и отменить или изменить любые ограничения, которые могут </w:t>
      </w:r>
      <w:r>
        <w:rPr>
          <w:b/>
          <w:bCs/>
        </w:rPr>
        <w:lastRenderedPageBreak/>
        <w:t>препятствовать осуществлению коренными народами традиционных и укоренившихся в культуре видов деятельности по добыче средств к существованию, включая охоту и рыболовство</w:t>
      </w:r>
      <w:r w:rsidRPr="00DC0174">
        <w:rPr>
          <w:rStyle w:val="a8"/>
        </w:rPr>
        <w:footnoteReference w:id="17"/>
      </w:r>
      <w:r>
        <w:rPr>
          <w:b/>
          <w:bCs/>
        </w:rPr>
        <w:t>.</w:t>
      </w:r>
      <w:r>
        <w:t xml:space="preserve"> </w:t>
      </w:r>
    </w:p>
    <w:p w14:paraId="48F412C9" w14:textId="77777777" w:rsidR="002508DC" w:rsidRPr="007A5F6A" w:rsidRDefault="002508DC" w:rsidP="002508DC">
      <w:pPr>
        <w:pStyle w:val="SingleTxtG"/>
      </w:pPr>
      <w:r>
        <w:t>68.</w:t>
      </w:r>
      <w:r>
        <w:tab/>
        <w:t>Принимая к сведению информацию, предоставленную в ходе диалога с государством-участником, Комитет выражает обеспокоенность по поводу широкого применения цензуры, включая блокировки глобальных поисковых систем, которые серьезно ограничивают доступный в Интернете контент, и наложением штрафов за поиск запрещенных материалов, включая использование виртуальных частных сетей для обхода ограничений. Комитет также обеспокоен широко распространенными и продолжающими расширяться ограничениями и запретами на использование приложений для обмена сообщениями (статья 15).</w:t>
      </w:r>
    </w:p>
    <w:p w14:paraId="56818003" w14:textId="77777777" w:rsidR="002508DC" w:rsidRPr="007A5F6A" w:rsidRDefault="002508DC" w:rsidP="002508DC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Подчеркивая, что свобода, необходимая для научных исследований и творческой деятельности, защищаемая в соответствии со статьей 15 (3) Пакта, предполагает беспрепятственный доступ к информации, онлайновым хранилищам знаний и средствам научной коммуникации, Комитет рекомендует государству-участнику пересмотреть свою практику ограничения цифрового доступа, фильтрации контента и наказания за поиск информации, с тем чтобы такие меры не препятствовали реализации права на пользование плодами научного прогресса.</w:t>
      </w:r>
    </w:p>
    <w:p w14:paraId="4118C882" w14:textId="60537045" w:rsidR="002508DC" w:rsidRPr="007A5F6A" w:rsidRDefault="00883933" w:rsidP="002508DC">
      <w:pPr>
        <w:pStyle w:val="H1G"/>
      </w:pPr>
      <w:r w:rsidRPr="00D32E71">
        <w:rPr>
          <w:bCs/>
        </w:rPr>
        <w:tab/>
      </w:r>
      <w:r w:rsidR="002508DC">
        <w:rPr>
          <w:bCs/>
        </w:rPr>
        <w:t>D.</w:t>
      </w:r>
      <w:r w:rsidR="002508DC">
        <w:tab/>
      </w:r>
      <w:r w:rsidR="002508DC">
        <w:rPr>
          <w:bCs/>
        </w:rPr>
        <w:t>Другие рекомендации</w:t>
      </w:r>
    </w:p>
    <w:p w14:paraId="6ED0FFC3" w14:textId="77777777" w:rsidR="002508DC" w:rsidRPr="007A5F6A" w:rsidRDefault="002508DC" w:rsidP="002508DC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обращается к государству-участнику с призывом ратифицировать Факультативный протокол к Международному пакту об экономических, социальных и культурных правах.</w:t>
      </w:r>
      <w:r>
        <w:t xml:space="preserve"> </w:t>
      </w:r>
    </w:p>
    <w:p w14:paraId="62F0C231" w14:textId="77777777" w:rsidR="002508DC" w:rsidRPr="007A5F6A" w:rsidRDefault="002508DC" w:rsidP="002508DC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оно еще не является, а именно Международной конвенции для защиты всех лиц от насильственных исчезновений, Международной конвенции о защите прав всех трудящихся-мигрантов и членов их семей 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4956B06F" w14:textId="575B276E" w:rsidR="002508DC" w:rsidRPr="007A5F6A" w:rsidRDefault="002508DC" w:rsidP="002508DC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также рекомендует государству-участнику в полной мере учитывать свои обязательства в рамках Пакта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Достижению </w:t>
      </w:r>
      <w:r w:rsidR="00D32E71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бенефициарам государственных программ как к правообладателям, имеющим право требовать соблюдения своих прав.</w:t>
      </w:r>
      <w:r>
        <w:t xml:space="preserve"> </w:t>
      </w:r>
      <w:r>
        <w:rPr>
          <w:b/>
          <w:bCs/>
        </w:rPr>
        <w:t xml:space="preserve">Кроме того, Комитет рекомендует государству-участнику поддержать глобальное обязательство в рамках десятилетия действий по достижению </w:t>
      </w:r>
      <w:r w:rsidR="00D32E71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развития.</w:t>
      </w:r>
      <w:r>
        <w:t xml:space="preserve"> </w:t>
      </w:r>
      <w:r>
        <w:rPr>
          <w:b/>
          <w:bCs/>
        </w:rPr>
        <w:t xml:space="preserve">Достижение </w:t>
      </w:r>
      <w:r w:rsidR="00D32E71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на основе принципов участия, подотчетности и недискриминации будет способствовать тому, чтобы никто не был забыт.</w:t>
      </w:r>
      <w:r>
        <w:t xml:space="preserve"> </w:t>
      </w:r>
      <w:r>
        <w:rPr>
          <w:b/>
          <w:bCs/>
        </w:rPr>
        <w:t>В связи с этим Комитет обращает внимание государства-участника на свое заявление об обязательстве никого не забыть</w:t>
      </w:r>
      <w:r w:rsidRPr="00DC0174">
        <w:rPr>
          <w:rStyle w:val="a8"/>
        </w:rPr>
        <w:footnoteReference w:id="18"/>
      </w:r>
      <w:r>
        <w:rPr>
          <w:b/>
          <w:bCs/>
        </w:rPr>
        <w:t>.</w:t>
      </w:r>
    </w:p>
    <w:p w14:paraId="1DBB7BFA" w14:textId="77777777" w:rsidR="002508DC" w:rsidRPr="007A5F6A" w:rsidRDefault="002508DC" w:rsidP="002508DC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Кроме того, Комитет рекомендует государству-участнику принять меры для поэтапной разработки и внедрения соответствующих показателей осуществления экономических, социальных и культурных прав, с тем чтобы облегчить оценку прогресса, достигнутого государством-участником в выполнении своих обязательств по Пакту для различных слоев населения.</w:t>
      </w:r>
      <w:r>
        <w:t xml:space="preserve"> </w:t>
      </w:r>
      <w:r>
        <w:rPr>
          <w:b/>
          <w:bCs/>
        </w:rPr>
        <w:t xml:space="preserve">В этой связи Комитет обращает внимание государства-участника, в частности, на </w:t>
      </w:r>
      <w:r>
        <w:rPr>
          <w:b/>
          <w:bCs/>
        </w:rPr>
        <w:lastRenderedPageBreak/>
        <w:t>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 w:rsidRPr="00DC0174">
        <w:rPr>
          <w:rStyle w:val="a8"/>
        </w:rPr>
        <w:footnoteReference w:id="19"/>
      </w:r>
      <w:r>
        <w:rPr>
          <w:b/>
          <w:bCs/>
        </w:rPr>
        <w:t>.</w:t>
      </w:r>
    </w:p>
    <w:p w14:paraId="3C8FDDA4" w14:textId="77777777" w:rsidR="002508DC" w:rsidRPr="007A5F6A" w:rsidRDefault="002508DC" w:rsidP="002508DC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обращается к государству-участнику с просьбой широко распространить настоящие заключительные замечания среди всех слоев общества, в том числе на уровне федеральных округов и федеральных субъектов,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осуществлении настоящих заключительных замечаний и обращается к государству-участнику с призывом обеспечить его участие в будущих процедурах подготовки и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свое взаимодействие с Уполномоченным по правам человека Российской Федерации, неправительственными организациями и другими членами гражданского общества в рамках последующей деятельности по осуществлению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</w:p>
    <w:p w14:paraId="7636C2C7" w14:textId="5F04806C" w:rsidR="002508DC" w:rsidRPr="007A5F6A" w:rsidRDefault="002508DC" w:rsidP="002508DC">
      <w:pPr>
        <w:pStyle w:val="SingleTxtG"/>
        <w:rPr>
          <w:rFonts w:eastAsiaTheme="minorEastAsia"/>
          <w:b/>
          <w:bCs/>
        </w:rPr>
      </w:pPr>
      <w:bookmarkStart w:id="8" w:name="_Hlk209517865"/>
      <w:r>
        <w:t>75.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обращается к государству-участнику с просьбой представить в течение 24 месяцев с момента принятия настоящих заключительных замечаний (30 сентября 2027 года) информацию о выполнении рекомендаций, содержащихся в пунктах 15 а) (предпринимательская деятельность и экономические, социальные и культурные права), 27 с) (равные права мужчин и женщин) и 65 а)</w:t>
      </w:r>
      <w:r w:rsidR="00D32E71" w:rsidRPr="00D32E71">
        <w:rPr>
          <w:b/>
          <w:bCs/>
        </w:rPr>
        <w:t xml:space="preserve"> </w:t>
      </w:r>
      <w:r>
        <w:rPr>
          <w:b/>
          <w:bCs/>
        </w:rPr>
        <w:t>(культурные права) выше.</w:t>
      </w:r>
      <w:r>
        <w:t xml:space="preserve"> </w:t>
      </w:r>
      <w:bookmarkStart w:id="9" w:name="_Hlk154052285"/>
      <w:bookmarkEnd w:id="9"/>
    </w:p>
    <w:bookmarkEnd w:id="8"/>
    <w:p w14:paraId="2DDB4335" w14:textId="3607F561" w:rsidR="002508DC" w:rsidRPr="007A5F6A" w:rsidRDefault="002508DC" w:rsidP="002508DC">
      <w:pPr>
        <w:pStyle w:val="SingleTxtG"/>
        <w:rPr>
          <w:b/>
          <w:bCs/>
          <w:i/>
          <w:iCs/>
        </w:rPr>
      </w:pPr>
      <w:r>
        <w:t>76.</w:t>
      </w:r>
      <w:r>
        <w:tab/>
      </w:r>
      <w:r>
        <w:rPr>
          <w:b/>
          <w:bCs/>
        </w:rPr>
        <w:t>Комитет обращается к государству-участнику с просьбой представить свой восьмой периодический доклад в соответствии со статьей 16 Пакта не позднее 30</w:t>
      </w:r>
      <w:r w:rsidR="00D32E71">
        <w:rPr>
          <w:b/>
          <w:bCs/>
          <w:lang w:val="en-US"/>
        </w:rPr>
        <w:t> </w:t>
      </w:r>
      <w:r>
        <w:rPr>
          <w:b/>
          <w:bCs/>
        </w:rPr>
        <w:t>сентября 2030 года, если оно не будет уведомлено об ином в результате изменения цикла проведения обзоров.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по правам человека</w:t>
      </w:r>
      <w:r w:rsidRPr="00DC0174">
        <w:rPr>
          <w:rStyle w:val="a8"/>
        </w:rPr>
        <w:footnoteReference w:id="20"/>
      </w:r>
      <w:r>
        <w:rPr>
          <w:b/>
          <w:bCs/>
        </w:rPr>
        <w:t>.</w:t>
      </w:r>
    </w:p>
    <w:p w14:paraId="01613292" w14:textId="77777777" w:rsidR="00F823D4" w:rsidRDefault="002508DC" w:rsidP="002508DC">
      <w:pPr>
        <w:jc w:val="center"/>
        <w:rPr>
          <w:u w:val="single"/>
        </w:rPr>
      </w:pPr>
      <w:r w:rsidRPr="007A5F6A">
        <w:rPr>
          <w:u w:val="single"/>
        </w:rPr>
        <w:tab/>
      </w:r>
      <w:r w:rsidRPr="007A5F6A">
        <w:rPr>
          <w:u w:val="single"/>
        </w:rPr>
        <w:tab/>
      </w:r>
      <w:r w:rsidRPr="007A5F6A">
        <w:rPr>
          <w:u w:val="single"/>
        </w:rPr>
        <w:tab/>
      </w:r>
    </w:p>
    <w:p w14:paraId="705E5F31" w14:textId="3DF1D410" w:rsidR="00381C24" w:rsidRPr="002508DC" w:rsidRDefault="00381C24" w:rsidP="00896BA2"/>
    <w:sectPr w:rsidR="00381C24" w:rsidRPr="002508DC" w:rsidSect="002508D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B8F5" w14:textId="77777777" w:rsidR="002B48E5" w:rsidRPr="00A312BC" w:rsidRDefault="002B48E5" w:rsidP="00A312BC"/>
  </w:endnote>
  <w:endnote w:type="continuationSeparator" w:id="0">
    <w:p w14:paraId="111A58AA" w14:textId="77777777" w:rsidR="002B48E5" w:rsidRPr="00A312BC" w:rsidRDefault="002B48E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283E" w14:textId="7F3194A4" w:rsidR="002508DC" w:rsidRPr="002508DC" w:rsidRDefault="002508DC">
    <w:pPr>
      <w:pStyle w:val="aa"/>
    </w:pPr>
    <w:r w:rsidRPr="002508DC">
      <w:rPr>
        <w:b/>
        <w:sz w:val="18"/>
      </w:rPr>
      <w:fldChar w:fldCharType="begin"/>
    </w:r>
    <w:r w:rsidRPr="002508DC">
      <w:rPr>
        <w:b/>
        <w:sz w:val="18"/>
      </w:rPr>
      <w:instrText xml:space="preserve"> PAGE  \* MERGEFORMAT </w:instrText>
    </w:r>
    <w:r w:rsidRPr="002508DC">
      <w:rPr>
        <w:b/>
        <w:sz w:val="18"/>
      </w:rPr>
      <w:fldChar w:fldCharType="separate"/>
    </w:r>
    <w:r w:rsidRPr="002508DC">
      <w:rPr>
        <w:b/>
        <w:noProof/>
        <w:sz w:val="18"/>
      </w:rPr>
      <w:t>2</w:t>
    </w:r>
    <w:r w:rsidRPr="002508DC">
      <w:rPr>
        <w:b/>
        <w:sz w:val="18"/>
      </w:rPr>
      <w:fldChar w:fldCharType="end"/>
    </w:r>
    <w:r>
      <w:rPr>
        <w:b/>
        <w:sz w:val="18"/>
      </w:rPr>
      <w:tab/>
    </w:r>
    <w:r>
      <w:t>GE.25-15842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FB4C" w14:textId="03C2F80A" w:rsidR="002508DC" w:rsidRPr="002508DC" w:rsidRDefault="002508DC" w:rsidP="002508DC">
    <w:pPr>
      <w:pStyle w:val="aa"/>
      <w:tabs>
        <w:tab w:val="clear" w:pos="9639"/>
        <w:tab w:val="right" w:pos="9638"/>
      </w:tabs>
      <w:rPr>
        <w:b/>
        <w:sz w:val="18"/>
      </w:rPr>
    </w:pPr>
    <w:r>
      <w:t>GE.25-15842</w:t>
    </w:r>
    <w:r>
      <w:tab/>
    </w:r>
    <w:r w:rsidRPr="002508DC">
      <w:rPr>
        <w:b/>
        <w:sz w:val="18"/>
      </w:rPr>
      <w:fldChar w:fldCharType="begin"/>
    </w:r>
    <w:r w:rsidRPr="002508DC">
      <w:rPr>
        <w:b/>
        <w:sz w:val="18"/>
      </w:rPr>
      <w:instrText xml:space="preserve"> PAGE  \* MERGEFORMAT </w:instrText>
    </w:r>
    <w:r w:rsidRPr="002508DC">
      <w:rPr>
        <w:b/>
        <w:sz w:val="18"/>
      </w:rPr>
      <w:fldChar w:fldCharType="separate"/>
    </w:r>
    <w:r w:rsidRPr="002508DC">
      <w:rPr>
        <w:b/>
        <w:noProof/>
        <w:sz w:val="18"/>
      </w:rPr>
      <w:t>3</w:t>
    </w:r>
    <w:r w:rsidRPr="002508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CE330" w14:textId="36FF882F" w:rsidR="00042B72" w:rsidRPr="002508DC" w:rsidRDefault="002508DC" w:rsidP="002508D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042DEE" wp14:editId="5CF933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25-15842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F851DA" wp14:editId="23B694E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171125   211125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48029" w14:textId="77777777" w:rsidR="002B48E5" w:rsidRPr="001075E9" w:rsidRDefault="002B48E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755AD35" w14:textId="77777777" w:rsidR="002B48E5" w:rsidRDefault="002B48E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25F504" w14:textId="5F04BA66" w:rsidR="002508DC" w:rsidRPr="007A5F6A" w:rsidRDefault="002508DC" w:rsidP="002508DC">
      <w:pPr>
        <w:pStyle w:val="af"/>
      </w:pPr>
      <w:r>
        <w:tab/>
      </w:r>
      <w:r w:rsidRPr="00883933">
        <w:rPr>
          <w:sz w:val="20"/>
        </w:rPr>
        <w:t>*</w:t>
      </w:r>
      <w:r w:rsidRPr="00883933">
        <w:rPr>
          <w:sz w:val="20"/>
        </w:rPr>
        <w:tab/>
      </w:r>
      <w:r>
        <w:t>Приняты Комитетом на его семьдесят восьмой сессии (8</w:t>
      </w:r>
      <w:r w:rsidR="00883933" w:rsidRPr="00883933">
        <w:t>–</w:t>
      </w:r>
      <w:r>
        <w:t>26 сентября 2025 года).</w:t>
      </w:r>
    </w:p>
  </w:footnote>
  <w:footnote w:id="2">
    <w:p w14:paraId="18505203" w14:textId="16F52421" w:rsidR="00883933" w:rsidRPr="00DC40C0" w:rsidRDefault="00883933" w:rsidP="00883933">
      <w:pPr>
        <w:pStyle w:val="af"/>
        <w:rPr>
          <w:lang w:val="de-CH"/>
        </w:rPr>
      </w:pPr>
      <w:r w:rsidRPr="00794EE4">
        <w:tab/>
      </w:r>
      <w:r w:rsidRPr="00BE0C7F">
        <w:rPr>
          <w:rStyle w:val="a8"/>
        </w:rPr>
        <w:footnoteRef/>
      </w:r>
      <w:r w:rsidRPr="00DC40C0">
        <w:rPr>
          <w:lang w:val="de-CH"/>
        </w:rPr>
        <w:t xml:space="preserve"> </w:t>
      </w:r>
      <w:r w:rsidRPr="00DC40C0">
        <w:rPr>
          <w:lang w:val="de-CH"/>
        </w:rPr>
        <w:tab/>
      </w:r>
      <w:hyperlink r:id="rId1" w:history="1">
        <w:r w:rsidRPr="00883933">
          <w:rPr>
            <w:rStyle w:val="a7"/>
            <w:lang w:val="de-CH"/>
          </w:rPr>
          <w:t>E/C.12/RUS/7</w:t>
        </w:r>
      </w:hyperlink>
      <w:r w:rsidRPr="00DC40C0">
        <w:rPr>
          <w:lang w:val="de-CH"/>
        </w:rPr>
        <w:t>.</w:t>
      </w:r>
      <w:hyperlink r:id="rId2" w:history="1"/>
    </w:p>
  </w:footnote>
  <w:footnote w:id="3">
    <w:p w14:paraId="264FA2F8" w14:textId="5F3504B0" w:rsidR="00F823D4" w:rsidRPr="00DC40C0" w:rsidRDefault="00F823D4" w:rsidP="00F823D4">
      <w:pPr>
        <w:pStyle w:val="af"/>
        <w:rPr>
          <w:lang w:val="de-CH"/>
        </w:rPr>
      </w:pPr>
      <w:r w:rsidRPr="00DC40C0">
        <w:rPr>
          <w:lang w:val="de-CH"/>
        </w:rPr>
        <w:tab/>
      </w:r>
      <w:r w:rsidRPr="00BE0C7F">
        <w:rPr>
          <w:rStyle w:val="a8"/>
        </w:rPr>
        <w:footnoteRef/>
      </w:r>
      <w:r w:rsidRPr="00DC40C0">
        <w:rPr>
          <w:lang w:val="de-CH"/>
        </w:rPr>
        <w:t xml:space="preserve"> </w:t>
      </w:r>
      <w:r w:rsidRPr="00DC40C0">
        <w:rPr>
          <w:lang w:val="de-CH"/>
        </w:rPr>
        <w:tab/>
      </w:r>
      <w:r>
        <w:t>См</w:t>
      </w:r>
      <w:r w:rsidRPr="00DC40C0">
        <w:rPr>
          <w:lang w:val="de-CH"/>
        </w:rPr>
        <w:t xml:space="preserve">. </w:t>
      </w:r>
      <w:hyperlink r:id="rId3" w:history="1">
        <w:r w:rsidRPr="00883933">
          <w:rPr>
            <w:rStyle w:val="a7"/>
            <w:lang w:val="de-CH"/>
          </w:rPr>
          <w:t>E/C.12/2025/SR.34</w:t>
        </w:r>
      </w:hyperlink>
      <w:r w:rsidRPr="00DC40C0">
        <w:rPr>
          <w:lang w:val="de-CH"/>
        </w:rPr>
        <w:t xml:space="preserve"> </w:t>
      </w:r>
      <w:r>
        <w:t>и</w:t>
      </w:r>
      <w:r w:rsidRPr="00DC40C0">
        <w:rPr>
          <w:lang w:val="de-CH"/>
        </w:rPr>
        <w:t xml:space="preserve"> </w:t>
      </w:r>
      <w:hyperlink r:id="rId4" w:history="1">
        <w:r w:rsidRPr="00883933">
          <w:rPr>
            <w:rStyle w:val="a7"/>
            <w:lang w:val="de-CH"/>
          </w:rPr>
          <w:t>E/C.12/2025/SR.35</w:t>
        </w:r>
      </w:hyperlink>
      <w:r w:rsidRPr="00DC40C0">
        <w:rPr>
          <w:lang w:val="de-CH"/>
        </w:rPr>
        <w:t>.</w:t>
      </w:r>
      <w:hyperlink r:id="rId5" w:history="1"/>
      <w:hyperlink r:id="rId6" w:history="1"/>
    </w:p>
  </w:footnote>
  <w:footnote w:id="4">
    <w:p w14:paraId="0FF9798D" w14:textId="7973D9B8" w:rsidR="002508DC" w:rsidRPr="00D32E71" w:rsidRDefault="002508DC" w:rsidP="002508DC">
      <w:pPr>
        <w:pStyle w:val="af"/>
        <w:rPr>
          <w:lang w:val="es-ES"/>
        </w:rPr>
      </w:pPr>
      <w:r w:rsidRPr="00DC40C0">
        <w:rPr>
          <w:lang w:val="de-CH"/>
        </w:rPr>
        <w:tab/>
      </w:r>
      <w:r w:rsidRPr="00BE0C7F">
        <w:rPr>
          <w:rStyle w:val="a8"/>
        </w:rPr>
        <w:footnoteRef/>
      </w:r>
      <w:r w:rsidRPr="00D32E71">
        <w:rPr>
          <w:lang w:val="es-ES"/>
        </w:rPr>
        <w:t xml:space="preserve"> </w:t>
      </w:r>
      <w:r w:rsidRPr="00D32E71">
        <w:rPr>
          <w:lang w:val="es-ES"/>
        </w:rPr>
        <w:tab/>
      </w:r>
      <w:hyperlink r:id="rId7" w:history="1">
        <w:r w:rsidRPr="00D32E71">
          <w:rPr>
            <w:rStyle w:val="a7"/>
            <w:lang w:val="es-ES"/>
          </w:rPr>
          <w:t>E/C.12/RUS/RQ/7</w:t>
        </w:r>
      </w:hyperlink>
      <w:r w:rsidRPr="00D32E71">
        <w:rPr>
          <w:lang w:val="es-ES"/>
        </w:rPr>
        <w:t>.</w:t>
      </w:r>
      <w:hyperlink r:id="rId8" w:history="1"/>
    </w:p>
  </w:footnote>
  <w:footnote w:id="5">
    <w:p w14:paraId="70B8E066" w14:textId="163FA554" w:rsidR="002508DC" w:rsidRPr="00DC40C0" w:rsidRDefault="002508DC" w:rsidP="002508DC">
      <w:pPr>
        <w:pStyle w:val="af"/>
        <w:rPr>
          <w:rFonts w:eastAsia="Malgun Gothic"/>
          <w:lang w:val="es-ES"/>
        </w:rPr>
      </w:pPr>
      <w:r w:rsidRPr="00D32E71">
        <w:rPr>
          <w:lang w:val="es-ES"/>
        </w:rPr>
        <w:tab/>
      </w:r>
      <w:r w:rsidRPr="00BE0C7F">
        <w:rPr>
          <w:rStyle w:val="a8"/>
        </w:rPr>
        <w:footnoteRef/>
      </w:r>
      <w:r w:rsidRPr="00DC40C0">
        <w:rPr>
          <w:lang w:val="es-ES"/>
        </w:rPr>
        <w:t xml:space="preserve"> </w:t>
      </w:r>
      <w:r w:rsidRPr="00DC40C0">
        <w:rPr>
          <w:lang w:val="es-ES"/>
        </w:rPr>
        <w:tab/>
      </w:r>
      <w:hyperlink r:id="rId9" w:history="1">
        <w:r w:rsidRPr="00883933">
          <w:rPr>
            <w:rStyle w:val="a7"/>
            <w:lang w:val="es-ES"/>
          </w:rPr>
          <w:t>E/C.12/RUS/CO/6</w:t>
        </w:r>
      </w:hyperlink>
      <w:r w:rsidRPr="00DC40C0">
        <w:rPr>
          <w:lang w:val="es-ES"/>
        </w:rPr>
        <w:t xml:space="preserve">, </w:t>
      </w:r>
      <w:r>
        <w:t>п</w:t>
      </w:r>
      <w:r w:rsidRPr="00DC40C0">
        <w:rPr>
          <w:lang w:val="es-ES"/>
        </w:rPr>
        <w:t>. 6.</w:t>
      </w:r>
      <w:hyperlink r:id="rId10" w:history="1"/>
    </w:p>
  </w:footnote>
  <w:footnote w:id="6">
    <w:p w14:paraId="7F85A283" w14:textId="15DC1F27" w:rsidR="002508DC" w:rsidRPr="00DC40C0" w:rsidRDefault="002508DC" w:rsidP="002508DC">
      <w:pPr>
        <w:pStyle w:val="af"/>
        <w:rPr>
          <w:lang w:val="es-ES"/>
        </w:rPr>
      </w:pPr>
      <w:r w:rsidRPr="00DC40C0">
        <w:rPr>
          <w:lang w:val="es-ES"/>
        </w:rPr>
        <w:tab/>
      </w:r>
      <w:r w:rsidRPr="00BE0C7F">
        <w:rPr>
          <w:rStyle w:val="a8"/>
        </w:rPr>
        <w:footnoteRef/>
      </w:r>
      <w:r w:rsidRPr="00DC40C0">
        <w:rPr>
          <w:lang w:val="es-ES"/>
        </w:rPr>
        <w:tab/>
      </w:r>
      <w:hyperlink r:id="rId11" w:history="1">
        <w:r w:rsidRPr="00883933">
          <w:rPr>
            <w:rStyle w:val="a7"/>
            <w:lang w:val="es-ES"/>
          </w:rPr>
          <w:t>E/C.12/2016/2</w:t>
        </w:r>
      </w:hyperlink>
      <w:r w:rsidRPr="00DC40C0">
        <w:rPr>
          <w:lang w:val="es-ES"/>
        </w:rPr>
        <w:t>.</w:t>
      </w:r>
      <w:hyperlink r:id="rId12" w:history="1"/>
    </w:p>
  </w:footnote>
  <w:footnote w:id="7">
    <w:p w14:paraId="6BDCED7F" w14:textId="77777777" w:rsidR="00F823D4" w:rsidRPr="00DC40C0" w:rsidRDefault="00F823D4" w:rsidP="00F823D4">
      <w:pPr>
        <w:pStyle w:val="af"/>
        <w:rPr>
          <w:lang w:val="es-ES"/>
        </w:rPr>
      </w:pPr>
      <w:r w:rsidRPr="00DC40C0">
        <w:rPr>
          <w:lang w:val="es-ES"/>
        </w:rPr>
        <w:tab/>
      </w:r>
      <w:r w:rsidRPr="00BE0C7F">
        <w:rPr>
          <w:rStyle w:val="a8"/>
        </w:rPr>
        <w:footnoteRef/>
      </w:r>
      <w:r w:rsidRPr="00DC40C0">
        <w:rPr>
          <w:lang w:val="es-ES"/>
        </w:rPr>
        <w:t xml:space="preserve"> </w:t>
      </w:r>
      <w:r w:rsidRPr="00DC40C0">
        <w:rPr>
          <w:lang w:val="es-ES"/>
        </w:rPr>
        <w:tab/>
      </w:r>
      <w:hyperlink r:id="rId13" w:history="1">
        <w:r w:rsidRPr="00883933">
          <w:rPr>
            <w:rStyle w:val="a7"/>
            <w:lang w:val="es-ES"/>
          </w:rPr>
          <w:t>E/C.12/RUS/CO/6</w:t>
        </w:r>
      </w:hyperlink>
      <w:r w:rsidRPr="00DC40C0">
        <w:rPr>
          <w:lang w:val="es-ES"/>
        </w:rPr>
        <w:t xml:space="preserve">, </w:t>
      </w:r>
      <w:r>
        <w:t>п</w:t>
      </w:r>
      <w:r w:rsidRPr="00DC40C0">
        <w:rPr>
          <w:lang w:val="es-ES"/>
        </w:rPr>
        <w:t>. 12.</w:t>
      </w:r>
      <w:hyperlink r:id="rId14" w:history="1"/>
    </w:p>
  </w:footnote>
  <w:footnote w:id="8">
    <w:p w14:paraId="7CE6242E" w14:textId="77777777" w:rsidR="00F823D4" w:rsidRPr="005C44DB" w:rsidRDefault="00F823D4" w:rsidP="00F823D4">
      <w:pPr>
        <w:pStyle w:val="af"/>
      </w:pPr>
      <w:r w:rsidRPr="00DC40C0">
        <w:rPr>
          <w:lang w:val="es-ES"/>
        </w:rPr>
        <w:tab/>
      </w:r>
      <w:r w:rsidRPr="00BE0C7F">
        <w:rPr>
          <w:rStyle w:val="a8"/>
        </w:rPr>
        <w:footnoteRef/>
      </w:r>
      <w:r w:rsidRPr="002508DC">
        <w:t xml:space="preserve"> </w:t>
      </w:r>
      <w:r w:rsidRPr="002508DC">
        <w:tab/>
      </w:r>
      <w:r>
        <w:t>Там</w:t>
      </w:r>
      <w:r w:rsidRPr="002508DC">
        <w:t xml:space="preserve"> </w:t>
      </w:r>
      <w:r>
        <w:t>же</w:t>
      </w:r>
      <w:r w:rsidRPr="002508DC">
        <w:t xml:space="preserve">, </w:t>
      </w:r>
      <w:r>
        <w:t>п</w:t>
      </w:r>
      <w:r w:rsidRPr="002508DC">
        <w:t>. 15.</w:t>
      </w:r>
    </w:p>
  </w:footnote>
  <w:footnote w:id="9">
    <w:p w14:paraId="1EE03167" w14:textId="619D119D" w:rsidR="002508DC" w:rsidRPr="00DC40C0" w:rsidRDefault="002508DC" w:rsidP="002508DC">
      <w:pPr>
        <w:pStyle w:val="af"/>
      </w:pPr>
      <w:r w:rsidRPr="002508DC">
        <w:tab/>
      </w:r>
      <w:r w:rsidRPr="00BE0C7F">
        <w:rPr>
          <w:rStyle w:val="a8"/>
        </w:rPr>
        <w:footnoteRef/>
      </w:r>
      <w:r w:rsidRPr="00DC40C0">
        <w:tab/>
      </w:r>
      <w:hyperlink r:id="rId15" w:history="1">
        <w:r w:rsidRPr="00883933">
          <w:rPr>
            <w:rStyle w:val="a7"/>
            <w:lang w:val="en-US"/>
          </w:rPr>
          <w:t>E</w:t>
        </w:r>
        <w:r w:rsidRPr="00883933">
          <w:rPr>
            <w:rStyle w:val="a7"/>
          </w:rPr>
          <w:t>/</w:t>
        </w:r>
        <w:r w:rsidRPr="00883933">
          <w:rPr>
            <w:rStyle w:val="a7"/>
            <w:lang w:val="en-US"/>
          </w:rPr>
          <w:t>C</w:t>
        </w:r>
        <w:r w:rsidRPr="00883933">
          <w:rPr>
            <w:rStyle w:val="a7"/>
          </w:rPr>
          <w:t>.12/2018/1</w:t>
        </w:r>
      </w:hyperlink>
      <w:r w:rsidRPr="00DC40C0">
        <w:t>.</w:t>
      </w:r>
      <w:hyperlink r:id="rId16" w:history="1"/>
    </w:p>
  </w:footnote>
  <w:footnote w:id="10">
    <w:p w14:paraId="19D40E78" w14:textId="1B422125" w:rsidR="002508DC" w:rsidRPr="007A5F6A" w:rsidRDefault="002508DC" w:rsidP="002508DC">
      <w:pPr>
        <w:pStyle w:val="af"/>
        <w:rPr>
          <w:rFonts w:eastAsia="Malgun Gothic"/>
        </w:rPr>
      </w:pPr>
      <w:r w:rsidRPr="00DC40C0">
        <w:tab/>
      </w:r>
      <w:r w:rsidRPr="00BE0C7F">
        <w:rPr>
          <w:rStyle w:val="a8"/>
        </w:rPr>
        <w:footnoteRef/>
      </w:r>
      <w:r>
        <w:t xml:space="preserve"> </w:t>
      </w:r>
      <w:r>
        <w:tab/>
      </w:r>
      <w:hyperlink r:id="rId17" w:history="1">
        <w:r w:rsidRPr="00883933">
          <w:rPr>
            <w:rStyle w:val="a7"/>
          </w:rPr>
          <w:t>E/C.12/RUS/CO/6</w:t>
        </w:r>
      </w:hyperlink>
      <w:r>
        <w:t>, п. 19.</w:t>
      </w:r>
      <w:hyperlink r:id="rId18" w:history="1"/>
    </w:p>
  </w:footnote>
  <w:footnote w:id="11">
    <w:p w14:paraId="773BC118" w14:textId="66BAAEFD" w:rsidR="002508DC" w:rsidRPr="007A5F6A" w:rsidRDefault="002508DC" w:rsidP="002508DC">
      <w:pPr>
        <w:pStyle w:val="af"/>
        <w:rPr>
          <w:rFonts w:eastAsia="Malgun Gothic"/>
        </w:rPr>
      </w:pPr>
      <w:r w:rsidRPr="005C44DB">
        <w:tab/>
      </w:r>
      <w:r w:rsidRPr="00BE0C7F">
        <w:rPr>
          <w:rStyle w:val="a8"/>
        </w:rPr>
        <w:footnoteRef/>
      </w:r>
      <w:r>
        <w:t xml:space="preserve"> </w:t>
      </w:r>
      <w:r>
        <w:tab/>
        <w:t>См. также рекомендацию Специального докладчика по вопросу о положении в области прав человека в Российской Федерации (</w:t>
      </w:r>
      <w:hyperlink r:id="rId19" w:history="1">
        <w:r w:rsidRPr="00883933">
          <w:rPr>
            <w:rStyle w:val="a7"/>
          </w:rPr>
          <w:t>A/HRC/54/54</w:t>
        </w:r>
      </w:hyperlink>
      <w:r>
        <w:t>, п. 112 r)).</w:t>
      </w:r>
      <w:hyperlink r:id="rId20" w:history="1"/>
    </w:p>
  </w:footnote>
  <w:footnote w:id="12">
    <w:p w14:paraId="4C289FAC" w14:textId="77777777" w:rsidR="00D10C8D" w:rsidRPr="007A5F6A" w:rsidRDefault="00D10C8D" w:rsidP="00D10C8D">
      <w:pPr>
        <w:pStyle w:val="af"/>
      </w:pPr>
      <w:r w:rsidRPr="005C44DB">
        <w:tab/>
      </w:r>
      <w:r w:rsidRPr="00BE0C7F">
        <w:rPr>
          <w:rStyle w:val="a8"/>
        </w:rPr>
        <w:footnoteRef/>
      </w:r>
      <w:r>
        <w:tab/>
      </w:r>
      <w:hyperlink r:id="rId21" w:history="1">
        <w:r w:rsidRPr="00883933">
          <w:rPr>
            <w:rStyle w:val="a7"/>
          </w:rPr>
          <w:t>E/C.12/2015/1</w:t>
        </w:r>
      </w:hyperlink>
      <w:r>
        <w:t>.</w:t>
      </w:r>
      <w:hyperlink r:id="rId22" w:history="1"/>
    </w:p>
  </w:footnote>
  <w:footnote w:id="13">
    <w:p w14:paraId="221AA5E1" w14:textId="41B77E93" w:rsidR="002508DC" w:rsidRPr="007A5F6A" w:rsidRDefault="002508DC" w:rsidP="002508DC">
      <w:pPr>
        <w:pStyle w:val="af"/>
        <w:rPr>
          <w:rFonts w:eastAsia="Malgun Gothic"/>
        </w:rPr>
      </w:pPr>
      <w:r w:rsidRPr="005C44DB">
        <w:tab/>
      </w:r>
      <w:r w:rsidRPr="00BE0C7F">
        <w:rPr>
          <w:rStyle w:val="a8"/>
        </w:rPr>
        <w:footnoteRef/>
      </w:r>
      <w:r>
        <w:t xml:space="preserve"> </w:t>
      </w:r>
      <w:r>
        <w:tab/>
        <w:t>См. также рекомендации Комитета по правам человека (</w:t>
      </w:r>
      <w:hyperlink r:id="rId23" w:history="1">
        <w:r w:rsidRPr="00883933">
          <w:rPr>
            <w:rStyle w:val="a7"/>
          </w:rPr>
          <w:t>CCPR/C/RUS/CO/8</w:t>
        </w:r>
      </w:hyperlink>
      <w:r>
        <w:t>, п</w:t>
      </w:r>
      <w:r w:rsidR="00D10C8D">
        <w:t>.</w:t>
      </w:r>
      <w:r>
        <w:t xml:space="preserve"> 15).</w:t>
      </w:r>
      <w:hyperlink r:id="rId24" w:history="1"/>
    </w:p>
  </w:footnote>
  <w:footnote w:id="14">
    <w:p w14:paraId="735A6A13" w14:textId="71F5441C" w:rsidR="002508DC" w:rsidRPr="00794EE4" w:rsidRDefault="002508DC" w:rsidP="002508DC">
      <w:pPr>
        <w:pStyle w:val="af"/>
      </w:pPr>
      <w:r w:rsidRPr="005C44DB">
        <w:tab/>
      </w:r>
      <w:r w:rsidRPr="00BE0C7F">
        <w:rPr>
          <w:rStyle w:val="a8"/>
        </w:rPr>
        <w:footnoteRef/>
      </w:r>
      <w:r w:rsidRPr="002508DC">
        <w:t xml:space="preserve"> </w:t>
      </w:r>
      <w:r w:rsidRPr="002508DC">
        <w:tab/>
      </w:r>
      <w:hyperlink r:id="rId25" w:history="1">
        <w:r w:rsidRPr="00883933">
          <w:rPr>
            <w:rStyle w:val="a7"/>
            <w:lang w:val="en-US"/>
          </w:rPr>
          <w:t>E</w:t>
        </w:r>
        <w:r w:rsidRPr="00883933">
          <w:rPr>
            <w:rStyle w:val="a7"/>
          </w:rPr>
          <w:t>/</w:t>
        </w:r>
        <w:r w:rsidRPr="00883933">
          <w:rPr>
            <w:rStyle w:val="a7"/>
            <w:lang w:val="en-US"/>
          </w:rPr>
          <w:t>C</w:t>
        </w:r>
        <w:r w:rsidRPr="00883933">
          <w:rPr>
            <w:rStyle w:val="a7"/>
          </w:rPr>
          <w:t>.12/2001/10</w:t>
        </w:r>
      </w:hyperlink>
      <w:r w:rsidRPr="002508DC">
        <w:t xml:space="preserve">. </w:t>
      </w:r>
      <w:hyperlink r:id="rId26" w:history="1"/>
    </w:p>
  </w:footnote>
  <w:footnote w:id="15">
    <w:p w14:paraId="6EA443B9" w14:textId="05AAFF7D" w:rsidR="002508DC" w:rsidRPr="00794EE4" w:rsidRDefault="002508DC" w:rsidP="002508DC">
      <w:pPr>
        <w:pStyle w:val="af"/>
        <w:rPr>
          <w:rFonts w:eastAsia="Malgun Gothic"/>
        </w:rPr>
      </w:pPr>
      <w:r w:rsidRPr="002508DC">
        <w:tab/>
      </w:r>
      <w:r w:rsidRPr="00BE0C7F">
        <w:rPr>
          <w:rStyle w:val="a8"/>
        </w:rPr>
        <w:footnoteRef/>
      </w:r>
      <w:r w:rsidRPr="002508DC">
        <w:t xml:space="preserve"> </w:t>
      </w:r>
      <w:r w:rsidRPr="002508DC">
        <w:tab/>
      </w:r>
      <w:hyperlink r:id="rId27" w:history="1">
        <w:r w:rsidRPr="00883933">
          <w:rPr>
            <w:rStyle w:val="a7"/>
            <w:lang w:val="en-US"/>
          </w:rPr>
          <w:t>E</w:t>
        </w:r>
        <w:r w:rsidRPr="00883933">
          <w:rPr>
            <w:rStyle w:val="a7"/>
          </w:rPr>
          <w:t>/</w:t>
        </w:r>
        <w:r w:rsidRPr="00883933">
          <w:rPr>
            <w:rStyle w:val="a7"/>
            <w:lang w:val="en-US"/>
          </w:rPr>
          <w:t>C</w:t>
        </w:r>
        <w:r w:rsidRPr="00883933">
          <w:rPr>
            <w:rStyle w:val="a7"/>
          </w:rPr>
          <w:t>.12/</w:t>
        </w:r>
        <w:r w:rsidRPr="00883933">
          <w:rPr>
            <w:rStyle w:val="a7"/>
            <w:lang w:val="en-US"/>
          </w:rPr>
          <w:t>RUS</w:t>
        </w:r>
        <w:r w:rsidRPr="00883933">
          <w:rPr>
            <w:rStyle w:val="a7"/>
          </w:rPr>
          <w:t>/</w:t>
        </w:r>
        <w:r w:rsidRPr="00883933">
          <w:rPr>
            <w:rStyle w:val="a7"/>
            <w:lang w:val="en-US"/>
          </w:rPr>
          <w:t>CO</w:t>
        </w:r>
        <w:r w:rsidRPr="00883933">
          <w:rPr>
            <w:rStyle w:val="a7"/>
          </w:rPr>
          <w:t>/6</w:t>
        </w:r>
      </w:hyperlink>
      <w:r w:rsidRPr="002508DC">
        <w:t xml:space="preserve">, </w:t>
      </w:r>
      <w:r>
        <w:t>п</w:t>
      </w:r>
      <w:r w:rsidRPr="002508DC">
        <w:t>. 47.</w:t>
      </w:r>
      <w:hyperlink r:id="rId28" w:history="1"/>
    </w:p>
  </w:footnote>
  <w:footnote w:id="16">
    <w:p w14:paraId="007B438C" w14:textId="77777777" w:rsidR="00D32E71" w:rsidRPr="007A5F6A" w:rsidRDefault="00D32E71" w:rsidP="00D32E71">
      <w:pPr>
        <w:pStyle w:val="af"/>
      </w:pPr>
      <w:r w:rsidRPr="002508DC">
        <w:tab/>
      </w:r>
      <w:r w:rsidRPr="00BE0C7F">
        <w:rPr>
          <w:rStyle w:val="a8"/>
        </w:rPr>
        <w:footnoteRef/>
      </w:r>
      <w:r>
        <w:t xml:space="preserve"> </w:t>
      </w:r>
      <w:r>
        <w:tab/>
        <w:t>Там же, п. 51.</w:t>
      </w:r>
    </w:p>
  </w:footnote>
  <w:footnote w:id="17">
    <w:p w14:paraId="2679D622" w14:textId="77777777" w:rsidR="002508DC" w:rsidRPr="007A5F6A" w:rsidRDefault="002508DC" w:rsidP="002508DC">
      <w:pPr>
        <w:pStyle w:val="af"/>
      </w:pPr>
      <w:r w:rsidRPr="00794EE4">
        <w:tab/>
      </w:r>
      <w:r w:rsidRPr="00BE0C7F">
        <w:rPr>
          <w:rStyle w:val="a8"/>
        </w:rPr>
        <w:footnoteRef/>
      </w:r>
      <w:r>
        <w:tab/>
        <w:t xml:space="preserve">Там же, п. 59. </w:t>
      </w:r>
    </w:p>
  </w:footnote>
  <w:footnote w:id="18">
    <w:p w14:paraId="2B18A5A1" w14:textId="05F8F4CA" w:rsidR="002508DC" w:rsidRPr="00DC40C0" w:rsidRDefault="002508DC" w:rsidP="002508DC">
      <w:pPr>
        <w:pStyle w:val="af"/>
        <w:rPr>
          <w:lang w:val="de-CH"/>
        </w:rPr>
      </w:pPr>
      <w:r w:rsidRPr="00794EE4">
        <w:tab/>
      </w:r>
      <w:r w:rsidRPr="00BE0C7F">
        <w:rPr>
          <w:rStyle w:val="a8"/>
        </w:rPr>
        <w:footnoteRef/>
      </w:r>
      <w:r w:rsidRPr="00DC40C0">
        <w:rPr>
          <w:lang w:val="de-CH"/>
        </w:rPr>
        <w:tab/>
      </w:r>
      <w:hyperlink r:id="rId29" w:history="1">
        <w:r w:rsidRPr="00883933">
          <w:rPr>
            <w:rStyle w:val="a7"/>
            <w:lang w:val="de-CH"/>
          </w:rPr>
          <w:t>E/C.12/2019/1</w:t>
        </w:r>
      </w:hyperlink>
      <w:r w:rsidRPr="00DC40C0">
        <w:rPr>
          <w:lang w:val="de-CH"/>
        </w:rPr>
        <w:t>.</w:t>
      </w:r>
      <w:hyperlink r:id="rId30" w:history="1"/>
    </w:p>
  </w:footnote>
  <w:footnote w:id="19">
    <w:p w14:paraId="6B96CBB5" w14:textId="312242E8" w:rsidR="002508DC" w:rsidRPr="00DC40C0" w:rsidRDefault="002508DC" w:rsidP="002508DC">
      <w:pPr>
        <w:pStyle w:val="af"/>
        <w:rPr>
          <w:lang w:val="de-CH"/>
        </w:rPr>
      </w:pPr>
      <w:r w:rsidRPr="00DC40C0">
        <w:rPr>
          <w:lang w:val="de-CH"/>
        </w:rPr>
        <w:tab/>
      </w:r>
      <w:r w:rsidRPr="00BE0C7F">
        <w:rPr>
          <w:rStyle w:val="a8"/>
        </w:rPr>
        <w:footnoteRef/>
      </w:r>
      <w:r w:rsidRPr="00DC40C0">
        <w:rPr>
          <w:lang w:val="de-CH"/>
        </w:rPr>
        <w:tab/>
      </w:r>
      <w:hyperlink r:id="rId31" w:history="1">
        <w:r w:rsidRPr="00883933">
          <w:rPr>
            <w:rStyle w:val="a7"/>
            <w:lang w:val="de-CH"/>
          </w:rPr>
          <w:t>HRI/MC/2008/3</w:t>
        </w:r>
      </w:hyperlink>
      <w:r w:rsidRPr="00DC40C0">
        <w:rPr>
          <w:lang w:val="de-CH"/>
        </w:rPr>
        <w:t>.</w:t>
      </w:r>
      <w:hyperlink r:id="rId32" w:history="1"/>
    </w:p>
  </w:footnote>
  <w:footnote w:id="20">
    <w:p w14:paraId="1311BDC4" w14:textId="47940BFE" w:rsidR="002508DC" w:rsidRPr="00883933" w:rsidRDefault="002508DC" w:rsidP="002508DC">
      <w:pPr>
        <w:pStyle w:val="af"/>
        <w:rPr>
          <w:lang w:val="de-CH"/>
        </w:rPr>
      </w:pPr>
      <w:r w:rsidRPr="00DC40C0">
        <w:rPr>
          <w:lang w:val="de-CH"/>
        </w:rPr>
        <w:tab/>
      </w:r>
      <w:r w:rsidRPr="00BE0C7F">
        <w:rPr>
          <w:rStyle w:val="a8"/>
        </w:rPr>
        <w:footnoteRef/>
      </w:r>
      <w:r w:rsidRPr="00DC40C0">
        <w:rPr>
          <w:lang w:val="de-CH"/>
        </w:rPr>
        <w:tab/>
      </w:r>
      <w:hyperlink r:id="rId33" w:history="1">
        <w:r w:rsidRPr="00883933">
          <w:rPr>
            <w:rStyle w:val="a7"/>
            <w:lang w:val="de-CH"/>
          </w:rPr>
          <w:t>HRI/GEN/2/Rev.6</w:t>
        </w:r>
      </w:hyperlink>
      <w:r w:rsidRPr="00DC40C0">
        <w:rPr>
          <w:lang w:val="de-CH"/>
        </w:rPr>
        <w:t xml:space="preserve">, </w:t>
      </w:r>
      <w:proofErr w:type="spellStart"/>
      <w:r>
        <w:t>гл</w:t>
      </w:r>
      <w:proofErr w:type="spellEnd"/>
      <w:r w:rsidRPr="00DC40C0">
        <w:rPr>
          <w:lang w:val="de-CH"/>
        </w:rPr>
        <w:t xml:space="preserve">. </w:t>
      </w:r>
      <w:r w:rsidRPr="00883933">
        <w:rPr>
          <w:lang w:val="de-CH"/>
        </w:rPr>
        <w:t>I.</w:t>
      </w:r>
      <w:hyperlink r:id="rId34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799FF" w14:textId="63E8FBCB" w:rsidR="002508DC" w:rsidRPr="002508DC" w:rsidRDefault="002508DC">
    <w:pPr>
      <w:pStyle w:val="a5"/>
    </w:pPr>
    <w:fldSimple w:instr=" TITLE  \* MERGEFORMAT ">
      <w:r w:rsidR="006647E1">
        <w:t>E/C.12/RUS/CO/7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0A648" w14:textId="21F026A7" w:rsidR="002508DC" w:rsidRPr="002508DC" w:rsidRDefault="002508DC" w:rsidP="002508DC">
    <w:pPr>
      <w:pStyle w:val="a5"/>
      <w:jc w:val="right"/>
    </w:pPr>
    <w:fldSimple w:instr=" TITLE  \* MERGEFORMAT ">
      <w:r w:rsidR="006647E1">
        <w:t>E/C.12/RUS/CO/7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E5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508DC"/>
    <w:rsid w:val="002979E2"/>
    <w:rsid w:val="002A2EFC"/>
    <w:rsid w:val="002B48E5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07F8D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647E1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E18A3"/>
    <w:rsid w:val="00806737"/>
    <w:rsid w:val="00811570"/>
    <w:rsid w:val="00825F8D"/>
    <w:rsid w:val="00834B71"/>
    <w:rsid w:val="0086445C"/>
    <w:rsid w:val="00881771"/>
    <w:rsid w:val="00883933"/>
    <w:rsid w:val="00894693"/>
    <w:rsid w:val="00896BA2"/>
    <w:rsid w:val="008A08D7"/>
    <w:rsid w:val="008B6909"/>
    <w:rsid w:val="008C30BC"/>
    <w:rsid w:val="008F7381"/>
    <w:rsid w:val="00906890"/>
    <w:rsid w:val="00911BE4"/>
    <w:rsid w:val="00951972"/>
    <w:rsid w:val="009608F3"/>
    <w:rsid w:val="009A24AC"/>
    <w:rsid w:val="009B5AA3"/>
    <w:rsid w:val="009F1700"/>
    <w:rsid w:val="009F70C3"/>
    <w:rsid w:val="00A14DA8"/>
    <w:rsid w:val="00A21F00"/>
    <w:rsid w:val="00A312BC"/>
    <w:rsid w:val="00A346A2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17297"/>
    <w:rsid w:val="00C60F0C"/>
    <w:rsid w:val="00C805C9"/>
    <w:rsid w:val="00C92939"/>
    <w:rsid w:val="00CA1679"/>
    <w:rsid w:val="00CB151C"/>
    <w:rsid w:val="00CE5A1A"/>
    <w:rsid w:val="00CF55F6"/>
    <w:rsid w:val="00D10C8D"/>
    <w:rsid w:val="00D1565E"/>
    <w:rsid w:val="00D32E71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845C3"/>
    <w:rsid w:val="00E90403"/>
    <w:rsid w:val="00EA2C9F"/>
    <w:rsid w:val="00EA420E"/>
    <w:rsid w:val="00ED0BDA"/>
    <w:rsid w:val="00EE142A"/>
    <w:rsid w:val="00EF1360"/>
    <w:rsid w:val="00EF3220"/>
    <w:rsid w:val="00EF6B6B"/>
    <w:rsid w:val="00F43903"/>
    <w:rsid w:val="00F823D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26FD1"/>
  <w15:docId w15:val="{6204874B-7F7D-4C56-9883-BC7796530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2508DC"/>
    <w:rPr>
      <w:lang w:val="ru-RU" w:eastAsia="en-US"/>
    </w:rPr>
  </w:style>
  <w:style w:type="character" w:customStyle="1" w:styleId="H1GChar">
    <w:name w:val="_ H_1_G Char"/>
    <w:link w:val="H1G"/>
    <w:locked/>
    <w:rsid w:val="002508DC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83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E/C.12/RUS/RQ/7" TargetMode="External"/><Relationship Id="rId13" Type="http://schemas.openxmlformats.org/officeDocument/2006/relationships/hyperlink" Target="https://docs.un.org/ru/E/C.12/RUS/CO/6" TargetMode="External"/><Relationship Id="rId18" Type="http://schemas.openxmlformats.org/officeDocument/2006/relationships/hyperlink" Target="https://docs.un.org/en/E/C.12/RUS/CO/6" TargetMode="External"/><Relationship Id="rId26" Type="http://schemas.openxmlformats.org/officeDocument/2006/relationships/hyperlink" Target="https://docs.un.org/en/E/C.12/2001/10" TargetMode="External"/><Relationship Id="rId3" Type="http://schemas.openxmlformats.org/officeDocument/2006/relationships/hyperlink" Target="https://docs.un.org/en/E/C.12/2025/SR.34" TargetMode="External"/><Relationship Id="rId21" Type="http://schemas.openxmlformats.org/officeDocument/2006/relationships/hyperlink" Target="https://docs.un.org/ru/E/C.12/2015/1" TargetMode="External"/><Relationship Id="rId34" Type="http://schemas.openxmlformats.org/officeDocument/2006/relationships/hyperlink" Target="https://docs.un.org/en/HRI/GEN/2/Rev.6" TargetMode="External"/><Relationship Id="rId7" Type="http://schemas.openxmlformats.org/officeDocument/2006/relationships/hyperlink" Target="https://docs.un.org/ru/E/C.12/RUS/RQ/7" TargetMode="External"/><Relationship Id="rId12" Type="http://schemas.openxmlformats.org/officeDocument/2006/relationships/hyperlink" Target="https://docs.un.org/en/E/C.12/2016/2" TargetMode="External"/><Relationship Id="rId17" Type="http://schemas.openxmlformats.org/officeDocument/2006/relationships/hyperlink" Target="https://docs.un.org/ru/E/C.12/RUS/CO/6" TargetMode="External"/><Relationship Id="rId25" Type="http://schemas.openxmlformats.org/officeDocument/2006/relationships/hyperlink" Target="https://docs.un.org/ru/E/C.12/2001/10" TargetMode="External"/><Relationship Id="rId33" Type="http://schemas.openxmlformats.org/officeDocument/2006/relationships/hyperlink" Target="https://docs.un.org/ru/HRI/GEN/2/Rev.6" TargetMode="External"/><Relationship Id="rId2" Type="http://schemas.openxmlformats.org/officeDocument/2006/relationships/hyperlink" Target="https://docs.un.org/en/E/C.12/RUS/7" TargetMode="External"/><Relationship Id="rId16" Type="http://schemas.openxmlformats.org/officeDocument/2006/relationships/hyperlink" Target="http://undocs.org/en/E/C.12/2018/1" TargetMode="External"/><Relationship Id="rId20" Type="http://schemas.openxmlformats.org/officeDocument/2006/relationships/hyperlink" Target="https://docs.un.org/en/A/HRC/54/54" TargetMode="External"/><Relationship Id="rId29" Type="http://schemas.openxmlformats.org/officeDocument/2006/relationships/hyperlink" Target="https://docs.un.org/ru/E/C.12/2019/1" TargetMode="External"/><Relationship Id="rId1" Type="http://schemas.openxmlformats.org/officeDocument/2006/relationships/hyperlink" Target="https://docs.un.org/ru/E/C.12/RUS/7" TargetMode="External"/><Relationship Id="rId6" Type="http://schemas.openxmlformats.org/officeDocument/2006/relationships/hyperlink" Target="https://docs.un.org/en/E/C.12/2025/SR.35" TargetMode="External"/><Relationship Id="rId11" Type="http://schemas.openxmlformats.org/officeDocument/2006/relationships/hyperlink" Target="https://docs.un.org/ru/E/C.12/2016/2" TargetMode="External"/><Relationship Id="rId24" Type="http://schemas.openxmlformats.org/officeDocument/2006/relationships/hyperlink" Target="https://docs.un.org/en/CCPR/C/RUS/CO/8" TargetMode="External"/><Relationship Id="rId32" Type="http://schemas.openxmlformats.org/officeDocument/2006/relationships/hyperlink" Target="https://docs.un.org/en/HRI/MC/2008/3" TargetMode="External"/><Relationship Id="rId5" Type="http://schemas.openxmlformats.org/officeDocument/2006/relationships/hyperlink" Target="https://docs.un.org/en/E/C.12/2025/SR.34" TargetMode="External"/><Relationship Id="rId15" Type="http://schemas.openxmlformats.org/officeDocument/2006/relationships/hyperlink" Target="https://docs.un.org/ru/E/C.12/2018/1" TargetMode="External"/><Relationship Id="rId23" Type="http://schemas.openxmlformats.org/officeDocument/2006/relationships/hyperlink" Target="https://docs.un.org/ru/CCPR/C/RUS/CO/8" TargetMode="External"/><Relationship Id="rId28" Type="http://schemas.openxmlformats.org/officeDocument/2006/relationships/hyperlink" Target="https://docs.un.org/en/E/C.12/RUS/CO/6" TargetMode="External"/><Relationship Id="rId10" Type="http://schemas.openxmlformats.org/officeDocument/2006/relationships/hyperlink" Target="https://docs.un.org/en/E/C.12/RUS/CO/6" TargetMode="External"/><Relationship Id="rId19" Type="http://schemas.openxmlformats.org/officeDocument/2006/relationships/hyperlink" Target="https://docs.un.org/ru/A/HRC/54/54" TargetMode="External"/><Relationship Id="rId31" Type="http://schemas.openxmlformats.org/officeDocument/2006/relationships/hyperlink" Target="https://docs.un.org/en/HRI/MC/2008/3" TargetMode="External"/><Relationship Id="rId4" Type="http://schemas.openxmlformats.org/officeDocument/2006/relationships/hyperlink" Target="https://docs.un.org/en/E/C.12/2025/SR.35" TargetMode="External"/><Relationship Id="rId9" Type="http://schemas.openxmlformats.org/officeDocument/2006/relationships/hyperlink" Target="https://docs.un.org/ru/E/C.12/RUS/CO/6" TargetMode="External"/><Relationship Id="rId14" Type="http://schemas.openxmlformats.org/officeDocument/2006/relationships/hyperlink" Target="https://docs.un.org/en/E/C.12/RUS/CO/6" TargetMode="External"/><Relationship Id="rId22" Type="http://schemas.openxmlformats.org/officeDocument/2006/relationships/hyperlink" Target="http://undocs.org/en/E/C.12/2015/1" TargetMode="External"/><Relationship Id="rId27" Type="http://schemas.openxmlformats.org/officeDocument/2006/relationships/hyperlink" Target="https://docs.un.org/ru/E/C.12/RUS/CO/6" TargetMode="External"/><Relationship Id="rId30" Type="http://schemas.openxmlformats.org/officeDocument/2006/relationships/hyperlink" Target="https://docs.un.org/en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7</TotalTime>
  <Pages>15</Pages>
  <Words>6924</Words>
  <Characters>39473</Characters>
  <Application>Microsoft Office Word</Application>
  <DocSecurity>0</DocSecurity>
  <Lines>328</Lines>
  <Paragraphs>92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E/C.12/RUS/CO/7</vt:lpstr>
      <vt:lpstr>A/</vt:lpstr>
      <vt:lpstr>A/</vt:lpstr>
    </vt:vector>
  </TitlesOfParts>
  <Company>DCM</Company>
  <LinksUpToDate>false</LinksUpToDate>
  <CharactersWithSpaces>46305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E/C.12/RUS/CO/7</dc:title>
  <dc:subject/>
  <dc:creator>Tatiana SHARKINA</dc:creator>
  <cp:keywords/>
  <cp:lastModifiedBy>Tatiana Sharkina</cp:lastModifiedBy>
  <cp:revision>3</cp:revision>
  <cp:lastPrinted>2025-11-21T10:20:00Z</cp:lastPrinted>
  <dcterms:created xsi:type="dcterms:W3CDTF">2025-11-21T10:19:00Z</dcterms:created>
  <dcterms:modified xsi:type="dcterms:W3CDTF">2025-11-21T10:24:00Z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