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0932149" w14:textId="77777777" w:rsidTr="009D5F1A">
        <w:trPr>
          <w:trHeight w:hRule="exact" w:val="851"/>
        </w:trPr>
        <w:tc>
          <w:tcPr>
            <w:tcW w:w="1276" w:type="dxa"/>
            <w:tcBorders>
              <w:bottom w:val="single" w:sz="4" w:space="0" w:color="auto"/>
            </w:tcBorders>
          </w:tcPr>
          <w:p w14:paraId="39DDD28D" w14:textId="77777777" w:rsidR="00DC0149" w:rsidRPr="00DB58B5" w:rsidRDefault="00DC0149" w:rsidP="006E7295"/>
        </w:tc>
        <w:tc>
          <w:tcPr>
            <w:tcW w:w="2268" w:type="dxa"/>
            <w:tcBorders>
              <w:bottom w:val="single" w:sz="4" w:space="0" w:color="auto"/>
            </w:tcBorders>
            <w:vAlign w:val="bottom"/>
          </w:tcPr>
          <w:p w14:paraId="0DE33E5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DC0405" w14:textId="1B3BBDC9" w:rsidR="00DC0149" w:rsidRPr="00DB58B5" w:rsidRDefault="006E7295" w:rsidP="006E7295">
            <w:pPr>
              <w:jc w:val="right"/>
            </w:pPr>
            <w:r w:rsidRPr="006E7295">
              <w:rPr>
                <w:sz w:val="40"/>
              </w:rPr>
              <w:t>CERD</w:t>
            </w:r>
            <w:r>
              <w:t>/C/HRV/Q/9-14</w:t>
            </w:r>
          </w:p>
        </w:tc>
      </w:tr>
      <w:tr w:rsidR="00DC0149" w:rsidRPr="00DB58B5" w14:paraId="247D77AF" w14:textId="77777777" w:rsidTr="009D5F1A">
        <w:trPr>
          <w:trHeight w:hRule="exact" w:val="2835"/>
        </w:trPr>
        <w:tc>
          <w:tcPr>
            <w:tcW w:w="1276" w:type="dxa"/>
            <w:tcBorders>
              <w:top w:val="single" w:sz="4" w:space="0" w:color="auto"/>
              <w:bottom w:val="single" w:sz="12" w:space="0" w:color="auto"/>
            </w:tcBorders>
          </w:tcPr>
          <w:p w14:paraId="3770D5D2" w14:textId="77777777" w:rsidR="00DC0149" w:rsidRPr="00DB58B5" w:rsidRDefault="00DC0149" w:rsidP="009D5F1A">
            <w:pPr>
              <w:spacing w:before="120"/>
              <w:jc w:val="center"/>
            </w:pPr>
            <w:r>
              <w:rPr>
                <w:noProof/>
                <w:lang w:eastAsia="fr-CH"/>
              </w:rPr>
              <w:drawing>
                <wp:inline distT="0" distB="0" distL="0" distR="0" wp14:anchorId="6BDABE85" wp14:editId="41CBD8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C7AD21" w14:textId="5316D39D" w:rsidR="00DC0149" w:rsidRPr="00740562" w:rsidRDefault="00DC0149" w:rsidP="009D5F1A">
            <w:pPr>
              <w:spacing w:before="120" w:line="380" w:lineRule="exact"/>
              <w:rPr>
                <w:b/>
                <w:sz w:val="40"/>
                <w:szCs w:val="40"/>
              </w:rPr>
            </w:pPr>
            <w:r>
              <w:rPr>
                <w:b/>
                <w:sz w:val="34"/>
                <w:szCs w:val="34"/>
              </w:rPr>
              <w:t>Convention internationale sur</w:t>
            </w:r>
            <w:r w:rsidR="006E7295">
              <w:rPr>
                <w:b/>
                <w:sz w:val="34"/>
                <w:szCs w:val="34"/>
              </w:rPr>
              <w:t xml:space="preserve"> </w:t>
            </w:r>
            <w:r>
              <w:rPr>
                <w:b/>
                <w:sz w:val="34"/>
                <w:szCs w:val="34"/>
              </w:rPr>
              <w:br/>
              <w:t>l’élimination de toutes les formes</w:t>
            </w:r>
            <w:r w:rsidR="006E7295">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3D9285A2" w14:textId="77777777" w:rsidR="00DC0149" w:rsidRDefault="006E7295" w:rsidP="009D5F1A">
            <w:pPr>
              <w:spacing w:before="240"/>
            </w:pPr>
            <w:r>
              <w:t>Distr. générale</w:t>
            </w:r>
          </w:p>
          <w:p w14:paraId="0173668B" w14:textId="367CCEF6" w:rsidR="006E7295" w:rsidRDefault="006E7295" w:rsidP="006E7295">
            <w:pPr>
              <w:spacing w:line="240" w:lineRule="exact"/>
            </w:pPr>
            <w:r>
              <w:t>3 juillet 2023</w:t>
            </w:r>
          </w:p>
          <w:p w14:paraId="2C56D43C" w14:textId="77777777" w:rsidR="006E7295" w:rsidRDefault="006E7295" w:rsidP="006E7295">
            <w:pPr>
              <w:spacing w:line="240" w:lineRule="exact"/>
            </w:pPr>
            <w:r>
              <w:t>Français</w:t>
            </w:r>
          </w:p>
          <w:p w14:paraId="61F04731" w14:textId="77777777" w:rsidR="006E7295" w:rsidRDefault="006E7295" w:rsidP="006E7295">
            <w:pPr>
              <w:spacing w:line="240" w:lineRule="exact"/>
            </w:pPr>
            <w:r>
              <w:t>Original : anglais</w:t>
            </w:r>
          </w:p>
          <w:p w14:paraId="4D49D501" w14:textId="75C98C7D" w:rsidR="006E7295" w:rsidRPr="00DB58B5" w:rsidRDefault="006E7295" w:rsidP="006E7295">
            <w:pPr>
              <w:spacing w:line="240" w:lineRule="exact"/>
            </w:pPr>
            <w:r>
              <w:t>Anglais, espagnol et français seulement</w:t>
            </w:r>
          </w:p>
        </w:tc>
      </w:tr>
    </w:tbl>
    <w:p w14:paraId="7C6532C3" w14:textId="77777777" w:rsidR="00623CA8" w:rsidRDefault="00623CA8" w:rsidP="00623CA8">
      <w:pPr>
        <w:spacing w:before="120"/>
        <w:rPr>
          <w:b/>
          <w:sz w:val="24"/>
          <w:szCs w:val="24"/>
        </w:rPr>
      </w:pPr>
      <w:r w:rsidRPr="00C56102">
        <w:rPr>
          <w:b/>
          <w:sz w:val="24"/>
          <w:szCs w:val="24"/>
        </w:rPr>
        <w:t>Comité pour l’élimination de la discrimination raciale</w:t>
      </w:r>
    </w:p>
    <w:p w14:paraId="6062A541" w14:textId="6A120194" w:rsidR="006E7295" w:rsidRPr="0015702B" w:rsidRDefault="006E7295" w:rsidP="00780585">
      <w:pPr>
        <w:rPr>
          <w:b/>
        </w:rPr>
      </w:pPr>
      <w:r>
        <w:rPr>
          <w:b/>
        </w:rPr>
        <w:t>110</w:t>
      </w:r>
      <w:r w:rsidRPr="006E7295">
        <w:rPr>
          <w:b/>
          <w:vertAlign w:val="superscript"/>
        </w:rPr>
        <w:t>e</w:t>
      </w:r>
      <w:r>
        <w:rPr>
          <w:b/>
        </w:rPr>
        <w:t> </w:t>
      </w:r>
      <w:r w:rsidRPr="0015702B">
        <w:rPr>
          <w:b/>
        </w:rPr>
        <w:t>session</w:t>
      </w:r>
    </w:p>
    <w:p w14:paraId="436AA1EE" w14:textId="5D2938FB" w:rsidR="006E7295" w:rsidRPr="0015702B" w:rsidRDefault="006E7295" w:rsidP="00780585">
      <w:r>
        <w:t>7-31 août 2023</w:t>
      </w:r>
    </w:p>
    <w:p w14:paraId="6CD2EFD7" w14:textId="54D47F28" w:rsidR="006E7295" w:rsidRPr="0015702B" w:rsidRDefault="006E7295" w:rsidP="00780585">
      <w:r w:rsidRPr="0015702B">
        <w:t>Point</w:t>
      </w:r>
      <w:r>
        <w:t> 4</w:t>
      </w:r>
      <w:r w:rsidRPr="0015702B">
        <w:t xml:space="preserve"> de l’ordre du jour</w:t>
      </w:r>
      <w:r>
        <w:t xml:space="preserve"> provisoire</w:t>
      </w:r>
    </w:p>
    <w:p w14:paraId="7347F6C6" w14:textId="210B9D33" w:rsidR="006E7295" w:rsidRPr="0015702B" w:rsidRDefault="006E7295" w:rsidP="00780585">
      <w:r w:rsidRPr="0015702B">
        <w:rPr>
          <w:b/>
        </w:rPr>
        <w:t>Examen des rapports, observations et renseignements soumis</w:t>
      </w:r>
      <w:r>
        <w:rPr>
          <w:b/>
        </w:rPr>
        <w:t xml:space="preserve"> </w:t>
      </w:r>
      <w:r w:rsidRPr="0015702B">
        <w:rPr>
          <w:b/>
        </w:rPr>
        <w:br/>
        <w:t xml:space="preserve">par les </w:t>
      </w:r>
      <w:r w:rsidRPr="0015702B">
        <w:rPr>
          <w:rFonts w:eastAsia="MS Mincho"/>
          <w:b/>
        </w:rPr>
        <w:t>États parties</w:t>
      </w:r>
      <w:r w:rsidRPr="0015702B">
        <w:rPr>
          <w:b/>
        </w:rPr>
        <w:t xml:space="preserve"> en application de l’article</w:t>
      </w:r>
      <w:r>
        <w:rPr>
          <w:b/>
        </w:rPr>
        <w:t> </w:t>
      </w:r>
      <w:r w:rsidRPr="0015702B">
        <w:rPr>
          <w:b/>
        </w:rPr>
        <w:t>9 de la Convention</w:t>
      </w:r>
    </w:p>
    <w:p w14:paraId="321CDFC1" w14:textId="77777777" w:rsidR="006E7295" w:rsidRPr="000B5CFD" w:rsidRDefault="006E7295" w:rsidP="006E7295">
      <w:pPr>
        <w:pStyle w:val="HChG"/>
        <w:rPr>
          <w:shd w:val="clear" w:color="000000" w:fill="FFFFFF"/>
        </w:rPr>
      </w:pPr>
      <w:r>
        <w:rPr>
          <w:lang w:val="fr-FR"/>
        </w:rPr>
        <w:tab/>
      </w:r>
      <w:r>
        <w:rPr>
          <w:lang w:val="fr-FR"/>
        </w:rPr>
        <w:tab/>
      </w:r>
      <w:r>
        <w:rPr>
          <w:bCs/>
          <w:lang w:val="fr-FR"/>
        </w:rPr>
        <w:t>Liste de thèmes concernant le rapport de la Croatie valant neuvième à quatorzième rapports périodiques</w:t>
      </w:r>
    </w:p>
    <w:p w14:paraId="18C0C044" w14:textId="10D103DD" w:rsidR="006E7295" w:rsidRPr="000B5CFD" w:rsidRDefault="006E7295" w:rsidP="006E7295">
      <w:pPr>
        <w:pStyle w:val="H1G"/>
        <w:rPr>
          <w:shd w:val="clear" w:color="000000" w:fill="FFFFFF"/>
        </w:rPr>
      </w:pPr>
      <w:r>
        <w:rPr>
          <w:lang w:val="fr-FR"/>
        </w:rPr>
        <w:tab/>
      </w:r>
      <w:r>
        <w:rPr>
          <w:lang w:val="fr-FR"/>
        </w:rPr>
        <w:tab/>
        <w:t xml:space="preserve">Note du </w:t>
      </w:r>
      <w:r w:rsidRPr="006E7295">
        <w:t>rapporteur</w:t>
      </w:r>
      <w:r>
        <w:rPr>
          <w:lang w:val="fr-FR"/>
        </w:rPr>
        <w:t xml:space="preserve"> pour le pays</w:t>
      </w:r>
      <w:r w:rsidRPr="006E7295">
        <w:rPr>
          <w:rStyle w:val="Appelnotedebasdep"/>
          <w:b w:val="0"/>
          <w:bCs/>
          <w:sz w:val="20"/>
          <w:vertAlign w:val="baseline"/>
        </w:rPr>
        <w:footnoteReference w:customMarkFollows="1" w:id="2"/>
        <w:t>*</w:t>
      </w:r>
    </w:p>
    <w:p w14:paraId="359CB051" w14:textId="77777777" w:rsidR="006E7295" w:rsidRPr="000B5CFD" w:rsidRDefault="006E7295" w:rsidP="006E7295">
      <w:pPr>
        <w:pStyle w:val="SingleTxtG"/>
        <w:rPr>
          <w:shd w:val="clear" w:color="000000" w:fill="FFFFFF"/>
        </w:rPr>
      </w:pPr>
      <w:r>
        <w:rPr>
          <w:lang w:val="fr-FR"/>
        </w:rPr>
        <w:t>1.</w:t>
      </w:r>
      <w:r>
        <w:rPr>
          <w:lang w:val="fr-FR"/>
        </w:rPr>
        <w:tab/>
        <w:t>À sa soixante-seizième session</w:t>
      </w:r>
      <w:r w:rsidRPr="00EC7F91">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5724F56E" w14:textId="77777777" w:rsidR="006E7295" w:rsidRPr="000B5CFD" w:rsidRDefault="006E7295" w:rsidP="006E7295">
      <w:pPr>
        <w:pStyle w:val="H23G"/>
        <w:rPr>
          <w:shd w:val="clear" w:color="000000" w:fill="FFFFFF"/>
        </w:rPr>
      </w:pPr>
      <w:r>
        <w:rPr>
          <w:lang w:val="fr-FR"/>
        </w:rPr>
        <w:tab/>
      </w:r>
      <w:r>
        <w:rPr>
          <w:lang w:val="fr-FR"/>
        </w:rPr>
        <w:tab/>
      </w:r>
      <w:r>
        <w:rPr>
          <w:bCs/>
          <w:lang w:val="fr-FR"/>
        </w:rPr>
        <w:t>Statistiques</w:t>
      </w:r>
    </w:p>
    <w:p w14:paraId="3FE86D47" w14:textId="55E7662D" w:rsidR="006E7295" w:rsidRPr="000B5CFD" w:rsidRDefault="006E7295" w:rsidP="006E7295">
      <w:pPr>
        <w:pStyle w:val="SingleTxtG"/>
        <w:rPr>
          <w:shd w:val="clear" w:color="000000" w:fill="FFFFFF"/>
        </w:rPr>
      </w:pPr>
      <w:r>
        <w:rPr>
          <w:lang w:val="fr-FR"/>
        </w:rPr>
        <w:t>2.</w:t>
      </w:r>
      <w:r>
        <w:rPr>
          <w:lang w:val="fr-FR"/>
        </w:rPr>
        <w:tab/>
        <w:t>Statistiques actualisées, ventilées par origine ethnique, sur la composition démographique de la population, y</w:t>
      </w:r>
      <w:r w:rsidR="00337170">
        <w:rPr>
          <w:lang w:val="fr-FR"/>
        </w:rPr>
        <w:t> </w:t>
      </w:r>
      <w:r>
        <w:rPr>
          <w:lang w:val="fr-FR"/>
        </w:rPr>
        <w:t>compris les Roms, ainsi que sur les migrants, les réfugiés, les demandeurs d’asile et les apatrides</w:t>
      </w:r>
      <w:r w:rsidRPr="00EC7F91">
        <w:rPr>
          <w:rStyle w:val="Appelnotedebasdep"/>
        </w:rPr>
        <w:footnoteReference w:id="4"/>
      </w:r>
      <w:r>
        <w:rPr>
          <w:lang w:val="fr-FR"/>
        </w:rPr>
        <w:t>. Indicateurs économiques et sociaux, ventilés par origine nationale ou ethnique, genre et âge, concernant les différents groupes qui vivent sur le territoire de l’État, en particulier les groupes minoritaires.</w:t>
      </w:r>
    </w:p>
    <w:p w14:paraId="52B52159" w14:textId="3D466B08" w:rsidR="006E7295" w:rsidRPr="000B5CFD" w:rsidRDefault="006E7295" w:rsidP="006E7295">
      <w:pPr>
        <w:pStyle w:val="H23G"/>
        <w:rPr>
          <w:shd w:val="clear" w:color="000000" w:fill="FFFFFF"/>
        </w:rPr>
      </w:pPr>
      <w:r>
        <w:rPr>
          <w:lang w:val="fr-FR"/>
        </w:rPr>
        <w:tab/>
      </w:r>
      <w:r>
        <w:rPr>
          <w:lang w:val="fr-FR"/>
        </w:rPr>
        <w:tab/>
      </w:r>
      <w:r>
        <w:rPr>
          <w:bCs/>
          <w:lang w:val="fr-FR"/>
        </w:rPr>
        <w:t>La Convention dans le droit interne et le cadre institutionnel et stratégique régissant son application (art.</w:t>
      </w:r>
      <w:r w:rsidR="00337170">
        <w:rPr>
          <w:bCs/>
          <w:lang w:val="fr-FR"/>
        </w:rPr>
        <w:t> </w:t>
      </w:r>
      <w:r>
        <w:rPr>
          <w:bCs/>
          <w:lang w:val="fr-FR"/>
        </w:rPr>
        <w:t>1</w:t>
      </w:r>
      <w:r w:rsidRPr="00337170">
        <w:rPr>
          <w:bCs/>
          <w:vertAlign w:val="superscript"/>
          <w:lang w:val="fr-FR"/>
        </w:rPr>
        <w:t>er</w:t>
      </w:r>
      <w:r>
        <w:rPr>
          <w:bCs/>
          <w:lang w:val="fr-FR"/>
        </w:rPr>
        <w:t>, 2, 4 et 6)</w:t>
      </w:r>
    </w:p>
    <w:p w14:paraId="09CD2409" w14:textId="77777777" w:rsidR="006E7295" w:rsidRPr="000B5CFD" w:rsidRDefault="006E7295" w:rsidP="006E7295">
      <w:pPr>
        <w:pStyle w:val="SingleTxtG"/>
        <w:rPr>
          <w:shd w:val="clear" w:color="000000" w:fill="FFFFFF"/>
        </w:rPr>
      </w:pPr>
      <w:r>
        <w:rPr>
          <w:lang w:val="fr-FR"/>
        </w:rPr>
        <w:t>3.</w:t>
      </w:r>
      <w:r>
        <w:rPr>
          <w:lang w:val="fr-FR"/>
        </w:rPr>
        <w:tab/>
        <w:t>Informations sur les résultats obtenus dans le cadre du plan national de lutte contre la discrimination (2017-2022) et du plan d’action s’y rapportant (2019) et sur l’évaluation qui en a été faite ainsi que sur les mesures prises pour élaborer un nouveau plan national global et un plan d’action de lutte contre le racisme, la discrimination raciale et l’intolérance</w:t>
      </w:r>
      <w:r w:rsidRPr="00EC7F91">
        <w:rPr>
          <w:rStyle w:val="Appelnotedebasdep"/>
        </w:rPr>
        <w:footnoteReference w:id="5"/>
      </w:r>
      <w:r>
        <w:rPr>
          <w:lang w:val="fr-FR"/>
        </w:rPr>
        <w:t>.</w:t>
      </w:r>
    </w:p>
    <w:p w14:paraId="1DEC1270" w14:textId="6EA99983" w:rsidR="006E7295" w:rsidRPr="000B5CFD" w:rsidRDefault="006E7295" w:rsidP="006E7295">
      <w:pPr>
        <w:pStyle w:val="SingleTxtG"/>
        <w:rPr>
          <w:shd w:val="clear" w:color="000000" w:fill="FFFFFF"/>
        </w:rPr>
      </w:pPr>
      <w:r>
        <w:rPr>
          <w:lang w:val="fr-FR"/>
        </w:rPr>
        <w:t>4.</w:t>
      </w:r>
      <w:r>
        <w:rPr>
          <w:lang w:val="fr-FR"/>
        </w:rPr>
        <w:tab/>
        <w:t>Mesures prises pour que les dispositions du Code pénal et des autres lois relatives aux discours et crimes de haine à caractère raciste et à l’incitation à la haine raciale soient pleinement conformes à l’article 4 de la Convention. En ce qui concerne les articles 125 (atteinte à l’égalité) et 325 (incitation publique à la violence et à la haine) du Code pénal, statistiques actualisées et informations détaillées sur les plaintes déposées auprès des tribunaux ou de toute autre institution nationale pour des actes de discrimination raciale ou des discours ou crimes de haine à caractère raciste, y compris sur Internet et dans les médias, ainsi que sur le nombre d’enquêtes menées, de poursuites engagées et de déclarations de culpabilité prononcées</w:t>
      </w:r>
      <w:r w:rsidRPr="00EC7F91">
        <w:rPr>
          <w:rStyle w:val="Appelnotedebasdep"/>
        </w:rPr>
        <w:footnoteReference w:id="6"/>
      </w:r>
      <w:r>
        <w:rPr>
          <w:lang w:val="fr-FR"/>
        </w:rPr>
        <w:t xml:space="preserve">. Informations sur l’application du Code pénal dans des affaires concernant des crimes de haine ou des infractions </w:t>
      </w:r>
      <w:r w:rsidR="00337170">
        <w:rPr>
          <w:lang w:val="fr-FR"/>
        </w:rPr>
        <w:t>pour</w:t>
      </w:r>
      <w:r>
        <w:rPr>
          <w:lang w:val="fr-FR"/>
        </w:rPr>
        <w:t xml:space="preserve"> lesquelles la motivation raciste et xénophobe constitue une circonstance aggravante.</w:t>
      </w:r>
    </w:p>
    <w:p w14:paraId="048C09C4" w14:textId="35E67E39" w:rsidR="006E7295" w:rsidRPr="000B5CFD" w:rsidRDefault="006E7295" w:rsidP="006E7295">
      <w:pPr>
        <w:pStyle w:val="SingleTxtG"/>
        <w:rPr>
          <w:shd w:val="clear" w:color="000000" w:fill="FFFFFF"/>
        </w:rPr>
      </w:pPr>
      <w:r>
        <w:rPr>
          <w:lang w:val="fr-FR"/>
        </w:rPr>
        <w:t>5.</w:t>
      </w:r>
      <w:r>
        <w:rPr>
          <w:lang w:val="fr-FR"/>
        </w:rPr>
        <w:tab/>
        <w:t>Mesures prises ou envisagées pour lutter contre les discours de haine à caractère raciste, y compris dans la sphère politique, dans les médias et sur Internet. Informations sur le protocole relatif à la procédure à suivre en cas de crimes de haine, adopté en 2011, et sur le groupe de travail chargé du suivi des crimes de haine, notamment sur son mandat, ses activités et sa composition</w:t>
      </w:r>
      <w:r w:rsidRPr="00EC7F91">
        <w:rPr>
          <w:rStyle w:val="Appelnotedebasdep"/>
        </w:rPr>
        <w:footnoteReference w:id="7"/>
      </w:r>
      <w:r>
        <w:rPr>
          <w:lang w:val="fr-FR"/>
        </w:rPr>
        <w:t>.</w:t>
      </w:r>
    </w:p>
    <w:p w14:paraId="0B5F44BA" w14:textId="66853376" w:rsidR="006E7295" w:rsidRPr="000B5CFD" w:rsidRDefault="006E7295" w:rsidP="006E7295">
      <w:pPr>
        <w:pStyle w:val="SingleTxtG"/>
        <w:rPr>
          <w:shd w:val="clear" w:color="000000" w:fill="FFFFFF"/>
        </w:rPr>
      </w:pPr>
      <w:r>
        <w:rPr>
          <w:lang w:val="fr-FR"/>
        </w:rPr>
        <w:t>6.</w:t>
      </w:r>
      <w:r>
        <w:rPr>
          <w:lang w:val="fr-FR"/>
        </w:rPr>
        <w:tab/>
        <w:t>Informations sur les mesures prises ou envisagées pour que les policiers et les autres membres des forces de l’ordre ne se livrent à des actes de discrimination raciale, notamment à des violences et des pratiques qui s’apparentent à du profilage racial.</w:t>
      </w:r>
    </w:p>
    <w:p w14:paraId="60DC409A" w14:textId="1F141F25" w:rsidR="006E7295" w:rsidRPr="000B5CFD" w:rsidRDefault="006E7295" w:rsidP="006E7295">
      <w:pPr>
        <w:pStyle w:val="SingleTxtG"/>
        <w:rPr>
          <w:shd w:val="clear" w:color="000000" w:fill="FFFFFF"/>
        </w:rPr>
      </w:pPr>
      <w:r>
        <w:rPr>
          <w:lang w:val="fr-FR"/>
        </w:rPr>
        <w:t>7.</w:t>
      </w:r>
      <w:r>
        <w:rPr>
          <w:lang w:val="fr-FR"/>
        </w:rPr>
        <w:tab/>
        <w:t>Mesures prises pour renforcer les services d’aide juridictionnelle et faire en sorte que de tels services soient accessibles, ainsi que pour garantir l’assistance d’un avocat afin de faciliter les poursuites dans les affaires de discrimination raciale, conformément à la loi sur l’aide juridictionnelle gratuite</w:t>
      </w:r>
      <w:r w:rsidRPr="00EC7F91">
        <w:rPr>
          <w:rStyle w:val="Appelnotedebasdep"/>
        </w:rPr>
        <w:footnoteReference w:id="8"/>
      </w:r>
      <w:r>
        <w:rPr>
          <w:lang w:val="fr-FR"/>
        </w:rPr>
        <w:t>.</w:t>
      </w:r>
    </w:p>
    <w:p w14:paraId="7CA73426" w14:textId="09E1B878" w:rsidR="006E7295" w:rsidRPr="000B5CFD" w:rsidRDefault="006E7295" w:rsidP="006E7295">
      <w:pPr>
        <w:pStyle w:val="H23G"/>
        <w:rPr>
          <w:shd w:val="clear" w:color="000000" w:fill="FFFFFF"/>
        </w:rPr>
      </w:pPr>
      <w:r>
        <w:rPr>
          <w:lang w:val="fr-FR"/>
        </w:rPr>
        <w:tab/>
      </w:r>
      <w:r>
        <w:rPr>
          <w:lang w:val="fr-FR"/>
        </w:rPr>
        <w:tab/>
      </w:r>
      <w:r>
        <w:rPr>
          <w:bCs/>
          <w:lang w:val="fr-FR"/>
        </w:rPr>
        <w:t>Situation des minorités ethniques (art. 2, 5 et 6)</w:t>
      </w:r>
    </w:p>
    <w:p w14:paraId="35889EB3" w14:textId="336E7BE8" w:rsidR="006E7295" w:rsidRPr="000B5CFD" w:rsidRDefault="006E7295" w:rsidP="006E7295">
      <w:pPr>
        <w:pStyle w:val="SingleTxtG"/>
        <w:rPr>
          <w:shd w:val="clear" w:color="000000" w:fill="FFFFFF"/>
        </w:rPr>
      </w:pPr>
      <w:r>
        <w:rPr>
          <w:lang w:val="fr-FR"/>
        </w:rPr>
        <w:t>8.</w:t>
      </w:r>
      <w:r>
        <w:rPr>
          <w:lang w:val="fr-FR"/>
        </w:rPr>
        <w:tab/>
        <w:t>Informations sur le plan national d’inclusion des Roms (2021-2027) et sur les autres mesures visant à lutter contre les stéréotypes et la discrimination structurelle à l’égard des Roms et veiller à ce que ceux-ci puissent, dans des conditions d’égalité, exercer pleinement leurs droits économiques, sociaux et culturels, en particulier le droit d’accès à l’éducation et à un logement convenable, et à ce qu’ils soient consultés et associés à la conception et à l’application de ces mesures</w:t>
      </w:r>
      <w:r w:rsidRPr="00EC7F91">
        <w:rPr>
          <w:rStyle w:val="Appelnotedebasdep"/>
        </w:rPr>
        <w:footnoteReference w:id="9"/>
      </w:r>
      <w:r>
        <w:rPr>
          <w:lang w:val="fr-FR"/>
        </w:rPr>
        <w:t>.</w:t>
      </w:r>
    </w:p>
    <w:p w14:paraId="553D0D78" w14:textId="714740BD" w:rsidR="006E7295" w:rsidRPr="000B5CFD" w:rsidRDefault="006E7295" w:rsidP="006E7295">
      <w:pPr>
        <w:pStyle w:val="SingleTxtG"/>
        <w:rPr>
          <w:shd w:val="clear" w:color="000000" w:fill="FFFFFF"/>
        </w:rPr>
      </w:pPr>
      <w:r>
        <w:rPr>
          <w:lang w:val="fr-FR"/>
        </w:rPr>
        <w:t>9.</w:t>
      </w:r>
      <w:r>
        <w:rPr>
          <w:lang w:val="fr-FR"/>
        </w:rPr>
        <w:tab/>
        <w:t>Mesures prises pour garantir aux enfants roms un accès à un enseignement de qualité, y compris en langue romani, dans des conditions d’égalité et pour prévenir une ségrégation de fait des élèves roms</w:t>
      </w:r>
      <w:r w:rsidRPr="00EC7F91">
        <w:rPr>
          <w:rStyle w:val="Appelnotedebasdep"/>
        </w:rPr>
        <w:footnoteReference w:id="10"/>
      </w:r>
      <w:r>
        <w:rPr>
          <w:lang w:val="fr-FR"/>
        </w:rPr>
        <w:t>. Informations sur les mesures prises pour lutter contre les mariages précoces ou forcés parmi la minorité rom</w:t>
      </w:r>
      <w:r w:rsidRPr="00EC7F91">
        <w:rPr>
          <w:rStyle w:val="Appelnotedebasdep"/>
        </w:rPr>
        <w:footnoteReference w:id="11"/>
      </w:r>
      <w:r>
        <w:rPr>
          <w:lang w:val="fr-FR"/>
        </w:rPr>
        <w:t>.</w:t>
      </w:r>
    </w:p>
    <w:p w14:paraId="223AA9A2" w14:textId="558B7869" w:rsidR="006E7295" w:rsidRPr="000B5CFD" w:rsidRDefault="006E7295" w:rsidP="006E7295">
      <w:pPr>
        <w:pStyle w:val="SingleTxtG"/>
        <w:rPr>
          <w:shd w:val="clear" w:color="000000" w:fill="FFFFFF"/>
        </w:rPr>
      </w:pPr>
      <w:r>
        <w:rPr>
          <w:lang w:val="fr-FR"/>
        </w:rPr>
        <w:t>10.</w:t>
      </w:r>
      <w:r>
        <w:rPr>
          <w:lang w:val="fr-FR"/>
        </w:rPr>
        <w:tab/>
        <w:t>Mesures visant à ce que les minorités ethniques, en particulier serbes et roms, soient représentées dans la vie publique et politique et y participent activement, en particulier dans les institutions publiques, les forces de l’ordre et l’appareil judiciaire, et que ces groupes puissent exercer leurs droits économiques, sociaux et culturels, notamment l’adoption et l’application de mesures spéciales</w:t>
      </w:r>
      <w:r w:rsidRPr="00EC7F91">
        <w:rPr>
          <w:rStyle w:val="Appelnotedebasdep"/>
        </w:rPr>
        <w:footnoteReference w:id="12"/>
      </w:r>
      <w:r>
        <w:rPr>
          <w:lang w:val="fr-FR"/>
        </w:rPr>
        <w:t>.</w:t>
      </w:r>
    </w:p>
    <w:p w14:paraId="3F8A7B0D" w14:textId="776DC9D6" w:rsidR="006E7295" w:rsidRPr="000B5CFD" w:rsidRDefault="006E7295" w:rsidP="006E7295">
      <w:pPr>
        <w:pStyle w:val="SingleTxtG"/>
        <w:rPr>
          <w:shd w:val="clear" w:color="000000" w:fill="FFFFFF"/>
        </w:rPr>
      </w:pPr>
      <w:r>
        <w:rPr>
          <w:lang w:val="fr-FR"/>
        </w:rPr>
        <w:t>11.</w:t>
      </w:r>
      <w:r>
        <w:rPr>
          <w:lang w:val="fr-FR"/>
        </w:rPr>
        <w:tab/>
        <w:t>Informations sur le Conseil des minorités nationales, sur le Bureau des droits de l’homme et des droits des minorités nationales et sur d’autres instruments nationaux de consultation et de dialogue avec les minorités ethniques, l’objectif étant de tenir compte des vues et des préoccupations de ces minorités dans les débats sur les questions qui les concernent</w:t>
      </w:r>
      <w:r w:rsidRPr="00EC7F91">
        <w:rPr>
          <w:rStyle w:val="Appelnotedebasdep"/>
        </w:rPr>
        <w:footnoteReference w:id="13"/>
      </w:r>
      <w:r>
        <w:rPr>
          <w:lang w:val="fr-FR"/>
        </w:rPr>
        <w:t>.</w:t>
      </w:r>
    </w:p>
    <w:p w14:paraId="3E9F7B56" w14:textId="629747C2" w:rsidR="006E7295" w:rsidRPr="000B5CFD" w:rsidRDefault="006E7295" w:rsidP="006E7295">
      <w:pPr>
        <w:pStyle w:val="SingleTxtG"/>
        <w:rPr>
          <w:shd w:val="clear" w:color="000000" w:fill="FFFFFF"/>
        </w:rPr>
      </w:pPr>
      <w:r>
        <w:rPr>
          <w:lang w:val="fr-FR"/>
        </w:rPr>
        <w:t>12.</w:t>
      </w:r>
      <w:r>
        <w:rPr>
          <w:lang w:val="fr-FR"/>
        </w:rPr>
        <w:tab/>
        <w:t>Informations sur les mesures visant à assurer le développement durable des zones qui préoccupent particulièrement l’État, où vivent principalement des minorités serbes et roms, et visant à mettre fin aux disparités sociales et économiques entre les régions</w:t>
      </w:r>
      <w:r w:rsidRPr="00EC7F91">
        <w:rPr>
          <w:rStyle w:val="Appelnotedebasdep"/>
        </w:rPr>
        <w:footnoteReference w:id="14"/>
      </w:r>
      <w:r>
        <w:rPr>
          <w:lang w:val="fr-FR"/>
        </w:rPr>
        <w:t>.</w:t>
      </w:r>
    </w:p>
    <w:p w14:paraId="074B7560" w14:textId="52D382F3" w:rsidR="006E7295" w:rsidRPr="000B5CFD" w:rsidRDefault="006E7295" w:rsidP="006E7295">
      <w:pPr>
        <w:pStyle w:val="SingleTxtG"/>
        <w:keepNext/>
        <w:keepLines/>
        <w:rPr>
          <w:shd w:val="clear" w:color="000000" w:fill="FFFFFF"/>
        </w:rPr>
      </w:pPr>
      <w:r>
        <w:rPr>
          <w:lang w:val="fr-FR"/>
        </w:rPr>
        <w:t>13.</w:t>
      </w:r>
      <w:r>
        <w:rPr>
          <w:lang w:val="fr-FR"/>
        </w:rPr>
        <w:tab/>
        <w:t>Informations sur les procès de crimes de guerre et sur les mesures visant à ce que de tels procès soient menés de manière non discriminatoire et à ce que tous les crimes de guerre fassent l’objet d’enquêtes et donnent lieu à des poursuites en bonne et due forme, quelle que soit l’appartenance ethnique des victimes et des auteurs concernés</w:t>
      </w:r>
      <w:r w:rsidRPr="00EC7F91">
        <w:rPr>
          <w:rStyle w:val="Appelnotedebasdep"/>
        </w:rPr>
        <w:footnoteReference w:id="15"/>
      </w:r>
      <w:r>
        <w:rPr>
          <w:lang w:val="fr-FR"/>
        </w:rPr>
        <w:t>.</w:t>
      </w:r>
    </w:p>
    <w:p w14:paraId="74E2A343" w14:textId="182B5E76" w:rsidR="006E7295" w:rsidRPr="000B5CFD" w:rsidRDefault="006E7295" w:rsidP="006E7295">
      <w:pPr>
        <w:pStyle w:val="SingleTxtG"/>
        <w:rPr>
          <w:shd w:val="clear" w:color="000000" w:fill="FFFFFF"/>
        </w:rPr>
      </w:pPr>
      <w:r>
        <w:rPr>
          <w:lang w:val="fr-FR"/>
        </w:rPr>
        <w:t>14.</w:t>
      </w:r>
      <w:r>
        <w:rPr>
          <w:lang w:val="fr-FR"/>
        </w:rPr>
        <w:tab/>
        <w:t>Informations sur les mesures prises pour faciliter le retour et la réinsertion des réfugiés de guerre, en particulier pour régler les problèmes de logement des propriétaires et des anciens titulaires de droits d’occupation</w:t>
      </w:r>
      <w:r w:rsidRPr="00EC7F91">
        <w:rPr>
          <w:rStyle w:val="Appelnotedebasdep"/>
        </w:rPr>
        <w:footnoteReference w:id="16"/>
      </w:r>
      <w:r>
        <w:rPr>
          <w:lang w:val="fr-FR"/>
        </w:rPr>
        <w:t>.</w:t>
      </w:r>
    </w:p>
    <w:p w14:paraId="359E34CE" w14:textId="061B4A93" w:rsidR="006E7295" w:rsidRPr="006E7295" w:rsidRDefault="006E7295" w:rsidP="006E7295">
      <w:pPr>
        <w:pStyle w:val="H23G"/>
        <w:rPr>
          <w:spacing w:val="-2"/>
          <w:shd w:val="clear" w:color="000000" w:fill="FFFFFF"/>
        </w:rPr>
      </w:pPr>
      <w:r w:rsidRPr="006E7295">
        <w:rPr>
          <w:spacing w:val="-2"/>
          <w:lang w:val="fr-FR"/>
        </w:rPr>
        <w:tab/>
      </w:r>
      <w:r w:rsidRPr="006E7295">
        <w:rPr>
          <w:spacing w:val="-2"/>
          <w:lang w:val="fr-FR"/>
        </w:rPr>
        <w:tab/>
      </w:r>
      <w:r w:rsidRPr="006E7295">
        <w:rPr>
          <w:bCs/>
          <w:spacing w:val="-2"/>
          <w:lang w:val="fr-FR"/>
        </w:rPr>
        <w:t>Situation des migrants, des demandeurs d’asile, des réfugiés et des apatrides (art. 2 et 5)</w:t>
      </w:r>
    </w:p>
    <w:p w14:paraId="115C993B" w14:textId="749F23BF" w:rsidR="006E7295" w:rsidRPr="000B5CFD" w:rsidRDefault="006E7295" w:rsidP="006E7295">
      <w:pPr>
        <w:pStyle w:val="SingleTxtG"/>
        <w:rPr>
          <w:shd w:val="clear" w:color="000000" w:fill="FFFFFF"/>
        </w:rPr>
      </w:pPr>
      <w:r>
        <w:rPr>
          <w:lang w:val="fr-FR"/>
        </w:rPr>
        <w:t>15.</w:t>
      </w:r>
      <w:r>
        <w:rPr>
          <w:lang w:val="fr-FR"/>
        </w:rPr>
        <w:tab/>
        <w:t>Informations sur les cadres législatif et stratégique mis en place concernant les demandeurs d’asile et les réfugiés, ainsi que sur les mesures que l’État partie a prises pour garantir à toutes les personnes relevant de sa juridiction un accès sans discrimination à l’éducation, à l’emploi et aux services de santé</w:t>
      </w:r>
      <w:r w:rsidRPr="00EC7F91">
        <w:rPr>
          <w:rStyle w:val="Appelnotedebasdep"/>
        </w:rPr>
        <w:footnoteReference w:id="17"/>
      </w:r>
      <w:r>
        <w:rPr>
          <w:lang w:val="fr-FR"/>
        </w:rPr>
        <w:t>. Mesures visant à lutter contre les actes de discrimination raciale à l’égard des migrants, des réfugiés, des demandeurs d’asile et des apatrides.</w:t>
      </w:r>
    </w:p>
    <w:p w14:paraId="286F3078" w14:textId="2278A0FE" w:rsidR="006E7295" w:rsidRPr="000B5CFD" w:rsidRDefault="006E7295" w:rsidP="006E7295">
      <w:pPr>
        <w:pStyle w:val="SingleTxtG"/>
        <w:rPr>
          <w:shd w:val="clear" w:color="000000" w:fill="FFFFFF"/>
        </w:rPr>
      </w:pPr>
      <w:r>
        <w:rPr>
          <w:lang w:val="fr-FR"/>
        </w:rPr>
        <w:t>16.</w:t>
      </w:r>
      <w:r>
        <w:rPr>
          <w:lang w:val="fr-FR"/>
        </w:rPr>
        <w:tab/>
        <w:t>Mesures de prévention des cas d’apatridie et de protection des personnes apatrides, y compris des statistiques actualisées sur les apatrides et les personnes menacées d’apatridie.</w:t>
      </w:r>
    </w:p>
    <w:p w14:paraId="4CA342BC" w14:textId="205C3F66" w:rsidR="006E7295" w:rsidRPr="006E7295" w:rsidRDefault="006E7295" w:rsidP="006E7295">
      <w:pPr>
        <w:pStyle w:val="H23G"/>
      </w:pPr>
      <w:r>
        <w:rPr>
          <w:lang w:val="fr-FR"/>
        </w:rPr>
        <w:tab/>
      </w:r>
      <w:r>
        <w:rPr>
          <w:lang w:val="fr-FR"/>
        </w:rPr>
        <w:tab/>
        <w:t>Éducation aux droits de l’homme pour lutter contre les préjugés et l’intolérance (art. 7)</w:t>
      </w:r>
    </w:p>
    <w:p w14:paraId="07FC82E1" w14:textId="4020B8DE" w:rsidR="00984B29" w:rsidRDefault="006E7295" w:rsidP="006E7295">
      <w:pPr>
        <w:pStyle w:val="SingleTxtG"/>
        <w:rPr>
          <w:lang w:val="fr-FR"/>
        </w:rPr>
      </w:pPr>
      <w:r>
        <w:rPr>
          <w:lang w:val="fr-FR"/>
        </w:rPr>
        <w:t>17.</w:t>
      </w:r>
      <w:r>
        <w:rPr>
          <w:lang w:val="fr-FR"/>
        </w:rPr>
        <w:tab/>
        <w:t>Informations sur le programme d’instruction civique et sur les autres mesures visant à promouvoir l’éducation aux droits de l’homme, y compris sur les questions de discrimination raciale, dans tous les programmes scolaires et universitaires et dans la formation du personnel enseignant</w:t>
      </w:r>
      <w:r w:rsidRPr="00EC7F91">
        <w:rPr>
          <w:rStyle w:val="Appelnotedebasdep"/>
        </w:rPr>
        <w:footnoteReference w:id="18"/>
      </w:r>
      <w:r>
        <w:rPr>
          <w:lang w:val="fr-FR"/>
        </w:rPr>
        <w:t>. Mesures prises pour sensibiliser le grand public, les fonctionnaires, les responsables de l’application des lois et les autorités judiciaires à l’importance de la diversité culturelle, de la tolérance et de l’entente interethnique</w:t>
      </w:r>
      <w:r w:rsidRPr="00EC7F91">
        <w:rPr>
          <w:rStyle w:val="Appelnotedebasdep"/>
        </w:rPr>
        <w:footnoteReference w:id="19"/>
      </w:r>
      <w:r>
        <w:rPr>
          <w:lang w:val="fr-FR"/>
        </w:rPr>
        <w:t>.</w:t>
      </w:r>
    </w:p>
    <w:p w14:paraId="4260FAAF" w14:textId="1D7DE3D8" w:rsidR="006E7295" w:rsidRPr="006E7295" w:rsidRDefault="006E7295" w:rsidP="006E7295">
      <w:pPr>
        <w:pStyle w:val="SingleTxtG"/>
        <w:spacing w:before="240" w:after="0"/>
        <w:jc w:val="center"/>
        <w:rPr>
          <w:u w:val="single"/>
        </w:rPr>
      </w:pPr>
      <w:r>
        <w:rPr>
          <w:u w:val="single"/>
        </w:rPr>
        <w:tab/>
      </w:r>
      <w:r>
        <w:rPr>
          <w:u w:val="single"/>
        </w:rPr>
        <w:tab/>
      </w:r>
      <w:r>
        <w:rPr>
          <w:u w:val="single"/>
        </w:rPr>
        <w:tab/>
      </w:r>
    </w:p>
    <w:sectPr w:rsidR="006E7295" w:rsidRPr="006E7295" w:rsidSect="006E72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8ACD7" w14:textId="77777777" w:rsidR="00F616B4" w:rsidRDefault="00F616B4" w:rsidP="00F95C08">
      <w:pPr>
        <w:spacing w:line="240" w:lineRule="auto"/>
      </w:pPr>
    </w:p>
  </w:endnote>
  <w:endnote w:type="continuationSeparator" w:id="0">
    <w:p w14:paraId="72D43D2F" w14:textId="77777777" w:rsidR="00F616B4" w:rsidRPr="00AC3823" w:rsidRDefault="00F616B4" w:rsidP="00AC3823">
      <w:pPr>
        <w:pStyle w:val="Pieddepage"/>
      </w:pPr>
    </w:p>
  </w:endnote>
  <w:endnote w:type="continuationNotice" w:id="1">
    <w:p w14:paraId="44C5DAF6" w14:textId="77777777" w:rsidR="00F616B4" w:rsidRDefault="00F616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E9FD" w14:textId="001D9905" w:rsidR="006E7295" w:rsidRPr="006E7295" w:rsidRDefault="006E7295" w:rsidP="006E7295">
    <w:pPr>
      <w:pStyle w:val="Pieddepage"/>
      <w:tabs>
        <w:tab w:val="right" w:pos="9638"/>
      </w:tabs>
    </w:pPr>
    <w:r w:rsidRPr="006E7295">
      <w:rPr>
        <w:b/>
        <w:sz w:val="18"/>
      </w:rPr>
      <w:fldChar w:fldCharType="begin"/>
    </w:r>
    <w:r w:rsidRPr="006E7295">
      <w:rPr>
        <w:b/>
        <w:sz w:val="18"/>
      </w:rPr>
      <w:instrText xml:space="preserve"> PAGE  \* MERGEFORMAT </w:instrText>
    </w:r>
    <w:r w:rsidRPr="006E7295">
      <w:rPr>
        <w:b/>
        <w:sz w:val="18"/>
      </w:rPr>
      <w:fldChar w:fldCharType="separate"/>
    </w:r>
    <w:r w:rsidRPr="006E7295">
      <w:rPr>
        <w:b/>
        <w:noProof/>
        <w:sz w:val="18"/>
      </w:rPr>
      <w:t>2</w:t>
    </w:r>
    <w:r w:rsidRPr="006E7295">
      <w:rPr>
        <w:b/>
        <w:sz w:val="18"/>
      </w:rPr>
      <w:fldChar w:fldCharType="end"/>
    </w:r>
    <w:r>
      <w:rPr>
        <w:b/>
        <w:sz w:val="18"/>
      </w:rPr>
      <w:tab/>
    </w:r>
    <w:r>
      <w:t>GE.23-12007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16718" w14:textId="7B2160D7" w:rsidR="006E7295" w:rsidRPr="006E7295" w:rsidRDefault="006E7295" w:rsidP="006E7295">
    <w:pPr>
      <w:pStyle w:val="Pieddepage"/>
      <w:tabs>
        <w:tab w:val="right" w:pos="9638"/>
      </w:tabs>
      <w:rPr>
        <w:b/>
        <w:sz w:val="18"/>
      </w:rPr>
    </w:pPr>
    <w:r>
      <w:t>GE.23-12007</w:t>
    </w:r>
    <w:r>
      <w:tab/>
    </w:r>
    <w:r w:rsidRPr="006E7295">
      <w:rPr>
        <w:b/>
        <w:sz w:val="18"/>
      </w:rPr>
      <w:fldChar w:fldCharType="begin"/>
    </w:r>
    <w:r w:rsidRPr="006E7295">
      <w:rPr>
        <w:b/>
        <w:sz w:val="18"/>
      </w:rPr>
      <w:instrText xml:space="preserve"> PAGE  \* MERGEFORMAT </w:instrText>
    </w:r>
    <w:r w:rsidRPr="006E7295">
      <w:rPr>
        <w:b/>
        <w:sz w:val="18"/>
      </w:rPr>
      <w:fldChar w:fldCharType="separate"/>
    </w:r>
    <w:r w:rsidRPr="006E7295">
      <w:rPr>
        <w:b/>
        <w:noProof/>
        <w:sz w:val="18"/>
      </w:rPr>
      <w:t>3</w:t>
    </w:r>
    <w:r w:rsidRPr="006E72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19479" w14:textId="0065596F" w:rsidR="00984B29" w:rsidRPr="006E7295" w:rsidRDefault="006E7295" w:rsidP="006E729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C58D510" wp14:editId="46877A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23-12007  (F)</w:t>
    </w:r>
    <w:r>
      <w:rPr>
        <w:noProof/>
        <w:sz w:val="20"/>
      </w:rPr>
      <w:drawing>
        <wp:anchor distT="0" distB="0" distL="114300" distR="114300" simplePos="0" relativeHeight="251660288" behindDoc="0" locked="0" layoutInCell="1" allowOverlap="1" wp14:anchorId="43F50F28" wp14:editId="1D11302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130723    170723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5F3F8" w14:textId="77777777" w:rsidR="00F616B4" w:rsidRPr="00AC3823" w:rsidRDefault="00F616B4" w:rsidP="00AC3823">
      <w:pPr>
        <w:pStyle w:val="Pieddepage"/>
        <w:tabs>
          <w:tab w:val="right" w:pos="2155"/>
        </w:tabs>
        <w:spacing w:after="80" w:line="240" w:lineRule="atLeast"/>
        <w:ind w:left="680"/>
        <w:rPr>
          <w:u w:val="single"/>
        </w:rPr>
      </w:pPr>
      <w:r>
        <w:rPr>
          <w:u w:val="single"/>
        </w:rPr>
        <w:tab/>
      </w:r>
    </w:p>
  </w:footnote>
  <w:footnote w:type="continuationSeparator" w:id="0">
    <w:p w14:paraId="7437AEF8" w14:textId="77777777" w:rsidR="00F616B4" w:rsidRPr="00AC3823" w:rsidRDefault="00F616B4" w:rsidP="00AC3823">
      <w:pPr>
        <w:pStyle w:val="Pieddepage"/>
        <w:tabs>
          <w:tab w:val="right" w:pos="2155"/>
        </w:tabs>
        <w:spacing w:after="80" w:line="240" w:lineRule="atLeast"/>
        <w:ind w:left="680"/>
        <w:rPr>
          <w:u w:val="single"/>
        </w:rPr>
      </w:pPr>
      <w:r>
        <w:rPr>
          <w:u w:val="single"/>
        </w:rPr>
        <w:tab/>
      </w:r>
    </w:p>
  </w:footnote>
  <w:footnote w:type="continuationNotice" w:id="1">
    <w:p w14:paraId="19F209D9" w14:textId="77777777" w:rsidR="00F616B4" w:rsidRPr="00AC3823" w:rsidRDefault="00F616B4">
      <w:pPr>
        <w:spacing w:line="240" w:lineRule="auto"/>
        <w:rPr>
          <w:sz w:val="2"/>
          <w:szCs w:val="2"/>
        </w:rPr>
      </w:pPr>
    </w:p>
  </w:footnote>
  <w:footnote w:id="2">
    <w:p w14:paraId="3D8E0289" w14:textId="30FE686C" w:rsidR="006E7295" w:rsidRPr="006E7295" w:rsidRDefault="006E7295">
      <w:pPr>
        <w:pStyle w:val="Notedebasdepage"/>
      </w:pPr>
      <w:r>
        <w:rPr>
          <w:rStyle w:val="Appelnotedebasdep"/>
        </w:rPr>
        <w:tab/>
      </w:r>
      <w:r w:rsidRPr="006E7295">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5B5E0778" w14:textId="38679871" w:rsidR="006E7295" w:rsidRPr="000B5CFD" w:rsidRDefault="006E7295" w:rsidP="006E7295">
      <w:pPr>
        <w:pStyle w:val="Notedebasdepage"/>
      </w:pPr>
      <w:r w:rsidRPr="008B38D6">
        <w:rPr>
          <w:lang w:val="fr-FR"/>
        </w:rPr>
        <w:tab/>
      </w:r>
      <w:r w:rsidRPr="00EC7F91">
        <w:rPr>
          <w:rStyle w:val="Appelnotedebasdep"/>
        </w:rPr>
        <w:footnoteRef/>
      </w:r>
      <w:r>
        <w:rPr>
          <w:lang w:val="fr-FR"/>
        </w:rPr>
        <w:tab/>
      </w:r>
      <w:hyperlink r:id="rId1" w:history="1">
        <w:r w:rsidRPr="006E7295">
          <w:rPr>
            <w:rStyle w:val="Lienhypertexte"/>
            <w:lang w:val="fr-FR"/>
          </w:rPr>
          <w:t>A/65/18</w:t>
        </w:r>
      </w:hyperlink>
      <w:r>
        <w:rPr>
          <w:lang w:val="fr-FR"/>
        </w:rPr>
        <w:t>, par.</w:t>
      </w:r>
      <w:r>
        <w:rPr>
          <w:lang w:val="fr-FR"/>
        </w:rPr>
        <w:t> </w:t>
      </w:r>
      <w:r>
        <w:rPr>
          <w:lang w:val="fr-FR"/>
        </w:rPr>
        <w:t>85.</w:t>
      </w:r>
    </w:p>
  </w:footnote>
  <w:footnote w:id="4">
    <w:p w14:paraId="41515E0A" w14:textId="64095D44"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2" w:history="1">
        <w:r w:rsidRPr="006E7295">
          <w:rPr>
            <w:rStyle w:val="Lienhypertexte"/>
            <w:lang w:val="fr-FR"/>
          </w:rPr>
          <w:t>CERD/C/HRV/CO/8</w:t>
        </w:r>
      </w:hyperlink>
      <w:r>
        <w:rPr>
          <w:lang w:val="fr-FR"/>
        </w:rPr>
        <w:t>, par.</w:t>
      </w:r>
      <w:r>
        <w:rPr>
          <w:lang w:val="fr-FR"/>
        </w:rPr>
        <w:t> </w:t>
      </w:r>
      <w:r>
        <w:rPr>
          <w:lang w:val="fr-FR"/>
        </w:rPr>
        <w:t>10</w:t>
      </w:r>
      <w:r>
        <w:rPr>
          <w:lang w:val="fr-FR"/>
        </w:rPr>
        <w:t> </w:t>
      </w:r>
      <w:r>
        <w:rPr>
          <w:lang w:val="fr-FR"/>
        </w:rPr>
        <w:t xml:space="preserve">; </w:t>
      </w:r>
      <w:hyperlink r:id="rId3" w:history="1">
        <w:r w:rsidR="000960DF" w:rsidRPr="006E7295">
          <w:rPr>
            <w:rStyle w:val="Lienhypertexte"/>
            <w:lang w:val="fr-FR"/>
          </w:rPr>
          <w:t>CERD/C/HRV/9-14</w:t>
        </w:r>
      </w:hyperlink>
      <w:r>
        <w:rPr>
          <w:lang w:val="fr-FR"/>
        </w:rPr>
        <w:t>, par.</w:t>
      </w:r>
      <w:r>
        <w:rPr>
          <w:lang w:val="fr-FR"/>
        </w:rPr>
        <w:t> </w:t>
      </w:r>
      <w:r>
        <w:rPr>
          <w:lang w:val="fr-FR"/>
        </w:rPr>
        <w:t>6 et 8.</w:t>
      </w:r>
    </w:p>
  </w:footnote>
  <w:footnote w:id="5">
    <w:p w14:paraId="69916F23" w14:textId="37721C7C"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4" w:history="1">
        <w:r w:rsidR="000960DF" w:rsidRPr="006E7295">
          <w:rPr>
            <w:rStyle w:val="Lienhypertexte"/>
            <w:lang w:val="fr-FR"/>
          </w:rPr>
          <w:t>CERD/C/HRV/9-14</w:t>
        </w:r>
      </w:hyperlink>
      <w:r>
        <w:rPr>
          <w:lang w:val="fr-FR"/>
        </w:rPr>
        <w:t>, par.</w:t>
      </w:r>
      <w:r>
        <w:rPr>
          <w:lang w:val="fr-FR"/>
        </w:rPr>
        <w:t> </w:t>
      </w:r>
      <w:r>
        <w:rPr>
          <w:lang w:val="fr-FR"/>
        </w:rPr>
        <w:t>9 à 11 et 109 à 114.</w:t>
      </w:r>
    </w:p>
  </w:footnote>
  <w:footnote w:id="6">
    <w:p w14:paraId="0B6172D3" w14:textId="1FF4FF9B" w:rsidR="006E7295" w:rsidRPr="000B5CFD" w:rsidRDefault="006E7295" w:rsidP="006E7295">
      <w:pPr>
        <w:pStyle w:val="Notedebasdepage"/>
      </w:pPr>
      <w:r w:rsidRPr="008B5464">
        <w:rPr>
          <w:lang w:val="fr-FR"/>
        </w:rPr>
        <w:tab/>
      </w:r>
      <w:r w:rsidRPr="00EC7F91">
        <w:rPr>
          <w:rStyle w:val="Appelnotedebasdep"/>
        </w:rPr>
        <w:footnoteRef/>
      </w:r>
      <w:r>
        <w:rPr>
          <w:lang w:val="fr-FR"/>
        </w:rPr>
        <w:tab/>
      </w:r>
      <w:hyperlink r:id="rId5" w:history="1">
        <w:r w:rsidRPr="006E7295">
          <w:rPr>
            <w:rStyle w:val="Lienhypertexte"/>
            <w:lang w:val="fr-FR"/>
          </w:rPr>
          <w:t>CERD/C/HRV/CO/8</w:t>
        </w:r>
      </w:hyperlink>
      <w:r>
        <w:rPr>
          <w:lang w:val="fr-FR"/>
        </w:rPr>
        <w:t>, par.</w:t>
      </w:r>
      <w:r>
        <w:rPr>
          <w:lang w:val="fr-FR"/>
        </w:rPr>
        <w:t> </w:t>
      </w:r>
      <w:r>
        <w:rPr>
          <w:lang w:val="fr-FR"/>
        </w:rPr>
        <w:t>12</w:t>
      </w:r>
      <w:r>
        <w:rPr>
          <w:lang w:val="fr-FR"/>
        </w:rPr>
        <w:t> </w:t>
      </w:r>
      <w:r>
        <w:rPr>
          <w:lang w:val="fr-FR"/>
        </w:rPr>
        <w:t xml:space="preserve">; et </w:t>
      </w:r>
      <w:hyperlink r:id="rId6" w:history="1">
        <w:r w:rsidRPr="006E7295">
          <w:rPr>
            <w:rStyle w:val="Lienhypertexte"/>
            <w:lang w:val="fr-FR"/>
          </w:rPr>
          <w:t>CERD/C/HR</w:t>
        </w:r>
        <w:r w:rsidRPr="006E7295">
          <w:rPr>
            <w:rStyle w:val="Lienhypertexte"/>
            <w:lang w:val="fr-FR"/>
          </w:rPr>
          <w:t>V</w:t>
        </w:r>
        <w:r w:rsidRPr="006E7295">
          <w:rPr>
            <w:rStyle w:val="Lienhypertexte"/>
            <w:lang w:val="fr-FR"/>
          </w:rPr>
          <w:t>/9-14</w:t>
        </w:r>
      </w:hyperlink>
      <w:r>
        <w:rPr>
          <w:lang w:val="fr-FR"/>
        </w:rPr>
        <w:t>, par.</w:t>
      </w:r>
      <w:r>
        <w:rPr>
          <w:lang w:val="fr-FR"/>
        </w:rPr>
        <w:t> </w:t>
      </w:r>
      <w:r>
        <w:rPr>
          <w:lang w:val="fr-FR"/>
        </w:rPr>
        <w:t>15 à 21 et 122 à 125.</w:t>
      </w:r>
    </w:p>
  </w:footnote>
  <w:footnote w:id="7">
    <w:p w14:paraId="347ECBB7" w14:textId="142877A9" w:rsidR="006E7295" w:rsidRPr="000B5CFD" w:rsidRDefault="006E7295" w:rsidP="006E7295">
      <w:pPr>
        <w:pStyle w:val="Notedebasdepage"/>
      </w:pPr>
      <w:r>
        <w:rPr>
          <w:lang w:val="fr-FR"/>
        </w:rPr>
        <w:tab/>
      </w:r>
      <w:r w:rsidRPr="00EC7F91">
        <w:rPr>
          <w:rStyle w:val="Appelnotedebasdep"/>
        </w:rPr>
        <w:footnoteRef/>
      </w:r>
      <w:r>
        <w:rPr>
          <w:lang w:val="fr-FR"/>
        </w:rPr>
        <w:tab/>
      </w:r>
      <w:hyperlink r:id="rId7" w:history="1">
        <w:r w:rsidRPr="006E7295">
          <w:rPr>
            <w:rStyle w:val="Lienhypertexte"/>
            <w:lang w:val="fr-FR"/>
          </w:rPr>
          <w:t>CERD/C/HRV/CO/8</w:t>
        </w:r>
      </w:hyperlink>
      <w:r>
        <w:rPr>
          <w:lang w:val="fr-FR"/>
        </w:rPr>
        <w:t>, par.</w:t>
      </w:r>
      <w:r>
        <w:rPr>
          <w:lang w:val="fr-FR"/>
        </w:rPr>
        <w:t> </w:t>
      </w:r>
      <w:r>
        <w:rPr>
          <w:lang w:val="fr-FR"/>
        </w:rPr>
        <w:t>12</w:t>
      </w:r>
      <w:r>
        <w:rPr>
          <w:lang w:val="fr-FR"/>
        </w:rPr>
        <w:t> </w:t>
      </w:r>
      <w:r>
        <w:rPr>
          <w:lang w:val="fr-FR"/>
        </w:rPr>
        <w:t xml:space="preserve">; et </w:t>
      </w:r>
      <w:hyperlink r:id="rId8" w:history="1">
        <w:r w:rsidRPr="006E7295">
          <w:rPr>
            <w:rStyle w:val="Lienhypertexte"/>
            <w:lang w:val="fr-FR"/>
          </w:rPr>
          <w:t>CERD/C/HRV/9-14</w:t>
        </w:r>
      </w:hyperlink>
      <w:r>
        <w:rPr>
          <w:lang w:val="fr-FR"/>
        </w:rPr>
        <w:t>, par.</w:t>
      </w:r>
      <w:r>
        <w:rPr>
          <w:lang w:val="fr-FR"/>
        </w:rPr>
        <w:t> </w:t>
      </w:r>
      <w:r>
        <w:rPr>
          <w:lang w:val="fr-FR"/>
        </w:rPr>
        <w:t>20 et 125.</w:t>
      </w:r>
    </w:p>
  </w:footnote>
  <w:footnote w:id="8">
    <w:p w14:paraId="7F59F4C2" w14:textId="26695A1E"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9" w:history="1">
        <w:r w:rsidRPr="006E7295">
          <w:rPr>
            <w:rStyle w:val="Lienhypertexte"/>
            <w:lang w:val="fr-FR"/>
          </w:rPr>
          <w:t>CERD/C/HRV/CO/8</w:t>
        </w:r>
      </w:hyperlink>
      <w:r>
        <w:rPr>
          <w:lang w:val="fr-FR"/>
        </w:rPr>
        <w:t>, par.</w:t>
      </w:r>
      <w:r>
        <w:rPr>
          <w:lang w:val="fr-FR"/>
        </w:rPr>
        <w:t> </w:t>
      </w:r>
      <w:r>
        <w:rPr>
          <w:lang w:val="fr-FR"/>
        </w:rPr>
        <w:t>13</w:t>
      </w:r>
      <w:r>
        <w:rPr>
          <w:lang w:val="fr-FR"/>
        </w:rPr>
        <w:t> </w:t>
      </w:r>
      <w:r>
        <w:rPr>
          <w:lang w:val="fr-FR"/>
        </w:rPr>
        <w:t xml:space="preserve">; et </w:t>
      </w:r>
      <w:hyperlink r:id="rId10" w:history="1">
        <w:r w:rsidRPr="006E7295">
          <w:rPr>
            <w:rStyle w:val="Lienhypertexte"/>
            <w:lang w:val="fr-FR"/>
          </w:rPr>
          <w:t>CERD/C/HRV/9-14</w:t>
        </w:r>
      </w:hyperlink>
      <w:r>
        <w:rPr>
          <w:lang w:val="fr-FR"/>
        </w:rPr>
        <w:t>, par.</w:t>
      </w:r>
      <w:r>
        <w:rPr>
          <w:lang w:val="fr-FR"/>
        </w:rPr>
        <w:t> </w:t>
      </w:r>
      <w:r>
        <w:rPr>
          <w:lang w:val="fr-FR"/>
        </w:rPr>
        <w:t>29 et 30.</w:t>
      </w:r>
    </w:p>
  </w:footnote>
  <w:footnote w:id="9">
    <w:p w14:paraId="390FA90B" w14:textId="3D129913" w:rsidR="006E7295" w:rsidRPr="000B5CFD" w:rsidRDefault="006E7295" w:rsidP="006E7295">
      <w:pPr>
        <w:pStyle w:val="Notedebasdepage"/>
      </w:pPr>
      <w:r>
        <w:rPr>
          <w:lang w:val="fr-FR"/>
        </w:rPr>
        <w:tab/>
      </w:r>
      <w:r w:rsidRPr="00EC7F91">
        <w:rPr>
          <w:rStyle w:val="Appelnotedebasdep"/>
        </w:rPr>
        <w:footnoteRef/>
      </w:r>
      <w:bookmarkStart w:id="0" w:name="_Hlk137562667"/>
      <w:r>
        <w:rPr>
          <w:lang w:val="fr-FR"/>
        </w:rPr>
        <w:tab/>
      </w:r>
      <w:hyperlink r:id="rId11" w:history="1">
        <w:r w:rsidRPr="006E7295">
          <w:rPr>
            <w:rStyle w:val="Lienhypertexte"/>
            <w:lang w:val="fr-FR"/>
          </w:rPr>
          <w:t>CERD/C/HRV/CO/8</w:t>
        </w:r>
      </w:hyperlink>
      <w:r>
        <w:rPr>
          <w:lang w:val="fr-FR"/>
        </w:rPr>
        <w:t>, par.</w:t>
      </w:r>
      <w:r>
        <w:rPr>
          <w:lang w:val="fr-FR"/>
        </w:rPr>
        <w:t> </w:t>
      </w:r>
      <w:r>
        <w:rPr>
          <w:lang w:val="fr-FR"/>
        </w:rPr>
        <w:t>14</w:t>
      </w:r>
      <w:r>
        <w:rPr>
          <w:lang w:val="fr-FR"/>
        </w:rPr>
        <w:t> </w:t>
      </w:r>
      <w:r>
        <w:rPr>
          <w:lang w:val="fr-FR"/>
        </w:rPr>
        <w:t xml:space="preserve">; et </w:t>
      </w:r>
      <w:hyperlink r:id="rId12" w:history="1">
        <w:r w:rsidRPr="006E7295">
          <w:rPr>
            <w:rStyle w:val="Lienhypertexte"/>
            <w:lang w:val="fr-FR"/>
          </w:rPr>
          <w:t>CERD/C/HRV/9-14</w:t>
        </w:r>
      </w:hyperlink>
      <w:r>
        <w:rPr>
          <w:lang w:val="fr-FR"/>
        </w:rPr>
        <w:t>, par.</w:t>
      </w:r>
      <w:r>
        <w:rPr>
          <w:lang w:val="fr-FR"/>
        </w:rPr>
        <w:t> </w:t>
      </w:r>
      <w:r>
        <w:rPr>
          <w:lang w:val="fr-FR"/>
        </w:rPr>
        <w:t>31 à 57.</w:t>
      </w:r>
      <w:bookmarkEnd w:id="0"/>
    </w:p>
  </w:footnote>
  <w:footnote w:id="10">
    <w:p w14:paraId="28D4DA7F" w14:textId="426F720D"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13" w:history="1">
        <w:r w:rsidRPr="006E7295">
          <w:rPr>
            <w:rStyle w:val="Lienhypertexte"/>
            <w:lang w:val="fr-FR"/>
          </w:rPr>
          <w:t>CERD/C/HRV/CO/8</w:t>
        </w:r>
      </w:hyperlink>
      <w:r>
        <w:rPr>
          <w:lang w:val="fr-FR"/>
        </w:rPr>
        <w:t>, par.</w:t>
      </w:r>
      <w:r>
        <w:rPr>
          <w:lang w:val="fr-FR"/>
        </w:rPr>
        <w:t> </w:t>
      </w:r>
      <w:r>
        <w:rPr>
          <w:lang w:val="fr-FR"/>
        </w:rPr>
        <w:t>14</w:t>
      </w:r>
      <w:r>
        <w:rPr>
          <w:lang w:val="fr-FR"/>
        </w:rPr>
        <w:t> </w:t>
      </w:r>
      <w:r>
        <w:rPr>
          <w:lang w:val="fr-FR"/>
        </w:rPr>
        <w:t xml:space="preserve">; et </w:t>
      </w:r>
      <w:hyperlink r:id="rId14" w:history="1">
        <w:r w:rsidRPr="006E7295">
          <w:rPr>
            <w:rStyle w:val="Lienhypertexte"/>
            <w:lang w:val="fr-FR"/>
          </w:rPr>
          <w:t>CERD/C/HRV/9-14</w:t>
        </w:r>
      </w:hyperlink>
      <w:r>
        <w:rPr>
          <w:lang w:val="fr-FR"/>
        </w:rPr>
        <w:t>, par.</w:t>
      </w:r>
      <w:r>
        <w:rPr>
          <w:lang w:val="fr-FR"/>
        </w:rPr>
        <w:t> </w:t>
      </w:r>
      <w:r>
        <w:rPr>
          <w:lang w:val="fr-FR"/>
        </w:rPr>
        <w:t>37 à 40.</w:t>
      </w:r>
    </w:p>
  </w:footnote>
  <w:footnote w:id="11">
    <w:p w14:paraId="08CF0944" w14:textId="1D255BED"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15" w:history="1">
        <w:r w:rsidRPr="006E7295">
          <w:rPr>
            <w:rStyle w:val="Lienhypertexte"/>
            <w:lang w:val="fr-FR"/>
          </w:rPr>
          <w:t>CERD/C/HRV/CO/8</w:t>
        </w:r>
      </w:hyperlink>
      <w:r>
        <w:rPr>
          <w:lang w:val="fr-FR"/>
        </w:rPr>
        <w:t>, par.</w:t>
      </w:r>
      <w:r>
        <w:rPr>
          <w:lang w:val="fr-FR"/>
        </w:rPr>
        <w:t> </w:t>
      </w:r>
      <w:r>
        <w:rPr>
          <w:lang w:val="fr-FR"/>
        </w:rPr>
        <w:t>18</w:t>
      </w:r>
      <w:r>
        <w:rPr>
          <w:lang w:val="fr-FR"/>
        </w:rPr>
        <w:t> </w:t>
      </w:r>
      <w:r>
        <w:rPr>
          <w:lang w:val="fr-FR"/>
        </w:rPr>
        <w:t xml:space="preserve">; et </w:t>
      </w:r>
      <w:hyperlink r:id="rId16" w:history="1">
        <w:r w:rsidRPr="006E7295">
          <w:rPr>
            <w:rStyle w:val="Lienhypertexte"/>
            <w:lang w:val="fr-FR"/>
          </w:rPr>
          <w:t>CERD/C/HRV/9-14</w:t>
        </w:r>
      </w:hyperlink>
      <w:r>
        <w:rPr>
          <w:lang w:val="fr-FR"/>
        </w:rPr>
        <w:t>, par.</w:t>
      </w:r>
      <w:r>
        <w:rPr>
          <w:lang w:val="fr-FR"/>
        </w:rPr>
        <w:t> </w:t>
      </w:r>
      <w:r>
        <w:rPr>
          <w:lang w:val="fr-FR"/>
        </w:rPr>
        <w:t>85 à 89.</w:t>
      </w:r>
    </w:p>
  </w:footnote>
  <w:footnote w:id="12">
    <w:p w14:paraId="09A321FD" w14:textId="6DFCC3E8"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17" w:history="1">
        <w:r w:rsidRPr="006E7295">
          <w:rPr>
            <w:rStyle w:val="Lienhypertexte"/>
            <w:lang w:val="fr-FR"/>
          </w:rPr>
          <w:t>CERD/C/HRV/CO/8</w:t>
        </w:r>
      </w:hyperlink>
      <w:r>
        <w:rPr>
          <w:lang w:val="fr-FR"/>
        </w:rPr>
        <w:t>, par.</w:t>
      </w:r>
      <w:r>
        <w:rPr>
          <w:lang w:val="fr-FR"/>
        </w:rPr>
        <w:t> </w:t>
      </w:r>
      <w:r>
        <w:rPr>
          <w:lang w:val="fr-FR"/>
        </w:rPr>
        <w:t>16</w:t>
      </w:r>
      <w:r>
        <w:rPr>
          <w:lang w:val="fr-FR"/>
        </w:rPr>
        <w:t> </w:t>
      </w:r>
      <w:r>
        <w:rPr>
          <w:lang w:val="fr-FR"/>
        </w:rPr>
        <w:t xml:space="preserve">; et </w:t>
      </w:r>
      <w:hyperlink r:id="rId18" w:history="1">
        <w:r w:rsidRPr="006E7295">
          <w:rPr>
            <w:rStyle w:val="Lienhypertexte"/>
            <w:lang w:val="fr-FR"/>
          </w:rPr>
          <w:t>CERD/C/HRV/9-14</w:t>
        </w:r>
      </w:hyperlink>
      <w:r>
        <w:rPr>
          <w:lang w:val="fr-FR"/>
        </w:rPr>
        <w:t>, par.</w:t>
      </w:r>
      <w:r>
        <w:rPr>
          <w:lang w:val="fr-FR"/>
        </w:rPr>
        <w:t> </w:t>
      </w:r>
      <w:r>
        <w:rPr>
          <w:lang w:val="fr-FR"/>
        </w:rPr>
        <w:t>31 à 57 et 126 à 173.</w:t>
      </w:r>
    </w:p>
  </w:footnote>
  <w:footnote w:id="13">
    <w:p w14:paraId="525BA7CC" w14:textId="62EC1731" w:rsidR="006E7295" w:rsidRPr="000B5CFD" w:rsidRDefault="006E7295" w:rsidP="006E7295">
      <w:pPr>
        <w:pStyle w:val="Notedebasdepage"/>
      </w:pPr>
      <w:r>
        <w:rPr>
          <w:lang w:val="fr-FR"/>
        </w:rPr>
        <w:tab/>
      </w:r>
      <w:r w:rsidRPr="00EC7F91">
        <w:rPr>
          <w:rStyle w:val="Appelnotedebasdep"/>
        </w:rPr>
        <w:footnoteRef/>
      </w:r>
      <w:r>
        <w:rPr>
          <w:lang w:val="fr-FR"/>
        </w:rPr>
        <w:tab/>
      </w:r>
      <w:hyperlink r:id="rId19" w:history="1">
        <w:r w:rsidRPr="006E7295">
          <w:rPr>
            <w:rStyle w:val="Lienhypertexte"/>
            <w:lang w:val="fr-FR"/>
          </w:rPr>
          <w:t>CERD/C/HRV/9-14</w:t>
        </w:r>
      </w:hyperlink>
      <w:r>
        <w:rPr>
          <w:lang w:val="fr-FR"/>
        </w:rPr>
        <w:t>, par.</w:t>
      </w:r>
      <w:r>
        <w:rPr>
          <w:lang w:val="fr-FR"/>
        </w:rPr>
        <w:t> </w:t>
      </w:r>
      <w:r>
        <w:rPr>
          <w:lang w:val="fr-FR"/>
        </w:rPr>
        <w:t>3, 23, 54, 74, 104 et 172.</w:t>
      </w:r>
    </w:p>
  </w:footnote>
  <w:footnote w:id="14">
    <w:p w14:paraId="2141227D" w14:textId="7EBB66D9" w:rsidR="006E7295" w:rsidRPr="000B5CFD" w:rsidRDefault="006E7295" w:rsidP="006E7295">
      <w:pPr>
        <w:pStyle w:val="Notedebasdepage"/>
      </w:pPr>
      <w:r>
        <w:rPr>
          <w:lang w:val="fr-FR"/>
        </w:rPr>
        <w:tab/>
      </w:r>
      <w:r w:rsidRPr="00EC7F91">
        <w:rPr>
          <w:rStyle w:val="Appelnotedebasdep"/>
        </w:rPr>
        <w:footnoteRef/>
      </w:r>
      <w:r>
        <w:rPr>
          <w:lang w:val="fr-FR"/>
        </w:rPr>
        <w:tab/>
      </w:r>
      <w:hyperlink r:id="rId20" w:history="1">
        <w:r w:rsidRPr="006E7295">
          <w:rPr>
            <w:rStyle w:val="Lienhypertexte"/>
            <w:lang w:val="fr-FR"/>
          </w:rPr>
          <w:t>CERD/C/HRV/CO/8</w:t>
        </w:r>
      </w:hyperlink>
      <w:r>
        <w:rPr>
          <w:lang w:val="fr-FR"/>
        </w:rPr>
        <w:t>, par.</w:t>
      </w:r>
      <w:r>
        <w:rPr>
          <w:lang w:val="fr-FR"/>
        </w:rPr>
        <w:t> </w:t>
      </w:r>
      <w:r>
        <w:rPr>
          <w:lang w:val="fr-FR"/>
        </w:rPr>
        <w:t>20</w:t>
      </w:r>
      <w:r>
        <w:rPr>
          <w:lang w:val="fr-FR"/>
        </w:rPr>
        <w:t> </w:t>
      </w:r>
      <w:r>
        <w:rPr>
          <w:lang w:val="fr-FR"/>
        </w:rPr>
        <w:t xml:space="preserve">; et </w:t>
      </w:r>
      <w:hyperlink r:id="rId21" w:history="1">
        <w:r w:rsidRPr="006E7295">
          <w:rPr>
            <w:rStyle w:val="Lienhypertexte"/>
            <w:lang w:val="fr-FR"/>
          </w:rPr>
          <w:t>CERD/C/HRV/9-14</w:t>
        </w:r>
      </w:hyperlink>
      <w:r>
        <w:rPr>
          <w:lang w:val="fr-FR"/>
        </w:rPr>
        <w:t>, par.</w:t>
      </w:r>
      <w:r>
        <w:rPr>
          <w:lang w:val="fr-FR"/>
        </w:rPr>
        <w:t> </w:t>
      </w:r>
      <w:r>
        <w:rPr>
          <w:lang w:val="fr-FR"/>
        </w:rPr>
        <w:t>95 à 102.</w:t>
      </w:r>
    </w:p>
  </w:footnote>
  <w:footnote w:id="15">
    <w:p w14:paraId="5AD4E608" w14:textId="79342580" w:rsidR="006E7295" w:rsidRPr="000B5CFD" w:rsidRDefault="006E7295" w:rsidP="006E7295">
      <w:pPr>
        <w:pStyle w:val="Notedebasdepage"/>
      </w:pPr>
      <w:r w:rsidRPr="008B5464">
        <w:rPr>
          <w:lang w:val="fr-FR"/>
        </w:rPr>
        <w:tab/>
      </w:r>
      <w:r w:rsidRPr="00EC7F91">
        <w:rPr>
          <w:rStyle w:val="Appelnotedebasdep"/>
        </w:rPr>
        <w:footnoteRef/>
      </w:r>
      <w:r>
        <w:rPr>
          <w:lang w:val="fr-FR"/>
        </w:rPr>
        <w:tab/>
      </w:r>
      <w:hyperlink r:id="rId22" w:history="1">
        <w:r w:rsidRPr="006E7295">
          <w:rPr>
            <w:rStyle w:val="Lienhypertexte"/>
            <w:lang w:val="fr-FR"/>
          </w:rPr>
          <w:t>CERD/C/HRV/CO/8</w:t>
        </w:r>
      </w:hyperlink>
      <w:r>
        <w:rPr>
          <w:lang w:val="fr-FR"/>
        </w:rPr>
        <w:t>, par.</w:t>
      </w:r>
      <w:r>
        <w:rPr>
          <w:lang w:val="fr-FR"/>
        </w:rPr>
        <w:t> </w:t>
      </w:r>
      <w:r>
        <w:rPr>
          <w:lang w:val="fr-FR"/>
        </w:rPr>
        <w:t>15</w:t>
      </w:r>
      <w:r>
        <w:rPr>
          <w:lang w:val="fr-FR"/>
        </w:rPr>
        <w:t> </w:t>
      </w:r>
      <w:r>
        <w:rPr>
          <w:lang w:val="fr-FR"/>
        </w:rPr>
        <w:t xml:space="preserve">; et </w:t>
      </w:r>
      <w:hyperlink r:id="rId23" w:history="1">
        <w:r w:rsidRPr="006E7295">
          <w:rPr>
            <w:rStyle w:val="Lienhypertexte"/>
            <w:lang w:val="fr-FR"/>
          </w:rPr>
          <w:t>CERD/C/HRV/9-14</w:t>
        </w:r>
      </w:hyperlink>
      <w:r>
        <w:rPr>
          <w:lang w:val="fr-FR"/>
        </w:rPr>
        <w:t>, par.</w:t>
      </w:r>
      <w:r>
        <w:rPr>
          <w:lang w:val="fr-FR"/>
        </w:rPr>
        <w:t> </w:t>
      </w:r>
      <w:r>
        <w:rPr>
          <w:lang w:val="fr-FR"/>
        </w:rPr>
        <w:t>58 à 70.</w:t>
      </w:r>
    </w:p>
  </w:footnote>
  <w:footnote w:id="16">
    <w:p w14:paraId="3489ABD4" w14:textId="1F568DB8"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24" w:history="1">
        <w:r w:rsidRPr="006E7295">
          <w:rPr>
            <w:rStyle w:val="Lienhypertexte"/>
            <w:lang w:val="fr-FR"/>
          </w:rPr>
          <w:t>CERD/C/HRV/CO/8</w:t>
        </w:r>
      </w:hyperlink>
      <w:r>
        <w:rPr>
          <w:lang w:val="fr-FR"/>
        </w:rPr>
        <w:t>, par.</w:t>
      </w:r>
      <w:r>
        <w:rPr>
          <w:lang w:val="fr-FR"/>
        </w:rPr>
        <w:t> </w:t>
      </w:r>
      <w:r>
        <w:rPr>
          <w:lang w:val="fr-FR"/>
        </w:rPr>
        <w:t>19</w:t>
      </w:r>
      <w:r>
        <w:rPr>
          <w:lang w:val="fr-FR"/>
        </w:rPr>
        <w:t> </w:t>
      </w:r>
      <w:r>
        <w:rPr>
          <w:lang w:val="fr-FR"/>
        </w:rPr>
        <w:t xml:space="preserve">; et </w:t>
      </w:r>
      <w:hyperlink r:id="rId25" w:history="1">
        <w:r w:rsidRPr="006E7295">
          <w:rPr>
            <w:rStyle w:val="Lienhypertexte"/>
            <w:lang w:val="fr-FR"/>
          </w:rPr>
          <w:t>CERD/C/HRV/9-14</w:t>
        </w:r>
      </w:hyperlink>
      <w:r>
        <w:rPr>
          <w:lang w:val="fr-FR"/>
        </w:rPr>
        <w:t>, par.</w:t>
      </w:r>
      <w:r>
        <w:rPr>
          <w:lang w:val="fr-FR"/>
        </w:rPr>
        <w:t> </w:t>
      </w:r>
      <w:r>
        <w:rPr>
          <w:lang w:val="fr-FR"/>
        </w:rPr>
        <w:t>90 à 94.</w:t>
      </w:r>
    </w:p>
  </w:footnote>
  <w:footnote w:id="17">
    <w:p w14:paraId="2091C593" w14:textId="34156094"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26" w:history="1">
        <w:r w:rsidRPr="006E7295">
          <w:rPr>
            <w:rStyle w:val="Lienhypertexte"/>
            <w:lang w:val="fr-FR"/>
          </w:rPr>
          <w:t>CERD/C/HRV/9-14</w:t>
        </w:r>
      </w:hyperlink>
      <w:r>
        <w:rPr>
          <w:lang w:val="fr-FR"/>
        </w:rPr>
        <w:t>, par.</w:t>
      </w:r>
      <w:r>
        <w:rPr>
          <w:lang w:val="fr-FR"/>
        </w:rPr>
        <w:t> </w:t>
      </w:r>
      <w:r>
        <w:rPr>
          <w:lang w:val="fr-FR"/>
        </w:rPr>
        <w:t>126 à 173.</w:t>
      </w:r>
    </w:p>
  </w:footnote>
  <w:footnote w:id="18">
    <w:p w14:paraId="13555EEA" w14:textId="24DE9593" w:rsidR="006E7295" w:rsidRPr="000B5CFD" w:rsidRDefault="006E7295" w:rsidP="006E7295">
      <w:pPr>
        <w:pStyle w:val="Notedebasdepage"/>
      </w:pPr>
      <w:r w:rsidRPr="001569F8">
        <w:rPr>
          <w:lang w:val="fr-FR"/>
        </w:rPr>
        <w:tab/>
      </w:r>
      <w:r w:rsidRPr="00EC7F91">
        <w:rPr>
          <w:rStyle w:val="Appelnotedebasdep"/>
        </w:rPr>
        <w:footnoteRef/>
      </w:r>
      <w:r>
        <w:rPr>
          <w:lang w:val="fr-FR"/>
        </w:rPr>
        <w:tab/>
        <w:t>Ibid., par.</w:t>
      </w:r>
      <w:r>
        <w:rPr>
          <w:lang w:val="fr-FR"/>
        </w:rPr>
        <w:t> </w:t>
      </w:r>
      <w:r>
        <w:rPr>
          <w:lang w:val="fr-FR"/>
        </w:rPr>
        <w:t>184 à 189.</w:t>
      </w:r>
    </w:p>
  </w:footnote>
  <w:footnote w:id="19">
    <w:p w14:paraId="4D26E790" w14:textId="2C4576C8" w:rsidR="006E7295" w:rsidRPr="000B5CFD" w:rsidRDefault="006E7295" w:rsidP="006E7295">
      <w:pPr>
        <w:pStyle w:val="Notedebasdepage"/>
      </w:pPr>
      <w:r w:rsidRPr="001569F8">
        <w:rPr>
          <w:lang w:val="fr-FR"/>
        </w:rPr>
        <w:tab/>
      </w:r>
      <w:r w:rsidRPr="00EC7F91">
        <w:rPr>
          <w:rStyle w:val="Appelnotedebasdep"/>
        </w:rPr>
        <w:footnoteRef/>
      </w:r>
      <w:r>
        <w:rPr>
          <w:lang w:val="fr-FR"/>
        </w:rPr>
        <w:tab/>
      </w:r>
      <w:hyperlink r:id="rId27" w:history="1">
        <w:r w:rsidRPr="006E7295">
          <w:rPr>
            <w:rStyle w:val="Lienhypertexte"/>
            <w:lang w:val="fr-FR"/>
          </w:rPr>
          <w:t>CERD/C/HRV/CO/8</w:t>
        </w:r>
      </w:hyperlink>
      <w:r>
        <w:rPr>
          <w:lang w:val="fr-FR"/>
        </w:rPr>
        <w:t>, par.</w:t>
      </w:r>
      <w:r>
        <w:rPr>
          <w:lang w:val="fr-FR"/>
        </w:rPr>
        <w:t> </w:t>
      </w:r>
      <w:r>
        <w:rPr>
          <w:lang w:val="fr-FR"/>
        </w:rPr>
        <w:t>21</w:t>
      </w:r>
      <w:r>
        <w:rPr>
          <w:lang w:val="fr-FR"/>
        </w:rPr>
        <w:t> </w:t>
      </w:r>
      <w:r>
        <w:rPr>
          <w:lang w:val="fr-FR"/>
        </w:rPr>
        <w:t xml:space="preserve">; et </w:t>
      </w:r>
      <w:hyperlink r:id="rId28" w:history="1">
        <w:r w:rsidRPr="006E7295">
          <w:rPr>
            <w:rStyle w:val="Lienhypertexte"/>
            <w:lang w:val="fr-FR"/>
          </w:rPr>
          <w:t>CERD/C/HRV/9-14</w:t>
        </w:r>
      </w:hyperlink>
      <w:r>
        <w:rPr>
          <w:lang w:val="fr-FR"/>
        </w:rPr>
        <w:t>, par.</w:t>
      </w:r>
      <w:r>
        <w:rPr>
          <w:lang w:val="fr-FR"/>
        </w:rPr>
        <w:t> </w:t>
      </w:r>
      <w:r>
        <w:rPr>
          <w:lang w:val="fr-FR"/>
        </w:rPr>
        <w:t xml:space="preserve">103 </w:t>
      </w:r>
      <w:r w:rsidR="000960DF">
        <w:rPr>
          <w:lang w:val="fr-FR"/>
        </w:rPr>
        <w:t>et</w:t>
      </w:r>
      <w:r>
        <w:rPr>
          <w:lang w:val="fr-FR"/>
        </w:rPr>
        <w:t xml:space="preserve"> 104.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FBA12" w14:textId="735083C1" w:rsidR="006E7295" w:rsidRPr="006E7295" w:rsidRDefault="006E7295">
    <w:pPr>
      <w:pStyle w:val="En-tte"/>
    </w:pPr>
    <w:fldSimple w:instr=" TITLE  \* MERGEFORMAT ">
      <w:r w:rsidR="00775931">
        <w:t>CERD/C/HRV/Q/9-14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17AF" w14:textId="67E82796" w:rsidR="006E7295" w:rsidRPr="006E7295" w:rsidRDefault="006E7295" w:rsidP="006E7295">
    <w:pPr>
      <w:pStyle w:val="En-tte"/>
      <w:jc w:val="right"/>
    </w:pPr>
    <w:fldSimple w:instr=" TITLE  \* MERGEFORMAT ">
      <w:r w:rsidR="00775931">
        <w:t>CERD/C/HRV/Q/9-14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B4"/>
    <w:rsid w:val="00017F94"/>
    <w:rsid w:val="00023842"/>
    <w:rsid w:val="000334F9"/>
    <w:rsid w:val="000569EB"/>
    <w:rsid w:val="0007796D"/>
    <w:rsid w:val="000960DF"/>
    <w:rsid w:val="000B7790"/>
    <w:rsid w:val="00111F2F"/>
    <w:rsid w:val="0014365E"/>
    <w:rsid w:val="00176178"/>
    <w:rsid w:val="001F525A"/>
    <w:rsid w:val="00215BEC"/>
    <w:rsid w:val="00223272"/>
    <w:rsid w:val="0024779E"/>
    <w:rsid w:val="00262657"/>
    <w:rsid w:val="00337170"/>
    <w:rsid w:val="003E18C1"/>
    <w:rsid w:val="00446FE5"/>
    <w:rsid w:val="00452396"/>
    <w:rsid w:val="004F094E"/>
    <w:rsid w:val="005505B7"/>
    <w:rsid w:val="00573BE5"/>
    <w:rsid w:val="00586ED3"/>
    <w:rsid w:val="00596AA9"/>
    <w:rsid w:val="00623CA8"/>
    <w:rsid w:val="006E0451"/>
    <w:rsid w:val="006E7295"/>
    <w:rsid w:val="00712E6E"/>
    <w:rsid w:val="0071601D"/>
    <w:rsid w:val="00775931"/>
    <w:rsid w:val="00780585"/>
    <w:rsid w:val="00783E9F"/>
    <w:rsid w:val="007A62E6"/>
    <w:rsid w:val="0080684C"/>
    <w:rsid w:val="008244A1"/>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16B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7D102"/>
  <w15:docId w15:val="{B89B4A8D-C46D-4A51-95BE-A0CC2171D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E7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HRV/9-14" TargetMode="External"/><Relationship Id="rId13" Type="http://schemas.openxmlformats.org/officeDocument/2006/relationships/hyperlink" Target="http://undocs.org/fr/CERD/C/HRV/CO/8" TargetMode="External"/><Relationship Id="rId18" Type="http://schemas.openxmlformats.org/officeDocument/2006/relationships/hyperlink" Target="http://undocs.org/fr/CERD/C/HRV/9-14" TargetMode="External"/><Relationship Id="rId26" Type="http://schemas.openxmlformats.org/officeDocument/2006/relationships/hyperlink" Target="http://undocs.org/fr/CERD/C/HRV/9-14" TargetMode="External"/><Relationship Id="rId3" Type="http://schemas.openxmlformats.org/officeDocument/2006/relationships/hyperlink" Target="http://undocs.org/fr/CERD/C/HRV/9-14" TargetMode="External"/><Relationship Id="rId21" Type="http://schemas.openxmlformats.org/officeDocument/2006/relationships/hyperlink" Target="http://undocs.org/fr/CERD/C/HRV/9-14" TargetMode="External"/><Relationship Id="rId7" Type="http://schemas.openxmlformats.org/officeDocument/2006/relationships/hyperlink" Target="http://undocs.org/fr/CERD/C/HRV/CO/8" TargetMode="External"/><Relationship Id="rId12" Type="http://schemas.openxmlformats.org/officeDocument/2006/relationships/hyperlink" Target="http://undocs.org/fr/CERD/C/HRV/9-14" TargetMode="External"/><Relationship Id="rId17" Type="http://schemas.openxmlformats.org/officeDocument/2006/relationships/hyperlink" Target="http://undocs.org/fr/CERD/C/HRV/CO/8" TargetMode="External"/><Relationship Id="rId25" Type="http://schemas.openxmlformats.org/officeDocument/2006/relationships/hyperlink" Target="http://undocs.org/fr/CERD/C/HRV/9-14" TargetMode="External"/><Relationship Id="rId2" Type="http://schemas.openxmlformats.org/officeDocument/2006/relationships/hyperlink" Target="http://undocs.org/fr/CERD/C/HRV/CO/8" TargetMode="External"/><Relationship Id="rId16" Type="http://schemas.openxmlformats.org/officeDocument/2006/relationships/hyperlink" Target="http://undocs.org/fr/CERD/C/HRV/9-14" TargetMode="External"/><Relationship Id="rId20" Type="http://schemas.openxmlformats.org/officeDocument/2006/relationships/hyperlink" Target="http://undocs.org/fr/CERD/C/HRV/CO/8" TargetMode="External"/><Relationship Id="rId1" Type="http://schemas.openxmlformats.org/officeDocument/2006/relationships/hyperlink" Target="http://undocs.org/fr/A/65/18" TargetMode="External"/><Relationship Id="rId6" Type="http://schemas.openxmlformats.org/officeDocument/2006/relationships/hyperlink" Target="http://undocs.org/fr/CERD/C/HRV/9-14" TargetMode="External"/><Relationship Id="rId11" Type="http://schemas.openxmlformats.org/officeDocument/2006/relationships/hyperlink" Target="http://undocs.org/fr/CERD/C/HRV/CO/8" TargetMode="External"/><Relationship Id="rId24" Type="http://schemas.openxmlformats.org/officeDocument/2006/relationships/hyperlink" Target="http://undocs.org/fr/CERD/C/HRV/CO/8" TargetMode="External"/><Relationship Id="rId5" Type="http://schemas.openxmlformats.org/officeDocument/2006/relationships/hyperlink" Target="http://undocs.org/fr/CERD/C/HRV/CO/8" TargetMode="External"/><Relationship Id="rId15" Type="http://schemas.openxmlformats.org/officeDocument/2006/relationships/hyperlink" Target="http://undocs.org/fr/CERD/C/HRV/CO/8" TargetMode="External"/><Relationship Id="rId23" Type="http://schemas.openxmlformats.org/officeDocument/2006/relationships/hyperlink" Target="http://undocs.org/fr/CERD/C/HRV/9-14" TargetMode="External"/><Relationship Id="rId28" Type="http://schemas.openxmlformats.org/officeDocument/2006/relationships/hyperlink" Target="http://undocs.org/fr/CERD/C/HRV/9-14" TargetMode="External"/><Relationship Id="rId10" Type="http://schemas.openxmlformats.org/officeDocument/2006/relationships/hyperlink" Target="http://undocs.org/fr/CERD/C/HRV/9-14" TargetMode="External"/><Relationship Id="rId19" Type="http://schemas.openxmlformats.org/officeDocument/2006/relationships/hyperlink" Target="http://undocs.org/fr/CERD/C/HRV/9-14" TargetMode="External"/><Relationship Id="rId4" Type="http://schemas.openxmlformats.org/officeDocument/2006/relationships/hyperlink" Target="http://undocs.org/fr/CERD/C/HRV/9-14" TargetMode="External"/><Relationship Id="rId9" Type="http://schemas.openxmlformats.org/officeDocument/2006/relationships/hyperlink" Target="http://undocs.org/fr/CERD/C/HRV/CO/8" TargetMode="External"/><Relationship Id="rId14" Type="http://schemas.openxmlformats.org/officeDocument/2006/relationships/hyperlink" Target="http://undocs.org/fr/CERD/C/HRV/9-14" TargetMode="External"/><Relationship Id="rId22" Type="http://schemas.openxmlformats.org/officeDocument/2006/relationships/hyperlink" Target="http://undocs.org/fr/CERD/C/HRV/CO/8" TargetMode="External"/><Relationship Id="rId27" Type="http://schemas.openxmlformats.org/officeDocument/2006/relationships/hyperlink" Target="http://undocs.org/fr/CERD/C/HRV/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1221</Words>
  <Characters>6623</Characters>
  <Application>Microsoft Office Word</Application>
  <DocSecurity>0</DocSecurity>
  <Lines>112</Lines>
  <Paragraphs>43</Paragraphs>
  <ScaleCrop>false</ScaleCrop>
  <HeadingPairs>
    <vt:vector size="2" baseType="variant">
      <vt:variant>
        <vt:lpstr>Titre</vt:lpstr>
      </vt:variant>
      <vt:variant>
        <vt:i4>1</vt:i4>
      </vt:variant>
    </vt:vector>
  </HeadingPairs>
  <TitlesOfParts>
    <vt:vector size="1" baseType="lpstr">
      <vt:lpstr>CERD/C/HRV/Q/9-14</vt:lpstr>
    </vt:vector>
  </TitlesOfParts>
  <Company>DCM</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CERD/C/HRV/Q/9-14</dc:title>
  <dc:subject/>
  <dc:creator>Marie DESCHAMPS</dc:creator>
  <cp:keywords/>
  <cp:lastModifiedBy>Marie Deschamps</cp:lastModifiedBy>
  <cp:revision>3</cp:revision>
  <cp:lastPrinted>2023-07-17T10:47:00Z</cp:lastPrinted>
  <dcterms:created xsi:type="dcterms:W3CDTF">2023-07-17T10:47:00Z</dcterms:created>
  <dcterms:modified xsi:type="dcterms:W3CDTF">2023-07-17T10:48:00Z</dcterms:modified>
</cp:coreProperties>
</file>